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AFAB79" w14:textId="04960C72" w:rsidR="00033CCB" w:rsidRPr="00D376C5" w:rsidRDefault="00033CCB" w:rsidP="00033CCB">
      <w:pPr>
        <w:pStyle w:val="3GPPHeader"/>
        <w:spacing w:after="60"/>
        <w:rPr>
          <w:bCs/>
          <w:sz w:val="22"/>
        </w:rPr>
      </w:pPr>
      <w:bookmarkStart w:id="0" w:name="_GoBack"/>
      <w:bookmarkEnd w:id="0"/>
      <w:r w:rsidRPr="00D376C5">
        <w:rPr>
          <w:bCs/>
          <w:sz w:val="22"/>
        </w:rPr>
        <w:t xml:space="preserve">3GPP TSG RAN WG1 </w:t>
      </w:r>
      <w:r w:rsidR="00466603">
        <w:rPr>
          <w:bCs/>
          <w:sz w:val="22"/>
        </w:rPr>
        <w:t xml:space="preserve">NR ad hoc </w:t>
      </w:r>
      <w:r w:rsidRPr="00D376C5">
        <w:rPr>
          <w:bCs/>
          <w:sz w:val="22"/>
        </w:rPr>
        <w:t>#</w:t>
      </w:r>
      <w:r w:rsidR="00466603">
        <w:rPr>
          <w:bCs/>
          <w:sz w:val="22"/>
        </w:rPr>
        <w:t>3</w:t>
      </w:r>
      <w:r w:rsidRPr="00D376C5">
        <w:rPr>
          <w:bCs/>
          <w:sz w:val="22"/>
        </w:rPr>
        <w:t xml:space="preserve">                                       </w:t>
      </w:r>
      <w:r w:rsidRPr="00D376C5">
        <w:rPr>
          <w:bCs/>
          <w:sz w:val="22"/>
        </w:rPr>
        <w:tab/>
      </w:r>
      <w:r w:rsidR="00DD2079" w:rsidRPr="00DD2079">
        <w:rPr>
          <w:bCs/>
          <w:sz w:val="22"/>
        </w:rPr>
        <w:t>R1-1716598</w:t>
      </w:r>
    </w:p>
    <w:p w14:paraId="51C3CE46" w14:textId="7672BABE" w:rsidR="00E90E49" w:rsidRPr="00D376C5" w:rsidRDefault="00466603" w:rsidP="004C6405">
      <w:pPr>
        <w:pStyle w:val="3GPPHeader"/>
        <w:rPr>
          <w:sz w:val="22"/>
          <w:lang w:val="en-US"/>
        </w:rPr>
      </w:pPr>
      <w:r w:rsidRPr="00466603">
        <w:rPr>
          <w:bCs/>
          <w:sz w:val="22"/>
        </w:rPr>
        <w:t>Nagoya, Japan, 18th – 21st, September 2017</w:t>
      </w:r>
    </w:p>
    <w:p w14:paraId="606D9DC9" w14:textId="64A908D2"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033CCB">
        <w:rPr>
          <w:sz w:val="22"/>
          <w:szCs w:val="22"/>
          <w:lang w:val="en-US"/>
        </w:rPr>
        <w:t>6</w:t>
      </w:r>
      <w:r w:rsidR="00476EB3">
        <w:rPr>
          <w:sz w:val="22"/>
          <w:szCs w:val="22"/>
          <w:lang w:val="en-US"/>
        </w:rPr>
        <w:t>.3.3.5</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1E991790"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466603">
        <w:rPr>
          <w:sz w:val="22"/>
          <w:szCs w:val="22"/>
          <w:lang w:val="en-US"/>
        </w:rPr>
        <w:t xml:space="preserve">On </w:t>
      </w:r>
      <w:r w:rsidR="00FF58B5">
        <w:rPr>
          <w:sz w:val="22"/>
          <w:szCs w:val="22"/>
          <w:lang w:val="en-US"/>
        </w:rPr>
        <w:t>Transmit, Decode and Soft Buffers</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1F0E7890" w14:textId="30FFD668" w:rsidR="007A32C9" w:rsidRDefault="007A32C9" w:rsidP="007A32C9">
      <w:r>
        <w:t xml:space="preserve">In RAN1 #90, the following agreements on the </w:t>
      </w:r>
      <w:r w:rsidR="008C6E75">
        <w:t xml:space="preserve">transmit buffer and soft buffer size </w:t>
      </w:r>
      <w:r>
        <w:t>were reached:</w:t>
      </w:r>
    </w:p>
    <w:p w14:paraId="6FE9A7B2" w14:textId="77777777" w:rsidR="006629C6" w:rsidRPr="00D612C5" w:rsidRDefault="006629C6" w:rsidP="008C6E75">
      <w:pPr>
        <w:spacing w:after="0"/>
        <w:ind w:left="418"/>
        <w:rPr>
          <w:rFonts w:eastAsia="Yu Mincho"/>
          <w:b/>
          <w:iCs/>
          <w:u w:val="single"/>
          <w:lang w:eastAsia="ja-JP"/>
        </w:rPr>
      </w:pPr>
      <w:r w:rsidRPr="00190FD7">
        <w:rPr>
          <w:rFonts w:eastAsia="Yu Mincho" w:hint="eastAsia"/>
          <w:b/>
          <w:iCs/>
          <w:highlight w:val="green"/>
          <w:u w:val="single"/>
          <w:lang w:eastAsia="ja-JP"/>
        </w:rPr>
        <w:t>Agreements:</w:t>
      </w:r>
    </w:p>
    <w:p w14:paraId="71D34296" w14:textId="77777777" w:rsidR="006629C6" w:rsidRPr="00D612C5" w:rsidRDefault="006629C6" w:rsidP="00FC01CA">
      <w:pPr>
        <w:numPr>
          <w:ilvl w:val="0"/>
          <w:numId w:val="13"/>
        </w:numPr>
        <w:tabs>
          <w:tab w:val="left" w:pos="0"/>
        </w:tabs>
        <w:overflowPunct/>
        <w:autoSpaceDE/>
        <w:autoSpaceDN/>
        <w:adjustRightInd/>
        <w:spacing w:after="0"/>
        <w:ind w:left="840"/>
        <w:jc w:val="left"/>
        <w:textAlignment w:val="auto"/>
        <w:rPr>
          <w:rFonts w:eastAsia="MS Mincho"/>
          <w:iCs/>
          <w:lang w:val="en-US" w:eastAsia="ja-JP"/>
        </w:rPr>
      </w:pPr>
      <w:r w:rsidRPr="00D612C5">
        <w:rPr>
          <w:rFonts w:eastAsia="MS Mincho"/>
          <w:iCs/>
          <w:lang w:val="en-US" w:eastAsia="ja-JP"/>
        </w:rPr>
        <w:t>NR specification should decouple the transmit (or RV) buffer from soft buffer size of the UE receiver.</w:t>
      </w:r>
    </w:p>
    <w:p w14:paraId="50AE5620" w14:textId="77777777" w:rsidR="006629C6" w:rsidRPr="00D612C5" w:rsidRDefault="006629C6" w:rsidP="008C6E75">
      <w:pPr>
        <w:numPr>
          <w:ilvl w:val="1"/>
          <w:numId w:val="13"/>
        </w:numPr>
        <w:tabs>
          <w:tab w:val="left" w:pos="0"/>
        </w:tabs>
        <w:overflowPunct/>
        <w:autoSpaceDE/>
        <w:autoSpaceDN/>
        <w:adjustRightInd/>
        <w:ind w:left="1253" w:hanging="418"/>
        <w:jc w:val="left"/>
        <w:textAlignment w:val="auto"/>
        <w:rPr>
          <w:rFonts w:eastAsia="MS Mincho"/>
          <w:iCs/>
          <w:lang w:val="en-US" w:eastAsia="ja-JP"/>
        </w:rPr>
      </w:pPr>
      <w:r w:rsidRPr="00D612C5">
        <w:rPr>
          <w:rFonts w:eastAsia="MS Mincho" w:hint="eastAsia"/>
          <w:iCs/>
          <w:lang w:val="en-US" w:eastAsia="ja-JP"/>
        </w:rPr>
        <w:t>Note: transmit (</w:t>
      </w:r>
      <w:r w:rsidRPr="00D612C5">
        <w:rPr>
          <w:rFonts w:eastAsia="MS Mincho"/>
          <w:iCs/>
          <w:lang w:val="en-US" w:eastAsia="ja-JP"/>
        </w:rPr>
        <w:t>or RV</w:t>
      </w:r>
      <w:r w:rsidRPr="00D612C5">
        <w:rPr>
          <w:rFonts w:eastAsia="MS Mincho" w:hint="eastAsia"/>
          <w:iCs/>
          <w:lang w:val="en-US" w:eastAsia="ja-JP"/>
        </w:rPr>
        <w:t>)</w:t>
      </w:r>
      <w:r w:rsidRPr="00D612C5">
        <w:rPr>
          <w:rFonts w:eastAsia="MS Mincho"/>
          <w:iCs/>
          <w:lang w:val="en-US" w:eastAsia="ja-JP"/>
        </w:rPr>
        <w:t xml:space="preserve"> buffer refers to the PDSCH rate-matching buffer</w:t>
      </w:r>
    </w:p>
    <w:p w14:paraId="27B22928" w14:textId="2C805230" w:rsidR="006C2389" w:rsidRDefault="00D538F4" w:rsidP="008C6E75">
      <w:pPr>
        <w:pStyle w:val="BodyText"/>
      </w:pPr>
      <w:r w:rsidRPr="007B78FE">
        <w:rPr>
          <w:lang w:val="en-US"/>
        </w:rPr>
        <w:t xml:space="preserve">In this contribution, </w:t>
      </w:r>
      <w:r w:rsidR="005B1ABE">
        <w:rPr>
          <w:lang w:val="en-US"/>
        </w:rPr>
        <w:t>we discuss further design details on transmit and decod</w:t>
      </w:r>
      <w:r w:rsidR="00CA4B33">
        <w:rPr>
          <w:lang w:val="en-US"/>
        </w:rPr>
        <w:t>e</w:t>
      </w:r>
      <w:r w:rsidR="005B1ABE">
        <w:rPr>
          <w:lang w:val="en-US"/>
        </w:rPr>
        <w:t xml:space="preserve"> buffer</w:t>
      </w:r>
      <w:r w:rsidR="00CA4B33">
        <w:rPr>
          <w:lang w:val="en-US"/>
        </w:rPr>
        <w:t>s</w:t>
      </w:r>
      <w:r w:rsidR="005B1ABE">
        <w:rPr>
          <w:lang w:val="en-US"/>
        </w:rPr>
        <w:t xml:space="preserve"> as well as soft buffer sizes for single carrier and carrier aggregation cases.</w:t>
      </w:r>
    </w:p>
    <w:p w14:paraId="551FAD64" w14:textId="0ADCD564" w:rsidR="00476EB3" w:rsidRPr="007B78FE" w:rsidRDefault="00476EB3" w:rsidP="00476EB3">
      <w:pPr>
        <w:pStyle w:val="Heading1"/>
        <w:rPr>
          <w:lang w:val="en-US"/>
        </w:rPr>
      </w:pPr>
      <w:r>
        <w:rPr>
          <w:lang w:val="en-US"/>
        </w:rPr>
        <w:t>Discussion</w:t>
      </w:r>
    </w:p>
    <w:p w14:paraId="6E8C0927" w14:textId="6BD71F1F" w:rsidR="00476EB3" w:rsidRDefault="007A32C9" w:rsidP="00476EB3">
      <w:pPr>
        <w:pStyle w:val="Heading2"/>
      </w:pPr>
      <w:r>
        <w:t>Transmit</w:t>
      </w:r>
      <w:r w:rsidR="00476EB3">
        <w:t xml:space="preserve"> and Decod</w:t>
      </w:r>
      <w:r w:rsidR="00CA4B33">
        <w:t>e</w:t>
      </w:r>
      <w:r w:rsidR="00476EB3">
        <w:t xml:space="preserve"> Buffers</w:t>
      </w:r>
    </w:p>
    <w:p w14:paraId="1F42BFD1" w14:textId="2CAE4C29" w:rsidR="00D125E6" w:rsidRDefault="00DD2079" w:rsidP="00D125E6">
      <w:pPr>
        <w:pStyle w:val="BodyText"/>
        <w:rPr>
          <w:rFonts w:cs="Arial"/>
        </w:rPr>
      </w:pPr>
      <w:r>
        <w:rPr>
          <w:rFonts w:cs="Arial"/>
        </w:rPr>
        <w:t xml:space="preserve">In Rel-8 LTE, limited buffer rate matching was used when multiple codeword is to be transmitted on the PDSCH. The motivation was that the UE does not have enough soft buffer to store both codewords at their mother code rate. However, </w:t>
      </w:r>
      <w:r w:rsidR="00D125E6">
        <w:rPr>
          <w:rFonts w:cs="Arial"/>
        </w:rPr>
        <w:t>when limited buffer rate matching is used, the mother code rate o</w:t>
      </w:r>
      <w:r w:rsidR="000905B4">
        <w:rPr>
          <w:rFonts w:cs="Arial"/>
        </w:rPr>
        <w:t xml:space="preserve"> </w:t>
      </w:r>
      <w:r w:rsidR="00D125E6">
        <w:rPr>
          <w:rFonts w:cs="Arial"/>
        </w:rPr>
        <w:t xml:space="preserve">f the channel code was raised from 1/3 to 2/3. As shown in </w:t>
      </w:r>
      <w:r w:rsidR="00D125E6">
        <w:rPr>
          <w:rFonts w:cs="Arial"/>
        </w:rPr>
        <w:fldChar w:fldCharType="begin"/>
      </w:r>
      <w:r w:rsidR="00D125E6">
        <w:rPr>
          <w:rFonts w:cs="Arial"/>
        </w:rPr>
        <w:instrText xml:space="preserve"> REF _Ref492893906 \h </w:instrText>
      </w:r>
      <w:r w:rsidR="00D125E6">
        <w:rPr>
          <w:rFonts w:cs="Arial"/>
        </w:rPr>
      </w:r>
      <w:r w:rsidR="00D125E6">
        <w:rPr>
          <w:rFonts w:cs="Arial"/>
        </w:rPr>
        <w:fldChar w:fldCharType="separate"/>
      </w:r>
      <w:r w:rsidR="00D125E6">
        <w:t xml:space="preserve">Figure </w:t>
      </w:r>
      <w:r w:rsidR="00D125E6">
        <w:rPr>
          <w:noProof/>
        </w:rPr>
        <w:t>1</w:t>
      </w:r>
      <w:r w:rsidR="00D125E6">
        <w:rPr>
          <w:rFonts w:cs="Arial"/>
        </w:rPr>
        <w:fldChar w:fldCharType="end"/>
      </w:r>
      <w:r w:rsidR="00D125E6">
        <w:rPr>
          <w:rFonts w:cs="Arial"/>
        </w:rPr>
        <w:t xml:space="preserve">, the effectiveness of the HARQ incremental redundancy transmission is severely compromised. There are link losses of 1.5 dB across wide range of initial transmission </w:t>
      </w:r>
      <w:r w:rsidR="000352E7">
        <w:rPr>
          <w:rFonts w:cs="Arial"/>
        </w:rPr>
        <w:t>code rates.</w:t>
      </w:r>
    </w:p>
    <w:p w14:paraId="35D982D8" w14:textId="3F935D89" w:rsidR="00476EB3" w:rsidRDefault="000352E7" w:rsidP="00476EB3">
      <w:pPr>
        <w:pStyle w:val="BodyText"/>
        <w:rPr>
          <w:rFonts w:cs="Arial"/>
        </w:rPr>
      </w:pPr>
      <w:r>
        <w:rPr>
          <w:rFonts w:cs="Arial"/>
        </w:rPr>
        <w:t xml:space="preserve">It was </w:t>
      </w:r>
      <w:r w:rsidR="00DD2079">
        <w:rPr>
          <w:rFonts w:cs="Arial"/>
        </w:rPr>
        <w:t>made clear later in the design for carrier aggregation in Rel-10 LTE</w:t>
      </w:r>
      <w:r>
        <w:rPr>
          <w:rFonts w:cs="Arial"/>
        </w:rPr>
        <w:t xml:space="preserve"> that</w:t>
      </w:r>
      <w:r w:rsidR="00DD2079">
        <w:rPr>
          <w:rFonts w:cs="Arial"/>
        </w:rPr>
        <w:t xml:space="preserve"> the channel decoder at the UE can always support the mother code rate. That is, as it is now agreed for NR, transmit/decode buffer should be treated separately from the soft buffer for storing soft bits. This principle was partially practiced for Rel-10 UEs that are configured with more carriers than their category definitions: the rate matching at eNB and decoding at UE assume buffer size identical to those for the single carrier definitions but</w:t>
      </w:r>
      <w:r w:rsidR="00A9174D">
        <w:rPr>
          <w:rFonts w:cs="Arial"/>
        </w:rPr>
        <w:t xml:space="preserve"> the</w:t>
      </w:r>
      <w:r w:rsidR="00DD2079">
        <w:rPr>
          <w:rFonts w:cs="Arial"/>
        </w:rPr>
        <w:t xml:space="preserve"> UE is allowed to store only part of the received/combined soft bits.</w:t>
      </w:r>
    </w:p>
    <w:p w14:paraId="13783194" w14:textId="769A6133" w:rsidR="000352E7" w:rsidRDefault="000352E7" w:rsidP="00476EB3">
      <w:pPr>
        <w:pStyle w:val="BodyText"/>
        <w:rPr>
          <w:rFonts w:cs="Arial"/>
        </w:rPr>
      </w:pPr>
      <w:r>
        <w:rPr>
          <w:rFonts w:cs="Arial"/>
        </w:rPr>
        <w:t xml:space="preserve">To optimize performance for NR, it is logical to follow and expand the </w:t>
      </w:r>
      <w:r w:rsidR="00170518">
        <w:rPr>
          <w:rFonts w:cs="Arial"/>
        </w:rPr>
        <w:t xml:space="preserve">design </w:t>
      </w:r>
      <w:r w:rsidR="004E5227">
        <w:rPr>
          <w:rFonts w:cs="Arial"/>
        </w:rPr>
        <w:t>principle</w:t>
      </w:r>
      <w:r w:rsidR="00170518">
        <w:rPr>
          <w:rFonts w:cs="Arial"/>
        </w:rPr>
        <w:t xml:space="preserve"> started in Rel-10 LTE</w:t>
      </w:r>
      <w:r w:rsidR="004E5227">
        <w:rPr>
          <w:rFonts w:cs="Arial"/>
        </w:rPr>
        <w:t xml:space="preserve">. </w:t>
      </w:r>
      <w:r w:rsidR="00170518">
        <w:rPr>
          <w:rFonts w:cs="Arial"/>
        </w:rPr>
        <w:t xml:space="preserve">Since the UE decoder hardware is designed to be capable of handling the mother code rate of the LDPC code, there is no need to use limited buffer rate matching to reduce the number of parity bits that can be transmitted and combined for decoding. </w:t>
      </w:r>
      <w:r w:rsidR="00130304">
        <w:rPr>
          <w:rFonts w:cs="Arial"/>
        </w:rPr>
        <w:t xml:space="preserve">This allows the incremental redundancy retransmission protocol to </w:t>
      </w:r>
      <w:r w:rsidR="00F00330">
        <w:rPr>
          <w:rFonts w:cs="Arial"/>
        </w:rPr>
        <w:t>achieve higher link performance and minimize the number of resources needed for retransmissions.</w:t>
      </w:r>
    </w:p>
    <w:p w14:paraId="44D94991" w14:textId="19153FBE" w:rsidR="00DE56CE" w:rsidRDefault="00DE56CE" w:rsidP="00476EB3">
      <w:pPr>
        <w:pStyle w:val="BodyText"/>
        <w:rPr>
          <w:rFonts w:cs="Arial"/>
        </w:rPr>
      </w:pPr>
    </w:p>
    <w:p w14:paraId="2DA3F0B8" w14:textId="77777777" w:rsidR="00DE56CE" w:rsidRDefault="00DE56CE" w:rsidP="00DE56CE">
      <w:pPr>
        <w:pStyle w:val="BodyText"/>
        <w:rPr>
          <w:rFonts w:cs="Arial"/>
          <w:b/>
        </w:rPr>
      </w:pPr>
      <w:r w:rsidRPr="008D7BEF">
        <w:rPr>
          <w:rFonts w:cs="Arial"/>
          <w:b/>
        </w:rPr>
        <w:t xml:space="preserve">Proposal 1 </w:t>
      </w:r>
      <w:r>
        <w:rPr>
          <w:rFonts w:cs="Arial"/>
          <w:b/>
        </w:rPr>
        <w:t xml:space="preserve">Limited buffer rate matching is not used in NR. Both transmit </w:t>
      </w:r>
      <w:r w:rsidRPr="008D7BEF">
        <w:rPr>
          <w:rFonts w:cs="Arial"/>
          <w:b/>
        </w:rPr>
        <w:t xml:space="preserve">buffer </w:t>
      </w:r>
      <w:r>
        <w:rPr>
          <w:rFonts w:cs="Arial"/>
          <w:b/>
        </w:rPr>
        <w:t>and decode buffer support the mother code rate of the LDPC code</w:t>
      </w:r>
      <w:r w:rsidRPr="008D7BEF">
        <w:rPr>
          <w:rFonts w:cs="Arial"/>
          <w:b/>
        </w:rPr>
        <w:t>.</w:t>
      </w:r>
    </w:p>
    <w:p w14:paraId="5F3B24B4" w14:textId="77777777" w:rsidR="00DE56CE" w:rsidRDefault="00DE56CE" w:rsidP="00476EB3">
      <w:pPr>
        <w:pStyle w:val="BodyText"/>
        <w:rPr>
          <w:rFonts w:cs="Arial"/>
        </w:rPr>
      </w:pPr>
    </w:p>
    <w:p w14:paraId="00235EEB" w14:textId="7E068B7B" w:rsidR="00B64F40" w:rsidRDefault="00552E84" w:rsidP="00DE56CE">
      <w:pPr>
        <w:pStyle w:val="BodyText"/>
        <w:jc w:val="center"/>
        <w:rPr>
          <w:rFonts w:cs="Arial"/>
        </w:rPr>
      </w:pPr>
      <w:r w:rsidRPr="00552E84">
        <w:rPr>
          <w:rFonts w:cs="Arial"/>
          <w:noProof/>
        </w:rPr>
        <w:lastRenderedPageBreak/>
        <w:drawing>
          <wp:inline distT="0" distB="0" distL="0" distR="0" wp14:anchorId="3BEF0B81" wp14:editId="51ECA1C3">
            <wp:extent cx="3838575" cy="3078480"/>
            <wp:effectExtent l="0" t="0" r="952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8575" cy="3078480"/>
                    </a:xfrm>
                    <a:prstGeom prst="rect">
                      <a:avLst/>
                    </a:prstGeom>
                    <a:noFill/>
                    <a:ln>
                      <a:noFill/>
                    </a:ln>
                  </pic:spPr>
                </pic:pic>
              </a:graphicData>
            </a:graphic>
          </wp:inline>
        </w:drawing>
      </w:r>
    </w:p>
    <w:p w14:paraId="00159FF2" w14:textId="24B8E6C7" w:rsidR="00DE56CE" w:rsidRDefault="00DE56CE" w:rsidP="00420040">
      <w:pPr>
        <w:pStyle w:val="Caption"/>
        <w:jc w:val="both"/>
        <w:rPr>
          <w:rFonts w:cs="Arial"/>
        </w:rPr>
      </w:pPr>
      <w:bookmarkStart w:id="1" w:name="_Ref492893906"/>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00AF670F">
        <w:t>Incremental redundancy (I</w:t>
      </w:r>
      <w:r w:rsidRPr="00DE56CE">
        <w:rPr>
          <w:rFonts w:cs="Arial"/>
        </w:rPr>
        <w:t>R</w:t>
      </w:r>
      <w:r w:rsidR="00AF670F">
        <w:rPr>
          <w:rFonts w:cs="Arial"/>
        </w:rPr>
        <w:t>)</w:t>
      </w:r>
      <w:r w:rsidRPr="00DE56CE">
        <w:rPr>
          <w:rFonts w:cs="Arial"/>
        </w:rPr>
        <w:t xml:space="preserve"> over </w:t>
      </w:r>
      <w:r w:rsidR="00AF670F">
        <w:rPr>
          <w:rFonts w:cs="Arial"/>
        </w:rPr>
        <w:t>Chase combining (</w:t>
      </w:r>
      <w:r w:rsidRPr="00DE56CE">
        <w:rPr>
          <w:rFonts w:cs="Arial"/>
        </w:rPr>
        <w:t>CC</w:t>
      </w:r>
      <w:r w:rsidR="00AF670F">
        <w:rPr>
          <w:rFonts w:cs="Arial"/>
        </w:rPr>
        <w:t>)</w:t>
      </w:r>
      <w:r w:rsidRPr="00DE56CE">
        <w:rPr>
          <w:rFonts w:cs="Arial"/>
        </w:rPr>
        <w:t xml:space="preserve"> gains after two transmissions for</w:t>
      </w:r>
      <w:r>
        <w:rPr>
          <w:rFonts w:cs="Arial"/>
        </w:rPr>
        <w:t xml:space="preserve"> </w:t>
      </w:r>
      <w:r w:rsidRPr="00DE56CE">
        <w:rPr>
          <w:rFonts w:cs="Arial"/>
        </w:rPr>
        <w:t>different mother code rates</w:t>
      </w:r>
      <w:r>
        <w:rPr>
          <w:rFonts w:cs="Arial"/>
        </w:rPr>
        <w:t xml:space="preserve"> </w:t>
      </w:r>
      <m:oMath>
        <m:sSub>
          <m:sSubPr>
            <m:ctrlPr>
              <w:rPr>
                <w:rFonts w:ascii="Cambria Math" w:hAnsi="Cambria Math" w:cs="Arial"/>
                <w:i/>
              </w:rPr>
            </m:ctrlPr>
          </m:sSubPr>
          <m:e>
            <m:r>
              <m:rPr>
                <m:sty m:val="bi"/>
              </m:rPr>
              <w:rPr>
                <w:rFonts w:ascii="Cambria Math" w:hAnsi="Cambria Math" w:cs="Arial"/>
              </w:rPr>
              <m:t>r</m:t>
            </m:r>
          </m:e>
          <m:sub>
            <m:r>
              <m:rPr>
                <m:sty m:val="bi"/>
              </m:rPr>
              <w:rPr>
                <w:rFonts w:ascii="Cambria Math" w:hAnsi="Cambria Math" w:cs="Arial"/>
              </w:rPr>
              <m:t>0</m:t>
            </m:r>
          </m:sub>
        </m:sSub>
      </m:oMath>
      <w:r w:rsidR="00D125E6">
        <w:rPr>
          <w:rFonts w:cs="Arial"/>
        </w:rPr>
        <w:t xml:space="preserve"> and initial code rate </w:t>
      </w:r>
      <m:oMath>
        <m:sSub>
          <m:sSubPr>
            <m:ctrlPr>
              <w:rPr>
                <w:rFonts w:ascii="Cambria Math" w:hAnsi="Cambria Math" w:cs="Arial"/>
                <w:i/>
              </w:rPr>
            </m:ctrlPr>
          </m:sSubPr>
          <m:e>
            <m:r>
              <m:rPr>
                <m:sty m:val="bi"/>
              </m:rPr>
              <w:rPr>
                <w:rFonts w:ascii="Cambria Math" w:hAnsi="Cambria Math" w:cs="Arial"/>
              </w:rPr>
              <m:t>r</m:t>
            </m:r>
          </m:e>
          <m:sub>
            <m:r>
              <m:rPr>
                <m:sty m:val="bi"/>
              </m:rPr>
              <w:rPr>
                <w:rFonts w:ascii="Cambria Math" w:hAnsi="Cambria Math" w:cs="Arial"/>
              </w:rPr>
              <m:t>1</m:t>
            </m:r>
          </m:sub>
        </m:sSub>
      </m:oMath>
      <w:r w:rsidR="00D125E6">
        <w:rPr>
          <w:rFonts w:cs="Arial"/>
        </w:rPr>
        <w:t xml:space="preserve"> </w:t>
      </w:r>
      <w:r>
        <w:rPr>
          <w:rFonts w:cs="Arial"/>
        </w:rPr>
        <w:t xml:space="preserve">with </w:t>
      </w:r>
      <w:r w:rsidRPr="00DE56CE">
        <w:rPr>
          <w:rFonts w:cs="Arial"/>
        </w:rPr>
        <w:t>QPSK</w:t>
      </w:r>
      <w:r>
        <w:rPr>
          <w:rFonts w:cs="Arial"/>
        </w:rPr>
        <w:t>.</w:t>
      </w:r>
      <w:r w:rsidR="00420040">
        <w:rPr>
          <w:rFonts w:cs="Arial"/>
        </w:rPr>
        <w:t xml:space="preserve"> For higher order modulations, the IR over CC gains are higher.</w:t>
      </w:r>
    </w:p>
    <w:p w14:paraId="0A0BCE6E" w14:textId="18117C92" w:rsidR="00476EB3" w:rsidRDefault="00476EB3" w:rsidP="00476EB3">
      <w:pPr>
        <w:pStyle w:val="Heading2"/>
      </w:pPr>
      <w:r>
        <w:t>Soft Buffer</w:t>
      </w:r>
      <w:r w:rsidR="00C6196B">
        <w:t xml:space="preserve"> Sizes</w:t>
      </w:r>
      <w:r>
        <w:t xml:space="preserve"> for Storing Soft Bits</w:t>
      </w:r>
    </w:p>
    <w:p w14:paraId="67C33EBE" w14:textId="78B262FA" w:rsidR="00476EB3" w:rsidRPr="008F5FB0" w:rsidRDefault="00476EB3" w:rsidP="00476EB3">
      <w:pPr>
        <w:pStyle w:val="BodyText"/>
        <w:rPr>
          <w:rFonts w:cs="Arial"/>
        </w:rPr>
      </w:pPr>
      <w:r w:rsidRPr="008F5FB0">
        <w:rPr>
          <w:rFonts w:cs="Arial"/>
        </w:rPr>
        <w:t>The amount of soft buffer memory in the UE increases with increased roundtrip time assuming the UE should be capable of soft buffering of all the transmissions. Although there is some relation to the number of hybrid-ARQ processes used, the amount of soft buffer memory could in principle be seen as a separate issue to discuss. Requiring the UE to support the highest possible data rate simultaneously with the maximum number of hybrid-ARQ processes may increase UE complexity and cost. For example, assuming a static split of the soft buffer memory across the hybrid-ARQ processes and operating at 10% initial BLER, it is not likely that all processes fail reception and needs to be soft buffered with full IR support.</w:t>
      </w:r>
    </w:p>
    <w:p w14:paraId="484ADBC9" w14:textId="77777777" w:rsidR="00476EB3" w:rsidRPr="008F5FB0" w:rsidRDefault="00476EB3" w:rsidP="00476EB3">
      <w:pPr>
        <w:pStyle w:val="BodyText"/>
        <w:rPr>
          <w:rFonts w:cs="Arial"/>
        </w:rPr>
      </w:pPr>
      <w:r w:rsidRPr="008F5FB0">
        <w:rPr>
          <w:rFonts w:cs="Arial"/>
        </w:rPr>
        <w:t>Instead of a semi-static split of the soft buffer memory across all hybrid-ARQ processes it is proposed to leave some freedom to the UE on how to handle the soft buffer memory management. In principle, there may not be any need to inform the UE about the number of hybrid-ARQ processes used in the downlink although the UE memory management may benefit from having this information. Leaving some freedom to the UE would allow operation with a larger number of processes when motivated at the cost of reduced incremental redundancy gain and benefit from full IR gain with a more aggressive retransmission timeline. One possibility could be to state the number of code blocks the UE is capable of storing.</w:t>
      </w:r>
    </w:p>
    <w:p w14:paraId="7ADE82E9" w14:textId="77777777" w:rsidR="00476EB3" w:rsidRPr="008F5FB0" w:rsidRDefault="00476EB3" w:rsidP="00476EB3">
      <w:pPr>
        <w:pStyle w:val="BodyText"/>
        <w:rPr>
          <w:rStyle w:val="IvDbodytextChar"/>
          <w:rFonts w:cs="Arial"/>
        </w:rPr>
      </w:pPr>
      <w:r w:rsidRPr="008F5FB0">
        <w:rPr>
          <w:rStyle w:val="IvDbodytextChar"/>
          <w:rFonts w:cs="Arial"/>
        </w:rPr>
        <w:t xml:space="preserve">The previous </w:t>
      </w:r>
      <w:r>
        <w:rPr>
          <w:rStyle w:val="IvDbodytextChar"/>
          <w:rFonts w:cs="Arial"/>
        </w:rPr>
        <w:t xml:space="preserve">LTE </w:t>
      </w:r>
      <w:r w:rsidRPr="008F5FB0">
        <w:rPr>
          <w:rStyle w:val="IvDbodytextChar"/>
          <w:rFonts w:cs="Arial"/>
        </w:rPr>
        <w:t>scheme relies on the UE being able to store (at least part of) all code blocks in all HARQ processes assuming maxim code block size. In the vast majority of the operating conditions with a block error rate of 10-30%, the likelihood that all HARQ processes require retransmission is insignificant. Then most of the soft buffer will be unused. By switching to dynamic handling of the soft buffer, the total soft buffer size can be reduced.</w:t>
      </w:r>
    </w:p>
    <w:p w14:paraId="45511D21" w14:textId="77777777" w:rsidR="00476EB3" w:rsidRPr="008F5FB0" w:rsidRDefault="00476EB3" w:rsidP="00476EB3">
      <w:pPr>
        <w:pStyle w:val="BodyText"/>
        <w:rPr>
          <w:rStyle w:val="IvDbodytextChar"/>
          <w:rFonts w:cs="Arial"/>
        </w:rPr>
      </w:pPr>
      <w:r w:rsidRPr="008F5FB0">
        <w:rPr>
          <w:rStyle w:val="IvDbodytextChar"/>
          <w:rFonts w:cs="Arial"/>
        </w:rPr>
        <w:t>Instead defining a total soft buffer size and a fixed split across HARQ process, the UE is required to have a capacity of storing in the soft buffer a specified number of maximum size code blocks. The number of code block is set so that the UE can handle typical operation points. The behavior for the UE when running out of empty code blocks can be left for UE implementation.</w:t>
      </w:r>
    </w:p>
    <w:p w14:paraId="53D757D3" w14:textId="77777777" w:rsidR="00476EB3" w:rsidRPr="00295CDC" w:rsidRDefault="00476EB3" w:rsidP="00FC01CA">
      <w:pPr>
        <w:pStyle w:val="BodyText"/>
        <w:numPr>
          <w:ilvl w:val="0"/>
          <w:numId w:val="10"/>
        </w:numPr>
        <w:overflowPunct/>
        <w:autoSpaceDE/>
        <w:autoSpaceDN/>
        <w:adjustRightInd/>
        <w:textAlignment w:val="auto"/>
        <w:rPr>
          <w:rFonts w:cs="Arial"/>
        </w:rPr>
      </w:pPr>
      <w:r w:rsidRPr="00295CDC">
        <w:rPr>
          <w:rFonts w:cs="Arial"/>
        </w:rPr>
        <w:t xml:space="preserve">The UE partitions its soft buffer into a number of memory blocks corresponding to the number of maximum sized code blocks given by the specification, </w:t>
      </w:r>
      <m:oMath>
        <m:r>
          <w:rPr>
            <w:rFonts w:ascii="Cambria Math" w:hAnsi="Cambria Math" w:cs="Arial"/>
          </w:rPr>
          <m:t>N</m:t>
        </m:r>
      </m:oMath>
      <w:r w:rsidRPr="00295CDC">
        <w:rPr>
          <w:rFonts w:cs="Arial"/>
        </w:rPr>
        <w:t xml:space="preserve">. </w:t>
      </w:r>
      <w:r>
        <w:rPr>
          <w:rFonts w:cs="Arial"/>
        </w:rPr>
        <w:t xml:space="preserve">Other </w:t>
      </w:r>
      <w:r w:rsidRPr="00295CDC">
        <w:rPr>
          <w:rFonts w:cs="Arial"/>
        </w:rPr>
        <w:t xml:space="preserve">reasonable partitioning is </w:t>
      </w:r>
      <w:r>
        <w:rPr>
          <w:rFonts w:cs="Arial"/>
        </w:rPr>
        <w:t xml:space="preserve">also </w:t>
      </w:r>
      <w:r w:rsidRPr="00295CDC">
        <w:rPr>
          <w:rFonts w:cs="Arial"/>
        </w:rPr>
        <w:t xml:space="preserve">possible. A finer granularity means that smaller code blocks takes less space and the risk of overflow is further reduced, but comes at the cost of higher complexity in the buffer handling. </w:t>
      </w:r>
    </w:p>
    <w:p w14:paraId="07511585" w14:textId="77777777" w:rsidR="00476EB3" w:rsidRPr="002144CE" w:rsidRDefault="00476EB3" w:rsidP="00FC01CA">
      <w:pPr>
        <w:pStyle w:val="BodyText"/>
        <w:numPr>
          <w:ilvl w:val="0"/>
          <w:numId w:val="10"/>
        </w:numPr>
        <w:overflowPunct/>
        <w:autoSpaceDE/>
        <w:autoSpaceDN/>
        <w:adjustRightInd/>
        <w:textAlignment w:val="auto"/>
        <w:rPr>
          <w:rFonts w:cs="Arial"/>
        </w:rPr>
      </w:pPr>
      <w:r w:rsidRPr="002144CE">
        <w:rPr>
          <w:rFonts w:cs="Arial"/>
        </w:rPr>
        <w:t xml:space="preserve">The UE maintains a record of what code blocks in the buffer that are free and occupied and in the latter case which HARQ-process and component carrier the code block belongs to. This can be implemented with two tables. One table contains the occupied or available information of the code </w:t>
      </w:r>
      <w:r w:rsidRPr="002144CE">
        <w:rPr>
          <w:rFonts w:cs="Arial"/>
        </w:rPr>
        <w:lastRenderedPageBreak/>
        <w:t>block buffers. The available code block buffers can be used to store the soft values of new code blocks that cannot be decoded successfully yet. One table maintains the addresses or indices of the coded block buffers that are used to store the soft values of a given HARQ process.</w:t>
      </w:r>
    </w:p>
    <w:p w14:paraId="4CB336F4" w14:textId="77777777" w:rsidR="00476EB3" w:rsidRPr="00295CDC" w:rsidRDefault="00476EB3" w:rsidP="00FC01CA">
      <w:pPr>
        <w:pStyle w:val="BodyText"/>
        <w:numPr>
          <w:ilvl w:val="0"/>
          <w:numId w:val="10"/>
        </w:numPr>
        <w:overflowPunct/>
        <w:autoSpaceDE/>
        <w:autoSpaceDN/>
        <w:adjustRightInd/>
        <w:textAlignment w:val="auto"/>
        <w:rPr>
          <w:rFonts w:cs="Arial"/>
        </w:rPr>
      </w:pPr>
      <w:r w:rsidRPr="00295CDC">
        <w:rPr>
          <w:rFonts w:cs="Arial"/>
        </w:rPr>
        <w:t>When a new TB arrives, the UE decodes the code blocks. If the decoding fails on at least one of the code blocks, the UE reserve</w:t>
      </w:r>
      <w:r>
        <w:rPr>
          <w:rFonts w:cs="Arial"/>
        </w:rPr>
        <w:t>s</w:t>
      </w:r>
      <w:r w:rsidRPr="00295CDC">
        <w:rPr>
          <w:rFonts w:cs="Arial"/>
        </w:rPr>
        <w:t xml:space="preserve"> memory for the code blocks that was not successfully decoded. Consequently, the code blocks that are successfully decoded are not stored in the soft buffer memory by the UE. </w:t>
      </w:r>
    </w:p>
    <w:p w14:paraId="12500BDB" w14:textId="77777777" w:rsidR="00476EB3" w:rsidRDefault="00476EB3" w:rsidP="00FC01CA">
      <w:pPr>
        <w:pStyle w:val="BodyText"/>
        <w:numPr>
          <w:ilvl w:val="0"/>
          <w:numId w:val="10"/>
        </w:numPr>
        <w:overflowPunct/>
        <w:autoSpaceDE/>
        <w:autoSpaceDN/>
        <w:adjustRightInd/>
        <w:textAlignment w:val="auto"/>
        <w:rPr>
          <w:rFonts w:cs="Arial"/>
        </w:rPr>
      </w:pPr>
      <w:r w:rsidRPr="00295CDC">
        <w:rPr>
          <w:rFonts w:cs="Arial"/>
        </w:rPr>
        <w:t xml:space="preserve">When a retransmission arrives, it soft combines the retransmission with the code blocks for that HARQ process. If the retransmission is successful, it clears the memory blocks. Potentially the UE could perform dual decoding of a code block and try to decode it without soft combining first and then try a second time to decode with soft combining if the first attempt failed. </w:t>
      </w:r>
      <w:r>
        <w:rPr>
          <w:rFonts w:cs="Arial"/>
        </w:rPr>
        <w:t>This is one way to handle data pre-emption by other transmissions.</w:t>
      </w:r>
    </w:p>
    <w:p w14:paraId="23E3828A" w14:textId="77777777" w:rsidR="00476EB3" w:rsidRDefault="00476EB3" w:rsidP="00476EB3">
      <w:pPr>
        <w:pStyle w:val="BodyText"/>
        <w:rPr>
          <w:rStyle w:val="IvDbodytextChar"/>
          <w:rFonts w:cs="Arial"/>
        </w:rPr>
      </w:pPr>
      <w:r w:rsidRPr="009C104A">
        <w:rPr>
          <w:rStyle w:val="IvDbodytextChar"/>
          <w:rFonts w:cs="Arial"/>
        </w:rPr>
        <w:t xml:space="preserve">Each UE category would have the number N for the number of code blocks it needs to store. Note that the number of code blocks are calculated based on the maximum code block size. The total number of code blocks stored could be defined for multiple carriers. </w:t>
      </w:r>
      <w:r>
        <w:rPr>
          <w:rStyle w:val="IvDbodytextChar"/>
          <w:rFonts w:cs="Arial"/>
        </w:rPr>
        <w:t>An e</w:t>
      </w:r>
      <w:r w:rsidRPr="009C104A">
        <w:rPr>
          <w:rStyle w:val="IvDbodytextChar"/>
          <w:rFonts w:cs="Arial"/>
        </w:rPr>
        <w:t xml:space="preserve">xample </w:t>
      </w:r>
      <w:r>
        <w:rPr>
          <w:rStyle w:val="IvDbodytextChar"/>
          <w:rFonts w:cs="Arial"/>
        </w:rPr>
        <w:t xml:space="preserve">based on </w:t>
      </w:r>
      <w:r w:rsidRPr="009C104A">
        <w:rPr>
          <w:rStyle w:val="IvDbodytextChar"/>
          <w:rFonts w:cs="Arial"/>
        </w:rPr>
        <w:t xml:space="preserve">LTE </w:t>
      </w:r>
      <w:r>
        <w:rPr>
          <w:rStyle w:val="IvDbodytextChar"/>
          <w:rFonts w:cs="Arial"/>
        </w:rPr>
        <w:t>UE memory size is illustrated in the follow table:</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093"/>
        <w:gridCol w:w="1819"/>
        <w:gridCol w:w="1677"/>
        <w:gridCol w:w="1825"/>
      </w:tblGrid>
      <w:tr w:rsidR="00476EB3" w:rsidRPr="00F66BE5" w14:paraId="2F603A09" w14:textId="77777777" w:rsidTr="00170518">
        <w:tc>
          <w:tcPr>
            <w:tcW w:w="1648" w:type="dxa"/>
          </w:tcPr>
          <w:p w14:paraId="6A13A187" w14:textId="77777777" w:rsidR="00476EB3" w:rsidRPr="00F66BE5" w:rsidRDefault="00476EB3" w:rsidP="00BE4E97">
            <w:pPr>
              <w:pStyle w:val="TAH"/>
            </w:pPr>
            <w:r w:rsidRPr="00F66BE5">
              <w:t>UE Category</w:t>
            </w:r>
          </w:p>
        </w:tc>
        <w:tc>
          <w:tcPr>
            <w:tcW w:w="2093" w:type="dxa"/>
          </w:tcPr>
          <w:p w14:paraId="0E289721" w14:textId="77777777" w:rsidR="00476EB3" w:rsidRPr="00F66BE5" w:rsidRDefault="00476EB3" w:rsidP="00BE4E97">
            <w:pPr>
              <w:pStyle w:val="TAH"/>
            </w:pPr>
            <w:r w:rsidRPr="00F66BE5">
              <w:t>Maximum number of DL-SCH transport block bits received within a TTI (Note</w:t>
            </w:r>
            <w:r>
              <w:t xml:space="preserve"> 1</w:t>
            </w:r>
            <w:r w:rsidRPr="00F66BE5">
              <w:t>)</w:t>
            </w:r>
          </w:p>
        </w:tc>
        <w:tc>
          <w:tcPr>
            <w:tcW w:w="1819" w:type="dxa"/>
          </w:tcPr>
          <w:p w14:paraId="463A93B8" w14:textId="77777777" w:rsidR="00476EB3" w:rsidRPr="00F66BE5" w:rsidRDefault="00476EB3" w:rsidP="00BE4E97">
            <w:pPr>
              <w:pStyle w:val="TAH"/>
            </w:pPr>
            <w:r w:rsidRPr="00F66BE5">
              <w:t>Maximum number of bits of a DL-SCH transport block received within a TTI</w:t>
            </w:r>
          </w:p>
        </w:tc>
        <w:tc>
          <w:tcPr>
            <w:tcW w:w="1677" w:type="dxa"/>
            <w:shd w:val="clear" w:color="auto" w:fill="F2F2F2" w:themeFill="background1" w:themeFillShade="F2"/>
          </w:tcPr>
          <w:p w14:paraId="5041E5AA" w14:textId="77777777" w:rsidR="00476EB3" w:rsidRPr="009C104A" w:rsidRDefault="00476EB3" w:rsidP="00BE4E97">
            <w:pPr>
              <w:pStyle w:val="TAH"/>
            </w:pPr>
            <w:r w:rsidRPr="009C104A">
              <w:t>Total number of code blocks stored</w:t>
            </w:r>
            <w:r>
              <w:br/>
            </w:r>
          </w:p>
        </w:tc>
        <w:tc>
          <w:tcPr>
            <w:tcW w:w="1825" w:type="dxa"/>
          </w:tcPr>
          <w:p w14:paraId="0B149336" w14:textId="77777777" w:rsidR="00476EB3" w:rsidRPr="00F66BE5" w:rsidRDefault="00476EB3" w:rsidP="00BE4E97">
            <w:pPr>
              <w:pStyle w:val="TAH"/>
            </w:pPr>
            <w:r w:rsidRPr="00F66BE5">
              <w:t>Maximum number of supported layers for spatial multiplexing in DL</w:t>
            </w:r>
          </w:p>
        </w:tc>
      </w:tr>
      <w:tr w:rsidR="00476EB3" w:rsidRPr="00F66BE5" w14:paraId="11FAFCF7" w14:textId="77777777" w:rsidTr="00170518">
        <w:tc>
          <w:tcPr>
            <w:tcW w:w="1648" w:type="dxa"/>
          </w:tcPr>
          <w:p w14:paraId="199F46AF" w14:textId="77777777" w:rsidR="00476EB3" w:rsidRPr="00F66BE5" w:rsidRDefault="00476EB3" w:rsidP="00BE4E97">
            <w:pPr>
              <w:pStyle w:val="TAL"/>
            </w:pPr>
            <w:r w:rsidRPr="00F66BE5">
              <w:t>Category 1</w:t>
            </w:r>
          </w:p>
        </w:tc>
        <w:tc>
          <w:tcPr>
            <w:tcW w:w="2093" w:type="dxa"/>
          </w:tcPr>
          <w:p w14:paraId="0E677222" w14:textId="77777777" w:rsidR="00476EB3" w:rsidRPr="00F66BE5" w:rsidRDefault="00476EB3" w:rsidP="00BE4E97">
            <w:pPr>
              <w:pStyle w:val="TAL"/>
            </w:pPr>
            <w:r w:rsidRPr="00F66BE5">
              <w:t>10296</w:t>
            </w:r>
          </w:p>
        </w:tc>
        <w:tc>
          <w:tcPr>
            <w:tcW w:w="1819" w:type="dxa"/>
          </w:tcPr>
          <w:p w14:paraId="31922B90" w14:textId="77777777" w:rsidR="00476EB3" w:rsidRPr="00F66BE5" w:rsidRDefault="00476EB3" w:rsidP="00BE4E97">
            <w:pPr>
              <w:pStyle w:val="TAL"/>
            </w:pPr>
            <w:r w:rsidRPr="00F66BE5">
              <w:t>10296</w:t>
            </w:r>
          </w:p>
        </w:tc>
        <w:tc>
          <w:tcPr>
            <w:tcW w:w="1677" w:type="dxa"/>
            <w:shd w:val="clear" w:color="auto" w:fill="F2F2F2" w:themeFill="background1" w:themeFillShade="F2"/>
          </w:tcPr>
          <w:p w14:paraId="4F9E0968" w14:textId="77777777" w:rsidR="00476EB3" w:rsidRPr="009C104A" w:rsidRDefault="00476EB3" w:rsidP="00BE4E97">
            <w:pPr>
              <w:pStyle w:val="TAL"/>
            </w:pPr>
            <w:r w:rsidRPr="009C104A">
              <w:t>14</w:t>
            </w:r>
          </w:p>
        </w:tc>
        <w:tc>
          <w:tcPr>
            <w:tcW w:w="1825" w:type="dxa"/>
          </w:tcPr>
          <w:p w14:paraId="7CDBA94D" w14:textId="77777777" w:rsidR="00476EB3" w:rsidRPr="00F66BE5" w:rsidRDefault="00476EB3" w:rsidP="00BE4E97">
            <w:pPr>
              <w:pStyle w:val="TAL"/>
            </w:pPr>
            <w:r w:rsidRPr="00F66BE5">
              <w:t>1</w:t>
            </w:r>
          </w:p>
        </w:tc>
      </w:tr>
      <w:tr w:rsidR="00476EB3" w:rsidRPr="00F66BE5" w14:paraId="2D5A52F8" w14:textId="77777777" w:rsidTr="00170518">
        <w:tc>
          <w:tcPr>
            <w:tcW w:w="1648" w:type="dxa"/>
          </w:tcPr>
          <w:p w14:paraId="64C74B4C" w14:textId="77777777" w:rsidR="00476EB3" w:rsidRPr="00F66BE5" w:rsidRDefault="00476EB3" w:rsidP="00BE4E97">
            <w:pPr>
              <w:pStyle w:val="TAL"/>
            </w:pPr>
            <w:r w:rsidRPr="00F66BE5">
              <w:t>Category 2</w:t>
            </w:r>
          </w:p>
        </w:tc>
        <w:tc>
          <w:tcPr>
            <w:tcW w:w="2093" w:type="dxa"/>
          </w:tcPr>
          <w:p w14:paraId="4CA08BF5" w14:textId="77777777" w:rsidR="00476EB3" w:rsidRPr="00F66BE5" w:rsidRDefault="00476EB3" w:rsidP="00BE4E97">
            <w:pPr>
              <w:pStyle w:val="TAL"/>
            </w:pPr>
            <w:r w:rsidRPr="00F66BE5">
              <w:t>51024</w:t>
            </w:r>
          </w:p>
        </w:tc>
        <w:tc>
          <w:tcPr>
            <w:tcW w:w="1819" w:type="dxa"/>
          </w:tcPr>
          <w:p w14:paraId="46261EAE" w14:textId="77777777" w:rsidR="00476EB3" w:rsidRPr="00F66BE5" w:rsidRDefault="00476EB3" w:rsidP="00BE4E97">
            <w:pPr>
              <w:pStyle w:val="TAL"/>
            </w:pPr>
            <w:r w:rsidRPr="00F66BE5">
              <w:t>51024</w:t>
            </w:r>
          </w:p>
        </w:tc>
        <w:tc>
          <w:tcPr>
            <w:tcW w:w="1677" w:type="dxa"/>
            <w:shd w:val="clear" w:color="auto" w:fill="F2F2F2" w:themeFill="background1" w:themeFillShade="F2"/>
          </w:tcPr>
          <w:p w14:paraId="3F73C989" w14:textId="77777777" w:rsidR="00476EB3" w:rsidRPr="009C104A" w:rsidRDefault="00476EB3" w:rsidP="00BE4E97">
            <w:pPr>
              <w:pStyle w:val="TAL"/>
            </w:pPr>
            <w:r w:rsidRPr="009C104A">
              <w:t>67</w:t>
            </w:r>
          </w:p>
        </w:tc>
        <w:tc>
          <w:tcPr>
            <w:tcW w:w="1825" w:type="dxa"/>
          </w:tcPr>
          <w:p w14:paraId="58075BD1" w14:textId="77777777" w:rsidR="00476EB3" w:rsidRPr="00F66BE5" w:rsidRDefault="00476EB3" w:rsidP="00BE4E97">
            <w:pPr>
              <w:pStyle w:val="TAL"/>
            </w:pPr>
            <w:r w:rsidRPr="00F66BE5">
              <w:t>2</w:t>
            </w:r>
          </w:p>
        </w:tc>
      </w:tr>
      <w:tr w:rsidR="00476EB3" w:rsidRPr="00F66BE5" w14:paraId="6C6A3717" w14:textId="77777777" w:rsidTr="00170518">
        <w:tc>
          <w:tcPr>
            <w:tcW w:w="1648" w:type="dxa"/>
          </w:tcPr>
          <w:p w14:paraId="7D2DB919" w14:textId="77777777" w:rsidR="00476EB3" w:rsidRPr="00F66BE5" w:rsidRDefault="00476EB3" w:rsidP="00BE4E97">
            <w:pPr>
              <w:pStyle w:val="TAL"/>
            </w:pPr>
            <w:r w:rsidRPr="00F66BE5">
              <w:t>Category 3</w:t>
            </w:r>
          </w:p>
        </w:tc>
        <w:tc>
          <w:tcPr>
            <w:tcW w:w="2093" w:type="dxa"/>
          </w:tcPr>
          <w:p w14:paraId="5E22FF72" w14:textId="77777777" w:rsidR="00476EB3" w:rsidRPr="00F66BE5" w:rsidRDefault="00476EB3" w:rsidP="00BE4E97">
            <w:pPr>
              <w:pStyle w:val="TAL"/>
            </w:pPr>
            <w:r w:rsidRPr="00F66BE5">
              <w:t>102048</w:t>
            </w:r>
          </w:p>
        </w:tc>
        <w:tc>
          <w:tcPr>
            <w:tcW w:w="1819" w:type="dxa"/>
          </w:tcPr>
          <w:p w14:paraId="7FAEB2EB" w14:textId="77777777" w:rsidR="00476EB3" w:rsidRPr="00F66BE5" w:rsidRDefault="00476EB3" w:rsidP="00BE4E97">
            <w:pPr>
              <w:pStyle w:val="TAL"/>
            </w:pPr>
            <w:r w:rsidRPr="00F66BE5">
              <w:t>75376</w:t>
            </w:r>
          </w:p>
        </w:tc>
        <w:tc>
          <w:tcPr>
            <w:tcW w:w="1677" w:type="dxa"/>
            <w:shd w:val="clear" w:color="auto" w:fill="F2F2F2" w:themeFill="background1" w:themeFillShade="F2"/>
          </w:tcPr>
          <w:p w14:paraId="6C12E0E6" w14:textId="77777777" w:rsidR="00476EB3" w:rsidRPr="009C104A" w:rsidRDefault="00476EB3" w:rsidP="00BE4E97">
            <w:pPr>
              <w:pStyle w:val="TAL"/>
            </w:pPr>
            <w:r w:rsidRPr="009C104A">
              <w:t>67</w:t>
            </w:r>
          </w:p>
        </w:tc>
        <w:tc>
          <w:tcPr>
            <w:tcW w:w="1825" w:type="dxa"/>
          </w:tcPr>
          <w:p w14:paraId="2B4AB764" w14:textId="77777777" w:rsidR="00476EB3" w:rsidRPr="00F66BE5" w:rsidRDefault="00476EB3" w:rsidP="00BE4E97">
            <w:pPr>
              <w:pStyle w:val="TAL"/>
            </w:pPr>
            <w:r w:rsidRPr="00F66BE5">
              <w:t>2</w:t>
            </w:r>
          </w:p>
        </w:tc>
      </w:tr>
      <w:tr w:rsidR="00476EB3" w:rsidRPr="00F66BE5" w14:paraId="2D1B1216" w14:textId="77777777" w:rsidTr="00170518">
        <w:tc>
          <w:tcPr>
            <w:tcW w:w="1648" w:type="dxa"/>
          </w:tcPr>
          <w:p w14:paraId="41D05D4C" w14:textId="77777777" w:rsidR="00476EB3" w:rsidRPr="00F66BE5" w:rsidRDefault="00476EB3" w:rsidP="00BE4E97">
            <w:pPr>
              <w:pStyle w:val="TAL"/>
            </w:pPr>
            <w:r w:rsidRPr="00F66BE5">
              <w:t>Category 4</w:t>
            </w:r>
          </w:p>
        </w:tc>
        <w:tc>
          <w:tcPr>
            <w:tcW w:w="2093" w:type="dxa"/>
          </w:tcPr>
          <w:p w14:paraId="719814D5" w14:textId="77777777" w:rsidR="00476EB3" w:rsidRPr="00F66BE5" w:rsidRDefault="00476EB3" w:rsidP="00BE4E97">
            <w:pPr>
              <w:pStyle w:val="TAL"/>
            </w:pPr>
            <w:r w:rsidRPr="00F66BE5">
              <w:t>150752</w:t>
            </w:r>
          </w:p>
        </w:tc>
        <w:tc>
          <w:tcPr>
            <w:tcW w:w="1819" w:type="dxa"/>
          </w:tcPr>
          <w:p w14:paraId="7264229E" w14:textId="77777777" w:rsidR="00476EB3" w:rsidRPr="00F66BE5" w:rsidRDefault="00476EB3" w:rsidP="00BE4E97">
            <w:pPr>
              <w:pStyle w:val="TAL"/>
            </w:pPr>
            <w:r w:rsidRPr="00F66BE5">
              <w:t>75376</w:t>
            </w:r>
          </w:p>
        </w:tc>
        <w:tc>
          <w:tcPr>
            <w:tcW w:w="1677" w:type="dxa"/>
            <w:shd w:val="clear" w:color="auto" w:fill="F2F2F2" w:themeFill="background1" w:themeFillShade="F2"/>
          </w:tcPr>
          <w:p w14:paraId="0690EF54" w14:textId="77777777" w:rsidR="00476EB3" w:rsidRPr="009C104A" w:rsidRDefault="00476EB3" w:rsidP="00BE4E97">
            <w:pPr>
              <w:pStyle w:val="TAL"/>
            </w:pPr>
            <w:r w:rsidRPr="009C104A">
              <w:t>100</w:t>
            </w:r>
          </w:p>
        </w:tc>
        <w:tc>
          <w:tcPr>
            <w:tcW w:w="1825" w:type="dxa"/>
          </w:tcPr>
          <w:p w14:paraId="013A1A99" w14:textId="77777777" w:rsidR="00476EB3" w:rsidRPr="00F66BE5" w:rsidRDefault="00476EB3" w:rsidP="00BE4E97">
            <w:pPr>
              <w:pStyle w:val="TAL"/>
            </w:pPr>
            <w:r w:rsidRPr="00F66BE5">
              <w:t>2</w:t>
            </w:r>
          </w:p>
        </w:tc>
      </w:tr>
      <w:tr w:rsidR="00476EB3" w:rsidRPr="00F66BE5" w14:paraId="65937250" w14:textId="77777777" w:rsidTr="00170518">
        <w:tc>
          <w:tcPr>
            <w:tcW w:w="1648" w:type="dxa"/>
          </w:tcPr>
          <w:p w14:paraId="029199CF" w14:textId="77777777" w:rsidR="00476EB3" w:rsidRPr="00F66BE5" w:rsidRDefault="00476EB3" w:rsidP="00BE4E97">
            <w:pPr>
              <w:pStyle w:val="TAL"/>
            </w:pPr>
            <w:r w:rsidRPr="00F66BE5">
              <w:t>Category 5</w:t>
            </w:r>
          </w:p>
        </w:tc>
        <w:tc>
          <w:tcPr>
            <w:tcW w:w="2093" w:type="dxa"/>
          </w:tcPr>
          <w:p w14:paraId="26C64193" w14:textId="77777777" w:rsidR="00476EB3" w:rsidRPr="00F66BE5" w:rsidRDefault="00476EB3" w:rsidP="00BE4E97">
            <w:pPr>
              <w:pStyle w:val="TAL"/>
            </w:pPr>
            <w:r w:rsidRPr="00F66BE5">
              <w:t>299552</w:t>
            </w:r>
          </w:p>
        </w:tc>
        <w:tc>
          <w:tcPr>
            <w:tcW w:w="1819" w:type="dxa"/>
          </w:tcPr>
          <w:p w14:paraId="1ECE7C69" w14:textId="77777777" w:rsidR="00476EB3" w:rsidRPr="00F66BE5" w:rsidRDefault="00476EB3" w:rsidP="00BE4E97">
            <w:pPr>
              <w:pStyle w:val="TAL"/>
            </w:pPr>
            <w:r w:rsidRPr="00F66BE5">
              <w:t>149776</w:t>
            </w:r>
          </w:p>
        </w:tc>
        <w:tc>
          <w:tcPr>
            <w:tcW w:w="1677" w:type="dxa"/>
            <w:shd w:val="clear" w:color="auto" w:fill="F2F2F2" w:themeFill="background1" w:themeFillShade="F2"/>
          </w:tcPr>
          <w:p w14:paraId="72878C5D" w14:textId="77777777" w:rsidR="00476EB3" w:rsidRPr="009C104A" w:rsidRDefault="00476EB3" w:rsidP="00BE4E97">
            <w:pPr>
              <w:pStyle w:val="TAL"/>
            </w:pPr>
            <w:r w:rsidRPr="009C104A">
              <w:t>200</w:t>
            </w:r>
          </w:p>
        </w:tc>
        <w:tc>
          <w:tcPr>
            <w:tcW w:w="1825" w:type="dxa"/>
          </w:tcPr>
          <w:p w14:paraId="5520C787" w14:textId="77777777" w:rsidR="00476EB3" w:rsidRPr="00F66BE5" w:rsidRDefault="00476EB3" w:rsidP="00BE4E97">
            <w:pPr>
              <w:pStyle w:val="TAL"/>
            </w:pPr>
            <w:r w:rsidRPr="00F66BE5">
              <w:t>4</w:t>
            </w:r>
          </w:p>
        </w:tc>
      </w:tr>
    </w:tbl>
    <w:p w14:paraId="649552F5" w14:textId="77777777" w:rsidR="00476EB3" w:rsidRDefault="00476EB3" w:rsidP="00476EB3">
      <w:pPr>
        <w:pStyle w:val="BodyText"/>
        <w:rPr>
          <w:rStyle w:val="IvDbodytextChar"/>
          <w:rFonts w:cs="Arial"/>
        </w:rPr>
      </w:pPr>
    </w:p>
    <w:p w14:paraId="4F9C706C" w14:textId="77777777" w:rsidR="00476EB3" w:rsidRPr="009C104A" w:rsidRDefault="00476EB3" w:rsidP="00476EB3">
      <w:pPr>
        <w:pStyle w:val="BodyText"/>
        <w:rPr>
          <w:rStyle w:val="IvDbodytextChar"/>
          <w:rFonts w:cs="Arial"/>
        </w:rPr>
      </w:pPr>
      <w:r>
        <w:rPr>
          <w:rStyle w:val="IvDbodytextChar"/>
          <w:rFonts w:cs="Arial"/>
        </w:rPr>
        <w:t xml:space="preserve">From the above discussion, it is clear that dynamic sharing of soft buffer amongst multiple carriers is beneficial to the UE operation as well as to network system performance. </w:t>
      </w:r>
      <w:r w:rsidRPr="009C104A">
        <w:rPr>
          <w:rStyle w:val="IvDbodytextChar"/>
          <w:rFonts w:cs="Arial"/>
        </w:rPr>
        <w:t>To encourage more advanced UEs</w:t>
      </w:r>
      <w:r>
        <w:rPr>
          <w:rStyle w:val="IvDbodytextChar"/>
          <w:rFonts w:cs="Arial"/>
        </w:rPr>
        <w:t xml:space="preserve"> implementing dynamic sharing</w:t>
      </w:r>
      <w:r w:rsidRPr="009C104A">
        <w:rPr>
          <w:rStyle w:val="IvDbodytextChar"/>
          <w:rFonts w:cs="Arial"/>
        </w:rPr>
        <w:t>, the requirement could be relaxed for dynamic split:</w:t>
      </w:r>
    </w:p>
    <w:p w14:paraId="3F91BCE5" w14:textId="77777777" w:rsidR="00476EB3" w:rsidRPr="009C104A" w:rsidRDefault="00476EB3" w:rsidP="00FC01CA">
      <w:pPr>
        <w:pStyle w:val="BodyText"/>
        <w:numPr>
          <w:ilvl w:val="0"/>
          <w:numId w:val="11"/>
        </w:numPr>
        <w:overflowPunct/>
        <w:autoSpaceDE/>
        <w:autoSpaceDN/>
        <w:adjustRightInd/>
        <w:textAlignment w:val="auto"/>
        <w:rPr>
          <w:rStyle w:val="IvDbodytextChar"/>
          <w:rFonts w:cs="Arial"/>
        </w:rPr>
      </w:pPr>
      <w:r w:rsidRPr="009C104A">
        <w:rPr>
          <w:rStyle w:val="IvDbodytextChar"/>
          <w:rFonts w:cs="Arial"/>
        </w:rPr>
        <w:t xml:space="preserve">For UEs with no dynamic sharing between carriers, the soft buffer is of size </w:t>
      </w:r>
      <m:oMath>
        <m:r>
          <w:rPr>
            <w:rStyle w:val="IvDbodytextChar"/>
            <w:rFonts w:ascii="Cambria Math" w:hAnsi="Cambria Math" w:cs="Arial"/>
          </w:rPr>
          <m:t>N</m:t>
        </m:r>
      </m:oMath>
      <w:r w:rsidRPr="009C104A">
        <w:rPr>
          <w:rStyle w:val="IvDbodytextChar"/>
          <w:rFonts w:cs="Arial"/>
        </w:rPr>
        <w:t xml:space="preserve"> code blocks</w:t>
      </w:r>
      <w:r>
        <w:rPr>
          <w:rStyle w:val="IvDbodytextChar"/>
          <w:rFonts w:cs="Arial"/>
        </w:rPr>
        <w:t xml:space="preserve"> per carrier.</w:t>
      </w:r>
    </w:p>
    <w:p w14:paraId="550878FA" w14:textId="77777777" w:rsidR="00476EB3" w:rsidRPr="009C104A" w:rsidRDefault="00476EB3" w:rsidP="00FC01CA">
      <w:pPr>
        <w:pStyle w:val="BodyText"/>
        <w:numPr>
          <w:ilvl w:val="0"/>
          <w:numId w:val="11"/>
        </w:numPr>
        <w:overflowPunct/>
        <w:autoSpaceDE/>
        <w:autoSpaceDN/>
        <w:adjustRightInd/>
        <w:textAlignment w:val="auto"/>
        <w:rPr>
          <w:rStyle w:val="IvDbodytextChar"/>
        </w:rPr>
      </w:pPr>
      <w:r w:rsidRPr="007469D3">
        <w:rPr>
          <w:rStyle w:val="IvDbodytextChar"/>
          <w:rFonts w:cs="Arial"/>
        </w:rPr>
        <w:t xml:space="preserve">For UEs with dynamic sharing between carriers, the soft buffer is of size </w:t>
      </w:r>
      <m:oMath>
        <m:r>
          <w:rPr>
            <w:rStyle w:val="IvDbodytextChar"/>
            <w:rFonts w:ascii="Cambria Math" w:hAnsi="Cambria Math" w:cs="Arial"/>
          </w:rPr>
          <m:t>M &lt; C</m:t>
        </m:r>
        <m:r>
          <w:rPr>
            <w:rStyle w:val="IvDbodytextChar"/>
            <w:rFonts w:ascii="Cambria Math" w:hAnsi="Cambria Math"/>
          </w:rPr>
          <m:t>∙</m:t>
        </m:r>
        <m:r>
          <w:rPr>
            <w:rStyle w:val="IvDbodytextChar"/>
            <w:rFonts w:ascii="Cambria Math" w:hAnsi="Cambria Math" w:cs="Arial"/>
          </w:rPr>
          <m:t>N</m:t>
        </m:r>
      </m:oMath>
      <w:r w:rsidRPr="007469D3">
        <w:rPr>
          <w:rStyle w:val="IvDbodytextChar"/>
          <w:rFonts w:cs="Arial"/>
        </w:rPr>
        <w:t xml:space="preserve"> where </w:t>
      </w:r>
      <m:oMath>
        <m:r>
          <w:rPr>
            <w:rStyle w:val="IvDbodytextChar"/>
            <w:rFonts w:ascii="Cambria Math" w:hAnsi="Cambria Math" w:cs="Arial"/>
          </w:rPr>
          <m:t>C</m:t>
        </m:r>
      </m:oMath>
      <w:r w:rsidRPr="007469D3">
        <w:rPr>
          <w:rStyle w:val="IvDbodytextChar"/>
          <w:rFonts w:cs="Arial"/>
        </w:rPr>
        <w:t xml:space="preserve"> is the number of supported carriers.</w:t>
      </w:r>
    </w:p>
    <w:p w14:paraId="4905FD5F" w14:textId="0D56C38D" w:rsidR="006C2389" w:rsidRDefault="006C2389" w:rsidP="0036414E"/>
    <w:p w14:paraId="3F813225" w14:textId="77777777" w:rsidR="00476EB3" w:rsidRDefault="00476EB3" w:rsidP="00476EB3">
      <w:pPr>
        <w:pStyle w:val="BodyText"/>
        <w:rPr>
          <w:rFonts w:cs="Arial"/>
        </w:rPr>
      </w:pPr>
      <w:r>
        <w:rPr>
          <w:rFonts w:cs="Arial"/>
        </w:rPr>
        <w:t>This basic framework can be easily extended to the case of LTE-NR dual connectivity with the exception that the largest code block sizes are different between LTE and NR. This can be handled in two ways.</w:t>
      </w:r>
    </w:p>
    <w:p w14:paraId="5A6D8696" w14:textId="77777777" w:rsidR="00476EB3" w:rsidRDefault="00476EB3" w:rsidP="00476EB3">
      <w:pPr>
        <w:pStyle w:val="BodyText"/>
        <w:rPr>
          <w:rFonts w:cs="Arial"/>
        </w:rPr>
      </w:pPr>
      <w:r>
        <w:rPr>
          <w:rFonts w:cs="Arial"/>
        </w:rPr>
        <w:t>In the first approach, a UE capable of connecting to one LTE and one NR carriers can, e.g., be defined to support 133+100 code blocks. That is, the UE can store up to 133 LTE largest code blocks (6144 bits each) and 100 NR largest code blocks (8192 bits each). This however may be interpreted as having two separate soft buffers for LTE and NR, respectively. Such static partition of soft buffer memory between LTE and NR carriers will decrease the effectiveness of dynamic pooling of the soft buffer.</w:t>
      </w:r>
    </w:p>
    <w:p w14:paraId="36D11DD5" w14:textId="77777777" w:rsidR="00476EB3" w:rsidRDefault="00476EB3" w:rsidP="00476EB3">
      <w:pPr>
        <w:pStyle w:val="BodyText"/>
        <w:rPr>
          <w:rFonts w:cs="Arial"/>
        </w:rPr>
      </w:pPr>
      <w:r>
        <w:rPr>
          <w:rFonts w:cs="Arial"/>
        </w:rPr>
        <w:t>In a second approach, a UE capable of connecting to one LTE and one NR carriers can still be defined to support 200 code blocks, where the code block size is according to NR (i.e., 8192). When the UE is configured with LTE-NR dual connectivity, it can implement different sharing policies. In one approach, it can simply partition the memory of 100 NR largest code blocks into 133 LTE largest code blocks. This however, will prevent storing more than 100 NR largest code blocks temporarily and thus reduces gains of dynamic pooling. Another better but still easy approach is to start storing the NR code blocks and LTE code blocks from the two ends of the total memory buffer. This will allow the storage of either carrier to temporarily cross the mid-point of the total memory buffer.</w:t>
      </w:r>
    </w:p>
    <w:p w14:paraId="2C1B6BD4" w14:textId="77777777" w:rsidR="00C01F33" w:rsidRPr="007B78FE" w:rsidRDefault="00C01F33" w:rsidP="00CE0424">
      <w:pPr>
        <w:pStyle w:val="Heading1"/>
        <w:rPr>
          <w:lang w:val="en-US"/>
        </w:rPr>
      </w:pPr>
      <w:r w:rsidRPr="007B78FE">
        <w:rPr>
          <w:lang w:val="en-US"/>
        </w:rPr>
        <w:t>Conclusion</w:t>
      </w:r>
    </w:p>
    <w:p w14:paraId="1F6666FE" w14:textId="51186112" w:rsidR="00466603" w:rsidRDefault="008D7BEF" w:rsidP="008D7BEF">
      <w:pPr>
        <w:pStyle w:val="BodyText"/>
      </w:pPr>
      <w:r>
        <w:t>Base on analysis presented in this contribution, we propose:</w:t>
      </w:r>
    </w:p>
    <w:p w14:paraId="590E261B" w14:textId="39EEC219" w:rsidR="00D80C02" w:rsidRDefault="00D80C02" w:rsidP="00B753C6">
      <w:pPr>
        <w:pStyle w:val="BodyText"/>
        <w:rPr>
          <w:rFonts w:cs="Arial"/>
          <w:b/>
        </w:rPr>
      </w:pPr>
      <w:r w:rsidRPr="008D7BEF">
        <w:rPr>
          <w:rFonts w:cs="Arial"/>
          <w:b/>
        </w:rPr>
        <w:lastRenderedPageBreak/>
        <w:t xml:space="preserve">Proposal 1 </w:t>
      </w:r>
      <w:r w:rsidR="00026934">
        <w:rPr>
          <w:rFonts w:cs="Arial"/>
          <w:b/>
        </w:rPr>
        <w:t xml:space="preserve">Limited buffer rate matching is not used in NR. Both </w:t>
      </w:r>
      <w:r w:rsidR="007A32C9">
        <w:rPr>
          <w:rFonts w:cs="Arial"/>
          <w:b/>
        </w:rPr>
        <w:t xml:space="preserve">transmit </w:t>
      </w:r>
      <w:r w:rsidRPr="008D7BEF">
        <w:rPr>
          <w:rFonts w:cs="Arial"/>
          <w:b/>
        </w:rPr>
        <w:t xml:space="preserve">buffer </w:t>
      </w:r>
      <w:r w:rsidR="00C6196B">
        <w:rPr>
          <w:rFonts w:cs="Arial"/>
          <w:b/>
        </w:rPr>
        <w:t>and decode buffer</w:t>
      </w:r>
      <w:r w:rsidR="00026934">
        <w:rPr>
          <w:rFonts w:cs="Arial"/>
          <w:b/>
        </w:rPr>
        <w:t xml:space="preserve"> support the mother code rate of the LDPC code</w:t>
      </w:r>
      <w:r w:rsidRPr="008D7BEF">
        <w:rPr>
          <w:rFonts w:cs="Arial"/>
          <w:b/>
        </w:rPr>
        <w:t>.</w:t>
      </w:r>
    </w:p>
    <w:p w14:paraId="55847FC2" w14:textId="3787F334" w:rsidR="00FF3273" w:rsidRPr="008F5FB0" w:rsidRDefault="00FF3273" w:rsidP="00B753C6">
      <w:pPr>
        <w:pStyle w:val="BodyText"/>
        <w:rPr>
          <w:rFonts w:cs="Arial"/>
          <w:b/>
        </w:rPr>
      </w:pPr>
      <w:r w:rsidRPr="008F5FB0">
        <w:rPr>
          <w:rFonts w:cs="Arial"/>
          <w:b/>
        </w:rPr>
        <w:t>Proposal</w:t>
      </w:r>
      <w:r w:rsidR="00D80C02">
        <w:rPr>
          <w:rFonts w:cs="Arial"/>
          <w:b/>
        </w:rPr>
        <w:t xml:space="preserve"> 2</w:t>
      </w:r>
      <w:r w:rsidRPr="008F5FB0">
        <w:rPr>
          <w:rFonts w:cs="Arial"/>
          <w:b/>
        </w:rPr>
        <w:t>:</w:t>
      </w:r>
    </w:p>
    <w:p w14:paraId="57260905" w14:textId="77777777" w:rsidR="00FF3273" w:rsidRPr="00B753C6" w:rsidRDefault="00FF3273" w:rsidP="00B753C6">
      <w:pPr>
        <w:pStyle w:val="BodyText"/>
        <w:numPr>
          <w:ilvl w:val="0"/>
          <w:numId w:val="12"/>
        </w:numPr>
        <w:overflowPunct/>
        <w:autoSpaceDE/>
        <w:autoSpaceDN/>
        <w:adjustRightInd/>
        <w:textAlignment w:val="auto"/>
        <w:rPr>
          <w:rFonts w:cs="Arial"/>
          <w:b/>
        </w:rPr>
      </w:pPr>
      <w:r w:rsidRPr="00B753C6">
        <w:rPr>
          <w:rFonts w:cs="Arial"/>
          <w:b/>
        </w:rPr>
        <w:t xml:space="preserve">The soft buffer memory size does not have to be designed with simultaneous support of peak rate, full IR support, and the maximum number of HARQ processes in mind. </w:t>
      </w:r>
    </w:p>
    <w:p w14:paraId="6934F2F5" w14:textId="77777777" w:rsidR="00FF3273" w:rsidRPr="00B753C6" w:rsidRDefault="00FF3273" w:rsidP="00B753C6">
      <w:pPr>
        <w:pStyle w:val="BodyText"/>
        <w:numPr>
          <w:ilvl w:val="0"/>
          <w:numId w:val="12"/>
        </w:numPr>
        <w:overflowPunct/>
        <w:autoSpaceDE/>
        <w:autoSpaceDN/>
        <w:adjustRightInd/>
        <w:textAlignment w:val="auto"/>
        <w:rPr>
          <w:rFonts w:cs="Arial"/>
          <w:b/>
        </w:rPr>
      </w:pPr>
      <w:r w:rsidRPr="00B753C6">
        <w:rPr>
          <w:rFonts w:cs="Arial"/>
          <w:b/>
        </w:rPr>
        <w:t>The UE should be capable of soft buffering a certain number of code blocks (the number may depend on UE capabilities).</w:t>
      </w:r>
    </w:p>
    <w:p w14:paraId="2F59A1A8" w14:textId="77777777" w:rsidR="00FF3273" w:rsidRPr="00B753C6" w:rsidRDefault="00FF3273" w:rsidP="00B753C6">
      <w:pPr>
        <w:pStyle w:val="BodyText"/>
        <w:numPr>
          <w:ilvl w:val="0"/>
          <w:numId w:val="12"/>
        </w:numPr>
        <w:overflowPunct/>
        <w:autoSpaceDE/>
        <w:autoSpaceDN/>
        <w:adjustRightInd/>
        <w:textAlignment w:val="auto"/>
        <w:rPr>
          <w:rFonts w:cs="Arial"/>
          <w:b/>
        </w:rPr>
      </w:pPr>
      <w:r w:rsidRPr="00B753C6">
        <w:rPr>
          <w:rFonts w:cs="Arial"/>
          <w:b/>
        </w:rPr>
        <w:t>UE implementation is encouraged to incorporate dynamic sharing of soft buffer amongst multiple carriers.</w:t>
      </w:r>
    </w:p>
    <w:p w14:paraId="1C9B7F27" w14:textId="158AA7E0" w:rsidR="00FF3273" w:rsidRPr="00B753C6" w:rsidRDefault="00FF3273" w:rsidP="00B753C6">
      <w:pPr>
        <w:pStyle w:val="BodyText"/>
        <w:numPr>
          <w:ilvl w:val="1"/>
          <w:numId w:val="12"/>
        </w:numPr>
        <w:overflowPunct/>
        <w:autoSpaceDE/>
        <w:autoSpaceDN/>
        <w:adjustRightInd/>
        <w:textAlignment w:val="auto"/>
        <w:rPr>
          <w:rStyle w:val="IvDbodytextChar"/>
          <w:rFonts w:cs="Arial"/>
          <w:b/>
        </w:rPr>
      </w:pPr>
      <w:r w:rsidRPr="00B753C6">
        <w:rPr>
          <w:rStyle w:val="IvDbodytextChar"/>
          <w:rFonts w:cs="Arial"/>
          <w:b/>
        </w:rPr>
        <w:t xml:space="preserve">For UEs with no dynamic sharing between carriers, the soft buffer is of size </w:t>
      </w:r>
      <m:oMath>
        <m:r>
          <m:rPr>
            <m:sty m:val="bi"/>
          </m:rPr>
          <w:rPr>
            <w:rStyle w:val="IvDbodytextChar"/>
            <w:rFonts w:ascii="Cambria Math" w:hAnsi="Cambria Math" w:cs="Arial"/>
          </w:rPr>
          <m:t>N</m:t>
        </m:r>
      </m:oMath>
      <w:r w:rsidRPr="00B753C6">
        <w:rPr>
          <w:rStyle w:val="IvDbodytextChar"/>
          <w:rFonts w:cs="Arial"/>
          <w:b/>
        </w:rPr>
        <w:t xml:space="preserve"> code blocks per carrier.</w:t>
      </w:r>
    </w:p>
    <w:p w14:paraId="1469BBD6" w14:textId="0E4CBFAF" w:rsidR="00FF3273" w:rsidRPr="00B753C6" w:rsidRDefault="00FF3273" w:rsidP="00B753C6">
      <w:pPr>
        <w:pStyle w:val="BodyText"/>
        <w:numPr>
          <w:ilvl w:val="1"/>
          <w:numId w:val="12"/>
        </w:numPr>
        <w:overflowPunct/>
        <w:autoSpaceDE/>
        <w:autoSpaceDN/>
        <w:adjustRightInd/>
        <w:textAlignment w:val="auto"/>
        <w:rPr>
          <w:rFonts w:cs="Arial"/>
          <w:b/>
        </w:rPr>
      </w:pPr>
      <w:r w:rsidRPr="00B753C6">
        <w:rPr>
          <w:rStyle w:val="IvDbodytextChar"/>
          <w:rFonts w:cs="Arial"/>
          <w:b/>
        </w:rPr>
        <w:t xml:space="preserve">For UEs with dynamic sharing between carriers, the soft buffer is of size </w:t>
      </w:r>
      <m:oMath>
        <m:r>
          <m:rPr>
            <m:sty m:val="bi"/>
          </m:rPr>
          <w:rPr>
            <w:rStyle w:val="IvDbodytextChar"/>
            <w:rFonts w:ascii="Cambria Math" w:hAnsi="Cambria Math" w:cs="Arial"/>
          </w:rPr>
          <m:t>M &lt; C</m:t>
        </m:r>
        <m:r>
          <m:rPr>
            <m:sty m:val="bi"/>
          </m:rPr>
          <w:rPr>
            <w:rStyle w:val="IvDbodytextChar"/>
            <w:rFonts w:ascii="Cambria Math" w:hAnsi="Cambria Math"/>
          </w:rPr>
          <m:t>∙</m:t>
        </m:r>
        <m:r>
          <m:rPr>
            <m:sty m:val="bi"/>
          </m:rPr>
          <w:rPr>
            <w:rStyle w:val="IvDbodytextChar"/>
            <w:rFonts w:ascii="Cambria Math" w:hAnsi="Cambria Math" w:cs="Arial"/>
          </w:rPr>
          <m:t>N</m:t>
        </m:r>
      </m:oMath>
      <w:r w:rsidRPr="00B753C6">
        <w:rPr>
          <w:rStyle w:val="IvDbodytextChar"/>
          <w:rFonts w:cs="Arial"/>
          <w:b/>
        </w:rPr>
        <w:t xml:space="preserve"> where </w:t>
      </w:r>
      <m:oMath>
        <m:r>
          <m:rPr>
            <m:sty m:val="bi"/>
          </m:rPr>
          <w:rPr>
            <w:rStyle w:val="IvDbodytextChar"/>
            <w:rFonts w:ascii="Cambria Math" w:hAnsi="Cambria Math" w:cs="Arial"/>
          </w:rPr>
          <m:t>C</m:t>
        </m:r>
      </m:oMath>
      <w:r w:rsidRPr="00B753C6">
        <w:rPr>
          <w:rStyle w:val="IvDbodytextChar"/>
          <w:rFonts w:cs="Arial"/>
          <w:b/>
        </w:rPr>
        <w:t xml:space="preserve"> is the number of supported carriers.</w:t>
      </w:r>
    </w:p>
    <w:p w14:paraId="4CD6A950" w14:textId="1CE1B1C0" w:rsidR="00FF3273" w:rsidRPr="000545D7" w:rsidRDefault="00D80C02" w:rsidP="00B753C6">
      <w:pPr>
        <w:pStyle w:val="BodyText"/>
        <w:rPr>
          <w:rFonts w:cs="Arial"/>
          <w:b/>
        </w:rPr>
      </w:pPr>
      <w:r>
        <w:rPr>
          <w:rFonts w:cs="Arial"/>
          <w:b/>
        </w:rPr>
        <w:t>Proposal</w:t>
      </w:r>
      <w:r w:rsidR="00FF3273" w:rsidRPr="000545D7">
        <w:rPr>
          <w:rFonts w:cs="Arial"/>
          <w:b/>
        </w:rPr>
        <w:t xml:space="preserve"> </w:t>
      </w:r>
      <w:r>
        <w:rPr>
          <w:rFonts w:cs="Arial"/>
          <w:b/>
        </w:rPr>
        <w:t xml:space="preserve">3 </w:t>
      </w:r>
      <w:r w:rsidR="00FF3273" w:rsidRPr="000545D7">
        <w:rPr>
          <w:rFonts w:cs="Arial"/>
          <w:b/>
        </w:rPr>
        <w:t>LTE and NR carriers can share the soft buffer dynamically to increase effectiveness of the soft buffer memory.</w:t>
      </w:r>
    </w:p>
    <w:p w14:paraId="622A383A" w14:textId="4B0C5E7F" w:rsidR="00FF3273" w:rsidRPr="000545D7" w:rsidRDefault="00FF3273" w:rsidP="00B753C6">
      <w:pPr>
        <w:pStyle w:val="BodyText"/>
        <w:rPr>
          <w:rFonts w:cs="Arial"/>
          <w:b/>
        </w:rPr>
      </w:pPr>
      <w:r w:rsidRPr="000545D7">
        <w:rPr>
          <w:rFonts w:cs="Arial"/>
          <w:b/>
        </w:rPr>
        <w:t xml:space="preserve">Proposal </w:t>
      </w:r>
      <w:r w:rsidR="00D80C02">
        <w:rPr>
          <w:rFonts w:cs="Arial"/>
          <w:b/>
        </w:rPr>
        <w:t xml:space="preserve">4 </w:t>
      </w:r>
      <w:r w:rsidRPr="000545D7">
        <w:rPr>
          <w:rFonts w:cs="Arial"/>
          <w:b/>
        </w:rPr>
        <w:t>A UE category for LTE-NR dual connectivity is no different than a UE category supporting the same total number of connected carriers.</w:t>
      </w:r>
    </w:p>
    <w:p w14:paraId="57B73A36" w14:textId="77777777" w:rsidR="00F507D1" w:rsidRPr="007B78FE" w:rsidRDefault="00F507D1" w:rsidP="00CE0424">
      <w:pPr>
        <w:pStyle w:val="Heading1"/>
        <w:rPr>
          <w:lang w:val="en-US"/>
        </w:rPr>
      </w:pPr>
      <w:bookmarkStart w:id="2" w:name="_In-sequence_SDU_delivery"/>
      <w:bookmarkEnd w:id="2"/>
      <w:r w:rsidRPr="007B78FE">
        <w:rPr>
          <w:lang w:val="en-US"/>
        </w:rPr>
        <w:t>References</w:t>
      </w:r>
    </w:p>
    <w:p w14:paraId="481A981B" w14:textId="62A1C681" w:rsidR="006653D1" w:rsidRDefault="006653D1" w:rsidP="006653D1">
      <w:pPr>
        <w:pStyle w:val="Reference"/>
        <w:rPr>
          <w:lang w:val="en-US"/>
        </w:rPr>
      </w:pPr>
      <w:bookmarkStart w:id="3" w:name="_Ref484605489"/>
      <w:bookmarkStart w:id="4" w:name="_Ref481764671"/>
      <w:r w:rsidRPr="007B78FE">
        <w:rPr>
          <w:lang w:val="en-US"/>
        </w:rPr>
        <w:t>Chairman’s Notes, 3GPP TSG RAN WG1 Meeting</w:t>
      </w:r>
      <w:r w:rsidR="00FA24AC">
        <w:rPr>
          <w:lang w:val="en-US"/>
        </w:rPr>
        <w:t xml:space="preserve"> </w:t>
      </w:r>
      <w:r w:rsidRPr="007B78FE">
        <w:rPr>
          <w:lang w:val="en-US"/>
        </w:rPr>
        <w:t>#</w:t>
      </w:r>
      <w:bookmarkEnd w:id="3"/>
      <w:r w:rsidR="00FA24AC">
        <w:rPr>
          <w:lang w:val="en-US"/>
        </w:rPr>
        <w:t>90</w:t>
      </w:r>
      <w:bookmarkEnd w:id="4"/>
    </w:p>
    <w:sectPr w:rsidR="006653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03598" w14:textId="77777777" w:rsidR="00DE417D" w:rsidRDefault="00DE417D">
      <w:r>
        <w:separator/>
      </w:r>
    </w:p>
  </w:endnote>
  <w:endnote w:type="continuationSeparator" w:id="0">
    <w:p w14:paraId="3C8DFEA2" w14:textId="77777777" w:rsidR="00DE417D" w:rsidRDefault="00DE4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MS Mincho"/>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09438" w14:textId="77777777" w:rsidR="00DE417D" w:rsidRDefault="00DE417D">
      <w:r>
        <w:separator/>
      </w:r>
    </w:p>
  </w:footnote>
  <w:footnote w:type="continuationSeparator" w:id="0">
    <w:p w14:paraId="30691C70" w14:textId="77777777" w:rsidR="00DE417D" w:rsidRDefault="00DE41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BE3F33"/>
    <w:multiLevelType w:val="hybridMultilevel"/>
    <w:tmpl w:val="B7663A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Symbol" w:hAnsi="Symbol"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A5B4FAC"/>
    <w:multiLevelType w:val="hybridMultilevel"/>
    <w:tmpl w:val="7D34C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B64C20"/>
    <w:multiLevelType w:val="hybridMultilevel"/>
    <w:tmpl w:val="7ED2E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3"/>
  </w:num>
  <w:num w:numId="6">
    <w:abstractNumId w:val="8"/>
  </w:num>
  <w:num w:numId="7">
    <w:abstractNumId w:val="11"/>
  </w:num>
  <w:num w:numId="8">
    <w:abstractNumId w:val="4"/>
  </w:num>
  <w:num w:numId="9">
    <w:abstractNumId w:val="10"/>
  </w:num>
  <w:num w:numId="10">
    <w:abstractNumId w:val="1"/>
  </w:num>
  <w:num w:numId="11">
    <w:abstractNumId w:val="12"/>
  </w:num>
  <w:num w:numId="12">
    <w:abstractNumId w:val="2"/>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26934"/>
    <w:rsid w:val="000325B8"/>
    <w:rsid w:val="00033CCB"/>
    <w:rsid w:val="000343A3"/>
    <w:rsid w:val="00034C15"/>
    <w:rsid w:val="000352E7"/>
    <w:rsid w:val="00036BA1"/>
    <w:rsid w:val="000422E2"/>
    <w:rsid w:val="00042686"/>
    <w:rsid w:val="00042C07"/>
    <w:rsid w:val="00042F22"/>
    <w:rsid w:val="000444EF"/>
    <w:rsid w:val="000514FC"/>
    <w:rsid w:val="000526D5"/>
    <w:rsid w:val="00052A07"/>
    <w:rsid w:val="000534E3"/>
    <w:rsid w:val="0005606A"/>
    <w:rsid w:val="00057117"/>
    <w:rsid w:val="000616E7"/>
    <w:rsid w:val="0006487E"/>
    <w:rsid w:val="00065E1A"/>
    <w:rsid w:val="00067931"/>
    <w:rsid w:val="00077E5F"/>
    <w:rsid w:val="0008036A"/>
    <w:rsid w:val="00081AE6"/>
    <w:rsid w:val="000855EB"/>
    <w:rsid w:val="00085B52"/>
    <w:rsid w:val="000866F2"/>
    <w:rsid w:val="0008751B"/>
    <w:rsid w:val="0009009F"/>
    <w:rsid w:val="0009031B"/>
    <w:rsid w:val="000905B4"/>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30E8"/>
    <w:rsid w:val="001062FB"/>
    <w:rsid w:val="001063E6"/>
    <w:rsid w:val="00106784"/>
    <w:rsid w:val="00113CF4"/>
    <w:rsid w:val="001153EA"/>
    <w:rsid w:val="001154BD"/>
    <w:rsid w:val="00115643"/>
    <w:rsid w:val="00115C22"/>
    <w:rsid w:val="00116765"/>
    <w:rsid w:val="001219F5"/>
    <w:rsid w:val="00121A20"/>
    <w:rsid w:val="00122D0D"/>
    <w:rsid w:val="0012377F"/>
    <w:rsid w:val="00123909"/>
    <w:rsid w:val="00124314"/>
    <w:rsid w:val="00126B4A"/>
    <w:rsid w:val="00130304"/>
    <w:rsid w:val="00132FD0"/>
    <w:rsid w:val="001344C0"/>
    <w:rsid w:val="001346FA"/>
    <w:rsid w:val="00135252"/>
    <w:rsid w:val="00137AB5"/>
    <w:rsid w:val="00137F0B"/>
    <w:rsid w:val="00140596"/>
    <w:rsid w:val="00151E23"/>
    <w:rsid w:val="001521A7"/>
    <w:rsid w:val="001526E0"/>
    <w:rsid w:val="001551B5"/>
    <w:rsid w:val="00163A2A"/>
    <w:rsid w:val="001659C1"/>
    <w:rsid w:val="00170518"/>
    <w:rsid w:val="00172876"/>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C53C6"/>
    <w:rsid w:val="001D255C"/>
    <w:rsid w:val="001D51BA"/>
    <w:rsid w:val="001D6342"/>
    <w:rsid w:val="001D6D53"/>
    <w:rsid w:val="001E544F"/>
    <w:rsid w:val="001E58E2"/>
    <w:rsid w:val="001E7AED"/>
    <w:rsid w:val="001F1095"/>
    <w:rsid w:val="001F20EE"/>
    <w:rsid w:val="001F3916"/>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02A"/>
    <w:rsid w:val="002252C3"/>
    <w:rsid w:val="00225C54"/>
    <w:rsid w:val="00230765"/>
    <w:rsid w:val="002319E4"/>
    <w:rsid w:val="00235632"/>
    <w:rsid w:val="00235872"/>
    <w:rsid w:val="00237A3A"/>
    <w:rsid w:val="00241559"/>
    <w:rsid w:val="002435B3"/>
    <w:rsid w:val="002458EB"/>
    <w:rsid w:val="002500C8"/>
    <w:rsid w:val="0025153F"/>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77D"/>
    <w:rsid w:val="002A055E"/>
    <w:rsid w:val="002A1D4E"/>
    <w:rsid w:val="002A2869"/>
    <w:rsid w:val="002B2156"/>
    <w:rsid w:val="002B24D6"/>
    <w:rsid w:val="002B335C"/>
    <w:rsid w:val="002C41E6"/>
    <w:rsid w:val="002C5BA4"/>
    <w:rsid w:val="002C70D2"/>
    <w:rsid w:val="002D071A"/>
    <w:rsid w:val="002D34B2"/>
    <w:rsid w:val="002D7637"/>
    <w:rsid w:val="002E17F2"/>
    <w:rsid w:val="002E2B4A"/>
    <w:rsid w:val="002E30BA"/>
    <w:rsid w:val="002E7CAE"/>
    <w:rsid w:val="002F21F3"/>
    <w:rsid w:val="002F2771"/>
    <w:rsid w:val="002F37A9"/>
    <w:rsid w:val="00301CE6"/>
    <w:rsid w:val="0030256B"/>
    <w:rsid w:val="0030501F"/>
    <w:rsid w:val="003065D1"/>
    <w:rsid w:val="00306E86"/>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2421"/>
    <w:rsid w:val="00357380"/>
    <w:rsid w:val="003602D9"/>
    <w:rsid w:val="003604CE"/>
    <w:rsid w:val="00360828"/>
    <w:rsid w:val="0036414E"/>
    <w:rsid w:val="00370E47"/>
    <w:rsid w:val="003742AC"/>
    <w:rsid w:val="00377CE1"/>
    <w:rsid w:val="00384998"/>
    <w:rsid w:val="00385BF0"/>
    <w:rsid w:val="00392F7A"/>
    <w:rsid w:val="003939FF"/>
    <w:rsid w:val="00394DED"/>
    <w:rsid w:val="003A2223"/>
    <w:rsid w:val="003A27A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77B0"/>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040"/>
    <w:rsid w:val="00421105"/>
    <w:rsid w:val="004242F4"/>
    <w:rsid w:val="00427248"/>
    <w:rsid w:val="0043199E"/>
    <w:rsid w:val="00431AF0"/>
    <w:rsid w:val="0043372F"/>
    <w:rsid w:val="00437447"/>
    <w:rsid w:val="00441A92"/>
    <w:rsid w:val="00444F56"/>
    <w:rsid w:val="00446488"/>
    <w:rsid w:val="004517AA"/>
    <w:rsid w:val="00452CAC"/>
    <w:rsid w:val="00453D58"/>
    <w:rsid w:val="00457565"/>
    <w:rsid w:val="00457B71"/>
    <w:rsid w:val="004630BF"/>
    <w:rsid w:val="004646A6"/>
    <w:rsid w:val="00466603"/>
    <w:rsid w:val="004669E2"/>
    <w:rsid w:val="00470C31"/>
    <w:rsid w:val="004734D0"/>
    <w:rsid w:val="00474D3A"/>
    <w:rsid w:val="0047556B"/>
    <w:rsid w:val="0047688E"/>
    <w:rsid w:val="00476EB3"/>
    <w:rsid w:val="00477768"/>
    <w:rsid w:val="0048543B"/>
    <w:rsid w:val="00492BC5"/>
    <w:rsid w:val="004964F1"/>
    <w:rsid w:val="004A16BC"/>
    <w:rsid w:val="004A2B94"/>
    <w:rsid w:val="004B2CE6"/>
    <w:rsid w:val="004B7C0C"/>
    <w:rsid w:val="004C3898"/>
    <w:rsid w:val="004C6405"/>
    <w:rsid w:val="004D30FE"/>
    <w:rsid w:val="004D36B1"/>
    <w:rsid w:val="004D7EBD"/>
    <w:rsid w:val="004E2680"/>
    <w:rsid w:val="004E28F9"/>
    <w:rsid w:val="004E462E"/>
    <w:rsid w:val="004E4813"/>
    <w:rsid w:val="004E5227"/>
    <w:rsid w:val="004E56DC"/>
    <w:rsid w:val="004E76F4"/>
    <w:rsid w:val="004F0445"/>
    <w:rsid w:val="004F0B4E"/>
    <w:rsid w:val="004F0B6C"/>
    <w:rsid w:val="004F2078"/>
    <w:rsid w:val="004F4DA3"/>
    <w:rsid w:val="004F5EBA"/>
    <w:rsid w:val="0050619F"/>
    <w:rsid w:val="00506557"/>
    <w:rsid w:val="0050677A"/>
    <w:rsid w:val="005108D8"/>
    <w:rsid w:val="005116F9"/>
    <w:rsid w:val="005153A7"/>
    <w:rsid w:val="005154B1"/>
    <w:rsid w:val="005219CF"/>
    <w:rsid w:val="00532D41"/>
    <w:rsid w:val="00533AB8"/>
    <w:rsid w:val="00534B59"/>
    <w:rsid w:val="00536759"/>
    <w:rsid w:val="005376FC"/>
    <w:rsid w:val="00537C62"/>
    <w:rsid w:val="00546970"/>
    <w:rsid w:val="00547DF0"/>
    <w:rsid w:val="00547F4D"/>
    <w:rsid w:val="00550419"/>
    <w:rsid w:val="00552E84"/>
    <w:rsid w:val="00554E19"/>
    <w:rsid w:val="0056121F"/>
    <w:rsid w:val="005720AA"/>
    <w:rsid w:val="00572505"/>
    <w:rsid w:val="00582809"/>
    <w:rsid w:val="0058335A"/>
    <w:rsid w:val="0058798C"/>
    <w:rsid w:val="005900FA"/>
    <w:rsid w:val="005935A4"/>
    <w:rsid w:val="005948C2"/>
    <w:rsid w:val="00595DCA"/>
    <w:rsid w:val="0059779B"/>
    <w:rsid w:val="005A209A"/>
    <w:rsid w:val="005A63D8"/>
    <w:rsid w:val="005A662D"/>
    <w:rsid w:val="005B1ABE"/>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686B"/>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208D"/>
    <w:rsid w:val="00643475"/>
    <w:rsid w:val="00643771"/>
    <w:rsid w:val="0064396A"/>
    <w:rsid w:val="0064624E"/>
    <w:rsid w:val="0064687E"/>
    <w:rsid w:val="00650AB9"/>
    <w:rsid w:val="0065434D"/>
    <w:rsid w:val="00655733"/>
    <w:rsid w:val="00655ACD"/>
    <w:rsid w:val="006561F6"/>
    <w:rsid w:val="00656A92"/>
    <w:rsid w:val="00656DDE"/>
    <w:rsid w:val="0066011D"/>
    <w:rsid w:val="006607C0"/>
    <w:rsid w:val="006613A6"/>
    <w:rsid w:val="006627A2"/>
    <w:rsid w:val="006629C6"/>
    <w:rsid w:val="006634E6"/>
    <w:rsid w:val="006653D1"/>
    <w:rsid w:val="006655EE"/>
    <w:rsid w:val="00667EE7"/>
    <w:rsid w:val="00670922"/>
    <w:rsid w:val="00670BE1"/>
    <w:rsid w:val="0067218F"/>
    <w:rsid w:val="006741F2"/>
    <w:rsid w:val="00674CC3"/>
    <w:rsid w:val="00675C72"/>
    <w:rsid w:val="006771F9"/>
    <w:rsid w:val="006776D7"/>
    <w:rsid w:val="00681003"/>
    <w:rsid w:val="006817C9"/>
    <w:rsid w:val="00683ECE"/>
    <w:rsid w:val="0068756A"/>
    <w:rsid w:val="00695FC2"/>
    <w:rsid w:val="00696949"/>
    <w:rsid w:val="00697052"/>
    <w:rsid w:val="006A46FB"/>
    <w:rsid w:val="006A5E28"/>
    <w:rsid w:val="006A697B"/>
    <w:rsid w:val="006A7AFF"/>
    <w:rsid w:val="006B1816"/>
    <w:rsid w:val="006B1D6D"/>
    <w:rsid w:val="006B2099"/>
    <w:rsid w:val="006B50CF"/>
    <w:rsid w:val="006B5B0F"/>
    <w:rsid w:val="006C03B8"/>
    <w:rsid w:val="006C1838"/>
    <w:rsid w:val="006C2389"/>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838"/>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4D34"/>
    <w:rsid w:val="00757053"/>
    <w:rsid w:val="007571E1"/>
    <w:rsid w:val="007604B2"/>
    <w:rsid w:val="007614D0"/>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32C9"/>
    <w:rsid w:val="007A43A6"/>
    <w:rsid w:val="007A58A6"/>
    <w:rsid w:val="007B3D2D"/>
    <w:rsid w:val="007B50AE"/>
    <w:rsid w:val="007B51DF"/>
    <w:rsid w:val="007B78FE"/>
    <w:rsid w:val="007C05DD"/>
    <w:rsid w:val="007C3D18"/>
    <w:rsid w:val="007C60BF"/>
    <w:rsid w:val="007C6A07"/>
    <w:rsid w:val="007C6D48"/>
    <w:rsid w:val="007C75A1"/>
    <w:rsid w:val="007C77A5"/>
    <w:rsid w:val="007D04E5"/>
    <w:rsid w:val="007D13F7"/>
    <w:rsid w:val="007D5901"/>
    <w:rsid w:val="007D7526"/>
    <w:rsid w:val="007E26DB"/>
    <w:rsid w:val="007E4610"/>
    <w:rsid w:val="007E4715"/>
    <w:rsid w:val="007E505B"/>
    <w:rsid w:val="007E7091"/>
    <w:rsid w:val="00803FAE"/>
    <w:rsid w:val="0080605F"/>
    <w:rsid w:val="00807786"/>
    <w:rsid w:val="00811FCB"/>
    <w:rsid w:val="00814634"/>
    <w:rsid w:val="008158D6"/>
    <w:rsid w:val="00817196"/>
    <w:rsid w:val="0082252F"/>
    <w:rsid w:val="008235DB"/>
    <w:rsid w:val="00824AB4"/>
    <w:rsid w:val="00825C42"/>
    <w:rsid w:val="00825D25"/>
    <w:rsid w:val="00827D17"/>
    <w:rsid w:val="00827D6F"/>
    <w:rsid w:val="008376AC"/>
    <w:rsid w:val="00843433"/>
    <w:rsid w:val="00843C1E"/>
    <w:rsid w:val="008444E8"/>
    <w:rsid w:val="00844E80"/>
    <w:rsid w:val="00846505"/>
    <w:rsid w:val="00846FE7"/>
    <w:rsid w:val="00854FEF"/>
    <w:rsid w:val="008565AD"/>
    <w:rsid w:val="00856911"/>
    <w:rsid w:val="008677FD"/>
    <w:rsid w:val="008706D4"/>
    <w:rsid w:val="00870F8A"/>
    <w:rsid w:val="008719A4"/>
    <w:rsid w:val="00871D23"/>
    <w:rsid w:val="00874312"/>
    <w:rsid w:val="0087437C"/>
    <w:rsid w:val="00875CD7"/>
    <w:rsid w:val="00876B4D"/>
    <w:rsid w:val="00877F18"/>
    <w:rsid w:val="00881304"/>
    <w:rsid w:val="00894A88"/>
    <w:rsid w:val="00895386"/>
    <w:rsid w:val="008A21FF"/>
    <w:rsid w:val="008A2CE2"/>
    <w:rsid w:val="008A30AC"/>
    <w:rsid w:val="008A44B8"/>
    <w:rsid w:val="008A51A8"/>
    <w:rsid w:val="008A54C7"/>
    <w:rsid w:val="008A77D8"/>
    <w:rsid w:val="008B0483"/>
    <w:rsid w:val="008B11AF"/>
    <w:rsid w:val="008B120C"/>
    <w:rsid w:val="008B51A0"/>
    <w:rsid w:val="008B592A"/>
    <w:rsid w:val="008B7B5C"/>
    <w:rsid w:val="008C02D7"/>
    <w:rsid w:val="008C0C99"/>
    <w:rsid w:val="008C2017"/>
    <w:rsid w:val="008C4562"/>
    <w:rsid w:val="008C4958"/>
    <w:rsid w:val="008C4BAA"/>
    <w:rsid w:val="008C6AE8"/>
    <w:rsid w:val="008C6E75"/>
    <w:rsid w:val="008C7573"/>
    <w:rsid w:val="008D34F1"/>
    <w:rsid w:val="008D39D8"/>
    <w:rsid w:val="008D6D1A"/>
    <w:rsid w:val="008D7BEF"/>
    <w:rsid w:val="008E065E"/>
    <w:rsid w:val="008E0927"/>
    <w:rsid w:val="008E1909"/>
    <w:rsid w:val="008F1EAB"/>
    <w:rsid w:val="008F33DC"/>
    <w:rsid w:val="008F477F"/>
    <w:rsid w:val="008F7B8E"/>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5AA"/>
    <w:rsid w:val="0096430A"/>
    <w:rsid w:val="0096554B"/>
    <w:rsid w:val="0096584A"/>
    <w:rsid w:val="00971F08"/>
    <w:rsid w:val="0097603D"/>
    <w:rsid w:val="00976949"/>
    <w:rsid w:val="00980477"/>
    <w:rsid w:val="00985253"/>
    <w:rsid w:val="009853B3"/>
    <w:rsid w:val="00986A3A"/>
    <w:rsid w:val="009901CF"/>
    <w:rsid w:val="00990630"/>
    <w:rsid w:val="00991761"/>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3D3D"/>
    <w:rsid w:val="009D4FF0"/>
    <w:rsid w:val="009D703C"/>
    <w:rsid w:val="009D718F"/>
    <w:rsid w:val="009E068F"/>
    <w:rsid w:val="009E14E0"/>
    <w:rsid w:val="009E24FC"/>
    <w:rsid w:val="009E35DB"/>
    <w:rsid w:val="009E47A3"/>
    <w:rsid w:val="009E60EC"/>
    <w:rsid w:val="009F08F3"/>
    <w:rsid w:val="009F344F"/>
    <w:rsid w:val="009F5F57"/>
    <w:rsid w:val="009F6B33"/>
    <w:rsid w:val="00A048A8"/>
    <w:rsid w:val="00A04F49"/>
    <w:rsid w:val="00A13E54"/>
    <w:rsid w:val="00A17F63"/>
    <w:rsid w:val="00A20554"/>
    <w:rsid w:val="00A20A26"/>
    <w:rsid w:val="00A2193B"/>
    <w:rsid w:val="00A2351A"/>
    <w:rsid w:val="00A264A9"/>
    <w:rsid w:val="00A27785"/>
    <w:rsid w:val="00A30187"/>
    <w:rsid w:val="00A3448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4711"/>
    <w:rsid w:val="00A86BE9"/>
    <w:rsid w:val="00A9174D"/>
    <w:rsid w:val="00A92879"/>
    <w:rsid w:val="00A9442A"/>
    <w:rsid w:val="00AA016F"/>
    <w:rsid w:val="00AA1ED6"/>
    <w:rsid w:val="00AA51D6"/>
    <w:rsid w:val="00AB0BC8"/>
    <w:rsid w:val="00AB11CA"/>
    <w:rsid w:val="00AB14D9"/>
    <w:rsid w:val="00AB2203"/>
    <w:rsid w:val="00AB4AB8"/>
    <w:rsid w:val="00AB655E"/>
    <w:rsid w:val="00AC007F"/>
    <w:rsid w:val="00AC0B70"/>
    <w:rsid w:val="00AC2ECD"/>
    <w:rsid w:val="00AC3119"/>
    <w:rsid w:val="00AC49FB"/>
    <w:rsid w:val="00AC5A10"/>
    <w:rsid w:val="00AD0AA3"/>
    <w:rsid w:val="00AD3F94"/>
    <w:rsid w:val="00AD4A5A"/>
    <w:rsid w:val="00AE27AC"/>
    <w:rsid w:val="00AE2834"/>
    <w:rsid w:val="00AE40E0"/>
    <w:rsid w:val="00AE4DBA"/>
    <w:rsid w:val="00AE4F07"/>
    <w:rsid w:val="00AF1C5D"/>
    <w:rsid w:val="00AF237F"/>
    <w:rsid w:val="00AF42D7"/>
    <w:rsid w:val="00AF670F"/>
    <w:rsid w:val="00B006FE"/>
    <w:rsid w:val="00B007CB"/>
    <w:rsid w:val="00B02AA9"/>
    <w:rsid w:val="00B02FA3"/>
    <w:rsid w:val="00B05084"/>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4F40"/>
    <w:rsid w:val="00B664C7"/>
    <w:rsid w:val="00B7198C"/>
    <w:rsid w:val="00B739F6"/>
    <w:rsid w:val="00B73CC5"/>
    <w:rsid w:val="00B753C6"/>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181"/>
    <w:rsid w:val="00BC0FDC"/>
    <w:rsid w:val="00BC1525"/>
    <w:rsid w:val="00BC3053"/>
    <w:rsid w:val="00BC4D2E"/>
    <w:rsid w:val="00BD0AF6"/>
    <w:rsid w:val="00BD1814"/>
    <w:rsid w:val="00BD2878"/>
    <w:rsid w:val="00BD48AC"/>
    <w:rsid w:val="00BD5681"/>
    <w:rsid w:val="00BD5F1A"/>
    <w:rsid w:val="00BE1234"/>
    <w:rsid w:val="00BE2FA6"/>
    <w:rsid w:val="00BE333F"/>
    <w:rsid w:val="00BE7098"/>
    <w:rsid w:val="00BE7406"/>
    <w:rsid w:val="00BE7603"/>
    <w:rsid w:val="00BF3279"/>
    <w:rsid w:val="00BF74C7"/>
    <w:rsid w:val="00C015F1"/>
    <w:rsid w:val="00C01F33"/>
    <w:rsid w:val="00C02CC6"/>
    <w:rsid w:val="00C040F7"/>
    <w:rsid w:val="00C041B0"/>
    <w:rsid w:val="00C044AB"/>
    <w:rsid w:val="00C05706"/>
    <w:rsid w:val="00C07377"/>
    <w:rsid w:val="00C10478"/>
    <w:rsid w:val="00C1120A"/>
    <w:rsid w:val="00C12107"/>
    <w:rsid w:val="00C14D4B"/>
    <w:rsid w:val="00C154BB"/>
    <w:rsid w:val="00C20977"/>
    <w:rsid w:val="00C21B9D"/>
    <w:rsid w:val="00C23998"/>
    <w:rsid w:val="00C279B5"/>
    <w:rsid w:val="00C27C45"/>
    <w:rsid w:val="00C31765"/>
    <w:rsid w:val="00C3719D"/>
    <w:rsid w:val="00C405FF"/>
    <w:rsid w:val="00C54995"/>
    <w:rsid w:val="00C54D41"/>
    <w:rsid w:val="00C60783"/>
    <w:rsid w:val="00C6196B"/>
    <w:rsid w:val="00C64672"/>
    <w:rsid w:val="00C654D6"/>
    <w:rsid w:val="00C70697"/>
    <w:rsid w:val="00C72EF4"/>
    <w:rsid w:val="00C75D2F"/>
    <w:rsid w:val="00C767BE"/>
    <w:rsid w:val="00C76E3C"/>
    <w:rsid w:val="00C81568"/>
    <w:rsid w:val="00C855E0"/>
    <w:rsid w:val="00C9027A"/>
    <w:rsid w:val="00C9068E"/>
    <w:rsid w:val="00C93C4B"/>
    <w:rsid w:val="00C93FF8"/>
    <w:rsid w:val="00C9419E"/>
    <w:rsid w:val="00C944AB"/>
    <w:rsid w:val="00C95B40"/>
    <w:rsid w:val="00CA1ED8"/>
    <w:rsid w:val="00CA4B33"/>
    <w:rsid w:val="00CB1F63"/>
    <w:rsid w:val="00CB7170"/>
    <w:rsid w:val="00CB7D95"/>
    <w:rsid w:val="00CC040E"/>
    <w:rsid w:val="00CC111F"/>
    <w:rsid w:val="00CC2011"/>
    <w:rsid w:val="00CC3EA0"/>
    <w:rsid w:val="00CC4E2D"/>
    <w:rsid w:val="00CC52DC"/>
    <w:rsid w:val="00CC727A"/>
    <w:rsid w:val="00CC7B45"/>
    <w:rsid w:val="00CD1188"/>
    <w:rsid w:val="00CD2ED1"/>
    <w:rsid w:val="00CD337B"/>
    <w:rsid w:val="00CE0424"/>
    <w:rsid w:val="00CE36E3"/>
    <w:rsid w:val="00CE5994"/>
    <w:rsid w:val="00CE7561"/>
    <w:rsid w:val="00CF1354"/>
    <w:rsid w:val="00CF3B1F"/>
    <w:rsid w:val="00CF3BF6"/>
    <w:rsid w:val="00CF625B"/>
    <w:rsid w:val="00CF687E"/>
    <w:rsid w:val="00D0349B"/>
    <w:rsid w:val="00D10249"/>
    <w:rsid w:val="00D115C3"/>
    <w:rsid w:val="00D11897"/>
    <w:rsid w:val="00D125E6"/>
    <w:rsid w:val="00D13135"/>
    <w:rsid w:val="00D13E4E"/>
    <w:rsid w:val="00D21F5F"/>
    <w:rsid w:val="00D239A7"/>
    <w:rsid w:val="00D23F47"/>
    <w:rsid w:val="00D27862"/>
    <w:rsid w:val="00D3019D"/>
    <w:rsid w:val="00D36E71"/>
    <w:rsid w:val="00D376C5"/>
    <w:rsid w:val="00D37D87"/>
    <w:rsid w:val="00D40B33"/>
    <w:rsid w:val="00D42891"/>
    <w:rsid w:val="00D4318F"/>
    <w:rsid w:val="00D438BF"/>
    <w:rsid w:val="00D440F8"/>
    <w:rsid w:val="00D50F97"/>
    <w:rsid w:val="00D538F4"/>
    <w:rsid w:val="00D546FF"/>
    <w:rsid w:val="00D55AD5"/>
    <w:rsid w:val="00D576CA"/>
    <w:rsid w:val="00D61AF5"/>
    <w:rsid w:val="00D652B5"/>
    <w:rsid w:val="00D66155"/>
    <w:rsid w:val="00D708B0"/>
    <w:rsid w:val="00D77B1D"/>
    <w:rsid w:val="00D8021F"/>
    <w:rsid w:val="00D80383"/>
    <w:rsid w:val="00D80C02"/>
    <w:rsid w:val="00D80D28"/>
    <w:rsid w:val="00D823C6"/>
    <w:rsid w:val="00D86CA3"/>
    <w:rsid w:val="00D871CE"/>
    <w:rsid w:val="00D9196D"/>
    <w:rsid w:val="00D92982"/>
    <w:rsid w:val="00DA305E"/>
    <w:rsid w:val="00DA456B"/>
    <w:rsid w:val="00DA5417"/>
    <w:rsid w:val="00DA56E8"/>
    <w:rsid w:val="00DB0A9F"/>
    <w:rsid w:val="00DB377D"/>
    <w:rsid w:val="00DC2D36"/>
    <w:rsid w:val="00DC53EF"/>
    <w:rsid w:val="00DC72DB"/>
    <w:rsid w:val="00DD2079"/>
    <w:rsid w:val="00DE1BBA"/>
    <w:rsid w:val="00DE417D"/>
    <w:rsid w:val="00DE5608"/>
    <w:rsid w:val="00DE56CE"/>
    <w:rsid w:val="00DE58D0"/>
    <w:rsid w:val="00DE654F"/>
    <w:rsid w:val="00DF0B6E"/>
    <w:rsid w:val="00DF15E0"/>
    <w:rsid w:val="00DF37A0"/>
    <w:rsid w:val="00DF48C6"/>
    <w:rsid w:val="00DF4FC5"/>
    <w:rsid w:val="00DF71A0"/>
    <w:rsid w:val="00DF7C96"/>
    <w:rsid w:val="00DF7ECA"/>
    <w:rsid w:val="00E110E7"/>
    <w:rsid w:val="00E11B20"/>
    <w:rsid w:val="00E14D9A"/>
    <w:rsid w:val="00E17FA2"/>
    <w:rsid w:val="00E22330"/>
    <w:rsid w:val="00E30B5A"/>
    <w:rsid w:val="00E3123D"/>
    <w:rsid w:val="00E31461"/>
    <w:rsid w:val="00E31B97"/>
    <w:rsid w:val="00E31D43"/>
    <w:rsid w:val="00E32608"/>
    <w:rsid w:val="00E34188"/>
    <w:rsid w:val="00E34B6E"/>
    <w:rsid w:val="00E35559"/>
    <w:rsid w:val="00E3723A"/>
    <w:rsid w:val="00E37860"/>
    <w:rsid w:val="00E446F1"/>
    <w:rsid w:val="00E45C5C"/>
    <w:rsid w:val="00E46886"/>
    <w:rsid w:val="00E47AEF"/>
    <w:rsid w:val="00E52E80"/>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2A07"/>
    <w:rsid w:val="00E931D4"/>
    <w:rsid w:val="00E93FFE"/>
    <w:rsid w:val="00E94420"/>
    <w:rsid w:val="00E94F8A"/>
    <w:rsid w:val="00EA60F2"/>
    <w:rsid w:val="00EA7A41"/>
    <w:rsid w:val="00EB077B"/>
    <w:rsid w:val="00EB4EA2"/>
    <w:rsid w:val="00EC27C6"/>
    <w:rsid w:val="00EC4207"/>
    <w:rsid w:val="00EC5653"/>
    <w:rsid w:val="00EC71CE"/>
    <w:rsid w:val="00ED1006"/>
    <w:rsid w:val="00EF18FE"/>
    <w:rsid w:val="00EF5787"/>
    <w:rsid w:val="00EF60D0"/>
    <w:rsid w:val="00F00330"/>
    <w:rsid w:val="00F01FBF"/>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66E5"/>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5F55"/>
    <w:rsid w:val="00F76EFA"/>
    <w:rsid w:val="00F804BE"/>
    <w:rsid w:val="00F817CE"/>
    <w:rsid w:val="00F8456C"/>
    <w:rsid w:val="00F85910"/>
    <w:rsid w:val="00F859D8"/>
    <w:rsid w:val="00F868F5"/>
    <w:rsid w:val="00F9056A"/>
    <w:rsid w:val="00F90F8D"/>
    <w:rsid w:val="00F92782"/>
    <w:rsid w:val="00F93AA9"/>
    <w:rsid w:val="00F96985"/>
    <w:rsid w:val="00F97838"/>
    <w:rsid w:val="00FA24AC"/>
    <w:rsid w:val="00FA2BB3"/>
    <w:rsid w:val="00FB200E"/>
    <w:rsid w:val="00FB4C80"/>
    <w:rsid w:val="00FB6A6A"/>
    <w:rsid w:val="00FB7575"/>
    <w:rsid w:val="00FC01CA"/>
    <w:rsid w:val="00FC5EFD"/>
    <w:rsid w:val="00FC7429"/>
    <w:rsid w:val="00FD07F6"/>
    <w:rsid w:val="00FD1EC8"/>
    <w:rsid w:val="00FD47ED"/>
    <w:rsid w:val="00FD74DB"/>
    <w:rsid w:val="00FD7660"/>
    <w:rsid w:val="00FE0655"/>
    <w:rsid w:val="00FE0EA8"/>
    <w:rsid w:val="00FE2365"/>
    <w:rsid w:val="00FE4C7B"/>
    <w:rsid w:val="00FE7336"/>
    <w:rsid w:val="00FE787C"/>
    <w:rsid w:val="00FF3273"/>
    <w:rsid w:val="00FF42C8"/>
    <w:rsid w:val="00FF45A5"/>
    <w:rsid w:val="00FF58B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6F2838"/>
    <w:rPr>
      <w:rFonts w:ascii="Arial" w:eastAsiaTheme="minorEastAsia" w:hAnsi="Arial"/>
      <w:spacing w:val="2"/>
    </w:rPr>
  </w:style>
  <w:style w:type="character" w:customStyle="1" w:styleId="TALCar">
    <w:name w:val="TAL Car"/>
    <w:basedOn w:val="DefaultParagraphFont"/>
    <w:link w:val="TAL"/>
    <w:rsid w:val="00476EB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753507241">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1611</Words>
  <Characters>9186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2017-09-11T23:08:00Z</dcterms:created>
  <dcterms:modified xsi:type="dcterms:W3CDTF">2017-09-11T23:08:00Z</dcterms:modified>
</cp:coreProperties>
</file>