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F7209" w14:textId="4A09595E" w:rsidR="00453A63" w:rsidRPr="0061125D" w:rsidRDefault="00453A63" w:rsidP="00453A63">
      <w:pPr>
        <w:pStyle w:val="a7"/>
        <w:rPr>
          <w:rFonts w:eastAsia="SimSun"/>
          <w:sz w:val="24"/>
          <w:lang w:val="en-US" w:eastAsia="zh-CN"/>
        </w:rPr>
      </w:pPr>
      <w:bookmarkStart w:id="0" w:name="OLE_LINK3"/>
      <w:r>
        <w:rPr>
          <w:sz w:val="24"/>
          <w:lang w:val="en-US"/>
        </w:rPr>
        <w:t xml:space="preserve">3GPP TSG RAN WG1 </w:t>
      </w:r>
      <w:r>
        <w:rPr>
          <w:sz w:val="24"/>
          <w:lang w:val="en-US" w:eastAsia="ja-JP"/>
        </w:rPr>
        <w:t>NR Ad-Hoc#3</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321700">
        <w:rPr>
          <w:sz w:val="24"/>
          <w:lang w:val="en-US"/>
        </w:rPr>
        <w:t>16531</w:t>
      </w:r>
    </w:p>
    <w:p w14:paraId="15B6C9D8" w14:textId="77777777" w:rsidR="00453A63" w:rsidRDefault="00453A63" w:rsidP="00453A63">
      <w:pPr>
        <w:pStyle w:val="a7"/>
        <w:rPr>
          <w:rFonts w:eastAsia="SimSun" w:cs="Arial"/>
          <w:bCs/>
          <w:sz w:val="24"/>
          <w:szCs w:val="24"/>
          <w:lang w:eastAsia="zh-CN"/>
        </w:rPr>
      </w:pPr>
      <w:r>
        <w:rPr>
          <w:rFonts w:cs="Arial"/>
          <w:bCs/>
          <w:sz w:val="24"/>
          <w:szCs w:val="24"/>
        </w:rPr>
        <w:t>Nagoya,</w:t>
      </w:r>
      <w:r w:rsidRPr="0061125D">
        <w:rPr>
          <w:rFonts w:cs="Arial"/>
          <w:bCs/>
          <w:sz w:val="24"/>
          <w:szCs w:val="24"/>
        </w:rPr>
        <w:t xml:space="preserve"> </w:t>
      </w:r>
      <w:r>
        <w:rPr>
          <w:rFonts w:cs="Arial"/>
          <w:bCs/>
          <w:sz w:val="24"/>
          <w:szCs w:val="24"/>
        </w:rPr>
        <w:t xml:space="preserve">Japan, 18th </w:t>
      </w:r>
      <w:r w:rsidRPr="0061125D">
        <w:rPr>
          <w:rFonts w:cs="Arial"/>
          <w:bCs/>
          <w:sz w:val="24"/>
          <w:szCs w:val="24"/>
        </w:rPr>
        <w:t xml:space="preserve">– </w:t>
      </w:r>
      <w:r>
        <w:rPr>
          <w:rFonts w:cs="Arial"/>
          <w:bCs/>
          <w:sz w:val="24"/>
          <w:szCs w:val="24"/>
        </w:rPr>
        <w:t>21st,</w:t>
      </w:r>
      <w:r w:rsidRPr="0061125D">
        <w:rPr>
          <w:rFonts w:cs="Arial"/>
          <w:bCs/>
          <w:sz w:val="24"/>
          <w:szCs w:val="24"/>
        </w:rPr>
        <w:t xml:space="preserve"> </w:t>
      </w:r>
      <w:r>
        <w:rPr>
          <w:rFonts w:cs="Arial"/>
          <w:bCs/>
          <w:sz w:val="24"/>
          <w:szCs w:val="24"/>
        </w:rPr>
        <w:t xml:space="preserve">September </w:t>
      </w:r>
      <w:r w:rsidRPr="0061125D">
        <w:rPr>
          <w:rFonts w:cs="Arial"/>
          <w:bCs/>
          <w:sz w:val="24"/>
          <w:szCs w:val="24"/>
        </w:rPr>
        <w:t>201</w:t>
      </w:r>
      <w:r w:rsidRPr="0061125D">
        <w:rPr>
          <w:rFonts w:cs="Arial" w:hint="eastAsia"/>
          <w:bCs/>
          <w:sz w:val="24"/>
          <w:szCs w:val="24"/>
        </w:rPr>
        <w:t>7</w:t>
      </w:r>
    </w:p>
    <w:p w14:paraId="02FC2EDB" w14:textId="77777777" w:rsidR="0084625E" w:rsidRPr="00453A63" w:rsidRDefault="0084625E"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54E99D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03F9D">
        <w:rPr>
          <w:sz w:val="24"/>
          <w:lang w:val="en-US" w:eastAsia="ja-JP"/>
        </w:rPr>
        <w:t xml:space="preserve">Multiplexing data with different transmission durations </w:t>
      </w:r>
    </w:p>
    <w:bookmarkEnd w:id="1"/>
    <w:bookmarkEnd w:id="2"/>
    <w:bookmarkEnd w:id="3"/>
    <w:bookmarkEnd w:id="4"/>
    <w:p w14:paraId="02FF14B3" w14:textId="224C849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7166AB">
        <w:rPr>
          <w:sz w:val="24"/>
          <w:lang w:val="en-US" w:eastAsia="ja-JP"/>
        </w:rPr>
        <w:t>6</w:t>
      </w:r>
      <w:r w:rsidR="00866245">
        <w:rPr>
          <w:sz w:val="24"/>
          <w:lang w:val="en-US" w:eastAsia="ja-JP"/>
        </w:rPr>
        <w:t>.</w:t>
      </w:r>
      <w:r w:rsidR="00453A63">
        <w:rPr>
          <w:sz w:val="24"/>
          <w:lang w:val="en-US" w:eastAsia="ja-JP"/>
        </w:rPr>
        <w:t>3.3.6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0B5DE2AB" w14:textId="77777777" w:rsidR="007920E0" w:rsidRDefault="007920E0" w:rsidP="007920E0">
      <w:pPr>
        <w:spacing w:afterLines="50" w:after="120"/>
        <w:jc w:val="both"/>
        <w:rPr>
          <w:rFonts w:eastAsia="ＭＳ 明朝"/>
          <w:sz w:val="22"/>
          <w:lang w:val="en-US"/>
        </w:rPr>
      </w:pPr>
      <w:r>
        <w:rPr>
          <w:rFonts w:eastAsia="ＭＳ 明朝"/>
          <w:sz w:val="22"/>
          <w:lang w:val="en-US"/>
        </w:rPr>
        <w:t>As for multiplexing data with different transmission durations, multiple solutions for different cases are agreed/under discussions for NR:</w:t>
      </w:r>
    </w:p>
    <w:p w14:paraId="2BCD8247" w14:textId="4D8C8197" w:rsidR="007920E0" w:rsidRPr="009B3A4B" w:rsidRDefault="007920E0" w:rsidP="007920E0">
      <w:pPr>
        <w:pStyle w:val="afc"/>
        <w:numPr>
          <w:ilvl w:val="0"/>
          <w:numId w:val="22"/>
        </w:numPr>
        <w:spacing w:afterLines="50" w:after="120"/>
        <w:ind w:leftChars="0"/>
        <w:jc w:val="both"/>
        <w:rPr>
          <w:rFonts w:eastAsia="ＭＳ 明朝"/>
          <w:b/>
          <w:sz w:val="22"/>
          <w:u w:val="single"/>
          <w:lang w:val="en-US"/>
        </w:rPr>
      </w:pPr>
      <w:r w:rsidRPr="009B3A4B">
        <w:rPr>
          <w:rFonts w:eastAsia="ＭＳ 明朝"/>
          <w:b/>
          <w:sz w:val="22"/>
          <w:u w:val="single"/>
          <w:lang w:val="en-US"/>
        </w:rPr>
        <w:t>CBG-based (re)transmission together with the indication of different handling for soft-buffer/HARQ combining [1] – agreed</w:t>
      </w:r>
    </w:p>
    <w:p w14:paraId="4D02E9BB" w14:textId="4AAB3DD4" w:rsidR="007920E0" w:rsidRPr="007920E0" w:rsidRDefault="007920E0" w:rsidP="007920E0">
      <w:pPr>
        <w:pStyle w:val="afc"/>
        <w:numPr>
          <w:ilvl w:val="1"/>
          <w:numId w:val="22"/>
        </w:numPr>
        <w:spacing w:afterLines="50" w:after="120"/>
        <w:ind w:leftChars="0"/>
        <w:jc w:val="both"/>
        <w:rPr>
          <w:rFonts w:eastAsia="ＭＳ 明朝"/>
          <w:sz w:val="22"/>
          <w:lang w:val="en-US"/>
        </w:rPr>
      </w:pPr>
      <w:r>
        <w:rPr>
          <w:rFonts w:eastAsia="ＭＳ 明朝"/>
          <w:sz w:val="22"/>
          <w:lang w:val="en-US"/>
        </w:rPr>
        <w:t>Note: This addresses a data that has been pre-empted through HARQ operation.</w:t>
      </w:r>
    </w:p>
    <w:p w14:paraId="060BB490" w14:textId="52FC6DE4" w:rsidR="007920E0" w:rsidRPr="009B3A4B" w:rsidRDefault="007920E0" w:rsidP="007920E0">
      <w:pPr>
        <w:pStyle w:val="afc"/>
        <w:numPr>
          <w:ilvl w:val="0"/>
          <w:numId w:val="22"/>
        </w:numPr>
        <w:spacing w:afterLines="50" w:after="120"/>
        <w:ind w:leftChars="0"/>
        <w:jc w:val="both"/>
        <w:rPr>
          <w:rFonts w:eastAsia="ＭＳ 明朝"/>
          <w:b/>
          <w:sz w:val="22"/>
          <w:u w:val="single"/>
          <w:lang w:val="en-US"/>
        </w:rPr>
      </w:pPr>
      <w:r w:rsidRPr="009B3A4B">
        <w:rPr>
          <w:rFonts w:eastAsia="ＭＳ 明朝"/>
          <w:b/>
          <w:sz w:val="22"/>
          <w:u w:val="single"/>
          <w:lang w:val="en-US"/>
        </w:rPr>
        <w:t>Dynamic indication of resource reservation for PDSCH by L1 signalling [2], [3] – agreed</w:t>
      </w:r>
    </w:p>
    <w:p w14:paraId="0A1AB8D4" w14:textId="50AAF631" w:rsidR="007920E0" w:rsidRDefault="007920E0" w:rsidP="007920E0">
      <w:pPr>
        <w:pStyle w:val="afc"/>
        <w:numPr>
          <w:ilvl w:val="1"/>
          <w:numId w:val="22"/>
        </w:numPr>
        <w:spacing w:afterLines="50" w:after="120"/>
        <w:ind w:leftChars="0"/>
        <w:jc w:val="both"/>
        <w:rPr>
          <w:rFonts w:eastAsia="ＭＳ 明朝"/>
          <w:sz w:val="22"/>
          <w:lang w:val="en-US"/>
        </w:rPr>
      </w:pPr>
      <w:r>
        <w:rPr>
          <w:rFonts w:eastAsia="ＭＳ 明朝"/>
          <w:sz w:val="22"/>
          <w:lang w:val="en-US"/>
        </w:rPr>
        <w:t>L1 signalling is PDCCH scheduling the PDSCH [2] – under discussion</w:t>
      </w:r>
    </w:p>
    <w:p w14:paraId="3E315F8D" w14:textId="0BFB9154" w:rsidR="007920E0" w:rsidRDefault="007920E0" w:rsidP="007920E0">
      <w:pPr>
        <w:pStyle w:val="afc"/>
        <w:numPr>
          <w:ilvl w:val="1"/>
          <w:numId w:val="22"/>
        </w:numPr>
        <w:spacing w:afterLines="50" w:after="120"/>
        <w:ind w:leftChars="0"/>
        <w:jc w:val="both"/>
        <w:rPr>
          <w:rFonts w:eastAsia="ＭＳ 明朝"/>
          <w:sz w:val="22"/>
          <w:lang w:val="en-US"/>
        </w:rPr>
      </w:pPr>
      <w:r>
        <w:rPr>
          <w:rFonts w:eastAsia="ＭＳ 明朝"/>
          <w:sz w:val="22"/>
          <w:lang w:val="en-US"/>
        </w:rPr>
        <w:t>L1 signalling is SFI carried by a group-common PDCCH [3] – under discussion</w:t>
      </w:r>
    </w:p>
    <w:p w14:paraId="266FC396" w14:textId="5ECDA3D3" w:rsidR="007920E0" w:rsidRDefault="007920E0" w:rsidP="007920E0">
      <w:pPr>
        <w:pStyle w:val="afc"/>
        <w:numPr>
          <w:ilvl w:val="1"/>
          <w:numId w:val="22"/>
        </w:numPr>
        <w:spacing w:afterLines="50" w:after="120"/>
        <w:ind w:leftChars="0"/>
        <w:jc w:val="both"/>
        <w:rPr>
          <w:rFonts w:eastAsia="ＭＳ 明朝"/>
          <w:sz w:val="22"/>
          <w:lang w:val="en-US"/>
        </w:rPr>
      </w:pPr>
      <w:r>
        <w:rPr>
          <w:rFonts w:eastAsia="ＭＳ 明朝"/>
          <w:sz w:val="22"/>
          <w:lang w:val="en-US"/>
        </w:rPr>
        <w:t>Note: this addresses a data that will be pre-empted</w:t>
      </w:r>
      <w:r w:rsidR="00BE7223">
        <w:rPr>
          <w:rFonts w:eastAsia="ＭＳ 明朝"/>
          <w:sz w:val="22"/>
          <w:lang w:val="en-US"/>
        </w:rPr>
        <w:t xml:space="preserve"> (hence rate-matched around the reserved resource)</w:t>
      </w:r>
      <w:r>
        <w:rPr>
          <w:rFonts w:eastAsia="ＭＳ 明朝"/>
          <w:sz w:val="22"/>
          <w:lang w:val="en-US"/>
        </w:rPr>
        <w:t xml:space="preserve"> at the current/future timing.</w:t>
      </w:r>
    </w:p>
    <w:p w14:paraId="072B8974" w14:textId="77777777" w:rsidR="007920E0" w:rsidRPr="009B3A4B" w:rsidRDefault="007920E0" w:rsidP="007920E0">
      <w:pPr>
        <w:pStyle w:val="afc"/>
        <w:numPr>
          <w:ilvl w:val="0"/>
          <w:numId w:val="22"/>
        </w:numPr>
        <w:spacing w:afterLines="50" w:after="120"/>
        <w:ind w:leftChars="0"/>
        <w:jc w:val="both"/>
        <w:rPr>
          <w:rFonts w:eastAsia="ＭＳ 明朝"/>
          <w:b/>
          <w:sz w:val="22"/>
          <w:u w:val="single"/>
          <w:lang w:val="en-US"/>
        </w:rPr>
      </w:pPr>
      <w:r w:rsidRPr="009B3A4B">
        <w:rPr>
          <w:rFonts w:eastAsia="ＭＳ 明朝"/>
          <w:b/>
          <w:sz w:val="22"/>
          <w:u w:val="single"/>
          <w:lang w:val="en-US"/>
        </w:rPr>
        <w:t>Pre-emption indication for downlink – agreed</w:t>
      </w:r>
    </w:p>
    <w:p w14:paraId="5CB1E915" w14:textId="3047B3E8" w:rsidR="007920E0" w:rsidRPr="007920E0" w:rsidRDefault="007920E0" w:rsidP="007920E0">
      <w:pPr>
        <w:pStyle w:val="afc"/>
        <w:numPr>
          <w:ilvl w:val="1"/>
          <w:numId w:val="22"/>
        </w:numPr>
        <w:spacing w:afterLines="50" w:after="120"/>
        <w:ind w:leftChars="0"/>
        <w:jc w:val="both"/>
        <w:rPr>
          <w:rFonts w:eastAsia="ＭＳ 明朝"/>
          <w:sz w:val="22"/>
          <w:lang w:val="en-US"/>
        </w:rPr>
      </w:pPr>
      <w:r>
        <w:rPr>
          <w:rFonts w:eastAsia="ＭＳ 明朝"/>
          <w:sz w:val="22"/>
          <w:lang w:val="en-US"/>
        </w:rPr>
        <w:t>Note: this addresses a data that has been pre-empted before HARQ operation.</w:t>
      </w:r>
    </w:p>
    <w:p w14:paraId="2C44E9D4" w14:textId="77777777" w:rsidR="007920E0" w:rsidRDefault="007920E0" w:rsidP="00AB28A6">
      <w:pPr>
        <w:spacing w:afterLines="50" w:after="120"/>
        <w:jc w:val="both"/>
        <w:rPr>
          <w:rFonts w:eastAsia="ＭＳ 明朝"/>
          <w:sz w:val="22"/>
          <w:lang w:val="en-US"/>
        </w:rPr>
      </w:pPr>
    </w:p>
    <w:p w14:paraId="29AC0BA4" w14:textId="3A4207A1" w:rsidR="00657291" w:rsidRDefault="007920E0" w:rsidP="00AB28A6">
      <w:pPr>
        <w:spacing w:afterLines="50" w:after="120"/>
        <w:jc w:val="both"/>
        <w:rPr>
          <w:rFonts w:eastAsia="ＭＳ 明朝"/>
          <w:sz w:val="22"/>
          <w:lang w:val="en-US"/>
        </w:rPr>
      </w:pPr>
      <w:r>
        <w:rPr>
          <w:rFonts w:eastAsia="ＭＳ 明朝"/>
          <w:sz w:val="22"/>
          <w:lang w:val="en-US"/>
        </w:rPr>
        <w:t xml:space="preserve">In this contribution, we address pre-emption indication for downlink. </w:t>
      </w:r>
      <w:r w:rsidR="005F185F">
        <w:rPr>
          <w:rFonts w:eastAsia="ＭＳ 明朝"/>
          <w:sz w:val="22"/>
          <w:lang w:val="en-US"/>
        </w:rPr>
        <w:t>F</w:t>
      </w:r>
      <w:r w:rsidR="005F185F">
        <w:rPr>
          <w:rFonts w:eastAsia="ＭＳ 明朝" w:hint="eastAsia"/>
          <w:sz w:val="22"/>
          <w:lang w:val="en-US"/>
        </w:rPr>
        <w:t xml:space="preserve">ollowing </w:t>
      </w:r>
      <w:r w:rsidR="00657291">
        <w:rPr>
          <w:rFonts w:eastAsia="ＭＳ 明朝" w:hint="eastAsia"/>
          <w:sz w:val="22"/>
          <w:lang w:val="en-US"/>
        </w:rPr>
        <w:t>a</w:t>
      </w:r>
      <w:r>
        <w:rPr>
          <w:rFonts w:eastAsia="ＭＳ 明朝" w:hint="eastAsia"/>
          <w:sz w:val="22"/>
          <w:lang w:val="en-US"/>
        </w:rPr>
        <w:t>greements have been achieved at the previous RAN1 meetings are taken into account</w:t>
      </w:r>
      <w:r>
        <w:rPr>
          <w:rFonts w:eastAsia="ＭＳ 明朝"/>
          <w:sz w:val="22"/>
          <w:lang w:val="en-US"/>
        </w:rPr>
        <w:t xml:space="preserve"> [4]</w:t>
      </w:r>
      <w:r w:rsidR="005F185F">
        <w:rPr>
          <w:rFonts w:eastAsia="ＭＳ 明朝"/>
          <w:sz w:val="22"/>
          <w:lang w:val="en-US"/>
        </w:rPr>
        <w:t xml:space="preserve"> </w:t>
      </w:r>
      <w:r>
        <w:rPr>
          <w:rFonts w:eastAsia="ＭＳ 明朝"/>
          <w:sz w:val="22"/>
          <w:lang w:val="en-US"/>
        </w:rPr>
        <w:t>-</w:t>
      </w:r>
      <w:r w:rsidR="005F185F">
        <w:rPr>
          <w:rFonts w:eastAsia="ＭＳ 明朝"/>
          <w:sz w:val="22"/>
          <w:lang w:val="en-US"/>
        </w:rPr>
        <w:t xml:space="preserve"> </w:t>
      </w:r>
      <w:r>
        <w:rPr>
          <w:rFonts w:eastAsia="ＭＳ 明朝"/>
          <w:sz w:val="22"/>
          <w:lang w:val="en-US"/>
        </w:rPr>
        <w:t>[5]</w:t>
      </w:r>
      <w:r w:rsidR="00657291">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657291" w14:paraId="0DEB0051" w14:textId="77777777" w:rsidTr="00657291">
        <w:tc>
          <w:tcPr>
            <w:tcW w:w="10170" w:type="dxa"/>
          </w:tcPr>
          <w:p w14:paraId="578E8B62" w14:textId="77777777" w:rsidR="00E57E65" w:rsidRPr="007166AB" w:rsidRDefault="00E57E65" w:rsidP="00E57E65">
            <w:pPr>
              <w:spacing w:after="0"/>
              <w:jc w:val="both"/>
              <w:rPr>
                <w:rFonts w:eastAsia="ＭＳ 明朝"/>
                <w:b/>
                <w:sz w:val="22"/>
                <w:u w:val="single"/>
                <w:lang w:val="en-US"/>
              </w:rPr>
            </w:pPr>
            <w:r w:rsidRPr="007166AB">
              <w:rPr>
                <w:rFonts w:eastAsia="ＭＳ 明朝" w:hint="eastAsia"/>
                <w:b/>
                <w:sz w:val="22"/>
                <w:highlight w:val="green"/>
                <w:u w:val="single"/>
                <w:lang w:val="en-US"/>
              </w:rPr>
              <w:t>Agreements</w:t>
            </w:r>
            <w:r w:rsidRPr="007166AB">
              <w:rPr>
                <w:rFonts w:eastAsia="ＭＳ 明朝"/>
                <w:b/>
                <w:sz w:val="22"/>
                <w:highlight w:val="green"/>
                <w:u w:val="single"/>
                <w:lang w:val="en-US"/>
              </w:rPr>
              <w:t xml:space="preserve"> at RAN1 AH#2</w:t>
            </w:r>
            <w:r w:rsidRPr="007166AB">
              <w:rPr>
                <w:rFonts w:eastAsia="ＭＳ 明朝" w:hint="eastAsia"/>
                <w:b/>
                <w:sz w:val="22"/>
                <w:highlight w:val="green"/>
                <w:u w:val="single"/>
                <w:lang w:val="en-US"/>
              </w:rPr>
              <w:t>:</w:t>
            </w:r>
          </w:p>
          <w:p w14:paraId="12861EFF" w14:textId="77777777" w:rsidR="00E57E65" w:rsidRPr="007166AB" w:rsidRDefault="00E57E65" w:rsidP="00E57E65">
            <w:pPr>
              <w:numPr>
                <w:ilvl w:val="0"/>
                <w:numId w:val="20"/>
              </w:numPr>
              <w:spacing w:after="0"/>
              <w:jc w:val="both"/>
              <w:rPr>
                <w:rFonts w:eastAsia="ＭＳ 明朝"/>
                <w:sz w:val="22"/>
                <w:lang w:val="en-US"/>
              </w:rPr>
            </w:pPr>
            <w:r w:rsidRPr="007166AB">
              <w:rPr>
                <w:rFonts w:eastAsia="ＭＳ 明朝"/>
                <w:sz w:val="22"/>
                <w:lang w:val="en-US"/>
              </w:rPr>
              <w:t>For downlink preemption indication</w:t>
            </w:r>
          </w:p>
          <w:p w14:paraId="3E5FE1CC" w14:textId="77777777" w:rsidR="00E57E65" w:rsidRPr="00453A63" w:rsidRDefault="00E57E65" w:rsidP="00E57E65">
            <w:pPr>
              <w:numPr>
                <w:ilvl w:val="1"/>
                <w:numId w:val="20"/>
              </w:numPr>
              <w:spacing w:after="0"/>
              <w:jc w:val="both"/>
              <w:rPr>
                <w:rFonts w:eastAsia="ＭＳ 明朝"/>
                <w:sz w:val="22"/>
                <w:lang w:val="en-US"/>
              </w:rPr>
            </w:pPr>
            <w:r w:rsidRPr="00453A63">
              <w:rPr>
                <w:rFonts w:eastAsia="ＭＳ 明朝"/>
                <w:sz w:val="22"/>
                <w:lang w:val="en-US"/>
              </w:rPr>
              <w:t>It is transmitted using a group common DCI in PDCCH</w:t>
            </w:r>
          </w:p>
          <w:p w14:paraId="7F661BAF" w14:textId="77777777" w:rsidR="00E57E65" w:rsidRPr="00453A63" w:rsidRDefault="00E57E65" w:rsidP="00E57E65">
            <w:pPr>
              <w:numPr>
                <w:ilvl w:val="2"/>
                <w:numId w:val="20"/>
              </w:numPr>
              <w:spacing w:after="0"/>
              <w:jc w:val="both"/>
              <w:rPr>
                <w:rFonts w:eastAsia="ＭＳ 明朝"/>
                <w:sz w:val="22"/>
                <w:lang w:val="en-US"/>
              </w:rPr>
            </w:pPr>
            <w:r w:rsidRPr="00453A63">
              <w:rPr>
                <w:rFonts w:eastAsia="ＭＳ 明朝"/>
                <w:sz w:val="22"/>
                <w:lang w:val="en-US"/>
              </w:rPr>
              <w:t>FFS: This group common DCI is transmitted separately from SFI</w:t>
            </w:r>
          </w:p>
          <w:p w14:paraId="0B40FAD8" w14:textId="77777777" w:rsidR="00E57E65" w:rsidRPr="00453A63" w:rsidRDefault="00E57E65" w:rsidP="00E57E65">
            <w:pPr>
              <w:numPr>
                <w:ilvl w:val="2"/>
                <w:numId w:val="20"/>
              </w:numPr>
              <w:spacing w:after="0"/>
              <w:jc w:val="both"/>
              <w:rPr>
                <w:rFonts w:eastAsia="ＭＳ 明朝"/>
                <w:sz w:val="22"/>
                <w:lang w:val="en-US"/>
              </w:rPr>
            </w:pPr>
            <w:r w:rsidRPr="00453A63">
              <w:rPr>
                <w:rFonts w:eastAsia="ＭＳ 明朝"/>
                <w:sz w:val="22"/>
                <w:lang w:val="en-US"/>
              </w:rPr>
              <w:t>Whether a UE needs to monitor preemption indication is configured by RRC signaling</w:t>
            </w:r>
          </w:p>
          <w:p w14:paraId="4521096C" w14:textId="77777777" w:rsidR="00E57E65" w:rsidRDefault="00E57E65" w:rsidP="00E57E65">
            <w:pPr>
              <w:numPr>
                <w:ilvl w:val="2"/>
                <w:numId w:val="20"/>
              </w:numPr>
              <w:spacing w:after="0"/>
              <w:jc w:val="both"/>
              <w:rPr>
                <w:rFonts w:eastAsia="ＭＳ 明朝"/>
                <w:sz w:val="22"/>
                <w:lang w:val="en-US"/>
              </w:rPr>
            </w:pPr>
            <w:r w:rsidRPr="00453A63">
              <w:rPr>
                <w:rFonts w:eastAsia="ＭＳ 明朝"/>
                <w:sz w:val="22"/>
                <w:lang w:val="en-US"/>
              </w:rPr>
              <w:t xml:space="preserve">The granularity of preemption indication in time domain can be configured </w:t>
            </w:r>
          </w:p>
          <w:p w14:paraId="7CE72D1E" w14:textId="1F734E00" w:rsidR="00E57E65" w:rsidRPr="00E57E65" w:rsidRDefault="00E57E65" w:rsidP="00E57E65">
            <w:pPr>
              <w:numPr>
                <w:ilvl w:val="2"/>
                <w:numId w:val="20"/>
              </w:numPr>
              <w:spacing w:after="0"/>
              <w:jc w:val="both"/>
              <w:rPr>
                <w:rFonts w:eastAsia="ＭＳ 明朝"/>
                <w:sz w:val="22"/>
                <w:lang w:val="en-US"/>
              </w:rPr>
            </w:pPr>
            <w:r w:rsidRPr="00E57E65">
              <w:rPr>
                <w:rFonts w:eastAsia="ＭＳ 明朝"/>
                <w:sz w:val="22"/>
                <w:lang w:val="en-US"/>
              </w:rPr>
              <w:t>Details of granularity are FFS</w:t>
            </w:r>
          </w:p>
          <w:p w14:paraId="4BBAC7C4" w14:textId="77777777" w:rsidR="00E57E65" w:rsidRDefault="00E57E65" w:rsidP="00453A63">
            <w:pPr>
              <w:spacing w:after="0"/>
              <w:rPr>
                <w:rFonts w:eastAsia="ＭＳ 明朝"/>
                <w:b/>
                <w:iCs/>
                <w:sz w:val="22"/>
                <w:highlight w:val="green"/>
                <w:u w:val="single"/>
              </w:rPr>
            </w:pPr>
          </w:p>
          <w:p w14:paraId="416AA8DD" w14:textId="4830C534" w:rsidR="00917E34" w:rsidRPr="00453A63" w:rsidRDefault="00917E34" w:rsidP="00453A63">
            <w:pPr>
              <w:spacing w:after="0"/>
              <w:rPr>
                <w:rFonts w:eastAsia="ＭＳ 明朝"/>
                <w:b/>
                <w:iCs/>
                <w:sz w:val="22"/>
                <w:highlight w:val="yellow"/>
                <w:u w:val="single"/>
              </w:rPr>
            </w:pPr>
            <w:r w:rsidRPr="00453A63">
              <w:rPr>
                <w:rFonts w:eastAsia="ＭＳ 明朝" w:hint="eastAsia"/>
                <w:b/>
                <w:iCs/>
                <w:sz w:val="22"/>
                <w:highlight w:val="green"/>
                <w:u w:val="single"/>
              </w:rPr>
              <w:t>Agreements</w:t>
            </w:r>
            <w:r w:rsidR="00453A63">
              <w:rPr>
                <w:rFonts w:eastAsia="ＭＳ 明朝"/>
                <w:b/>
                <w:iCs/>
                <w:sz w:val="22"/>
                <w:highlight w:val="green"/>
                <w:u w:val="single"/>
              </w:rPr>
              <w:t xml:space="preserve"> at RAN1#90</w:t>
            </w:r>
            <w:r w:rsidRPr="00453A63">
              <w:rPr>
                <w:rFonts w:eastAsia="ＭＳ 明朝" w:hint="eastAsia"/>
                <w:b/>
                <w:iCs/>
                <w:sz w:val="22"/>
                <w:highlight w:val="green"/>
                <w:u w:val="single"/>
              </w:rPr>
              <w:t>:</w:t>
            </w:r>
          </w:p>
          <w:p w14:paraId="33DD036C" w14:textId="77777777" w:rsidR="00917E34" w:rsidRPr="00453A63" w:rsidRDefault="00917E34" w:rsidP="00453A63">
            <w:pPr>
              <w:numPr>
                <w:ilvl w:val="0"/>
                <w:numId w:val="21"/>
              </w:numPr>
              <w:tabs>
                <w:tab w:val="left" w:pos="426"/>
              </w:tabs>
              <w:spacing w:after="0"/>
              <w:rPr>
                <w:rFonts w:eastAsia="ＭＳ 明朝"/>
                <w:iCs/>
                <w:sz w:val="22"/>
                <w:lang w:val="en-US"/>
              </w:rPr>
            </w:pPr>
            <w:r w:rsidRPr="00453A63">
              <w:rPr>
                <w:rFonts w:eastAsia="ＭＳ 明朝"/>
                <w:iCs/>
                <w:sz w:val="22"/>
                <w:lang w:val="en-US"/>
              </w:rPr>
              <w:t>Preempted resource(s) within a certain time/frequency region (i.e. reference downlink resource) within the periodicity to monitor group common DCI for pre-emption indication, is indicated by the group common DCI carrying the preemption indication</w:t>
            </w:r>
          </w:p>
          <w:p w14:paraId="40D9179B" w14:textId="77777777" w:rsidR="00917E34" w:rsidRPr="00453A63" w:rsidRDefault="00917E34" w:rsidP="00453A63">
            <w:pPr>
              <w:numPr>
                <w:ilvl w:val="1"/>
                <w:numId w:val="21"/>
              </w:numPr>
              <w:tabs>
                <w:tab w:val="clear" w:pos="1440"/>
                <w:tab w:val="left" w:pos="426"/>
              </w:tabs>
              <w:spacing w:after="0"/>
              <w:rPr>
                <w:rFonts w:eastAsia="ＭＳ 明朝"/>
                <w:iCs/>
                <w:sz w:val="22"/>
                <w:lang w:val="en-US"/>
              </w:rPr>
            </w:pPr>
            <w:r w:rsidRPr="00453A63">
              <w:rPr>
                <w:rFonts w:eastAsia="ＭＳ 明朝"/>
                <w:iCs/>
                <w:sz w:val="22"/>
                <w:lang w:val="en-US"/>
              </w:rPr>
              <w:t>The frequency region of the reference downlink resource is configured semi-statically</w:t>
            </w:r>
          </w:p>
          <w:p w14:paraId="636B7930" w14:textId="77777777" w:rsidR="00917E34" w:rsidRPr="00453A63" w:rsidRDefault="00917E34" w:rsidP="00453A63">
            <w:pPr>
              <w:numPr>
                <w:ilvl w:val="2"/>
                <w:numId w:val="21"/>
              </w:numPr>
              <w:tabs>
                <w:tab w:val="left" w:pos="426"/>
              </w:tabs>
              <w:spacing w:after="0"/>
              <w:rPr>
                <w:rFonts w:eastAsia="ＭＳ 明朝"/>
                <w:iCs/>
                <w:sz w:val="22"/>
                <w:lang w:val="en-US"/>
              </w:rPr>
            </w:pPr>
            <w:r w:rsidRPr="00453A63">
              <w:rPr>
                <w:rFonts w:eastAsia="ＭＳ 明朝"/>
                <w:iCs/>
                <w:sz w:val="22"/>
                <w:lang w:val="en-US"/>
              </w:rPr>
              <w:t>FFS: explicit signaling or implicitly derived by other RRC signalling</w:t>
            </w:r>
          </w:p>
          <w:p w14:paraId="2D150526" w14:textId="77777777" w:rsidR="00917E34" w:rsidRPr="00453A63" w:rsidRDefault="00917E34" w:rsidP="00453A63">
            <w:pPr>
              <w:numPr>
                <w:ilvl w:val="1"/>
                <w:numId w:val="21"/>
              </w:numPr>
              <w:tabs>
                <w:tab w:val="clear" w:pos="1440"/>
                <w:tab w:val="left" w:pos="426"/>
              </w:tabs>
              <w:spacing w:after="0"/>
              <w:rPr>
                <w:rFonts w:eastAsia="ＭＳ 明朝"/>
                <w:iCs/>
                <w:sz w:val="22"/>
                <w:lang w:val="en-US"/>
              </w:rPr>
            </w:pPr>
            <w:r w:rsidRPr="00453A63">
              <w:rPr>
                <w:rFonts w:eastAsia="ＭＳ 明朝"/>
                <w:iCs/>
                <w:sz w:val="22"/>
                <w:lang w:val="en-US"/>
              </w:rPr>
              <w:t xml:space="preserve">The time region of the reference downlink resource is configured semi-statically </w:t>
            </w:r>
          </w:p>
          <w:p w14:paraId="1A734D10" w14:textId="77777777" w:rsidR="00917E34" w:rsidRPr="00453A63" w:rsidRDefault="00917E34" w:rsidP="00453A63">
            <w:pPr>
              <w:numPr>
                <w:ilvl w:val="2"/>
                <w:numId w:val="21"/>
              </w:numPr>
              <w:tabs>
                <w:tab w:val="left" w:pos="426"/>
              </w:tabs>
              <w:spacing w:after="0"/>
              <w:rPr>
                <w:rFonts w:eastAsia="ＭＳ 明朝"/>
                <w:iCs/>
                <w:sz w:val="22"/>
                <w:lang w:val="en-US"/>
              </w:rPr>
            </w:pPr>
            <w:r w:rsidRPr="00453A63">
              <w:rPr>
                <w:rFonts w:eastAsia="ＭＳ 明朝"/>
                <w:iCs/>
                <w:sz w:val="22"/>
                <w:lang w:val="en-US"/>
              </w:rPr>
              <w:t>FFS: explicit signaling or implicitly derived by other RRC signalling</w:t>
            </w:r>
          </w:p>
          <w:p w14:paraId="54601283" w14:textId="77777777" w:rsidR="00917E34" w:rsidRPr="00453A63" w:rsidRDefault="00917E34" w:rsidP="00453A63">
            <w:pPr>
              <w:numPr>
                <w:ilvl w:val="0"/>
                <w:numId w:val="21"/>
              </w:numPr>
              <w:tabs>
                <w:tab w:val="left" w:pos="426"/>
              </w:tabs>
              <w:spacing w:after="0"/>
              <w:rPr>
                <w:rFonts w:eastAsia="ＭＳ 明朝"/>
                <w:iCs/>
                <w:sz w:val="22"/>
                <w:lang w:val="en-US"/>
              </w:rPr>
            </w:pPr>
            <w:r w:rsidRPr="00453A63">
              <w:rPr>
                <w:rFonts w:eastAsia="ＭＳ 明朝"/>
                <w:iCs/>
                <w:sz w:val="22"/>
                <w:lang w:val="en-US"/>
              </w:rPr>
              <w:t>The frequency granularity of pre-emption indication is configured to be y RBs within the reference downlink resource for the given numerology</w:t>
            </w:r>
          </w:p>
          <w:p w14:paraId="04B3122C" w14:textId="77777777" w:rsidR="00917E34" w:rsidRPr="00453A63" w:rsidRDefault="00917E34" w:rsidP="00453A63">
            <w:pPr>
              <w:numPr>
                <w:ilvl w:val="2"/>
                <w:numId w:val="21"/>
              </w:numPr>
              <w:tabs>
                <w:tab w:val="left" w:pos="426"/>
              </w:tabs>
              <w:spacing w:after="0"/>
              <w:rPr>
                <w:rFonts w:eastAsia="ＭＳ 明朝"/>
                <w:iCs/>
                <w:sz w:val="22"/>
                <w:lang w:val="en-US"/>
              </w:rPr>
            </w:pPr>
            <w:r w:rsidRPr="00453A63">
              <w:rPr>
                <w:rFonts w:eastAsia="ＭＳ 明朝"/>
                <w:iCs/>
                <w:sz w:val="22"/>
                <w:lang w:val="en-US"/>
              </w:rPr>
              <w:t>FFS: explicit signaling or implicitly derived by other RRC signalling</w:t>
            </w:r>
          </w:p>
          <w:p w14:paraId="64CCC8A5" w14:textId="77777777" w:rsidR="00917E34" w:rsidRPr="00453A63" w:rsidRDefault="00917E34" w:rsidP="00453A63">
            <w:pPr>
              <w:numPr>
                <w:ilvl w:val="2"/>
                <w:numId w:val="21"/>
              </w:numPr>
              <w:tabs>
                <w:tab w:val="left" w:pos="426"/>
              </w:tabs>
              <w:spacing w:after="0"/>
              <w:rPr>
                <w:rFonts w:eastAsia="ＭＳ 明朝"/>
                <w:iCs/>
                <w:sz w:val="22"/>
                <w:lang w:val="en-US"/>
              </w:rPr>
            </w:pPr>
            <w:r w:rsidRPr="00453A63">
              <w:rPr>
                <w:rFonts w:eastAsia="ＭＳ 明朝"/>
                <w:iCs/>
                <w:sz w:val="22"/>
                <w:lang w:val="en-US"/>
              </w:rPr>
              <w:t>Note: The y RBs can correspond to the whole frequency region of the downlink reference resource.</w:t>
            </w:r>
          </w:p>
          <w:p w14:paraId="1F3A57A8" w14:textId="77777777" w:rsidR="00917E34" w:rsidRPr="00453A63" w:rsidRDefault="00917E34" w:rsidP="00453A63">
            <w:pPr>
              <w:numPr>
                <w:ilvl w:val="0"/>
                <w:numId w:val="21"/>
              </w:numPr>
              <w:tabs>
                <w:tab w:val="left" w:pos="426"/>
              </w:tabs>
              <w:spacing w:after="0"/>
              <w:rPr>
                <w:rFonts w:eastAsia="ＭＳ 明朝"/>
                <w:iCs/>
                <w:sz w:val="22"/>
                <w:lang w:val="en-US"/>
              </w:rPr>
            </w:pPr>
            <w:r w:rsidRPr="00453A63">
              <w:rPr>
                <w:rFonts w:eastAsia="ＭＳ 明朝"/>
                <w:iCs/>
                <w:sz w:val="22"/>
                <w:lang w:val="en-US"/>
              </w:rPr>
              <w:t>The time granularity of pre-emption indication is configured to be x symbols within the reference downlink resource for the given numerology</w:t>
            </w:r>
          </w:p>
          <w:p w14:paraId="1C418939" w14:textId="77777777" w:rsidR="00917E34" w:rsidRPr="00453A63" w:rsidRDefault="00917E34" w:rsidP="00453A63">
            <w:pPr>
              <w:numPr>
                <w:ilvl w:val="2"/>
                <w:numId w:val="21"/>
              </w:numPr>
              <w:tabs>
                <w:tab w:val="left" w:pos="426"/>
              </w:tabs>
              <w:spacing w:after="0"/>
              <w:rPr>
                <w:rFonts w:eastAsia="ＭＳ 明朝"/>
                <w:iCs/>
                <w:sz w:val="22"/>
                <w:lang w:val="en-US"/>
              </w:rPr>
            </w:pPr>
            <w:r w:rsidRPr="00453A63">
              <w:rPr>
                <w:rFonts w:eastAsia="ＭＳ 明朝"/>
                <w:iCs/>
                <w:sz w:val="22"/>
                <w:lang w:val="en-US"/>
              </w:rPr>
              <w:t>FFS: explicit signaling or implicitly derived by other RRC signalling</w:t>
            </w:r>
          </w:p>
          <w:p w14:paraId="233D9E34" w14:textId="7FFBEF79" w:rsidR="007166AB" w:rsidRPr="00E57E65" w:rsidRDefault="00917E34" w:rsidP="00E57E65">
            <w:pPr>
              <w:numPr>
                <w:ilvl w:val="0"/>
                <w:numId w:val="21"/>
              </w:numPr>
              <w:tabs>
                <w:tab w:val="left" w:pos="426"/>
              </w:tabs>
              <w:spacing w:after="0"/>
              <w:rPr>
                <w:rFonts w:eastAsia="ＭＳ 明朝"/>
                <w:iCs/>
                <w:sz w:val="22"/>
                <w:lang w:val="en-US"/>
              </w:rPr>
            </w:pPr>
            <w:r w:rsidRPr="00453A63">
              <w:rPr>
                <w:rFonts w:eastAsia="ＭＳ 明朝"/>
                <w:iCs/>
                <w:sz w:val="22"/>
                <w:lang w:val="en-US"/>
              </w:rPr>
              <w:lastRenderedPageBreak/>
              <w:t>Note: Time/frequency granularities of pre-emption indication should take into account the payload size of the group common DCI carrying the pre-emption indication</w:t>
            </w:r>
          </w:p>
        </w:tc>
      </w:tr>
    </w:tbl>
    <w:p w14:paraId="52C28A01" w14:textId="77777777" w:rsidR="00657291" w:rsidRDefault="00657291" w:rsidP="00AB28A6">
      <w:pPr>
        <w:spacing w:afterLines="50" w:after="120"/>
        <w:jc w:val="both"/>
        <w:rPr>
          <w:rFonts w:eastAsia="ＭＳ 明朝"/>
          <w:sz w:val="22"/>
          <w:lang w:val="en-US"/>
        </w:rPr>
      </w:pPr>
    </w:p>
    <w:p w14:paraId="408AFFCA" w14:textId="18B42258" w:rsidR="009B284C" w:rsidRPr="005D0A85" w:rsidRDefault="006A09A7" w:rsidP="00A65BF3">
      <w:pPr>
        <w:pStyle w:val="1"/>
        <w:numPr>
          <w:ilvl w:val="0"/>
          <w:numId w:val="5"/>
        </w:numPr>
        <w:spacing w:after="120"/>
        <w:jc w:val="both"/>
        <w:rPr>
          <w:b/>
          <w:lang w:val="en-US"/>
        </w:rPr>
      </w:pPr>
      <w:r>
        <w:rPr>
          <w:b/>
          <w:lang w:val="en-US"/>
        </w:rPr>
        <w:t>Signaling of pre-emption indication</w:t>
      </w:r>
    </w:p>
    <w:p w14:paraId="0E802D3F" w14:textId="4E4DFF12" w:rsidR="00241194" w:rsidRDefault="00525C0D" w:rsidP="00CE6AFD">
      <w:pPr>
        <w:spacing w:afterLines="50" w:after="120"/>
        <w:jc w:val="both"/>
        <w:rPr>
          <w:rFonts w:eastAsia="ＭＳ 明朝"/>
          <w:sz w:val="22"/>
          <w:lang w:val="en-US"/>
        </w:rPr>
      </w:pPr>
      <w:r>
        <w:rPr>
          <w:rFonts w:eastAsia="ＭＳ 明朝"/>
          <w:sz w:val="22"/>
          <w:lang w:val="en-US"/>
        </w:rPr>
        <w:t>Pre-emption indication i</w:t>
      </w:r>
      <w:r w:rsidR="004C4F92">
        <w:rPr>
          <w:rFonts w:eastAsia="ＭＳ 明朝"/>
          <w:sz w:val="22"/>
          <w:lang w:val="en-US"/>
        </w:rPr>
        <w:t>s carried by a group-</w:t>
      </w:r>
      <w:r>
        <w:rPr>
          <w:rFonts w:eastAsia="ＭＳ 明朝"/>
          <w:sz w:val="22"/>
          <w:lang w:val="en-US"/>
        </w:rPr>
        <w:t xml:space="preserve">common DCI in PDCCH. It is FFS whether it is the group-common PDCCH carrying SFI. </w:t>
      </w:r>
      <w:r w:rsidR="004C4F92">
        <w:rPr>
          <w:rFonts w:eastAsia="ＭＳ 明朝"/>
          <w:sz w:val="22"/>
          <w:lang w:val="en-US"/>
        </w:rPr>
        <w:t>We believe that the group-common PDCCH carrying SFI is the same structure as regular PDCCH (e.g., CRC attached, Polar coded, QPSK modulated, mapped on physical resources, based on the same rules as for regular PDCCH)</w:t>
      </w:r>
      <w:r w:rsidR="00453A63">
        <w:rPr>
          <w:rFonts w:eastAsia="ＭＳ 明朝"/>
          <w:sz w:val="22"/>
          <w:lang w:val="en-US"/>
        </w:rPr>
        <w:t xml:space="preserve"> [3]</w:t>
      </w:r>
      <w:r w:rsidR="00241194">
        <w:rPr>
          <w:rFonts w:eastAsia="ＭＳ 明朝"/>
          <w:sz w:val="22"/>
          <w:lang w:val="en-US"/>
        </w:rPr>
        <w:t>.</w:t>
      </w:r>
      <w:r w:rsidR="004C4F92">
        <w:rPr>
          <w:rFonts w:eastAsia="ＭＳ 明朝"/>
          <w:sz w:val="22"/>
          <w:lang w:val="en-US"/>
        </w:rPr>
        <w:t xml:space="preserve"> </w:t>
      </w:r>
      <w:r w:rsidR="00241194">
        <w:rPr>
          <w:rFonts w:eastAsia="ＭＳ 明朝"/>
          <w:sz w:val="22"/>
          <w:lang w:val="en-US"/>
        </w:rPr>
        <w:t xml:space="preserve">The SFI is expected to be smaller payload (e.g., 3~4 bits) compared to regular DCI and therefore, remaining payload of the group-common PDCCH can be used for other purposes. Therefore, rather than defining a new group-common DCI separately from the group-common PDCCH, it is much simpler and </w:t>
      </w:r>
      <w:r>
        <w:rPr>
          <w:rFonts w:eastAsia="ＭＳ 明朝"/>
          <w:sz w:val="22"/>
          <w:lang w:val="en-US"/>
        </w:rPr>
        <w:t>beneficial to support pre-emption indication by the group-common PDCCH</w:t>
      </w:r>
      <w:r w:rsidR="00B07642" w:rsidRPr="00B07642">
        <w:rPr>
          <w:rFonts w:eastAsia="ＭＳ 明朝"/>
          <w:sz w:val="22"/>
          <w:lang w:val="en-US"/>
        </w:rPr>
        <w:t xml:space="preserve">. </w:t>
      </w:r>
    </w:p>
    <w:p w14:paraId="1350C5EB" w14:textId="66075406" w:rsidR="00525C0D" w:rsidRDefault="00435393" w:rsidP="00CE6AFD">
      <w:pPr>
        <w:spacing w:afterLines="50" w:after="120"/>
        <w:jc w:val="both"/>
        <w:rPr>
          <w:rFonts w:eastAsia="ＭＳ 明朝"/>
          <w:sz w:val="22"/>
          <w:lang w:val="en-US"/>
        </w:rPr>
      </w:pPr>
      <w:r>
        <w:rPr>
          <w:rFonts w:eastAsia="ＭＳ 明朝"/>
          <w:sz w:val="22"/>
          <w:lang w:val="en-US"/>
        </w:rPr>
        <w:t>Note that SFI and pre-emption indication should be configured separately and independently; a</w:t>
      </w:r>
      <w:r w:rsidR="00525C0D">
        <w:rPr>
          <w:rFonts w:eastAsia="ＭＳ 明朝"/>
          <w:sz w:val="22"/>
          <w:lang w:val="en-US"/>
        </w:rPr>
        <w:t xml:space="preserve"> UE</w:t>
      </w:r>
      <w:r w:rsidR="001A4B06">
        <w:rPr>
          <w:rFonts w:eastAsia="ＭＳ 明朝"/>
          <w:sz w:val="22"/>
          <w:lang w:val="en-US"/>
        </w:rPr>
        <w:t xml:space="preserve"> can be configured to monitor </w:t>
      </w:r>
      <w:r w:rsidR="00525C0D">
        <w:rPr>
          <w:rFonts w:eastAsia="ＭＳ 明朝"/>
          <w:sz w:val="22"/>
          <w:lang w:val="en-US"/>
        </w:rPr>
        <w:t xml:space="preserve">group-common PDCCH carrying </w:t>
      </w:r>
      <w:r w:rsidR="00EB2333">
        <w:rPr>
          <w:rFonts w:eastAsia="ＭＳ 明朝"/>
          <w:sz w:val="22"/>
          <w:lang w:val="en-US"/>
        </w:rPr>
        <w:t xml:space="preserve">either or </w:t>
      </w:r>
      <w:r w:rsidR="00525C0D">
        <w:rPr>
          <w:rFonts w:eastAsia="ＭＳ 明朝"/>
          <w:sz w:val="22"/>
          <w:lang w:val="en-US"/>
        </w:rPr>
        <w:t xml:space="preserve">both </w:t>
      </w:r>
      <w:r w:rsidR="00EB2333">
        <w:rPr>
          <w:rFonts w:eastAsia="ＭＳ 明朝"/>
          <w:sz w:val="22"/>
          <w:lang w:val="en-US"/>
        </w:rPr>
        <w:t xml:space="preserve">of </w:t>
      </w:r>
      <w:r w:rsidR="00525C0D">
        <w:rPr>
          <w:rFonts w:eastAsia="ＭＳ 明朝"/>
          <w:sz w:val="22"/>
          <w:lang w:val="en-US"/>
        </w:rPr>
        <w:t>SFI and pre-emption indication</w:t>
      </w:r>
      <w:r w:rsidR="002F249B">
        <w:rPr>
          <w:rFonts w:eastAsia="ＭＳ 明朝"/>
          <w:sz w:val="22"/>
          <w:lang w:val="en-US"/>
        </w:rPr>
        <w:t>.</w:t>
      </w:r>
    </w:p>
    <w:p w14:paraId="1AA32F98" w14:textId="77777777" w:rsidR="00F44620" w:rsidRPr="00D501B3" w:rsidRDefault="00F44620" w:rsidP="00F44620">
      <w:pPr>
        <w:spacing w:afterLines="50" w:after="120"/>
        <w:jc w:val="both"/>
        <w:rPr>
          <w:rFonts w:eastAsia="ＭＳ 明朝"/>
          <w:b/>
          <w:sz w:val="22"/>
          <w:u w:val="single"/>
          <w:lang w:val="en-US"/>
        </w:rPr>
      </w:pPr>
      <w:r w:rsidRPr="00D501B3">
        <w:rPr>
          <w:rFonts w:eastAsia="ＭＳ 明朝"/>
          <w:b/>
          <w:sz w:val="22"/>
          <w:u w:val="single"/>
          <w:lang w:val="en-US"/>
        </w:rPr>
        <w:t>Proposal 1:</w:t>
      </w:r>
    </w:p>
    <w:p w14:paraId="01658FB9" w14:textId="2E0C57A1" w:rsidR="00F44620" w:rsidRDefault="007E0716" w:rsidP="00F44620">
      <w:pPr>
        <w:pStyle w:val="afc"/>
        <w:numPr>
          <w:ilvl w:val="0"/>
          <w:numId w:val="16"/>
        </w:numPr>
        <w:spacing w:afterLines="50" w:after="120"/>
        <w:ind w:leftChars="0"/>
        <w:jc w:val="both"/>
        <w:rPr>
          <w:rFonts w:eastAsia="ＭＳ 明朝"/>
          <w:i/>
          <w:sz w:val="22"/>
          <w:lang w:val="en-US"/>
        </w:rPr>
      </w:pPr>
      <w:r>
        <w:rPr>
          <w:rFonts w:eastAsia="ＭＳ 明朝"/>
          <w:i/>
          <w:sz w:val="22"/>
          <w:lang w:val="en-US"/>
        </w:rPr>
        <w:t>Pre-emption indication is included in a group-common PDCCH.</w:t>
      </w:r>
    </w:p>
    <w:p w14:paraId="2A8A824C" w14:textId="68A63ABA" w:rsidR="007D799C" w:rsidRDefault="007D799C" w:rsidP="007D799C">
      <w:pPr>
        <w:pStyle w:val="afc"/>
        <w:numPr>
          <w:ilvl w:val="1"/>
          <w:numId w:val="16"/>
        </w:numPr>
        <w:spacing w:afterLines="50" w:after="120"/>
        <w:ind w:leftChars="0"/>
        <w:jc w:val="both"/>
        <w:rPr>
          <w:rFonts w:eastAsia="ＭＳ 明朝"/>
          <w:i/>
          <w:sz w:val="22"/>
          <w:lang w:val="en-US"/>
        </w:rPr>
      </w:pPr>
      <w:r>
        <w:rPr>
          <w:rFonts w:eastAsia="ＭＳ 明朝"/>
          <w:i/>
          <w:sz w:val="22"/>
          <w:lang w:val="en-US"/>
        </w:rPr>
        <w:t>UE can be configured to monitor group-common PDCCH carrying either or both of SFI and pre-emption indication.</w:t>
      </w:r>
    </w:p>
    <w:p w14:paraId="54BD5768" w14:textId="77777777" w:rsidR="006A09A7" w:rsidRPr="00F44620" w:rsidRDefault="006A09A7" w:rsidP="00CE6AFD">
      <w:pPr>
        <w:spacing w:afterLines="50" w:after="120"/>
        <w:jc w:val="both"/>
        <w:rPr>
          <w:rFonts w:eastAsia="ＭＳ 明朝"/>
          <w:sz w:val="22"/>
          <w:lang w:val="en-US"/>
        </w:rPr>
      </w:pPr>
    </w:p>
    <w:p w14:paraId="68E19078" w14:textId="04647B55" w:rsidR="006A09A7" w:rsidRPr="005D0A85" w:rsidRDefault="00F13D30" w:rsidP="006A09A7">
      <w:pPr>
        <w:pStyle w:val="1"/>
        <w:numPr>
          <w:ilvl w:val="0"/>
          <w:numId w:val="5"/>
        </w:numPr>
        <w:spacing w:after="120"/>
        <w:jc w:val="both"/>
        <w:rPr>
          <w:b/>
          <w:lang w:val="en-US"/>
        </w:rPr>
      </w:pPr>
      <w:r>
        <w:rPr>
          <w:b/>
          <w:lang w:val="en-US"/>
        </w:rPr>
        <w:t>Pre-emption indication g</w:t>
      </w:r>
      <w:r w:rsidR="006A09A7">
        <w:rPr>
          <w:b/>
          <w:lang w:val="en-US"/>
        </w:rPr>
        <w:t>ranula</w:t>
      </w:r>
      <w:r>
        <w:rPr>
          <w:b/>
          <w:lang w:val="en-US"/>
        </w:rPr>
        <w:t>rity for</w:t>
      </w:r>
      <w:r w:rsidR="006A09A7">
        <w:rPr>
          <w:b/>
          <w:lang w:val="en-US"/>
        </w:rPr>
        <w:t xml:space="preserve"> </w:t>
      </w:r>
      <w:r>
        <w:rPr>
          <w:b/>
          <w:lang w:val="en-US"/>
        </w:rPr>
        <w:t xml:space="preserve">time/frequency resources </w:t>
      </w:r>
    </w:p>
    <w:p w14:paraId="794BDB9F" w14:textId="3C195B4E" w:rsidR="009A6110" w:rsidRDefault="009A6110" w:rsidP="00CE6AFD">
      <w:pPr>
        <w:spacing w:afterLines="50" w:after="120"/>
        <w:jc w:val="both"/>
        <w:rPr>
          <w:rFonts w:eastAsia="ＭＳ 明朝"/>
          <w:sz w:val="22"/>
          <w:lang w:val="en-US"/>
        </w:rPr>
      </w:pPr>
      <w:r>
        <w:rPr>
          <w:rFonts w:eastAsia="ＭＳ 明朝" w:hint="eastAsia"/>
          <w:sz w:val="22"/>
          <w:lang w:val="en-US"/>
        </w:rPr>
        <w:t xml:space="preserve">For </w:t>
      </w:r>
      <w:r>
        <w:rPr>
          <w:rFonts w:eastAsia="ＭＳ 明朝"/>
          <w:sz w:val="22"/>
          <w:lang w:val="en-US"/>
        </w:rPr>
        <w:t xml:space="preserve">a </w:t>
      </w:r>
      <w:r>
        <w:rPr>
          <w:rFonts w:eastAsia="ＭＳ 明朝" w:hint="eastAsia"/>
          <w:sz w:val="22"/>
          <w:lang w:val="en-US"/>
        </w:rPr>
        <w:t xml:space="preserve">data scheduling, </w:t>
      </w:r>
      <w:r>
        <w:rPr>
          <w:rFonts w:eastAsia="ＭＳ 明朝"/>
          <w:sz w:val="22"/>
          <w:lang w:val="en-US"/>
        </w:rPr>
        <w:t xml:space="preserve">the scheduling </w:t>
      </w:r>
      <w:r>
        <w:rPr>
          <w:rFonts w:eastAsia="ＭＳ 明朝" w:hint="eastAsia"/>
          <w:sz w:val="22"/>
          <w:lang w:val="en-US"/>
        </w:rPr>
        <w:t xml:space="preserve">DCI has time/frequency resource allocation field(s). </w:t>
      </w:r>
      <w:r>
        <w:rPr>
          <w:rFonts w:eastAsia="ＭＳ 明朝"/>
          <w:sz w:val="22"/>
          <w:lang w:val="en-US"/>
        </w:rPr>
        <w:t xml:space="preserve">Since pre-emption indication </w:t>
      </w:r>
      <w:r w:rsidR="00272794">
        <w:rPr>
          <w:rFonts w:eastAsia="ＭＳ 明朝"/>
          <w:sz w:val="22"/>
          <w:lang w:val="en-US"/>
        </w:rPr>
        <w:t>can be interpreted as the indication for</w:t>
      </w:r>
      <w:r>
        <w:rPr>
          <w:rFonts w:eastAsia="ＭＳ 明朝"/>
          <w:sz w:val="22"/>
          <w:lang w:val="en-US"/>
        </w:rPr>
        <w:t xml:space="preserve"> “pre-empted resources” for the</w:t>
      </w:r>
      <w:r w:rsidR="00114B6D">
        <w:rPr>
          <w:rFonts w:eastAsia="ＭＳ 明朝"/>
          <w:sz w:val="22"/>
          <w:lang w:val="en-US"/>
        </w:rPr>
        <w:t xml:space="preserve"> monitoring</w:t>
      </w:r>
      <w:r>
        <w:rPr>
          <w:rFonts w:eastAsia="ＭＳ 明朝"/>
          <w:sz w:val="22"/>
          <w:lang w:val="en-US"/>
        </w:rPr>
        <w:t xml:space="preserve"> UE, it is </w:t>
      </w:r>
      <w:r w:rsidR="00272794">
        <w:rPr>
          <w:rFonts w:eastAsia="ＭＳ 明朝"/>
          <w:sz w:val="22"/>
          <w:lang w:val="en-US"/>
        </w:rPr>
        <w:t>worthwhile to consider re-using</w:t>
      </w:r>
      <w:r>
        <w:rPr>
          <w:rFonts w:eastAsia="ＭＳ 明朝"/>
          <w:sz w:val="22"/>
          <w:lang w:val="en-US"/>
        </w:rPr>
        <w:t xml:space="preserve"> resource allocation field(s) of the scheduling DCI for the pre-emption indication. </w:t>
      </w:r>
    </w:p>
    <w:p w14:paraId="4A39C748" w14:textId="66ECBD20" w:rsidR="008966B6" w:rsidRDefault="00BF0DC6" w:rsidP="00CE6AFD">
      <w:pPr>
        <w:spacing w:afterLines="50" w:after="120"/>
        <w:jc w:val="both"/>
        <w:rPr>
          <w:rFonts w:eastAsia="ＭＳ 明朝"/>
          <w:sz w:val="22"/>
          <w:lang w:val="en-US"/>
        </w:rPr>
      </w:pPr>
      <w:r>
        <w:rPr>
          <w:rFonts w:eastAsia="ＭＳ 明朝"/>
          <w:sz w:val="22"/>
          <w:lang w:val="en-US"/>
        </w:rPr>
        <w:t xml:space="preserve">For </w:t>
      </w:r>
      <w:r w:rsidR="007D799C">
        <w:rPr>
          <w:rFonts w:eastAsia="ＭＳ 明朝"/>
          <w:sz w:val="22"/>
          <w:lang w:val="en-US"/>
        </w:rPr>
        <w:t>slot-based scheduling</w:t>
      </w:r>
      <w:r>
        <w:rPr>
          <w:rFonts w:eastAsia="ＭＳ 明朝"/>
          <w:sz w:val="22"/>
          <w:lang w:val="en-US"/>
        </w:rPr>
        <w:t xml:space="preserve">, a data </w:t>
      </w:r>
      <w:r w:rsidR="00316712">
        <w:rPr>
          <w:rFonts w:eastAsia="ＭＳ 明朝"/>
          <w:sz w:val="22"/>
          <w:lang w:val="en-US"/>
        </w:rPr>
        <w:t xml:space="preserve">is typically scheduled </w:t>
      </w:r>
      <w:r>
        <w:rPr>
          <w:rFonts w:eastAsia="ＭＳ 明朝"/>
          <w:sz w:val="22"/>
          <w:lang w:val="en-US"/>
        </w:rPr>
        <w:t xml:space="preserve">over a slot or slightly smaller than a slot. </w:t>
      </w:r>
      <w:r w:rsidR="000A4CED">
        <w:rPr>
          <w:rFonts w:eastAsia="ＭＳ 明朝"/>
          <w:sz w:val="22"/>
          <w:lang w:val="en-US"/>
        </w:rPr>
        <w:t xml:space="preserve">Therefore, the DCI for </w:t>
      </w:r>
      <w:r w:rsidR="00272794">
        <w:rPr>
          <w:rFonts w:eastAsia="ＭＳ 明朝"/>
          <w:sz w:val="22"/>
          <w:lang w:val="en-US"/>
        </w:rPr>
        <w:t>slot-based scheduling</w:t>
      </w:r>
      <w:r w:rsidR="000A4CED">
        <w:rPr>
          <w:rFonts w:eastAsia="ＭＳ 明朝"/>
          <w:sz w:val="22"/>
          <w:lang w:val="en-US"/>
        </w:rPr>
        <w:t xml:space="preserve"> should have resource allocation field</w:t>
      </w:r>
      <w:r w:rsidR="00114B6D">
        <w:rPr>
          <w:rFonts w:eastAsia="ＭＳ 明朝"/>
          <w:sz w:val="22"/>
          <w:lang w:val="en-US"/>
        </w:rPr>
        <w:t>(s)</w:t>
      </w:r>
      <w:r w:rsidR="000A4CED">
        <w:rPr>
          <w:rFonts w:eastAsia="ＭＳ 明朝"/>
          <w:sz w:val="22"/>
          <w:lang w:val="en-US"/>
        </w:rPr>
        <w:t xml:space="preserve"> with fine granularity for frequency-domain </w:t>
      </w:r>
      <w:r w:rsidR="006B5DF5">
        <w:rPr>
          <w:rFonts w:eastAsia="ＭＳ 明朝"/>
          <w:sz w:val="22"/>
          <w:lang w:val="en-US"/>
        </w:rPr>
        <w:t xml:space="preserve">(e.g., RBG-level bit-map) </w:t>
      </w:r>
      <w:r w:rsidR="000A4CED">
        <w:rPr>
          <w:rFonts w:eastAsia="ＭＳ 明朝"/>
          <w:sz w:val="22"/>
          <w:lang w:val="en-US"/>
        </w:rPr>
        <w:t>and coarse granularity for time-domain</w:t>
      </w:r>
      <w:r w:rsidR="006B5DF5">
        <w:rPr>
          <w:rFonts w:eastAsia="ＭＳ 明朝"/>
          <w:sz w:val="22"/>
          <w:lang w:val="en-US"/>
        </w:rPr>
        <w:t xml:space="preserve"> (e.g., </w:t>
      </w:r>
      <w:r w:rsidR="00114B6D">
        <w:rPr>
          <w:rFonts w:eastAsia="ＭＳ 明朝"/>
          <w:sz w:val="22"/>
          <w:lang w:val="en-US"/>
        </w:rPr>
        <w:t>a few bits</w:t>
      </w:r>
      <w:r w:rsidR="006B5DF5">
        <w:rPr>
          <w:rFonts w:eastAsia="ＭＳ 明朝"/>
          <w:sz w:val="22"/>
          <w:lang w:val="en-US"/>
        </w:rPr>
        <w:t xml:space="preserve"> indication of starting position/duration)</w:t>
      </w:r>
      <w:r w:rsidR="000A4CED">
        <w:rPr>
          <w:rFonts w:eastAsia="ＭＳ 明朝"/>
          <w:sz w:val="22"/>
          <w:lang w:val="en-US"/>
        </w:rPr>
        <w:t xml:space="preserve">. </w:t>
      </w:r>
      <w:r>
        <w:rPr>
          <w:rFonts w:eastAsia="ＭＳ 明朝"/>
          <w:sz w:val="22"/>
          <w:lang w:val="en-US"/>
        </w:rPr>
        <w:t xml:space="preserve">For </w:t>
      </w:r>
      <w:r w:rsidR="00272794">
        <w:rPr>
          <w:rFonts w:eastAsia="ＭＳ 明朝"/>
          <w:sz w:val="22"/>
          <w:lang w:val="en-US"/>
        </w:rPr>
        <w:t xml:space="preserve">non-slot-based scheduling (e.g., for </w:t>
      </w:r>
      <w:r w:rsidR="00114B6D">
        <w:rPr>
          <w:rFonts w:eastAsia="ＭＳ 明朝"/>
          <w:sz w:val="22"/>
          <w:lang w:val="en-US"/>
        </w:rPr>
        <w:t>low-latency services</w:t>
      </w:r>
      <w:r w:rsidR="00272794">
        <w:rPr>
          <w:rFonts w:eastAsia="ＭＳ 明朝"/>
          <w:sz w:val="22"/>
          <w:lang w:val="en-US"/>
        </w:rPr>
        <w:t>)</w:t>
      </w:r>
      <w:r>
        <w:rPr>
          <w:rFonts w:eastAsia="ＭＳ 明朝"/>
          <w:sz w:val="22"/>
          <w:lang w:val="en-US"/>
        </w:rPr>
        <w:t xml:space="preserve">, </w:t>
      </w:r>
      <w:r w:rsidR="009A6110">
        <w:rPr>
          <w:rFonts w:eastAsia="ＭＳ 明朝"/>
          <w:sz w:val="22"/>
          <w:lang w:val="en-US"/>
        </w:rPr>
        <w:t xml:space="preserve">DCI should have less payload to lower coding </w:t>
      </w:r>
      <w:r w:rsidR="00272794">
        <w:rPr>
          <w:rFonts w:eastAsia="ＭＳ 明朝"/>
          <w:sz w:val="22"/>
          <w:lang w:val="en-US"/>
        </w:rPr>
        <w:t>rate or save overhead,</w:t>
      </w:r>
      <w:r w:rsidR="009A6110">
        <w:rPr>
          <w:rFonts w:eastAsia="ＭＳ 明朝"/>
          <w:sz w:val="22"/>
          <w:lang w:val="en-US"/>
        </w:rPr>
        <w:t xml:space="preserve"> and typically </w:t>
      </w:r>
      <w:r w:rsidR="00272794">
        <w:rPr>
          <w:rFonts w:eastAsia="ＭＳ 明朝"/>
          <w:sz w:val="22"/>
          <w:lang w:val="en-US"/>
        </w:rPr>
        <w:t>the scheduled data is close to the DCI in time,</w:t>
      </w:r>
      <w:r w:rsidR="009A6110">
        <w:rPr>
          <w:rFonts w:eastAsia="ＭＳ 明朝"/>
          <w:sz w:val="22"/>
          <w:lang w:val="en-US"/>
        </w:rPr>
        <w:t xml:space="preserve"> so that the delay between the DCI and the scheduled data is minimal. </w:t>
      </w:r>
      <w:r w:rsidR="00316712">
        <w:rPr>
          <w:rFonts w:eastAsia="ＭＳ 明朝"/>
          <w:sz w:val="22"/>
          <w:lang w:val="en-US"/>
        </w:rPr>
        <w:t>Therefore</w:t>
      </w:r>
      <w:r w:rsidR="009A6110">
        <w:rPr>
          <w:rFonts w:eastAsia="ＭＳ 明朝"/>
          <w:sz w:val="22"/>
          <w:lang w:val="en-US"/>
        </w:rPr>
        <w:t xml:space="preserve">, </w:t>
      </w:r>
      <w:r w:rsidR="00316712">
        <w:rPr>
          <w:rFonts w:eastAsia="ＭＳ 明朝"/>
          <w:sz w:val="22"/>
          <w:lang w:val="en-US"/>
        </w:rPr>
        <w:t xml:space="preserve">the </w:t>
      </w:r>
      <w:r w:rsidR="009A6110">
        <w:rPr>
          <w:rFonts w:eastAsia="ＭＳ 明朝"/>
          <w:sz w:val="22"/>
          <w:lang w:val="en-US"/>
        </w:rPr>
        <w:t xml:space="preserve">DCI for </w:t>
      </w:r>
      <w:r w:rsidR="00272794">
        <w:rPr>
          <w:rFonts w:eastAsia="ＭＳ 明朝"/>
          <w:sz w:val="22"/>
          <w:lang w:val="en-US"/>
        </w:rPr>
        <w:t>low-latency</w:t>
      </w:r>
      <w:r w:rsidR="009A6110">
        <w:rPr>
          <w:rFonts w:eastAsia="ＭＳ 明朝"/>
          <w:sz w:val="22"/>
          <w:lang w:val="en-US"/>
        </w:rPr>
        <w:t xml:space="preserve"> data </w:t>
      </w:r>
      <w:r w:rsidR="00114B6D">
        <w:rPr>
          <w:rFonts w:eastAsia="ＭＳ 明朝"/>
          <w:sz w:val="22"/>
          <w:lang w:val="en-US"/>
        </w:rPr>
        <w:t xml:space="preserve">could have </w:t>
      </w:r>
      <w:r w:rsidR="009A6110">
        <w:rPr>
          <w:rFonts w:eastAsia="ＭＳ 明朝"/>
          <w:sz w:val="22"/>
          <w:lang w:val="en-US"/>
        </w:rPr>
        <w:t>resource allocation field</w:t>
      </w:r>
      <w:r w:rsidR="00114B6D">
        <w:rPr>
          <w:rFonts w:eastAsia="ＭＳ 明朝"/>
          <w:sz w:val="22"/>
          <w:lang w:val="en-US"/>
        </w:rPr>
        <w:t>(s)</w:t>
      </w:r>
      <w:r w:rsidR="009A6110">
        <w:rPr>
          <w:rFonts w:eastAsia="ＭＳ 明朝"/>
          <w:sz w:val="22"/>
          <w:lang w:val="en-US"/>
        </w:rPr>
        <w:t xml:space="preserve"> with coarse granularity in both frequency and time-domains. </w:t>
      </w:r>
      <w:r w:rsidR="00316712">
        <w:rPr>
          <w:rFonts w:eastAsia="ＭＳ 明朝"/>
          <w:sz w:val="22"/>
          <w:lang w:val="en-US"/>
        </w:rPr>
        <w:t xml:space="preserve">The desirable granularity of pre-emption indication for time/frequency resources is </w:t>
      </w:r>
      <w:r w:rsidR="00E8681F">
        <w:rPr>
          <w:rFonts w:eastAsia="ＭＳ 明朝"/>
          <w:sz w:val="22"/>
          <w:lang w:val="en-US"/>
        </w:rPr>
        <w:t>fine for time-domain</w:t>
      </w:r>
      <w:r w:rsidR="008966B6">
        <w:rPr>
          <w:rFonts w:eastAsia="ＭＳ 明朝"/>
          <w:sz w:val="22"/>
          <w:lang w:val="en-US"/>
        </w:rPr>
        <w:t xml:space="preserve"> and fine/coarse in frequency-domain</w:t>
      </w:r>
      <w:r w:rsidR="00FA11CA">
        <w:rPr>
          <w:rFonts w:eastAsia="ＭＳ 明朝"/>
          <w:sz w:val="22"/>
          <w:lang w:val="en-US"/>
        </w:rPr>
        <w:t>; which</w:t>
      </w:r>
      <w:r w:rsidR="008966B6">
        <w:rPr>
          <w:rFonts w:eastAsia="ＭＳ 明朝"/>
          <w:sz w:val="22"/>
          <w:lang w:val="en-US"/>
        </w:rPr>
        <w:t xml:space="preserve"> is </w:t>
      </w:r>
      <w:r w:rsidR="00FA11CA">
        <w:rPr>
          <w:rFonts w:eastAsia="ＭＳ 明朝"/>
          <w:sz w:val="22"/>
          <w:lang w:val="en-US"/>
        </w:rPr>
        <w:t xml:space="preserve">NOT </w:t>
      </w:r>
      <w:r w:rsidR="008966B6">
        <w:rPr>
          <w:rFonts w:eastAsia="ＭＳ 明朝"/>
          <w:sz w:val="22"/>
          <w:lang w:val="en-US"/>
        </w:rPr>
        <w:t xml:space="preserve">aligned either with </w:t>
      </w:r>
      <w:r w:rsidR="00FA11CA">
        <w:rPr>
          <w:rFonts w:eastAsia="ＭＳ 明朝"/>
          <w:sz w:val="22"/>
          <w:lang w:val="en-US"/>
        </w:rPr>
        <w:t xml:space="preserve">that for </w:t>
      </w:r>
      <w:r w:rsidR="00272794">
        <w:rPr>
          <w:rFonts w:eastAsia="ＭＳ 明朝"/>
          <w:sz w:val="22"/>
          <w:lang w:val="en-US"/>
        </w:rPr>
        <w:t>slot-based scheduling</w:t>
      </w:r>
      <w:r w:rsidR="008966B6">
        <w:rPr>
          <w:rFonts w:eastAsia="ＭＳ 明朝"/>
          <w:sz w:val="22"/>
          <w:lang w:val="en-US"/>
        </w:rPr>
        <w:t xml:space="preserve"> or </w:t>
      </w:r>
      <w:r w:rsidR="00272794">
        <w:rPr>
          <w:rFonts w:eastAsia="ＭＳ 明朝"/>
          <w:sz w:val="22"/>
          <w:lang w:val="en-US"/>
        </w:rPr>
        <w:t>non-slot-based scheduling</w:t>
      </w:r>
      <w:r w:rsidR="008966B6">
        <w:rPr>
          <w:rFonts w:eastAsia="ＭＳ 明朝"/>
          <w:sz w:val="22"/>
          <w:lang w:val="en-US"/>
        </w:rPr>
        <w:t>.</w:t>
      </w:r>
      <w:bookmarkStart w:id="7" w:name="_GoBack"/>
      <w:bookmarkEnd w:id="7"/>
    </w:p>
    <w:p w14:paraId="7B220193" w14:textId="27A32F03" w:rsidR="006B5DF5" w:rsidRDefault="006B5DF5" w:rsidP="00CE6AFD">
      <w:pPr>
        <w:spacing w:afterLines="50" w:after="120"/>
        <w:jc w:val="both"/>
        <w:rPr>
          <w:rFonts w:eastAsia="ＭＳ 明朝"/>
          <w:sz w:val="22"/>
          <w:lang w:val="en-US"/>
        </w:rPr>
      </w:pPr>
      <w:r>
        <w:rPr>
          <w:rFonts w:eastAsia="ＭＳ 明朝"/>
          <w:sz w:val="22"/>
          <w:lang w:val="en-US"/>
        </w:rPr>
        <w:t xml:space="preserve">The </w:t>
      </w:r>
      <w:r w:rsidR="00E83F57">
        <w:rPr>
          <w:rFonts w:eastAsia="ＭＳ 明朝"/>
          <w:sz w:val="22"/>
          <w:lang w:val="en-US"/>
        </w:rPr>
        <w:t>resource granularity</w:t>
      </w:r>
      <w:r>
        <w:rPr>
          <w:rFonts w:eastAsia="ＭＳ 明朝"/>
          <w:sz w:val="22"/>
          <w:lang w:val="en-US"/>
        </w:rPr>
        <w:t xml:space="preserve"> of pre-empted resource should be aligned with </w:t>
      </w:r>
      <w:r w:rsidR="00E83F57">
        <w:rPr>
          <w:rFonts w:eastAsia="ＭＳ 明朝"/>
          <w:sz w:val="22"/>
          <w:lang w:val="en-US"/>
        </w:rPr>
        <w:t xml:space="preserve">that for </w:t>
      </w:r>
      <w:r>
        <w:rPr>
          <w:rFonts w:eastAsia="ＭＳ 明朝"/>
          <w:sz w:val="22"/>
          <w:lang w:val="en-US"/>
        </w:rPr>
        <w:t>URLLC data. Therefore, the granularity of time/frequency resources for pre-emption indication should be discussed together with the resource allocation mechanism</w:t>
      </w:r>
      <w:r w:rsidR="00FA11CA">
        <w:rPr>
          <w:rFonts w:eastAsia="ＭＳ 明朝"/>
          <w:sz w:val="22"/>
          <w:lang w:val="en-US"/>
        </w:rPr>
        <w:t>/granularity</w:t>
      </w:r>
      <w:r>
        <w:rPr>
          <w:rFonts w:eastAsia="ＭＳ 明朝"/>
          <w:sz w:val="22"/>
          <w:lang w:val="en-US"/>
        </w:rPr>
        <w:t xml:space="preserve"> for URLLC data.</w:t>
      </w:r>
    </w:p>
    <w:p w14:paraId="45372724" w14:textId="2B8A2E52" w:rsidR="006B5DF5" w:rsidRPr="00D501B3" w:rsidRDefault="006B5DF5" w:rsidP="006B5DF5">
      <w:pPr>
        <w:spacing w:afterLines="50" w:after="120"/>
        <w:jc w:val="both"/>
        <w:rPr>
          <w:rFonts w:eastAsia="ＭＳ 明朝"/>
          <w:b/>
          <w:sz w:val="22"/>
          <w:u w:val="single"/>
          <w:lang w:val="en-US"/>
        </w:rPr>
      </w:pPr>
      <w:r>
        <w:rPr>
          <w:rFonts w:eastAsia="ＭＳ 明朝"/>
          <w:b/>
          <w:sz w:val="22"/>
          <w:u w:val="single"/>
          <w:lang w:val="en-US"/>
        </w:rPr>
        <w:t>Proposal 2</w:t>
      </w:r>
      <w:r w:rsidRPr="00D501B3">
        <w:rPr>
          <w:rFonts w:eastAsia="ＭＳ 明朝"/>
          <w:b/>
          <w:sz w:val="22"/>
          <w:u w:val="single"/>
          <w:lang w:val="en-US"/>
        </w:rPr>
        <w:t>:</w:t>
      </w:r>
    </w:p>
    <w:p w14:paraId="6FE56173" w14:textId="1C6A0D5F" w:rsidR="006B5DF5" w:rsidRDefault="006B5DF5" w:rsidP="006B5DF5">
      <w:pPr>
        <w:pStyle w:val="afc"/>
        <w:numPr>
          <w:ilvl w:val="0"/>
          <w:numId w:val="16"/>
        </w:numPr>
        <w:spacing w:afterLines="50" w:after="120"/>
        <w:ind w:leftChars="0"/>
        <w:jc w:val="both"/>
        <w:rPr>
          <w:rFonts w:eastAsia="ＭＳ 明朝"/>
          <w:i/>
          <w:sz w:val="22"/>
          <w:lang w:val="en-US"/>
        </w:rPr>
      </w:pPr>
      <w:r>
        <w:rPr>
          <w:rFonts w:eastAsia="ＭＳ 明朝"/>
          <w:i/>
          <w:sz w:val="22"/>
          <w:lang w:val="en-US"/>
        </w:rPr>
        <w:t>Granularity of time/frequency resources for pre-emption indication should be discussed together with the resource allocation mechanism</w:t>
      </w:r>
      <w:r w:rsidR="004F0E62">
        <w:rPr>
          <w:rFonts w:eastAsia="ＭＳ 明朝"/>
          <w:i/>
          <w:sz w:val="22"/>
          <w:lang w:val="en-US"/>
        </w:rPr>
        <w:t>/granularity</w:t>
      </w:r>
      <w:r>
        <w:rPr>
          <w:rFonts w:eastAsia="ＭＳ 明朝"/>
          <w:i/>
          <w:sz w:val="22"/>
          <w:lang w:val="en-US"/>
        </w:rPr>
        <w:t xml:space="preserve"> for URLLC data.</w:t>
      </w:r>
    </w:p>
    <w:p w14:paraId="43FED1B2" w14:textId="1BEC6F40" w:rsidR="00287F93" w:rsidRDefault="00287F93" w:rsidP="007A29D2">
      <w:pPr>
        <w:spacing w:afterLines="50" w:after="120"/>
        <w:jc w:val="both"/>
        <w:rPr>
          <w:rFonts w:eastAsia="ＭＳ 明朝"/>
          <w:sz w:val="22"/>
          <w:lang w:val="en-US"/>
        </w:rPr>
      </w:pPr>
    </w:p>
    <w:p w14:paraId="14BB827D" w14:textId="1F9BB5D3" w:rsidR="007D799C" w:rsidRPr="005D0A85" w:rsidRDefault="007D799C" w:rsidP="007D799C">
      <w:pPr>
        <w:pStyle w:val="1"/>
        <w:numPr>
          <w:ilvl w:val="0"/>
          <w:numId w:val="5"/>
        </w:numPr>
        <w:spacing w:after="120"/>
        <w:jc w:val="both"/>
        <w:rPr>
          <w:b/>
          <w:lang w:val="en-US"/>
        </w:rPr>
      </w:pPr>
      <w:r>
        <w:rPr>
          <w:b/>
          <w:lang w:val="en-US"/>
        </w:rPr>
        <w:t>UE procedure when the PDSCH pre-emption is indicated</w:t>
      </w:r>
    </w:p>
    <w:p w14:paraId="58749B40" w14:textId="39347129" w:rsidR="007D799C" w:rsidRDefault="007D799C" w:rsidP="007A29D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w:t>
      </w:r>
      <w:r>
        <w:rPr>
          <w:rFonts w:eastAsia="ＭＳ 明朝" w:hint="eastAsia"/>
          <w:sz w:val="22"/>
          <w:lang w:val="en-US"/>
        </w:rPr>
        <w:t xml:space="preserve">e </w:t>
      </w:r>
      <w:r>
        <w:rPr>
          <w:rFonts w:eastAsia="ＭＳ 明朝"/>
          <w:sz w:val="22"/>
          <w:lang w:val="en-US"/>
        </w:rPr>
        <w:t xml:space="preserve">pre-emption indication is </w:t>
      </w:r>
      <w:r w:rsidR="003209E0">
        <w:rPr>
          <w:rFonts w:eastAsia="ＭＳ 明朝"/>
          <w:sz w:val="22"/>
          <w:lang w:val="en-US"/>
        </w:rPr>
        <w:t>targeting to inform puncturing a data with</w:t>
      </w:r>
      <w:r>
        <w:rPr>
          <w:rFonts w:eastAsia="ＭＳ 明朝"/>
          <w:sz w:val="22"/>
          <w:lang w:val="en-US"/>
        </w:rPr>
        <w:t xml:space="preserve"> slot-based scheduling. The UE receiving PDSCH starts demodulation/decoding procedure; channel estimation, demodulation, and decoding. If the UE receives pre-emption indication </w:t>
      </w:r>
      <w:r w:rsidR="00A1540B">
        <w:rPr>
          <w:rFonts w:eastAsia="ＭＳ 明朝"/>
          <w:sz w:val="22"/>
          <w:lang w:val="en-US"/>
        </w:rPr>
        <w:t>informing</w:t>
      </w:r>
      <w:r>
        <w:rPr>
          <w:rFonts w:eastAsia="ＭＳ 明朝"/>
          <w:sz w:val="22"/>
          <w:lang w:val="en-US"/>
        </w:rPr>
        <w:t xml:space="preserve"> </w:t>
      </w:r>
      <w:r w:rsidR="003209E0">
        <w:rPr>
          <w:rFonts w:eastAsia="ＭＳ 明朝"/>
          <w:sz w:val="22"/>
          <w:lang w:val="en-US"/>
        </w:rPr>
        <w:t>the punctured resource</w:t>
      </w:r>
      <w:r>
        <w:rPr>
          <w:rFonts w:eastAsia="ＭＳ 明朝"/>
          <w:sz w:val="22"/>
          <w:lang w:val="en-US"/>
        </w:rPr>
        <w:t xml:space="preserve"> in the PDSCH, the UE </w:t>
      </w:r>
      <w:r w:rsidR="003209E0">
        <w:rPr>
          <w:rFonts w:eastAsia="ＭＳ 明朝"/>
          <w:sz w:val="22"/>
          <w:lang w:val="en-US"/>
        </w:rPr>
        <w:t xml:space="preserve">should </w:t>
      </w:r>
      <w:r w:rsidR="00A1540B">
        <w:rPr>
          <w:rFonts w:eastAsia="ＭＳ 明朝"/>
          <w:sz w:val="22"/>
          <w:lang w:val="en-US"/>
        </w:rPr>
        <w:t xml:space="preserve">re-start </w:t>
      </w:r>
      <w:r w:rsidR="003209E0">
        <w:rPr>
          <w:rFonts w:eastAsia="ＭＳ 明朝"/>
          <w:sz w:val="22"/>
          <w:lang w:val="en-US"/>
        </w:rPr>
        <w:t>demodulation/decoding procedure</w:t>
      </w:r>
      <w:r w:rsidR="00A1540B">
        <w:rPr>
          <w:rFonts w:eastAsia="ＭＳ 明朝"/>
          <w:sz w:val="22"/>
          <w:lang w:val="en-US"/>
        </w:rPr>
        <w:t xml:space="preserve"> taking into account </w:t>
      </w:r>
      <w:r w:rsidR="003209E0">
        <w:rPr>
          <w:rFonts w:eastAsia="ＭＳ 明朝"/>
          <w:sz w:val="22"/>
          <w:lang w:val="en-US"/>
        </w:rPr>
        <w:t>the received parts in the</w:t>
      </w:r>
      <w:r w:rsidR="00A1540B">
        <w:rPr>
          <w:rFonts w:eastAsia="ＭＳ 明朝"/>
          <w:sz w:val="22"/>
          <w:lang w:val="en-US"/>
        </w:rPr>
        <w:t xml:space="preserve"> pre-empted resource</w:t>
      </w:r>
      <w:r w:rsidR="003209E0">
        <w:rPr>
          <w:rFonts w:eastAsia="ＭＳ 明朝"/>
          <w:sz w:val="22"/>
          <w:lang w:val="en-US"/>
        </w:rPr>
        <w:t>s</w:t>
      </w:r>
      <w:r w:rsidR="00A1540B">
        <w:rPr>
          <w:rFonts w:eastAsia="ＭＳ 明朝"/>
          <w:sz w:val="22"/>
          <w:lang w:val="en-US"/>
        </w:rPr>
        <w:t xml:space="preserve"> are not reliable.</w:t>
      </w:r>
    </w:p>
    <w:p w14:paraId="6435F1B1" w14:textId="77777777" w:rsidR="00237AD4" w:rsidRDefault="00A1540B" w:rsidP="007A29D2">
      <w:pPr>
        <w:spacing w:afterLines="50" w:after="120"/>
        <w:jc w:val="both"/>
        <w:rPr>
          <w:rFonts w:eastAsia="ＭＳ 明朝"/>
          <w:sz w:val="22"/>
          <w:lang w:val="en-US"/>
        </w:rPr>
      </w:pPr>
      <w:r>
        <w:rPr>
          <w:rFonts w:eastAsia="ＭＳ 明朝"/>
          <w:sz w:val="22"/>
          <w:lang w:val="en-US"/>
        </w:rPr>
        <w:lastRenderedPageBreak/>
        <w:t>UE needs a certain time interval to report HARQ-ACK based on t</w:t>
      </w:r>
      <w:r w:rsidR="003209E0">
        <w:rPr>
          <w:rFonts w:eastAsia="ＭＳ 明朝"/>
          <w:sz w:val="22"/>
          <w:lang w:val="en-US"/>
        </w:rPr>
        <w:t>he decoding result of a PDSCH. R</w:t>
      </w:r>
      <w:r w:rsidR="002D28BA">
        <w:rPr>
          <w:rFonts w:eastAsia="ＭＳ 明朝"/>
          <w:sz w:val="22"/>
          <w:lang w:val="en-US"/>
        </w:rPr>
        <w:t xml:space="preserve">eception of pre-emption indication for a </w:t>
      </w:r>
      <w:r w:rsidR="002D28BA">
        <w:rPr>
          <w:rFonts w:eastAsia="ＭＳ 明朝" w:hint="eastAsia"/>
          <w:sz w:val="22"/>
          <w:lang w:val="en-US"/>
        </w:rPr>
        <w:t xml:space="preserve">PDSCH may have impact on HARQ timeline for the PDSCH. </w:t>
      </w:r>
      <w:r w:rsidR="000C234A">
        <w:rPr>
          <w:rFonts w:eastAsia="ＭＳ 明朝"/>
          <w:sz w:val="22"/>
          <w:lang w:val="en-US"/>
        </w:rPr>
        <w:t>For example, if the HARQ-ACK timing is the minimum timing the UE can process, if the pre-emption indication is received after the PDSCH reception, the UE may not be able to feedback HARQ-ACK at the timing indicated by the scheduling DCI.</w:t>
      </w:r>
      <w:r w:rsidR="003209E0">
        <w:rPr>
          <w:rFonts w:eastAsia="ＭＳ 明朝"/>
          <w:sz w:val="22"/>
          <w:lang w:val="en-US"/>
        </w:rPr>
        <w:t xml:space="preserve"> </w:t>
      </w:r>
    </w:p>
    <w:p w14:paraId="230F36EC" w14:textId="57927491" w:rsidR="00237AD4" w:rsidRDefault="00237AD4" w:rsidP="00237AD4">
      <w:pPr>
        <w:spacing w:afterLines="50" w:after="120"/>
        <w:jc w:val="center"/>
        <w:rPr>
          <w:rFonts w:eastAsia="ＭＳ 明朝"/>
          <w:sz w:val="22"/>
          <w:lang w:val="en-US"/>
        </w:rPr>
      </w:pPr>
      <w:r w:rsidRPr="00237AD4">
        <w:rPr>
          <w:rFonts w:eastAsia="ＭＳ 明朝"/>
          <w:noProof/>
          <w:sz w:val="22"/>
          <w:lang w:val="en-US" w:eastAsia="zh-CN"/>
        </w:rPr>
        <w:drawing>
          <wp:inline distT="0" distB="0" distL="0" distR="0" wp14:anchorId="288EC482" wp14:editId="08C70220">
            <wp:extent cx="5912919" cy="29908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29209" cy="2999090"/>
                    </a:xfrm>
                    <a:prstGeom prst="rect">
                      <a:avLst/>
                    </a:prstGeom>
                  </pic:spPr>
                </pic:pic>
              </a:graphicData>
            </a:graphic>
          </wp:inline>
        </w:drawing>
      </w:r>
    </w:p>
    <w:p w14:paraId="0545D553" w14:textId="4528E063" w:rsidR="00237AD4" w:rsidRDefault="00237AD4" w:rsidP="00237AD4">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Timeline for data decoding with pre-emption indication.</w:t>
      </w:r>
    </w:p>
    <w:p w14:paraId="19BABD26" w14:textId="77777777" w:rsidR="00237AD4" w:rsidRPr="00237AD4" w:rsidRDefault="00237AD4" w:rsidP="007A29D2">
      <w:pPr>
        <w:spacing w:afterLines="50" w:after="120"/>
        <w:jc w:val="both"/>
        <w:rPr>
          <w:rFonts w:eastAsia="ＭＳ 明朝"/>
          <w:sz w:val="22"/>
          <w:lang w:val="en-US"/>
        </w:rPr>
      </w:pPr>
    </w:p>
    <w:p w14:paraId="5C4E5AC8" w14:textId="0485FB88" w:rsidR="000C234A" w:rsidRDefault="000C234A" w:rsidP="007A29D2">
      <w:pPr>
        <w:spacing w:afterLines="50" w:after="120"/>
        <w:jc w:val="both"/>
        <w:rPr>
          <w:rFonts w:eastAsia="ＭＳ 明朝"/>
          <w:sz w:val="22"/>
          <w:lang w:val="en-US"/>
        </w:rPr>
      </w:pPr>
      <w:r>
        <w:rPr>
          <w:rFonts w:eastAsia="ＭＳ 明朝"/>
          <w:sz w:val="22"/>
          <w:lang w:val="en-US"/>
        </w:rPr>
        <w:t>In order to address this issue, following options can be considered:</w:t>
      </w:r>
    </w:p>
    <w:p w14:paraId="31575776" w14:textId="78C0873C" w:rsidR="000C234A" w:rsidRDefault="000C234A" w:rsidP="007A29D2">
      <w:pPr>
        <w:spacing w:afterLines="50" w:after="120"/>
        <w:jc w:val="both"/>
        <w:rPr>
          <w:rFonts w:eastAsia="ＭＳ 明朝"/>
          <w:sz w:val="22"/>
          <w:lang w:val="en-US"/>
        </w:rPr>
      </w:pPr>
      <w:r>
        <w:rPr>
          <w:rFonts w:eastAsia="ＭＳ 明朝"/>
          <w:sz w:val="22"/>
          <w:lang w:val="en-US"/>
        </w:rPr>
        <w:t xml:space="preserve">Option 1: </w:t>
      </w:r>
      <w:r w:rsidR="00C66511">
        <w:rPr>
          <w:rFonts w:eastAsia="ＭＳ 明朝"/>
          <w:sz w:val="22"/>
          <w:lang w:val="en-US"/>
        </w:rPr>
        <w:t>Based on</w:t>
      </w:r>
      <w:r>
        <w:rPr>
          <w:rFonts w:eastAsia="ＭＳ 明朝"/>
          <w:sz w:val="22"/>
          <w:lang w:val="en-US"/>
        </w:rPr>
        <w:t xml:space="preserve"> the pre-emption indication, HARQ-ACK timing </w:t>
      </w:r>
      <w:r w:rsidR="00C66511">
        <w:rPr>
          <w:rFonts w:eastAsia="ＭＳ 明朝"/>
          <w:sz w:val="22"/>
          <w:lang w:val="en-US"/>
        </w:rPr>
        <w:t>is updated.</w:t>
      </w:r>
    </w:p>
    <w:p w14:paraId="0D10FB71" w14:textId="2D1F6B7F" w:rsidR="00C66511" w:rsidRDefault="00C66511" w:rsidP="007A29D2">
      <w:pPr>
        <w:spacing w:afterLines="50" w:after="120"/>
        <w:jc w:val="both"/>
        <w:rPr>
          <w:rFonts w:eastAsia="ＭＳ 明朝"/>
          <w:sz w:val="22"/>
          <w:lang w:val="en-US"/>
        </w:rPr>
      </w:pPr>
      <w:r>
        <w:rPr>
          <w:rFonts w:eastAsia="ＭＳ 明朝"/>
          <w:sz w:val="22"/>
          <w:lang w:val="en-US"/>
        </w:rPr>
        <w:t>Option 2: Together with the pre-emption indication, HARQ-ACK timing</w:t>
      </w:r>
      <w:r w:rsidR="003209E0">
        <w:rPr>
          <w:rFonts w:eastAsia="ＭＳ 明朝"/>
          <w:sz w:val="22"/>
          <w:lang w:val="en-US"/>
        </w:rPr>
        <w:t>/resource update information</w:t>
      </w:r>
      <w:r>
        <w:rPr>
          <w:rFonts w:eastAsia="ＭＳ 明朝"/>
          <w:sz w:val="22"/>
          <w:lang w:val="en-US"/>
        </w:rPr>
        <w:t xml:space="preserve"> is </w:t>
      </w:r>
      <w:r w:rsidR="003209E0">
        <w:rPr>
          <w:rFonts w:eastAsia="ＭＳ 明朝"/>
          <w:sz w:val="22"/>
          <w:lang w:val="en-US"/>
        </w:rPr>
        <w:t>signaled</w:t>
      </w:r>
      <w:r>
        <w:rPr>
          <w:rFonts w:eastAsia="ＭＳ 明朝"/>
          <w:sz w:val="22"/>
          <w:lang w:val="en-US"/>
        </w:rPr>
        <w:t>.</w:t>
      </w:r>
    </w:p>
    <w:p w14:paraId="1071AB05" w14:textId="3B75C121" w:rsidR="000C234A" w:rsidRDefault="00777F9A" w:rsidP="007A29D2">
      <w:pPr>
        <w:spacing w:afterLines="50" w:after="120"/>
        <w:jc w:val="both"/>
        <w:rPr>
          <w:rFonts w:eastAsia="ＭＳ 明朝"/>
          <w:sz w:val="22"/>
          <w:lang w:val="en-US"/>
        </w:rPr>
      </w:pPr>
      <w:r>
        <w:rPr>
          <w:rFonts w:eastAsia="ＭＳ 明朝"/>
          <w:sz w:val="22"/>
          <w:lang w:val="en-US"/>
        </w:rPr>
        <w:t>Option 3</w:t>
      </w:r>
      <w:r w:rsidR="000C234A">
        <w:rPr>
          <w:rFonts w:eastAsia="ＭＳ 明朝"/>
          <w:sz w:val="22"/>
          <w:lang w:val="en-US"/>
        </w:rPr>
        <w:t>: The scheduling DCI indicates HARQ-ACK timing</w:t>
      </w:r>
      <w:r w:rsidR="003209E0">
        <w:rPr>
          <w:rFonts w:eastAsia="ＭＳ 明朝"/>
          <w:sz w:val="22"/>
          <w:lang w:val="en-US"/>
        </w:rPr>
        <w:t>,</w:t>
      </w:r>
      <w:r w:rsidR="000C234A">
        <w:rPr>
          <w:rFonts w:eastAsia="ＭＳ 明朝"/>
          <w:sz w:val="22"/>
          <w:lang w:val="en-US"/>
        </w:rPr>
        <w:t xml:space="preserve"> such that the time difference between pre-emption indication and the HARQ-ACK timing is equal to or larger than the minimum HARQ timeline.</w:t>
      </w:r>
      <w:r w:rsidR="00F60A5F">
        <w:rPr>
          <w:rFonts w:eastAsia="ＭＳ 明朝"/>
          <w:sz w:val="22"/>
          <w:lang w:val="en-US"/>
        </w:rPr>
        <w:t xml:space="preserve"> In other words, scheduler takes into account the timeline such that the minimum HARQ timeline is ensured after the reception of pre-emption indication.</w:t>
      </w:r>
    </w:p>
    <w:p w14:paraId="2CE91688" w14:textId="12828773" w:rsidR="00C66511" w:rsidRDefault="00F60A5F" w:rsidP="007A29D2">
      <w:pPr>
        <w:spacing w:afterLines="50" w:after="120"/>
        <w:jc w:val="both"/>
        <w:rPr>
          <w:rFonts w:eastAsia="ＭＳ 明朝"/>
          <w:sz w:val="22"/>
          <w:lang w:val="en-US"/>
        </w:rPr>
      </w:pPr>
      <w:r>
        <w:rPr>
          <w:rFonts w:eastAsia="ＭＳ 明朝" w:hint="eastAsia"/>
          <w:sz w:val="22"/>
          <w:lang w:val="en-US"/>
        </w:rPr>
        <w:t>Among them, option 3 would</w:t>
      </w:r>
      <w:r w:rsidR="00777F9A">
        <w:rPr>
          <w:rFonts w:eastAsia="ＭＳ 明朝" w:hint="eastAsia"/>
          <w:sz w:val="22"/>
          <w:lang w:val="en-US"/>
        </w:rPr>
        <w:t xml:space="preserve"> only </w:t>
      </w:r>
      <w:r>
        <w:rPr>
          <w:rFonts w:eastAsia="ＭＳ 明朝"/>
          <w:sz w:val="22"/>
          <w:lang w:val="en-US"/>
        </w:rPr>
        <w:t>be feasible</w:t>
      </w:r>
      <w:r w:rsidR="00777F9A">
        <w:rPr>
          <w:rFonts w:eastAsia="ＭＳ 明朝" w:hint="eastAsia"/>
          <w:sz w:val="22"/>
          <w:lang w:val="en-US"/>
        </w:rPr>
        <w:t xml:space="preserve">. </w:t>
      </w:r>
      <w:r w:rsidR="00777F9A">
        <w:rPr>
          <w:rFonts w:eastAsia="ＭＳ 明朝"/>
          <w:sz w:val="22"/>
          <w:lang w:val="en-US"/>
        </w:rPr>
        <w:t>Option 1 requires network to reserve multiple PUCCH resources for a PDSCH such that pote</w:t>
      </w:r>
      <w:r>
        <w:rPr>
          <w:rFonts w:eastAsia="ＭＳ 明朝"/>
          <w:sz w:val="22"/>
          <w:lang w:val="en-US"/>
        </w:rPr>
        <w:t>ntial pre-emption can be informed</w:t>
      </w:r>
      <w:r w:rsidR="00777F9A">
        <w:rPr>
          <w:rFonts w:eastAsia="ＭＳ 明朝"/>
          <w:sz w:val="22"/>
          <w:lang w:val="en-US"/>
        </w:rPr>
        <w:t xml:space="preserve">. Option 2 is not realistic since the pre-emption indication is transmitted in the group-common </w:t>
      </w:r>
      <w:r>
        <w:rPr>
          <w:rFonts w:eastAsia="ＭＳ 明朝"/>
          <w:sz w:val="22"/>
          <w:lang w:val="en-US"/>
        </w:rPr>
        <w:t>DCI</w:t>
      </w:r>
      <w:r w:rsidR="00777F9A">
        <w:rPr>
          <w:rFonts w:eastAsia="ＭＳ 明朝"/>
          <w:sz w:val="22"/>
          <w:lang w:val="en-US"/>
        </w:rPr>
        <w:t xml:space="preserve">, while the HARQ-ACK </w:t>
      </w:r>
      <w:r w:rsidR="002D32BC">
        <w:rPr>
          <w:rFonts w:eastAsia="ＭＳ 明朝"/>
          <w:sz w:val="22"/>
          <w:lang w:val="en-US"/>
        </w:rPr>
        <w:t xml:space="preserve">feedback </w:t>
      </w:r>
      <w:r w:rsidR="00777F9A">
        <w:rPr>
          <w:rFonts w:eastAsia="ＭＳ 明朝"/>
          <w:sz w:val="22"/>
          <w:lang w:val="en-US"/>
        </w:rPr>
        <w:t>timing</w:t>
      </w:r>
      <w:r w:rsidR="002D32BC">
        <w:rPr>
          <w:rFonts w:eastAsia="ＭＳ 明朝"/>
          <w:sz w:val="22"/>
          <w:lang w:val="en-US"/>
        </w:rPr>
        <w:t>/resource</w:t>
      </w:r>
      <w:r w:rsidR="00777F9A">
        <w:rPr>
          <w:rFonts w:eastAsia="ＭＳ 明朝"/>
          <w:sz w:val="22"/>
          <w:lang w:val="en-US"/>
        </w:rPr>
        <w:t xml:space="preserve"> is UE-specific. </w:t>
      </w:r>
      <w:r>
        <w:rPr>
          <w:rFonts w:eastAsia="ＭＳ 明朝"/>
          <w:sz w:val="22"/>
          <w:lang w:val="en-US"/>
        </w:rPr>
        <w:t xml:space="preserve">Option 3, although it requires to delay the HARQ-ACK </w:t>
      </w:r>
      <w:r w:rsidR="002D32BC">
        <w:rPr>
          <w:rFonts w:eastAsia="ＭＳ 明朝"/>
          <w:sz w:val="22"/>
          <w:lang w:val="en-US"/>
        </w:rPr>
        <w:t xml:space="preserve">feedback </w:t>
      </w:r>
      <w:r>
        <w:rPr>
          <w:rFonts w:eastAsia="ＭＳ 明朝"/>
          <w:sz w:val="22"/>
          <w:lang w:val="en-US"/>
        </w:rPr>
        <w:t xml:space="preserve">timing when </w:t>
      </w:r>
      <w:r w:rsidR="001F0255">
        <w:rPr>
          <w:rFonts w:eastAsia="ＭＳ 明朝"/>
          <w:sz w:val="22"/>
          <w:lang w:val="en-US"/>
        </w:rPr>
        <w:t>monitoring pre-emption indication is configured</w:t>
      </w:r>
      <w:r>
        <w:rPr>
          <w:rFonts w:eastAsia="ＭＳ 明朝"/>
          <w:sz w:val="22"/>
          <w:lang w:val="en-US"/>
        </w:rPr>
        <w:t xml:space="preserve">, </w:t>
      </w:r>
      <w:r w:rsidR="001F0255">
        <w:rPr>
          <w:rFonts w:eastAsia="ＭＳ 明朝"/>
          <w:sz w:val="22"/>
          <w:lang w:val="en-US"/>
        </w:rPr>
        <w:t>could resolve</w:t>
      </w:r>
      <w:r>
        <w:rPr>
          <w:rFonts w:eastAsia="ＭＳ 明朝"/>
          <w:sz w:val="22"/>
          <w:lang w:val="en-US"/>
        </w:rPr>
        <w:t xml:space="preserve"> the issue without harm.</w:t>
      </w:r>
    </w:p>
    <w:p w14:paraId="0BC0CC66" w14:textId="35E0A787" w:rsidR="00777F9A" w:rsidRPr="00777F9A" w:rsidRDefault="00777F9A" w:rsidP="00777F9A">
      <w:pPr>
        <w:spacing w:afterLines="50" w:after="120"/>
        <w:jc w:val="both"/>
        <w:rPr>
          <w:rFonts w:eastAsia="ＭＳ 明朝"/>
          <w:b/>
          <w:sz w:val="22"/>
          <w:u w:val="single"/>
          <w:lang w:val="en-US"/>
        </w:rPr>
      </w:pPr>
      <w:r>
        <w:rPr>
          <w:rFonts w:eastAsia="ＭＳ 明朝"/>
          <w:b/>
          <w:sz w:val="22"/>
          <w:u w:val="single"/>
          <w:lang w:val="en-US"/>
        </w:rPr>
        <w:t>Proposal 3</w:t>
      </w:r>
      <w:r w:rsidRPr="00777F9A">
        <w:rPr>
          <w:rFonts w:eastAsia="ＭＳ 明朝"/>
          <w:b/>
          <w:sz w:val="22"/>
          <w:u w:val="single"/>
          <w:lang w:val="en-US"/>
        </w:rPr>
        <w:t>:</w:t>
      </w:r>
    </w:p>
    <w:p w14:paraId="44DB5C8D" w14:textId="58E0EA5F" w:rsidR="00777F9A" w:rsidRPr="00F60A5F" w:rsidRDefault="00777F9A" w:rsidP="007A29D2">
      <w:pPr>
        <w:numPr>
          <w:ilvl w:val="0"/>
          <w:numId w:val="16"/>
        </w:numPr>
        <w:spacing w:afterLines="50" w:after="120"/>
        <w:jc w:val="both"/>
        <w:rPr>
          <w:rFonts w:eastAsia="ＭＳ 明朝"/>
          <w:i/>
          <w:sz w:val="22"/>
          <w:lang w:val="en-US"/>
        </w:rPr>
      </w:pPr>
      <w:r>
        <w:rPr>
          <w:rFonts w:eastAsia="ＭＳ 明朝"/>
          <w:i/>
          <w:sz w:val="22"/>
          <w:lang w:val="en-US"/>
        </w:rPr>
        <w:t xml:space="preserve">gNB should ensure sufficient time interval for </w:t>
      </w:r>
      <w:r w:rsidR="00F60A5F">
        <w:rPr>
          <w:rFonts w:eastAsia="ＭＳ 明朝"/>
          <w:i/>
          <w:sz w:val="22"/>
          <w:lang w:val="en-US"/>
        </w:rPr>
        <w:t xml:space="preserve">UE </w:t>
      </w:r>
      <w:r>
        <w:rPr>
          <w:rFonts w:eastAsia="ＭＳ 明朝"/>
          <w:i/>
          <w:sz w:val="22"/>
          <w:lang w:val="en-US"/>
        </w:rPr>
        <w:t xml:space="preserve">processing a PDSCH after </w:t>
      </w:r>
      <w:r w:rsidR="00F60A5F">
        <w:rPr>
          <w:rFonts w:eastAsia="ＭＳ 明朝"/>
          <w:i/>
          <w:sz w:val="22"/>
          <w:lang w:val="en-US"/>
        </w:rPr>
        <w:t>receiving a</w:t>
      </w:r>
      <w:r>
        <w:rPr>
          <w:rFonts w:eastAsia="ＭＳ 明朝"/>
          <w:i/>
          <w:sz w:val="22"/>
          <w:lang w:val="en-US"/>
        </w:rPr>
        <w:t xml:space="preserve"> pre-emption indication </w:t>
      </w:r>
      <w:r w:rsidR="00F60A5F">
        <w:rPr>
          <w:rFonts w:eastAsia="ＭＳ 明朝"/>
          <w:i/>
          <w:sz w:val="22"/>
          <w:lang w:val="en-US"/>
        </w:rPr>
        <w:t xml:space="preserve">for the PDSCH </w:t>
      </w:r>
      <w:r>
        <w:rPr>
          <w:rFonts w:eastAsia="ＭＳ 明朝"/>
          <w:i/>
          <w:sz w:val="22"/>
          <w:lang w:val="en-US"/>
        </w:rPr>
        <w:t>unt</w:t>
      </w:r>
      <w:r w:rsidR="00F60A5F">
        <w:rPr>
          <w:rFonts w:eastAsia="ＭＳ 明朝"/>
          <w:i/>
          <w:sz w:val="22"/>
          <w:lang w:val="en-US"/>
        </w:rPr>
        <w:t>il HARQ-ACK is sent</w:t>
      </w:r>
      <w:r>
        <w:rPr>
          <w:rFonts w:eastAsia="ＭＳ 明朝"/>
          <w:i/>
          <w:sz w:val="22"/>
          <w:lang w:val="en-US"/>
        </w:rPr>
        <w:t>.</w:t>
      </w:r>
    </w:p>
    <w:p w14:paraId="14D28335" w14:textId="77777777" w:rsidR="007D799C" w:rsidRPr="00F60A5F" w:rsidRDefault="007D799C"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70F0261A" w:rsidR="00895E2D" w:rsidRDefault="00D501B3" w:rsidP="00386F11">
      <w:pPr>
        <w:widowControl w:val="0"/>
        <w:spacing w:after="120"/>
        <w:jc w:val="both"/>
        <w:rPr>
          <w:sz w:val="22"/>
          <w:szCs w:val="22"/>
          <w:lang w:val="en-US"/>
        </w:rPr>
      </w:pPr>
      <w:r>
        <w:rPr>
          <w:rFonts w:hint="eastAsia"/>
          <w:sz w:val="22"/>
          <w:szCs w:val="22"/>
          <w:lang w:val="en-US"/>
        </w:rPr>
        <w:t xml:space="preserve">In this contribution, we discussed </w:t>
      </w:r>
      <w:r w:rsidR="006B5DF5">
        <w:rPr>
          <w:sz w:val="22"/>
          <w:szCs w:val="22"/>
          <w:lang w:val="en-US"/>
        </w:rPr>
        <w:t>pre-emption indication for downlink and made following proposal</w:t>
      </w:r>
      <w:r>
        <w:rPr>
          <w:rFonts w:hint="eastAsia"/>
          <w:sz w:val="22"/>
          <w:szCs w:val="22"/>
          <w:lang w:val="en-US"/>
        </w:rPr>
        <w:t>s:</w:t>
      </w:r>
    </w:p>
    <w:p w14:paraId="1780E40A" w14:textId="77777777" w:rsidR="00F60A5F" w:rsidRPr="00D501B3" w:rsidRDefault="00F60A5F" w:rsidP="00F60A5F">
      <w:pPr>
        <w:spacing w:afterLines="50" w:after="120"/>
        <w:jc w:val="both"/>
        <w:rPr>
          <w:rFonts w:eastAsia="ＭＳ 明朝"/>
          <w:b/>
          <w:sz w:val="22"/>
          <w:u w:val="single"/>
          <w:lang w:val="en-US"/>
        </w:rPr>
      </w:pPr>
      <w:r w:rsidRPr="00D501B3">
        <w:rPr>
          <w:rFonts w:eastAsia="ＭＳ 明朝"/>
          <w:b/>
          <w:sz w:val="22"/>
          <w:u w:val="single"/>
          <w:lang w:val="en-US"/>
        </w:rPr>
        <w:t>Proposal 1:</w:t>
      </w:r>
    </w:p>
    <w:p w14:paraId="46B8FF64" w14:textId="77777777" w:rsidR="00F60A5F" w:rsidRDefault="00F60A5F" w:rsidP="00F60A5F">
      <w:pPr>
        <w:pStyle w:val="afc"/>
        <w:numPr>
          <w:ilvl w:val="0"/>
          <w:numId w:val="16"/>
        </w:numPr>
        <w:spacing w:afterLines="50" w:after="120"/>
        <w:ind w:leftChars="0"/>
        <w:jc w:val="both"/>
        <w:rPr>
          <w:rFonts w:eastAsia="ＭＳ 明朝"/>
          <w:i/>
          <w:sz w:val="22"/>
          <w:lang w:val="en-US"/>
        </w:rPr>
      </w:pPr>
      <w:r>
        <w:rPr>
          <w:rFonts w:eastAsia="ＭＳ 明朝"/>
          <w:i/>
          <w:sz w:val="22"/>
          <w:lang w:val="en-US"/>
        </w:rPr>
        <w:t>Pre-emption indication is included in a group-common PDCCH.</w:t>
      </w:r>
    </w:p>
    <w:p w14:paraId="422A7C2A" w14:textId="77777777" w:rsidR="00F60A5F" w:rsidRDefault="00F60A5F" w:rsidP="00F60A5F">
      <w:pPr>
        <w:pStyle w:val="afc"/>
        <w:numPr>
          <w:ilvl w:val="1"/>
          <w:numId w:val="16"/>
        </w:numPr>
        <w:spacing w:afterLines="50" w:after="120"/>
        <w:ind w:leftChars="0"/>
        <w:jc w:val="both"/>
        <w:rPr>
          <w:rFonts w:eastAsia="ＭＳ 明朝"/>
          <w:i/>
          <w:sz w:val="22"/>
          <w:lang w:val="en-US"/>
        </w:rPr>
      </w:pPr>
      <w:r>
        <w:rPr>
          <w:rFonts w:eastAsia="ＭＳ 明朝"/>
          <w:i/>
          <w:sz w:val="22"/>
          <w:lang w:val="en-US"/>
        </w:rPr>
        <w:lastRenderedPageBreak/>
        <w:t>UE can be configured to monitor group-common PDCCH carrying either or both of SFI and pre-emption indication.</w:t>
      </w:r>
    </w:p>
    <w:p w14:paraId="0BEB7235" w14:textId="77777777" w:rsidR="00F60A5F" w:rsidRPr="00D501B3" w:rsidRDefault="00F60A5F" w:rsidP="00F60A5F">
      <w:pPr>
        <w:spacing w:afterLines="50" w:after="120"/>
        <w:jc w:val="both"/>
        <w:rPr>
          <w:rFonts w:eastAsia="ＭＳ 明朝"/>
          <w:b/>
          <w:sz w:val="22"/>
          <w:u w:val="single"/>
          <w:lang w:val="en-US"/>
        </w:rPr>
      </w:pPr>
      <w:r>
        <w:rPr>
          <w:rFonts w:eastAsia="ＭＳ 明朝"/>
          <w:b/>
          <w:sz w:val="22"/>
          <w:u w:val="single"/>
          <w:lang w:val="en-US"/>
        </w:rPr>
        <w:t>Proposal 2</w:t>
      </w:r>
      <w:r w:rsidRPr="00D501B3">
        <w:rPr>
          <w:rFonts w:eastAsia="ＭＳ 明朝"/>
          <w:b/>
          <w:sz w:val="22"/>
          <w:u w:val="single"/>
          <w:lang w:val="en-US"/>
        </w:rPr>
        <w:t>:</w:t>
      </w:r>
    </w:p>
    <w:p w14:paraId="628916BF" w14:textId="77777777" w:rsidR="00F60A5F" w:rsidRDefault="00F60A5F" w:rsidP="00F60A5F">
      <w:pPr>
        <w:pStyle w:val="afc"/>
        <w:numPr>
          <w:ilvl w:val="0"/>
          <w:numId w:val="16"/>
        </w:numPr>
        <w:spacing w:afterLines="50" w:after="120"/>
        <w:ind w:leftChars="0"/>
        <w:jc w:val="both"/>
        <w:rPr>
          <w:rFonts w:eastAsia="ＭＳ 明朝"/>
          <w:i/>
          <w:sz w:val="22"/>
          <w:lang w:val="en-US"/>
        </w:rPr>
      </w:pPr>
      <w:r>
        <w:rPr>
          <w:rFonts w:eastAsia="ＭＳ 明朝"/>
          <w:i/>
          <w:sz w:val="22"/>
          <w:lang w:val="en-US"/>
        </w:rPr>
        <w:t>Granularity of time/frequency resources for pre-emption indication should be discussed together with the resource allocation mechanism/granularity for URLLC data.</w:t>
      </w:r>
    </w:p>
    <w:p w14:paraId="2C0CF12B" w14:textId="77777777" w:rsidR="00F60A5F" w:rsidRPr="00777F9A" w:rsidRDefault="00F60A5F" w:rsidP="00F60A5F">
      <w:pPr>
        <w:spacing w:afterLines="50" w:after="120"/>
        <w:jc w:val="both"/>
        <w:rPr>
          <w:rFonts w:eastAsia="ＭＳ 明朝"/>
          <w:b/>
          <w:sz w:val="22"/>
          <w:u w:val="single"/>
          <w:lang w:val="en-US"/>
        </w:rPr>
      </w:pPr>
      <w:r>
        <w:rPr>
          <w:rFonts w:eastAsia="ＭＳ 明朝"/>
          <w:b/>
          <w:sz w:val="22"/>
          <w:u w:val="single"/>
          <w:lang w:val="en-US"/>
        </w:rPr>
        <w:t>Proposal 3</w:t>
      </w:r>
      <w:r w:rsidRPr="00777F9A">
        <w:rPr>
          <w:rFonts w:eastAsia="ＭＳ 明朝"/>
          <w:b/>
          <w:sz w:val="22"/>
          <w:u w:val="single"/>
          <w:lang w:val="en-US"/>
        </w:rPr>
        <w:t>:</w:t>
      </w:r>
    </w:p>
    <w:p w14:paraId="078CDB2A" w14:textId="77777777" w:rsidR="00F60A5F" w:rsidRPr="00F60A5F" w:rsidRDefault="00F60A5F" w:rsidP="00F60A5F">
      <w:pPr>
        <w:numPr>
          <w:ilvl w:val="0"/>
          <w:numId w:val="16"/>
        </w:numPr>
        <w:spacing w:afterLines="50" w:after="120"/>
        <w:jc w:val="both"/>
        <w:rPr>
          <w:rFonts w:eastAsia="ＭＳ 明朝"/>
          <w:i/>
          <w:sz w:val="22"/>
          <w:lang w:val="en-US"/>
        </w:rPr>
      </w:pPr>
      <w:r>
        <w:rPr>
          <w:rFonts w:eastAsia="ＭＳ 明朝"/>
          <w:i/>
          <w:sz w:val="22"/>
          <w:lang w:val="en-US"/>
        </w:rPr>
        <w:t>gNB should ensure sufficient time interval for UE processing a PDSCH after receiving a pre-emption indication for the PDSCH until HARQ-ACK is sent.</w:t>
      </w:r>
    </w:p>
    <w:p w14:paraId="21DEBC37" w14:textId="77777777" w:rsidR="00D501B3" w:rsidRPr="00F60A5F" w:rsidRDefault="00D501B3" w:rsidP="00386F11">
      <w:pPr>
        <w:widowControl w:val="0"/>
        <w:spacing w:after="120"/>
        <w:jc w:val="both"/>
        <w:rPr>
          <w:sz w:val="22"/>
          <w:szCs w:val="22"/>
          <w:lang w:val="en-US"/>
        </w:rPr>
      </w:pPr>
    </w:p>
    <w:p w14:paraId="6EB13424" w14:textId="77777777" w:rsidR="00D00A4F" w:rsidRPr="007B3BA0" w:rsidRDefault="00D00A4F" w:rsidP="00D00A4F">
      <w:pPr>
        <w:pStyle w:val="1"/>
        <w:spacing w:after="120"/>
        <w:jc w:val="both"/>
        <w:rPr>
          <w:b/>
          <w:lang w:val="en-US"/>
        </w:rPr>
      </w:pPr>
      <w:r w:rsidRPr="007B3BA0">
        <w:rPr>
          <w:b/>
          <w:lang w:val="en-US"/>
        </w:rPr>
        <w:t>References</w:t>
      </w:r>
    </w:p>
    <w:p w14:paraId="49CD86A0" w14:textId="1D6B91FC" w:rsidR="007920E0" w:rsidRDefault="00804CF2" w:rsidP="00804CF2">
      <w:pPr>
        <w:widowControl w:val="0"/>
        <w:numPr>
          <w:ilvl w:val="0"/>
          <w:numId w:val="18"/>
        </w:numPr>
        <w:spacing w:after="120"/>
        <w:jc w:val="both"/>
        <w:rPr>
          <w:sz w:val="22"/>
          <w:szCs w:val="22"/>
          <w:lang w:val="en-US"/>
        </w:rPr>
      </w:pPr>
      <w:r w:rsidRPr="00804CF2">
        <w:rPr>
          <w:sz w:val="22"/>
          <w:szCs w:val="22"/>
          <w:lang w:val="en-US"/>
        </w:rPr>
        <w:t xml:space="preserve">R1-1716106, </w:t>
      </w:r>
      <w:r>
        <w:rPr>
          <w:sz w:val="22"/>
          <w:szCs w:val="22"/>
          <w:lang w:val="en-US"/>
        </w:rPr>
        <w:t>‘</w:t>
      </w:r>
      <w:r w:rsidRPr="00804CF2">
        <w:rPr>
          <w:sz w:val="22"/>
          <w:szCs w:val="22"/>
          <w:lang w:val="en-US"/>
        </w:rPr>
        <w:t xml:space="preserve">Signalling design for CBG-based (re)transmission </w:t>
      </w:r>
      <w:r w:rsidR="007920E0">
        <w:rPr>
          <w:sz w:val="22"/>
          <w:szCs w:val="22"/>
          <w:lang w:val="en-US"/>
        </w:rPr>
        <w:t>CBG-based (re)transmission</w:t>
      </w:r>
      <w:r>
        <w:rPr>
          <w:sz w:val="22"/>
          <w:szCs w:val="22"/>
          <w:lang w:val="en-US"/>
        </w:rPr>
        <w:t>,’ NTT DOCOMO, INC.</w:t>
      </w:r>
    </w:p>
    <w:p w14:paraId="6CB27C91" w14:textId="3AA87C2A" w:rsidR="007920E0" w:rsidRDefault="00804CF2" w:rsidP="00804CF2">
      <w:pPr>
        <w:widowControl w:val="0"/>
        <w:numPr>
          <w:ilvl w:val="0"/>
          <w:numId w:val="18"/>
        </w:numPr>
        <w:spacing w:after="120"/>
        <w:jc w:val="both"/>
        <w:rPr>
          <w:sz w:val="22"/>
          <w:szCs w:val="22"/>
          <w:lang w:val="en-US"/>
        </w:rPr>
      </w:pPr>
      <w:r w:rsidRPr="00804CF2">
        <w:rPr>
          <w:sz w:val="22"/>
          <w:szCs w:val="22"/>
          <w:lang w:val="en-US"/>
        </w:rPr>
        <w:t xml:space="preserve">R1-1716095, </w:t>
      </w:r>
      <w:r>
        <w:rPr>
          <w:sz w:val="22"/>
          <w:szCs w:val="22"/>
          <w:lang w:val="en-US"/>
        </w:rPr>
        <w:t>‘</w:t>
      </w:r>
      <w:r w:rsidRPr="00804CF2">
        <w:rPr>
          <w:sz w:val="22"/>
          <w:szCs w:val="22"/>
          <w:lang w:val="en-US"/>
        </w:rPr>
        <w:t xml:space="preserve">Resource sharing between control and data </w:t>
      </w:r>
      <w:r w:rsidR="007920E0">
        <w:rPr>
          <w:sz w:val="22"/>
          <w:szCs w:val="22"/>
          <w:lang w:val="en-US"/>
        </w:rPr>
        <w:t>Resource sharing between PDCCH and PDSCH</w:t>
      </w:r>
      <w:r>
        <w:rPr>
          <w:sz w:val="22"/>
          <w:szCs w:val="22"/>
          <w:lang w:val="en-US"/>
        </w:rPr>
        <w:t>,’ NTT DOCOMO, INC.</w:t>
      </w:r>
    </w:p>
    <w:p w14:paraId="4CC779D0" w14:textId="3BD5DFCA" w:rsidR="007920E0" w:rsidRDefault="00804CF2" w:rsidP="00804CF2">
      <w:pPr>
        <w:widowControl w:val="0"/>
        <w:numPr>
          <w:ilvl w:val="0"/>
          <w:numId w:val="18"/>
        </w:numPr>
        <w:spacing w:after="120"/>
        <w:jc w:val="both"/>
        <w:rPr>
          <w:sz w:val="22"/>
          <w:szCs w:val="22"/>
          <w:lang w:val="en-US"/>
        </w:rPr>
      </w:pPr>
      <w:r>
        <w:rPr>
          <w:sz w:val="22"/>
          <w:szCs w:val="22"/>
          <w:lang w:val="en-US"/>
        </w:rPr>
        <w:t>R1-1716096, ‘</w:t>
      </w:r>
      <w:r w:rsidRPr="00804CF2">
        <w:rPr>
          <w:sz w:val="22"/>
          <w:szCs w:val="22"/>
          <w:lang w:val="en-US"/>
        </w:rPr>
        <w:t xml:space="preserve">Remaining issues on group-common PDCCH </w:t>
      </w:r>
      <w:r w:rsidR="007920E0">
        <w:rPr>
          <w:sz w:val="22"/>
          <w:szCs w:val="22"/>
          <w:lang w:val="en-US"/>
        </w:rPr>
        <w:t>Group-common PDCCH</w:t>
      </w:r>
      <w:r>
        <w:rPr>
          <w:sz w:val="22"/>
          <w:szCs w:val="22"/>
          <w:lang w:val="en-US"/>
        </w:rPr>
        <w:t>,’ NTT DOCOMO, INC.</w:t>
      </w:r>
    </w:p>
    <w:p w14:paraId="1F2A31E8" w14:textId="0CE89369" w:rsidR="00D00A4F" w:rsidRDefault="00F44620" w:rsidP="00D00A4F">
      <w:pPr>
        <w:widowControl w:val="0"/>
        <w:numPr>
          <w:ilvl w:val="0"/>
          <w:numId w:val="18"/>
        </w:numPr>
        <w:spacing w:after="120"/>
        <w:jc w:val="both"/>
        <w:rPr>
          <w:sz w:val="22"/>
          <w:szCs w:val="22"/>
          <w:lang w:val="en-US"/>
        </w:rPr>
      </w:pPr>
      <w:r>
        <w:rPr>
          <w:sz w:val="22"/>
          <w:szCs w:val="22"/>
          <w:lang w:val="en-US"/>
        </w:rPr>
        <w:t>3GPP RAN1</w:t>
      </w:r>
      <w:r w:rsidR="007920E0">
        <w:rPr>
          <w:sz w:val="22"/>
          <w:szCs w:val="22"/>
          <w:lang w:val="en-US"/>
        </w:rPr>
        <w:t xml:space="preserve"> </w:t>
      </w:r>
      <w:r w:rsidR="00804CF2">
        <w:rPr>
          <w:sz w:val="22"/>
          <w:szCs w:val="22"/>
          <w:lang w:val="en-US"/>
        </w:rPr>
        <w:t xml:space="preserve">NR </w:t>
      </w:r>
      <w:r w:rsidR="007920E0">
        <w:rPr>
          <w:sz w:val="22"/>
          <w:szCs w:val="22"/>
          <w:lang w:val="en-US"/>
        </w:rPr>
        <w:t>A</w:t>
      </w:r>
      <w:r w:rsidR="00804CF2">
        <w:rPr>
          <w:sz w:val="22"/>
          <w:szCs w:val="22"/>
          <w:lang w:val="en-US"/>
        </w:rPr>
        <w:t>d-</w:t>
      </w:r>
      <w:r w:rsidR="007920E0">
        <w:rPr>
          <w:sz w:val="22"/>
          <w:szCs w:val="22"/>
          <w:lang w:val="en-US"/>
        </w:rPr>
        <w:t>H</w:t>
      </w:r>
      <w:r w:rsidR="00804CF2">
        <w:rPr>
          <w:sz w:val="22"/>
          <w:szCs w:val="22"/>
          <w:lang w:val="en-US"/>
        </w:rPr>
        <w:t>oc</w:t>
      </w:r>
      <w:r w:rsidR="007920E0">
        <w:rPr>
          <w:sz w:val="22"/>
          <w:szCs w:val="22"/>
          <w:lang w:val="en-US"/>
        </w:rPr>
        <w:t>#2</w:t>
      </w:r>
      <w:r w:rsidR="00804CF2">
        <w:rPr>
          <w:sz w:val="22"/>
          <w:szCs w:val="22"/>
          <w:lang w:val="en-US"/>
        </w:rPr>
        <w:t xml:space="preserve"> meeting, </w:t>
      </w:r>
      <w:r>
        <w:rPr>
          <w:sz w:val="22"/>
          <w:szCs w:val="22"/>
          <w:lang w:val="en-US"/>
        </w:rPr>
        <w:t>Chairman’s note.</w:t>
      </w:r>
    </w:p>
    <w:p w14:paraId="131D2A43" w14:textId="320F6C12" w:rsidR="007166AB" w:rsidRDefault="007920E0" w:rsidP="00D00A4F">
      <w:pPr>
        <w:widowControl w:val="0"/>
        <w:numPr>
          <w:ilvl w:val="0"/>
          <w:numId w:val="18"/>
        </w:numPr>
        <w:spacing w:after="120"/>
        <w:jc w:val="both"/>
        <w:rPr>
          <w:sz w:val="22"/>
          <w:szCs w:val="22"/>
          <w:lang w:val="en-US"/>
        </w:rPr>
      </w:pPr>
      <w:r>
        <w:rPr>
          <w:sz w:val="22"/>
          <w:szCs w:val="22"/>
          <w:lang w:val="en-US"/>
        </w:rPr>
        <w:t>3GPP RAN1 #90</w:t>
      </w:r>
      <w:r w:rsidR="00804CF2">
        <w:rPr>
          <w:sz w:val="22"/>
          <w:szCs w:val="22"/>
          <w:lang w:val="en-US"/>
        </w:rPr>
        <w:t xml:space="preserve"> meeting</w:t>
      </w:r>
      <w:r w:rsidR="007166AB">
        <w:rPr>
          <w:sz w:val="22"/>
          <w:szCs w:val="22"/>
          <w:lang w:val="en-US"/>
        </w:rPr>
        <w:t>, Chairman’s note.</w:t>
      </w: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8B40E" w14:textId="77777777" w:rsidR="00DE6672" w:rsidRDefault="00DE6672">
      <w:r>
        <w:separator/>
      </w:r>
    </w:p>
  </w:endnote>
  <w:endnote w:type="continuationSeparator" w:id="0">
    <w:p w14:paraId="33D2EBE2" w14:textId="77777777" w:rsidR="00DE6672" w:rsidRDefault="00DE6672">
      <w:r>
        <w:continuationSeparator/>
      </w:r>
    </w:p>
  </w:endnote>
  <w:endnote w:type="continuationNotice" w:id="1">
    <w:p w14:paraId="242E329A" w14:textId="77777777" w:rsidR="00DE6672" w:rsidRDefault="00DE6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45306A35" w:rsidR="00A85EBF" w:rsidRPr="00000924" w:rsidRDefault="00A85EB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5032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5032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1A449" w14:textId="77777777" w:rsidR="00DE6672" w:rsidRDefault="00DE6672">
      <w:r>
        <w:separator/>
      </w:r>
    </w:p>
  </w:footnote>
  <w:footnote w:type="continuationSeparator" w:id="0">
    <w:p w14:paraId="5B06C96D" w14:textId="77777777" w:rsidR="00DE6672" w:rsidRDefault="00DE6672">
      <w:r>
        <w:continuationSeparator/>
      </w:r>
    </w:p>
  </w:footnote>
  <w:footnote w:type="continuationNotice" w:id="1">
    <w:p w14:paraId="3D504881" w14:textId="77777777" w:rsidR="00DE6672" w:rsidRDefault="00DE66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D20B34"/>
    <w:multiLevelType w:val="hybridMultilevel"/>
    <w:tmpl w:val="44503064"/>
    <w:lvl w:ilvl="0" w:tplc="06E4C6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944791"/>
    <w:multiLevelType w:val="hybridMultilevel"/>
    <w:tmpl w:val="CC8E1CD0"/>
    <w:lvl w:ilvl="0" w:tplc="17741E3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38A6AEB"/>
    <w:multiLevelType w:val="hybridMultilevel"/>
    <w:tmpl w:val="6C684D5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1658ED"/>
    <w:multiLevelType w:val="hybridMultilevel"/>
    <w:tmpl w:val="EC5E88FC"/>
    <w:lvl w:ilvl="0" w:tplc="423EA47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7331AA"/>
    <w:multiLevelType w:val="hybridMultilevel"/>
    <w:tmpl w:val="B958D9A2"/>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D9900282">
      <w:start w:val="3"/>
      <w:numFmt w:val="bullet"/>
      <w:lvlText w:val="-"/>
      <w:lvlJc w:val="left"/>
      <w:pPr>
        <w:ind w:left="3600" w:hanging="360"/>
      </w:pPr>
      <w:rPr>
        <w:rFonts w:ascii="Times New Roman" w:eastAsia="ＭＳ 明朝" w:hAnsi="Times New Roman" w:cs="Times New Roman"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DD02BF"/>
    <w:multiLevelType w:val="hybridMultilevel"/>
    <w:tmpl w:val="7FF69C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9"/>
  </w:num>
  <w:num w:numId="4">
    <w:abstractNumId w:val="20"/>
  </w:num>
  <w:num w:numId="5">
    <w:abstractNumId w:val="12"/>
  </w:num>
  <w:num w:numId="6">
    <w:abstractNumId w:val="7"/>
  </w:num>
  <w:num w:numId="7">
    <w:abstractNumId w:val="1"/>
  </w:num>
  <w:num w:numId="8">
    <w:abstractNumId w:val="13"/>
  </w:num>
  <w:num w:numId="9">
    <w:abstractNumId w:val="16"/>
  </w:num>
  <w:num w:numId="10">
    <w:abstractNumId w:val="11"/>
  </w:num>
  <w:num w:numId="11">
    <w:abstractNumId w:val="18"/>
  </w:num>
  <w:num w:numId="12">
    <w:abstractNumId w:val="2"/>
  </w:num>
  <w:num w:numId="13">
    <w:abstractNumId w:val="17"/>
  </w:num>
  <w:num w:numId="14">
    <w:abstractNumId w:val="3"/>
  </w:num>
  <w:num w:numId="15">
    <w:abstractNumId w:val="15"/>
  </w:num>
  <w:num w:numId="16">
    <w:abstractNumId w:val="8"/>
  </w:num>
  <w:num w:numId="17">
    <w:abstractNumId w:val="19"/>
  </w:num>
  <w:num w:numId="18">
    <w:abstractNumId w:val="6"/>
  </w:num>
  <w:num w:numId="19">
    <w:abstractNumId w:val="10"/>
  </w:num>
  <w:num w:numId="20">
    <w:abstractNumId w:val="21"/>
  </w:num>
  <w:num w:numId="21">
    <w:abstractNumId w:val="4"/>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85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1C9"/>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425"/>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CE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96C"/>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34A"/>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3F9D"/>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B6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72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E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ED7"/>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06"/>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63"/>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255"/>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37AD4"/>
    <w:rsid w:val="00240318"/>
    <w:rsid w:val="00240345"/>
    <w:rsid w:val="0024052A"/>
    <w:rsid w:val="00240AB3"/>
    <w:rsid w:val="00240D9C"/>
    <w:rsid w:val="00241005"/>
    <w:rsid w:val="0024119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2794"/>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00"/>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8BA"/>
    <w:rsid w:val="002D2A81"/>
    <w:rsid w:val="002D2D99"/>
    <w:rsid w:val="002D2EB1"/>
    <w:rsid w:val="002D2FF4"/>
    <w:rsid w:val="002D3079"/>
    <w:rsid w:val="002D32BC"/>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32A"/>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49B"/>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AA8"/>
    <w:rsid w:val="00313B61"/>
    <w:rsid w:val="003145CA"/>
    <w:rsid w:val="00314A5F"/>
    <w:rsid w:val="00314FA9"/>
    <w:rsid w:val="00314FC2"/>
    <w:rsid w:val="00315CBB"/>
    <w:rsid w:val="00315E4B"/>
    <w:rsid w:val="00315E54"/>
    <w:rsid w:val="00316448"/>
    <w:rsid w:val="00316712"/>
    <w:rsid w:val="00316917"/>
    <w:rsid w:val="00316ABF"/>
    <w:rsid w:val="00317174"/>
    <w:rsid w:val="003174D8"/>
    <w:rsid w:val="0031753C"/>
    <w:rsid w:val="00317865"/>
    <w:rsid w:val="003178CA"/>
    <w:rsid w:val="00317A16"/>
    <w:rsid w:val="00317A1C"/>
    <w:rsid w:val="00317FB1"/>
    <w:rsid w:val="003209E0"/>
    <w:rsid w:val="00320A48"/>
    <w:rsid w:val="00320C55"/>
    <w:rsid w:val="00321700"/>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2C8"/>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09"/>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66B"/>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393"/>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A63"/>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4DB"/>
    <w:rsid w:val="004776C5"/>
    <w:rsid w:val="00477D59"/>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11D"/>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92"/>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0E6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12"/>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C0D"/>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C61"/>
    <w:rsid w:val="0057120B"/>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A4D"/>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85F"/>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6C0"/>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0DED"/>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291"/>
    <w:rsid w:val="00657591"/>
    <w:rsid w:val="0065769A"/>
    <w:rsid w:val="00657E49"/>
    <w:rsid w:val="0066020C"/>
    <w:rsid w:val="00660CC6"/>
    <w:rsid w:val="00661294"/>
    <w:rsid w:val="00661925"/>
    <w:rsid w:val="00661C17"/>
    <w:rsid w:val="00661E6D"/>
    <w:rsid w:val="00661E8E"/>
    <w:rsid w:val="00661E9E"/>
    <w:rsid w:val="006622C1"/>
    <w:rsid w:val="00662323"/>
    <w:rsid w:val="00662750"/>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9A7"/>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DF5"/>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62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DF"/>
    <w:rsid w:val="00713767"/>
    <w:rsid w:val="00713D53"/>
    <w:rsid w:val="00713DA7"/>
    <w:rsid w:val="00713E3C"/>
    <w:rsid w:val="00713EBC"/>
    <w:rsid w:val="00713ECC"/>
    <w:rsid w:val="0071531E"/>
    <w:rsid w:val="00715620"/>
    <w:rsid w:val="0071581D"/>
    <w:rsid w:val="0071583F"/>
    <w:rsid w:val="00715AC1"/>
    <w:rsid w:val="007166AB"/>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BC1"/>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09C"/>
    <w:rsid w:val="00774365"/>
    <w:rsid w:val="007748CB"/>
    <w:rsid w:val="00774AB4"/>
    <w:rsid w:val="00774DB5"/>
    <w:rsid w:val="007755C6"/>
    <w:rsid w:val="00775838"/>
    <w:rsid w:val="007769CC"/>
    <w:rsid w:val="007774CF"/>
    <w:rsid w:val="007776B9"/>
    <w:rsid w:val="00777A0F"/>
    <w:rsid w:val="00777F9A"/>
    <w:rsid w:val="00780445"/>
    <w:rsid w:val="007804E7"/>
    <w:rsid w:val="00780B79"/>
    <w:rsid w:val="00781116"/>
    <w:rsid w:val="00781631"/>
    <w:rsid w:val="007816E7"/>
    <w:rsid w:val="00781703"/>
    <w:rsid w:val="00781988"/>
    <w:rsid w:val="00781ADE"/>
    <w:rsid w:val="00781C9D"/>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0E0"/>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99C"/>
    <w:rsid w:val="007D7AF1"/>
    <w:rsid w:val="007D7DB9"/>
    <w:rsid w:val="007D7E03"/>
    <w:rsid w:val="007E0189"/>
    <w:rsid w:val="007E04DD"/>
    <w:rsid w:val="007E0716"/>
    <w:rsid w:val="007E0EF6"/>
    <w:rsid w:val="007E1868"/>
    <w:rsid w:val="007E1B0B"/>
    <w:rsid w:val="007E21A0"/>
    <w:rsid w:val="007E24C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CF2"/>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018"/>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25E"/>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D3C"/>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6B6"/>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17E34"/>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327"/>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473"/>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3C4"/>
    <w:rsid w:val="009A4B50"/>
    <w:rsid w:val="009A54BF"/>
    <w:rsid w:val="009A5EC0"/>
    <w:rsid w:val="009A611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3A4B"/>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40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5EBF"/>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8A6"/>
    <w:rsid w:val="00AB2F38"/>
    <w:rsid w:val="00AB3145"/>
    <w:rsid w:val="00AB3709"/>
    <w:rsid w:val="00AB3A84"/>
    <w:rsid w:val="00AB45BF"/>
    <w:rsid w:val="00AB4DCD"/>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72B"/>
    <w:rsid w:val="00B00C9A"/>
    <w:rsid w:val="00B01057"/>
    <w:rsid w:val="00B0161F"/>
    <w:rsid w:val="00B017FB"/>
    <w:rsid w:val="00B01854"/>
    <w:rsid w:val="00B019E6"/>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642"/>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66DF"/>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AB"/>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4FDB"/>
    <w:rsid w:val="00BC657B"/>
    <w:rsid w:val="00BC72F0"/>
    <w:rsid w:val="00BC77CB"/>
    <w:rsid w:val="00BC787F"/>
    <w:rsid w:val="00BC78BE"/>
    <w:rsid w:val="00BC7B23"/>
    <w:rsid w:val="00BC7D42"/>
    <w:rsid w:val="00BC7F14"/>
    <w:rsid w:val="00BD0B22"/>
    <w:rsid w:val="00BD0E12"/>
    <w:rsid w:val="00BD1179"/>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223"/>
    <w:rsid w:val="00BF06D7"/>
    <w:rsid w:val="00BF0C9C"/>
    <w:rsid w:val="00BF0DC6"/>
    <w:rsid w:val="00BF10B0"/>
    <w:rsid w:val="00BF159C"/>
    <w:rsid w:val="00BF278B"/>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06C"/>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23"/>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11"/>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C3E"/>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0C5A"/>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C5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FD"/>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0A4F"/>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36"/>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1B3"/>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2FCA"/>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E9D"/>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55C"/>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672"/>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AC"/>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4F"/>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6EF"/>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65"/>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18A"/>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4F74"/>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3F57"/>
    <w:rsid w:val="00E8408C"/>
    <w:rsid w:val="00E8489F"/>
    <w:rsid w:val="00E84A70"/>
    <w:rsid w:val="00E84DDF"/>
    <w:rsid w:val="00E84E8C"/>
    <w:rsid w:val="00E84F13"/>
    <w:rsid w:val="00E85324"/>
    <w:rsid w:val="00E8599C"/>
    <w:rsid w:val="00E85C8D"/>
    <w:rsid w:val="00E85CEB"/>
    <w:rsid w:val="00E86320"/>
    <w:rsid w:val="00E863BF"/>
    <w:rsid w:val="00E8681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3F6"/>
    <w:rsid w:val="00EA0619"/>
    <w:rsid w:val="00EA0923"/>
    <w:rsid w:val="00EA0A6D"/>
    <w:rsid w:val="00EA1661"/>
    <w:rsid w:val="00EA1931"/>
    <w:rsid w:val="00EA22A9"/>
    <w:rsid w:val="00EA32DA"/>
    <w:rsid w:val="00EA3443"/>
    <w:rsid w:val="00EA34CD"/>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333"/>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3C83"/>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C7E0D"/>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D3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620"/>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A5F"/>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440"/>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1CA"/>
    <w:rsid w:val="00FA2260"/>
    <w:rsid w:val="00FA26D2"/>
    <w:rsid w:val="00FA2833"/>
    <w:rsid w:val="00FA29F6"/>
    <w:rsid w:val="00FA2B64"/>
    <w:rsid w:val="00FA3059"/>
    <w:rsid w:val="00FA3395"/>
    <w:rsid w:val="00FA3731"/>
    <w:rsid w:val="00FA3B98"/>
    <w:rsid w:val="00FA41C2"/>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A7DA1"/>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B6B"/>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6009">
      <w:bodyDiv w:val="1"/>
      <w:marLeft w:val="0"/>
      <w:marRight w:val="0"/>
      <w:marTop w:val="0"/>
      <w:marBottom w:val="0"/>
      <w:divBdr>
        <w:top w:val="none" w:sz="0" w:space="0" w:color="auto"/>
        <w:left w:val="none" w:sz="0" w:space="0" w:color="auto"/>
        <w:bottom w:val="none" w:sz="0" w:space="0" w:color="auto"/>
        <w:right w:val="none" w:sz="0" w:space="0" w:color="auto"/>
      </w:divBdr>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432849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595190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DE1F-1BAE-4FB4-955E-B1294AE6A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1361</Words>
  <Characters>7764</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3</cp:revision>
  <cp:lastPrinted>2016-09-21T11:03:00Z</cp:lastPrinted>
  <dcterms:created xsi:type="dcterms:W3CDTF">2017-09-12T02:33:00Z</dcterms:created>
  <dcterms:modified xsi:type="dcterms:W3CDTF">2017-09-12T02:33:00Z</dcterms:modified>
</cp:coreProperties>
</file>