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D7111" w14:textId="64C1134E" w:rsidR="00B75493" w:rsidRPr="00DA12F7" w:rsidRDefault="00B75493" w:rsidP="00B75493">
      <w:pPr>
        <w:tabs>
          <w:tab w:val="right" w:pos="9972"/>
        </w:tabs>
        <w:spacing w:after="0"/>
      </w:pPr>
      <w:r w:rsidRPr="00DA12F7">
        <w:rPr>
          <w:rFonts w:ascii="Arial" w:hAnsi="Arial" w:cs="Arial"/>
          <w:b/>
          <w:sz w:val="24"/>
        </w:rPr>
        <w:t xml:space="preserve">3GPP TSG RAN WG1 </w:t>
      </w:r>
      <w:r>
        <w:rPr>
          <w:rFonts w:ascii="Arial" w:hAnsi="Arial" w:cs="Arial"/>
          <w:b/>
          <w:sz w:val="24"/>
        </w:rPr>
        <w:t>NR AdHoc#3</w:t>
      </w:r>
      <w:r w:rsidRPr="00DA12F7">
        <w:rPr>
          <w:rFonts w:ascii="Arial" w:hAnsi="Arial" w:cs="Arial"/>
          <w:b/>
          <w:sz w:val="24"/>
        </w:rPr>
        <w:tab/>
      </w:r>
      <w:bookmarkStart w:id="0" w:name="_Hlk490247242"/>
      <w:r w:rsidRPr="00DA12F7">
        <w:rPr>
          <w:rFonts w:ascii="Arial" w:hAnsi="Arial" w:cs="Arial"/>
          <w:b/>
          <w:sz w:val="24"/>
        </w:rPr>
        <w:t>R1-</w:t>
      </w:r>
      <w:r>
        <w:rPr>
          <w:rFonts w:ascii="Arial" w:hAnsi="Arial" w:cs="Arial"/>
          <w:b/>
          <w:sz w:val="24"/>
        </w:rPr>
        <w:t>171</w:t>
      </w:r>
      <w:bookmarkEnd w:id="0"/>
      <w:r>
        <w:rPr>
          <w:rFonts w:ascii="Arial" w:hAnsi="Arial" w:cs="Arial"/>
          <w:b/>
          <w:sz w:val="24"/>
        </w:rPr>
        <w:t>641</w:t>
      </w:r>
      <w:r w:rsidR="008D0F91">
        <w:rPr>
          <w:rFonts w:ascii="Arial" w:hAnsi="Arial" w:cs="Arial"/>
          <w:b/>
          <w:sz w:val="24"/>
        </w:rPr>
        <w:t>7</w:t>
      </w:r>
    </w:p>
    <w:p w14:paraId="49276694" w14:textId="77777777" w:rsidR="00B75493" w:rsidRPr="00DA12F7" w:rsidRDefault="00B75493" w:rsidP="00B75493">
      <w:pPr>
        <w:tabs>
          <w:tab w:val="right" w:pos="9630"/>
        </w:tabs>
        <w:spacing w:after="0"/>
        <w:rPr>
          <w:rFonts w:ascii="Arial" w:hAnsi="Arial" w:cs="Arial"/>
          <w:b/>
          <w:sz w:val="24"/>
          <w:szCs w:val="24"/>
        </w:rPr>
      </w:pPr>
      <w:r>
        <w:rPr>
          <w:rFonts w:ascii="Arial" w:hAnsi="Arial" w:cs="Arial"/>
          <w:b/>
          <w:sz w:val="24"/>
          <w:szCs w:val="24"/>
        </w:rPr>
        <w:t>Nagoya, Japan, September 18</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21</w:t>
      </w:r>
      <w:r>
        <w:rPr>
          <w:rFonts w:ascii="Arial" w:hAnsi="Arial" w:cs="Arial"/>
          <w:b/>
          <w:sz w:val="24"/>
          <w:szCs w:val="24"/>
          <w:vertAlign w:val="superscript"/>
        </w:rPr>
        <w:t>st</w:t>
      </w:r>
      <w:r w:rsidRPr="00DA12F7">
        <w:rPr>
          <w:rFonts w:ascii="Arial" w:hAnsi="Arial" w:cs="Arial"/>
          <w:b/>
          <w:sz w:val="24"/>
          <w:szCs w:val="24"/>
        </w:rPr>
        <w:t xml:space="preserve"> 201</w:t>
      </w:r>
      <w:r>
        <w:rPr>
          <w:rFonts w:ascii="Arial" w:hAnsi="Arial" w:cs="Arial"/>
          <w:b/>
          <w:sz w:val="24"/>
          <w:szCs w:val="24"/>
        </w:rPr>
        <w:t>7</w:t>
      </w:r>
    </w:p>
    <w:p w14:paraId="07970799" w14:textId="77777777" w:rsidR="00B75493" w:rsidRPr="000A64D8" w:rsidRDefault="00B75493" w:rsidP="00B75493">
      <w:pPr>
        <w:pStyle w:val="Footer"/>
        <w:jc w:val="both"/>
        <w:rPr>
          <w:noProof w:val="0"/>
        </w:rPr>
      </w:pPr>
    </w:p>
    <w:p w14:paraId="480B252A" w14:textId="451FA588" w:rsidR="00B75493" w:rsidRPr="000A64D8" w:rsidRDefault="00B75493" w:rsidP="00B75493">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6</w:t>
      </w:r>
      <w:r w:rsidR="008D0F91">
        <w:rPr>
          <w:rFonts w:ascii="Arial" w:hAnsi="Arial"/>
          <w:sz w:val="24"/>
        </w:rPr>
        <w:t>.3.1.5</w:t>
      </w:r>
    </w:p>
    <w:p w14:paraId="6E9D9904" w14:textId="77777777" w:rsidR="00B75493" w:rsidRPr="000A64D8" w:rsidRDefault="00B75493" w:rsidP="00B7549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F0429B6" w14:textId="783EEE84" w:rsidR="00B75493" w:rsidRPr="00736CD8" w:rsidRDefault="00B75493" w:rsidP="00B75493">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309E9">
        <w:rPr>
          <w:rFonts w:ascii="Arial" w:hAnsi="Arial"/>
          <w:sz w:val="24"/>
          <w:szCs w:val="24"/>
        </w:rPr>
        <w:t xml:space="preserve">Views </w:t>
      </w:r>
      <w:r w:rsidR="008D0F91">
        <w:rPr>
          <w:rFonts w:ascii="Arial" w:hAnsi="Arial"/>
          <w:sz w:val="24"/>
          <w:szCs w:val="24"/>
        </w:rPr>
        <w:t xml:space="preserve">on DCI </w:t>
      </w:r>
      <w:r w:rsidR="009309E9">
        <w:rPr>
          <w:rFonts w:ascii="Arial" w:hAnsi="Arial"/>
          <w:sz w:val="24"/>
          <w:szCs w:val="24"/>
        </w:rPr>
        <w:t xml:space="preserve">Contents and </w:t>
      </w:r>
      <w:r w:rsidR="008D0F91">
        <w:rPr>
          <w:rFonts w:ascii="Arial" w:hAnsi="Arial"/>
          <w:sz w:val="24"/>
          <w:szCs w:val="24"/>
        </w:rPr>
        <w:t>Formats</w:t>
      </w:r>
      <w:r w:rsidR="000575B1">
        <w:rPr>
          <w:rFonts w:ascii="Arial" w:hAnsi="Arial"/>
          <w:sz w:val="24"/>
          <w:szCs w:val="24"/>
        </w:rPr>
        <w:t xml:space="preserve"> </w:t>
      </w:r>
    </w:p>
    <w:p w14:paraId="43B7F87F" w14:textId="4DC0FD50" w:rsidR="0068226B" w:rsidRDefault="00B75493" w:rsidP="00B7549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43B7F880" w14:textId="77777777" w:rsidR="004503F9" w:rsidRPr="00183CB7" w:rsidRDefault="004503F9" w:rsidP="004503F9">
      <w:pPr>
        <w:pStyle w:val="Heading1"/>
      </w:pPr>
      <w:r w:rsidRPr="00183CB7">
        <w:t>Introduction</w:t>
      </w:r>
    </w:p>
    <w:p w14:paraId="175BB280" w14:textId="77777777" w:rsidR="001B3E73" w:rsidRDefault="001B3E73" w:rsidP="001B3E73">
      <w:pPr>
        <w:spacing w:after="120"/>
      </w:pPr>
      <w:r>
        <w:t>In RAN1 NR-AdHoc#2 meeting, the following agreement has been m</w:t>
      </w:r>
      <w:bookmarkStart w:id="3" w:name="_GoBack"/>
      <w:bookmarkEnd w:id="3"/>
      <w:r>
        <w:t>ade for PDCCH blind decoding.</w:t>
      </w:r>
    </w:p>
    <w:p w14:paraId="33DBA36E" w14:textId="77777777" w:rsidR="001B3E73" w:rsidRDefault="001B3E73" w:rsidP="001B3E73">
      <w:pPr>
        <w:rPr>
          <w:rFonts w:eastAsia="Yu Mincho"/>
          <w:b/>
          <w:iCs/>
          <w:highlight w:val="yellow"/>
          <w:u w:val="single"/>
          <w:lang w:eastAsia="ja-JP"/>
        </w:rPr>
      </w:pPr>
      <w:r>
        <w:rPr>
          <w:rFonts w:eastAsia="Yu Mincho"/>
          <w:b/>
          <w:iCs/>
          <w:highlight w:val="green"/>
          <w:u w:val="single"/>
          <w:lang w:eastAsia="ja-JP"/>
        </w:rPr>
        <w:t>Agreements:</w:t>
      </w:r>
    </w:p>
    <w:p w14:paraId="0C197F04" w14:textId="77777777" w:rsidR="001B3E73" w:rsidRDefault="001B3E73" w:rsidP="001B3E73">
      <w:pPr>
        <w:numPr>
          <w:ilvl w:val="0"/>
          <w:numId w:val="33"/>
        </w:numPr>
        <w:overflowPunct/>
        <w:autoSpaceDE/>
        <w:autoSpaceDN/>
        <w:adjustRightInd/>
        <w:spacing w:after="0" w:line="256" w:lineRule="auto"/>
        <w:textAlignment w:val="auto"/>
        <w:rPr>
          <w:rFonts w:eastAsia="Yu Mincho"/>
          <w:iCs/>
          <w:lang w:eastAsia="ja-JP"/>
        </w:rPr>
      </w:pPr>
      <w:r>
        <w:rPr>
          <w:rFonts w:eastAsia="Yu Mincho"/>
          <w:iCs/>
          <w:lang w:eastAsia="ja-JP"/>
        </w:rPr>
        <w:t>For PDCCH blind decoding, at least for the non-initial access, at least the following can be configured:</w:t>
      </w:r>
    </w:p>
    <w:p w14:paraId="492A7DF1"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Number of PDCCH candidates per CCE aggregation level, per DCI format size that the UE monitors</w:t>
      </w:r>
    </w:p>
    <w:p w14:paraId="7E2E56F2"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Set of aggregation levels</w:t>
      </w:r>
    </w:p>
    <w:p w14:paraId="52CA7E4B" w14:textId="77777777" w:rsidR="001B3E73" w:rsidRDefault="001B3E73" w:rsidP="001B3E73">
      <w:pPr>
        <w:numPr>
          <w:ilvl w:val="2"/>
          <w:numId w:val="33"/>
        </w:numPr>
        <w:tabs>
          <w:tab w:val="num" w:pos="2160"/>
        </w:tabs>
        <w:overflowPunct/>
        <w:autoSpaceDE/>
        <w:autoSpaceDN/>
        <w:adjustRightInd/>
        <w:spacing w:after="0" w:line="256" w:lineRule="auto"/>
        <w:textAlignment w:val="auto"/>
        <w:rPr>
          <w:rFonts w:eastAsia="Yu Mincho"/>
          <w:iCs/>
          <w:lang w:eastAsia="ja-JP"/>
        </w:rPr>
      </w:pPr>
      <w:r>
        <w:rPr>
          <w:rFonts w:eastAsia="Yu Mincho"/>
          <w:iCs/>
          <w:lang w:eastAsia="ja-JP"/>
        </w:rPr>
        <w:t>FFS explicit or implicit configuration</w:t>
      </w:r>
    </w:p>
    <w:p w14:paraId="3D5BF12B"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Set of DCI format sizes</w:t>
      </w:r>
    </w:p>
    <w:p w14:paraId="0B3FC402" w14:textId="77777777" w:rsidR="001B3E73" w:rsidRDefault="001B3E73" w:rsidP="001B3E73">
      <w:pPr>
        <w:numPr>
          <w:ilvl w:val="2"/>
          <w:numId w:val="33"/>
        </w:numPr>
        <w:tabs>
          <w:tab w:val="num" w:pos="2160"/>
        </w:tabs>
        <w:overflowPunct/>
        <w:autoSpaceDE/>
        <w:autoSpaceDN/>
        <w:adjustRightInd/>
        <w:spacing w:after="0" w:line="256" w:lineRule="auto"/>
        <w:textAlignment w:val="auto"/>
        <w:rPr>
          <w:rFonts w:eastAsia="Yu Mincho"/>
          <w:iCs/>
          <w:lang w:eastAsia="ja-JP"/>
        </w:rPr>
      </w:pPr>
      <w:r>
        <w:rPr>
          <w:rFonts w:eastAsia="Yu Mincho"/>
          <w:iCs/>
          <w:lang w:eastAsia="ja-JP"/>
        </w:rPr>
        <w:t>FFS explicit or implicit configuration</w:t>
      </w:r>
    </w:p>
    <w:p w14:paraId="284F3BD9"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FFS: per CORESET not used for initial access or search space</w:t>
      </w:r>
    </w:p>
    <w:p w14:paraId="02B7B360"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FFS: Signalling details</w:t>
      </w:r>
    </w:p>
    <w:p w14:paraId="5C691E8C"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Note that the number of candidates can be zero</w:t>
      </w:r>
    </w:p>
    <w:p w14:paraId="47C5D54D" w14:textId="77777777" w:rsidR="001B3E73" w:rsidRDefault="001B3E73" w:rsidP="001B3E73">
      <w:pPr>
        <w:numPr>
          <w:ilvl w:val="0"/>
          <w:numId w:val="33"/>
        </w:numPr>
        <w:overflowPunct/>
        <w:autoSpaceDE/>
        <w:autoSpaceDN/>
        <w:adjustRightInd/>
        <w:spacing w:after="0" w:line="256" w:lineRule="auto"/>
        <w:textAlignment w:val="auto"/>
        <w:rPr>
          <w:rFonts w:eastAsia="Yu Mincho"/>
          <w:iCs/>
          <w:lang w:eastAsia="ja-JP"/>
        </w:rPr>
      </w:pPr>
      <w:r>
        <w:rPr>
          <w:rFonts w:eastAsia="Yu Mincho"/>
          <w:iCs/>
          <w:lang w:eastAsia="ja-JP"/>
        </w:rPr>
        <w:t>UE blind decoding capability is known by NW</w:t>
      </w:r>
    </w:p>
    <w:p w14:paraId="0B94BFCC" w14:textId="77777777" w:rsidR="001B3E73" w:rsidRDefault="001B3E73" w:rsidP="00F37583">
      <w:pPr>
        <w:numPr>
          <w:ilvl w:val="1"/>
          <w:numId w:val="33"/>
        </w:numPr>
        <w:overflowPunct/>
        <w:autoSpaceDE/>
        <w:autoSpaceDN/>
        <w:adjustRightInd/>
        <w:spacing w:after="240" w:line="257" w:lineRule="auto"/>
        <w:textAlignment w:val="auto"/>
        <w:rPr>
          <w:rFonts w:eastAsia="Yu Mincho"/>
          <w:iCs/>
          <w:lang w:eastAsia="ja-JP"/>
        </w:rPr>
      </w:pPr>
      <w:r>
        <w:rPr>
          <w:rFonts w:eastAsia="Yu Mincho"/>
          <w:iCs/>
          <w:lang w:eastAsia="ja-JP"/>
        </w:rPr>
        <w:t>FFS: How the capability is derived</w:t>
      </w:r>
    </w:p>
    <w:p w14:paraId="1BCBA74C" w14:textId="69879620" w:rsidR="00A673C4" w:rsidRDefault="00A673C4" w:rsidP="00F32FE3">
      <w:pPr>
        <w:jc w:val="both"/>
        <w:rPr>
          <w:szCs w:val="22"/>
        </w:rPr>
      </w:pPr>
      <w:r>
        <w:rPr>
          <w:szCs w:val="22"/>
        </w:rPr>
        <w:t>In RAN1 #90, the following working assumption has been agreed:</w:t>
      </w:r>
    </w:p>
    <w:p w14:paraId="110E8636" w14:textId="77777777" w:rsidR="00A673C4" w:rsidRDefault="00A673C4" w:rsidP="00A673C4">
      <w:pPr>
        <w:rPr>
          <w:rFonts w:eastAsia="MS Mincho"/>
          <w:b/>
          <w:iCs/>
          <w:u w:val="single"/>
          <w:lang w:eastAsia="ja-JP"/>
        </w:rPr>
      </w:pPr>
      <w:r>
        <w:rPr>
          <w:rFonts w:eastAsia="MS Mincho"/>
          <w:b/>
          <w:iCs/>
          <w:highlight w:val="darkYellow"/>
          <w:u w:val="single"/>
          <w:lang w:eastAsia="ja-JP"/>
        </w:rPr>
        <w:t>Working assumptions:</w:t>
      </w:r>
    </w:p>
    <w:p w14:paraId="753F768B" w14:textId="77777777" w:rsidR="00A673C4" w:rsidRDefault="00A673C4" w:rsidP="00A673C4">
      <w:pPr>
        <w:numPr>
          <w:ilvl w:val="0"/>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In the case when only CORESET(s) for slot-based scheduling is configured for UE, the maximum number of PDCCH blind decodes per slot per carrier is X</w:t>
      </w:r>
    </w:p>
    <w:p w14:paraId="1EB3A3CA"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The value of X does not exceed 44</w:t>
      </w:r>
    </w:p>
    <w:p w14:paraId="6C9F486F"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the exact value of X</w:t>
      </w:r>
    </w:p>
    <w:p w14:paraId="35AAB22D"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for multiple active BWP, multiple TRP, multiple carriers, multi beams</w:t>
      </w:r>
    </w:p>
    <w:p w14:paraId="708238E5"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for non-slot based scheduling</w:t>
      </w:r>
    </w:p>
    <w:p w14:paraId="4ECD8D25" w14:textId="77777777" w:rsidR="00A673C4" w:rsidRDefault="00A673C4" w:rsidP="00F37583">
      <w:pPr>
        <w:numPr>
          <w:ilvl w:val="1"/>
          <w:numId w:val="34"/>
        </w:numPr>
        <w:tabs>
          <w:tab w:val="left" w:pos="1440"/>
        </w:tabs>
        <w:overflowPunct/>
        <w:autoSpaceDE/>
        <w:autoSpaceDN/>
        <w:adjustRightInd/>
        <w:spacing w:after="240"/>
        <w:textAlignment w:val="auto"/>
        <w:rPr>
          <w:rFonts w:eastAsia="MS Mincho"/>
          <w:iCs/>
          <w:lang w:eastAsia="ja-JP"/>
        </w:rPr>
      </w:pPr>
      <w:r>
        <w:rPr>
          <w:rFonts w:eastAsia="MS Mincho"/>
          <w:iCs/>
          <w:lang w:eastAsia="ja-JP"/>
        </w:rPr>
        <w:t>FFS numerology specific X</w:t>
      </w:r>
    </w:p>
    <w:p w14:paraId="6F13A9B1" w14:textId="3A0BFA0A" w:rsidR="00F32FE3" w:rsidRDefault="00F32FE3" w:rsidP="00F32FE3">
      <w:pPr>
        <w:jc w:val="both"/>
        <w:rPr>
          <w:szCs w:val="22"/>
        </w:rPr>
      </w:pPr>
      <w:r>
        <w:rPr>
          <w:szCs w:val="22"/>
        </w:rPr>
        <w:t xml:space="preserve">This contribution </w:t>
      </w:r>
      <w:r w:rsidR="001B3E73">
        <w:rPr>
          <w:szCs w:val="22"/>
        </w:rPr>
        <w:t xml:space="preserve">is motivated </w:t>
      </w:r>
      <w:r w:rsidR="005C3D94">
        <w:rPr>
          <w:szCs w:val="22"/>
        </w:rPr>
        <w:t xml:space="preserve">partially </w:t>
      </w:r>
      <w:r w:rsidR="001B3E73">
        <w:rPr>
          <w:szCs w:val="22"/>
        </w:rPr>
        <w:t xml:space="preserve">by </w:t>
      </w:r>
      <w:r>
        <w:rPr>
          <w:szCs w:val="22"/>
        </w:rPr>
        <w:t xml:space="preserve">UE power saving aspects related to PDCCH monitoring continuing from </w:t>
      </w:r>
      <w:r w:rsidR="005C3D94">
        <w:rPr>
          <w:szCs w:val="22"/>
        </w:rPr>
        <w:fldChar w:fldCharType="begin"/>
      </w:r>
      <w:r w:rsidR="005C3D94">
        <w:rPr>
          <w:szCs w:val="22"/>
        </w:rPr>
        <w:instrText xml:space="preserve"> REF _Ref492919811 \r \h </w:instrText>
      </w:r>
      <w:r w:rsidR="005C3D94">
        <w:rPr>
          <w:szCs w:val="22"/>
        </w:rPr>
      </w:r>
      <w:r w:rsidR="005C3D94">
        <w:rPr>
          <w:szCs w:val="22"/>
        </w:rPr>
        <w:fldChar w:fldCharType="separate"/>
      </w:r>
      <w:r w:rsidR="005C3D94">
        <w:rPr>
          <w:szCs w:val="22"/>
        </w:rPr>
        <w:t>[1]</w:t>
      </w:r>
      <w:r w:rsidR="005C3D94">
        <w:rPr>
          <w:szCs w:val="22"/>
        </w:rPr>
        <w:fldChar w:fldCharType="end"/>
      </w:r>
      <w:r>
        <w:rPr>
          <w:szCs w:val="22"/>
        </w:rPr>
        <w:t xml:space="preserve">, </w:t>
      </w:r>
      <w:r w:rsidR="001B3E73">
        <w:rPr>
          <w:szCs w:val="22"/>
        </w:rPr>
        <w:t xml:space="preserve">which discusses </w:t>
      </w:r>
      <w:r w:rsidR="002B4AC3">
        <w:rPr>
          <w:szCs w:val="22"/>
        </w:rPr>
        <w:t>reduction on PDCCH blind decoding hypotheses</w:t>
      </w:r>
      <w:r w:rsidR="00531C5A">
        <w:rPr>
          <w:szCs w:val="22"/>
        </w:rPr>
        <w:t xml:space="preserve">, dynamic BW </w:t>
      </w:r>
      <w:r w:rsidR="001A3F6A">
        <w:rPr>
          <w:szCs w:val="22"/>
        </w:rPr>
        <w:t xml:space="preserve">adaptation (or </w:t>
      </w:r>
      <w:r w:rsidR="00531C5A">
        <w:rPr>
          <w:szCs w:val="22"/>
        </w:rPr>
        <w:t>switching</w:t>
      </w:r>
      <w:r w:rsidR="001A3F6A">
        <w:rPr>
          <w:szCs w:val="22"/>
        </w:rPr>
        <w:t>)</w:t>
      </w:r>
      <w:r w:rsidR="00531C5A">
        <w:rPr>
          <w:szCs w:val="22"/>
        </w:rPr>
        <w:t xml:space="preserve"> with</w:t>
      </w:r>
      <w:r>
        <w:rPr>
          <w:szCs w:val="22"/>
        </w:rPr>
        <w:t xml:space="preserve"> cross slot scheduling and activation/deactivation of control subband.</w:t>
      </w:r>
    </w:p>
    <w:p w14:paraId="3BD06C7B" w14:textId="06118531" w:rsidR="002277AA" w:rsidRDefault="00A673C4" w:rsidP="00F32FE3">
      <w:pPr>
        <w:jc w:val="both"/>
        <w:rPr>
          <w:szCs w:val="22"/>
        </w:rPr>
      </w:pPr>
      <w:r>
        <w:rPr>
          <w:szCs w:val="22"/>
        </w:rPr>
        <w:t>T</w:t>
      </w:r>
      <w:r w:rsidR="008D0F91">
        <w:rPr>
          <w:szCs w:val="22"/>
        </w:rPr>
        <w:t>he concept of dynamic bandwidth adaptation has been agreed in NR and supported in the form of BWP (bandwidth parts)</w:t>
      </w:r>
      <w:r>
        <w:rPr>
          <w:szCs w:val="22"/>
        </w:rPr>
        <w:t>.</w:t>
      </w:r>
      <w:r w:rsidR="008D0F91">
        <w:rPr>
          <w:szCs w:val="22"/>
        </w:rPr>
        <w:t xml:space="preserve"> </w:t>
      </w:r>
      <w:r>
        <w:rPr>
          <w:szCs w:val="22"/>
        </w:rPr>
        <w:t>While</w:t>
      </w:r>
      <w:r w:rsidR="008D0F91">
        <w:rPr>
          <w:szCs w:val="22"/>
        </w:rPr>
        <w:t xml:space="preserve"> discussions on DCI contents and formats are </w:t>
      </w:r>
      <w:r w:rsidR="009D3117">
        <w:rPr>
          <w:szCs w:val="22"/>
        </w:rPr>
        <w:t>on-</w:t>
      </w:r>
      <w:r w:rsidR="008D0F91">
        <w:rPr>
          <w:szCs w:val="22"/>
        </w:rPr>
        <w:t>going, we should be reminded that reduction of PDCCH blind decoding hypotheses is still one of the important design goals.</w:t>
      </w:r>
    </w:p>
    <w:p w14:paraId="0B3BE98D" w14:textId="1B24A361" w:rsidR="0044173B" w:rsidRDefault="008D0F91" w:rsidP="0044173B">
      <w:pPr>
        <w:pStyle w:val="Heading1"/>
      </w:pPr>
      <w:r>
        <w:t>Discussion</w:t>
      </w:r>
    </w:p>
    <w:p w14:paraId="3B17EBC1" w14:textId="3A70E27F" w:rsidR="00736CD8" w:rsidRDefault="002B4AC3" w:rsidP="00736CD8">
      <w:pPr>
        <w:pStyle w:val="Heading2"/>
      </w:pPr>
      <w:r>
        <w:t xml:space="preserve">Reduction on </w:t>
      </w:r>
      <w:r w:rsidR="00736CD8">
        <w:t xml:space="preserve">PDCCH </w:t>
      </w:r>
      <w:r>
        <w:t>blind decoding</w:t>
      </w:r>
    </w:p>
    <w:p w14:paraId="1FBC2A59" w14:textId="3119AAED" w:rsidR="00736CD8" w:rsidRDefault="00736CD8" w:rsidP="00736CD8">
      <w:pPr>
        <w:jc w:val="both"/>
        <w:rPr>
          <w:szCs w:val="22"/>
        </w:rPr>
      </w:pPr>
      <w:r>
        <w:rPr>
          <w:szCs w:val="22"/>
        </w:rPr>
        <w:t xml:space="preserve">To further reduce the complexity for PDCCH decoding and improve the timeline, </w:t>
      </w:r>
      <w:r w:rsidR="002B4AC3">
        <w:rPr>
          <w:szCs w:val="22"/>
        </w:rPr>
        <w:t xml:space="preserve">companies </w:t>
      </w:r>
      <w:r>
        <w:rPr>
          <w:szCs w:val="22"/>
        </w:rPr>
        <w:t>consider fewer hypotheses of blind decoding for PDCCH.</w:t>
      </w:r>
    </w:p>
    <w:p w14:paraId="10B16D01" w14:textId="72B528AC" w:rsidR="00736CD8" w:rsidRDefault="00736CD8" w:rsidP="00736CD8">
      <w:pPr>
        <w:jc w:val="both"/>
        <w:rPr>
          <w:szCs w:val="22"/>
        </w:rPr>
      </w:pPr>
      <w:r>
        <w:rPr>
          <w:szCs w:val="22"/>
        </w:rPr>
        <w:lastRenderedPageBreak/>
        <w:t>In LTE, there are 44</w:t>
      </w:r>
      <w:r w:rsidR="0063473A">
        <w:rPr>
          <w:szCs w:val="22"/>
        </w:rPr>
        <w:t xml:space="preserve"> blind decodes hypotheses:</w:t>
      </w:r>
    </w:p>
    <w:p w14:paraId="01AF7C95" w14:textId="4EB49EDD" w:rsidR="00736CD8" w:rsidRPr="00F75671" w:rsidRDefault="00736CD8" w:rsidP="00736CD8">
      <w:pPr>
        <w:pStyle w:val="ListParagraph"/>
        <w:numPr>
          <w:ilvl w:val="0"/>
          <w:numId w:val="31"/>
        </w:numPr>
        <w:jc w:val="both"/>
        <w:rPr>
          <w:rFonts w:ascii="Times New Roman" w:hAnsi="Times New Roman"/>
          <w:sz w:val="20"/>
        </w:rPr>
      </w:pPr>
      <w:r w:rsidRPr="00F75671">
        <w:rPr>
          <w:rFonts w:ascii="Times New Roman" w:hAnsi="Times New Roman"/>
          <w:bCs/>
          <w:sz w:val="20"/>
        </w:rPr>
        <w:t>UE specific</w:t>
      </w:r>
      <w:r w:rsidRPr="00F75671">
        <w:rPr>
          <w:rFonts w:ascii="Times New Roman" w:hAnsi="Times New Roman"/>
          <w:sz w:val="20"/>
        </w:rPr>
        <w:t xml:space="preserve">: (6xAL1; 6xAL2; 2xAL4; 2xAL8) x (2 DCI </w:t>
      </w:r>
      <w:r w:rsidR="00DB057E">
        <w:rPr>
          <w:rFonts w:ascii="Times New Roman" w:hAnsi="Times New Roman"/>
          <w:sz w:val="20"/>
        </w:rPr>
        <w:t>size</w:t>
      </w:r>
      <w:r w:rsidR="003B463C">
        <w:rPr>
          <w:rFonts w:ascii="Times New Roman" w:hAnsi="Times New Roman"/>
          <w:sz w:val="20"/>
        </w:rPr>
        <w:t>s</w:t>
      </w:r>
      <w:r w:rsidRPr="00F75671">
        <w:rPr>
          <w:rFonts w:ascii="Times New Roman" w:hAnsi="Times New Roman"/>
          <w:sz w:val="20"/>
        </w:rPr>
        <w:t>) = 32</w:t>
      </w:r>
    </w:p>
    <w:p w14:paraId="444B22F7" w14:textId="023F5D4E" w:rsidR="00736CD8" w:rsidRPr="00F75671" w:rsidRDefault="00736CD8" w:rsidP="00F37583">
      <w:pPr>
        <w:pStyle w:val="ListParagraph"/>
        <w:numPr>
          <w:ilvl w:val="0"/>
          <w:numId w:val="31"/>
        </w:numPr>
        <w:spacing w:after="240"/>
        <w:jc w:val="both"/>
        <w:rPr>
          <w:rFonts w:ascii="Times New Roman" w:hAnsi="Times New Roman"/>
          <w:sz w:val="20"/>
        </w:rPr>
      </w:pPr>
      <w:r w:rsidRPr="00F75671">
        <w:rPr>
          <w:rFonts w:ascii="Times New Roman" w:hAnsi="Times New Roman"/>
          <w:bCs/>
          <w:sz w:val="20"/>
        </w:rPr>
        <w:t>Common</w:t>
      </w:r>
      <w:r w:rsidRPr="00F75671">
        <w:rPr>
          <w:rFonts w:ascii="Times New Roman" w:hAnsi="Times New Roman"/>
          <w:sz w:val="20"/>
        </w:rPr>
        <w:t xml:space="preserve">: (4xAL4; 2xAL8) x (2 DCI </w:t>
      </w:r>
      <w:r w:rsidR="00DB057E">
        <w:rPr>
          <w:rFonts w:ascii="Times New Roman" w:hAnsi="Times New Roman"/>
          <w:sz w:val="20"/>
        </w:rPr>
        <w:t>size</w:t>
      </w:r>
      <w:r w:rsidR="003B463C">
        <w:rPr>
          <w:rFonts w:ascii="Times New Roman" w:hAnsi="Times New Roman"/>
          <w:sz w:val="20"/>
        </w:rPr>
        <w:t>s</w:t>
      </w:r>
      <w:r w:rsidRPr="00F75671">
        <w:rPr>
          <w:rFonts w:ascii="Times New Roman" w:hAnsi="Times New Roman"/>
          <w:sz w:val="20"/>
        </w:rPr>
        <w:t>) = 12</w:t>
      </w:r>
    </w:p>
    <w:p w14:paraId="11893879" w14:textId="0370EFA4" w:rsidR="00736CD8" w:rsidRDefault="00736CD8" w:rsidP="00736CD8">
      <w:pPr>
        <w:jc w:val="both"/>
      </w:pPr>
      <w:r>
        <w:t>There could be multiple ways to reduce the number of hypotheses</w:t>
      </w:r>
      <w:r w:rsidR="0063473A">
        <w:t xml:space="preserve"> and/or the processing required for blind decoding:</w:t>
      </w:r>
    </w:p>
    <w:p w14:paraId="58484329" w14:textId="3F953334"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 xml:space="preserve">Limit the DCI </w:t>
      </w:r>
      <w:r w:rsidR="00D26674">
        <w:rPr>
          <w:rFonts w:ascii="Times New Roman" w:hAnsi="Times New Roman"/>
          <w:sz w:val="20"/>
        </w:rPr>
        <w:t>size</w:t>
      </w:r>
      <w:r w:rsidRPr="00F75671">
        <w:rPr>
          <w:rFonts w:ascii="Times New Roman" w:hAnsi="Times New Roman"/>
          <w:sz w:val="20"/>
        </w:rPr>
        <w:t xml:space="preserve"> options</w:t>
      </w:r>
    </w:p>
    <w:p w14:paraId="40BF009E" w14:textId="3B8FEA04"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This can be pursued once NR sub-features are settled and DCI contents are determined.</w:t>
      </w:r>
    </w:p>
    <w:p w14:paraId="6745677D" w14:textId="530BB6FF"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 xml:space="preserve">Use nested search space for </w:t>
      </w:r>
      <w:r w:rsidR="002277AA">
        <w:rPr>
          <w:rFonts w:ascii="Times New Roman" w:hAnsi="Times New Roman"/>
          <w:sz w:val="20"/>
        </w:rPr>
        <w:t>aggregation level</w:t>
      </w:r>
      <w:r w:rsidR="00C34A25">
        <w:rPr>
          <w:rFonts w:ascii="Times New Roman" w:hAnsi="Times New Roman"/>
          <w:sz w:val="20"/>
        </w:rPr>
        <w:t>s</w:t>
      </w:r>
      <w:r w:rsidR="002277AA">
        <w:rPr>
          <w:rFonts w:ascii="Times New Roman" w:hAnsi="Times New Roman"/>
          <w:sz w:val="20"/>
        </w:rPr>
        <w:t xml:space="preserve"> within </w:t>
      </w:r>
      <w:r w:rsidRPr="00F75671">
        <w:rPr>
          <w:rFonts w:ascii="Times New Roman" w:hAnsi="Times New Roman"/>
          <w:sz w:val="20"/>
        </w:rPr>
        <w:t xml:space="preserve">each </w:t>
      </w:r>
      <w:r w:rsidR="00485DA5">
        <w:rPr>
          <w:rFonts w:ascii="Times New Roman" w:hAnsi="Times New Roman"/>
          <w:sz w:val="20"/>
        </w:rPr>
        <w:t>CORESET</w:t>
      </w:r>
    </w:p>
    <w:p w14:paraId="599D907E" w14:textId="03783E11"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This can help reducing UE processing for multiple AL hypotheses</w:t>
      </w:r>
    </w:p>
    <w:p w14:paraId="6CA02051" w14:textId="13CF9622" w:rsidR="00736CD8" w:rsidRDefault="00736CD8" w:rsidP="00F37583">
      <w:pPr>
        <w:pStyle w:val="ListParagraph"/>
        <w:numPr>
          <w:ilvl w:val="0"/>
          <w:numId w:val="30"/>
        </w:numPr>
        <w:spacing w:after="240"/>
        <w:jc w:val="both"/>
        <w:rPr>
          <w:rFonts w:ascii="Times New Roman" w:hAnsi="Times New Roman"/>
          <w:sz w:val="20"/>
        </w:rPr>
      </w:pPr>
      <w:r w:rsidRPr="00F75671">
        <w:rPr>
          <w:rFonts w:ascii="Times New Roman" w:hAnsi="Times New Roman"/>
          <w:sz w:val="20"/>
        </w:rPr>
        <w:t>Reduce the number of options for each aggregation level compared to LTE</w:t>
      </w:r>
      <w:r w:rsidR="002B4AC3" w:rsidRPr="00F75671">
        <w:rPr>
          <w:rFonts w:ascii="Times New Roman" w:hAnsi="Times New Roman"/>
          <w:sz w:val="20"/>
        </w:rPr>
        <w:t>.</w:t>
      </w:r>
    </w:p>
    <w:p w14:paraId="79431107" w14:textId="39C2F07E" w:rsidR="0063473A" w:rsidRPr="00C34A25" w:rsidRDefault="00A673C4" w:rsidP="00F37583">
      <w:pPr>
        <w:jc w:val="both"/>
      </w:pPr>
      <w:r>
        <w:t xml:space="preserve">In </w:t>
      </w:r>
      <w:r>
        <w:fldChar w:fldCharType="begin"/>
      </w:r>
      <w:r>
        <w:instrText xml:space="preserve"> REF _Ref492920134 \r \h </w:instrText>
      </w:r>
      <w:r>
        <w:fldChar w:fldCharType="separate"/>
      </w:r>
      <w:r>
        <w:t>[2]</w:t>
      </w:r>
      <w:r>
        <w:fldChar w:fldCharType="end"/>
      </w:r>
      <w:r>
        <w:t>, it has been proposed that UE blind decoding capability should be known by NW. Moreover, it has been proposed that the number of blind decoding can be reduced from LTE.</w:t>
      </w:r>
    </w:p>
    <w:p w14:paraId="49422958" w14:textId="3E00DD63" w:rsidR="00736CD8" w:rsidRDefault="00485DA5" w:rsidP="00736CD8">
      <w:r w:rsidRPr="00C17521">
        <w:rPr>
          <w:b/>
          <w:u w:val="single"/>
        </w:rPr>
        <w:t xml:space="preserve">Proposal </w:t>
      </w:r>
      <w:r>
        <w:rPr>
          <w:b/>
          <w:u w:val="single"/>
        </w:rPr>
        <w:t>1</w:t>
      </w:r>
      <w:r w:rsidRPr="00C17521">
        <w:rPr>
          <w:b/>
          <w:u w:val="single"/>
        </w:rPr>
        <w:t>:</w:t>
      </w:r>
      <w:r>
        <w:t xml:space="preserve"> </w:t>
      </w:r>
      <w:r w:rsidR="005C3D94">
        <w:t>RAN1 strives to introduce fewer blind decoding hypotheses for NR DL control channel relative to LTE.</w:t>
      </w:r>
    </w:p>
    <w:p w14:paraId="3AC68A1F" w14:textId="0D11C725" w:rsidR="00485DA5" w:rsidRDefault="00485DA5" w:rsidP="00736CD8">
      <w:r>
        <w:t>Use of nested search space (Option 2) has been discussed for NR</w:t>
      </w:r>
      <w:r w:rsidR="002277AA">
        <w:t xml:space="preserve"> and some progress has been made to at least make it feasible for a UE to reuse channel estimate obtained for one RE across multiple blind decodings </w:t>
      </w:r>
      <w:r w:rsidR="002277AA">
        <w:fldChar w:fldCharType="begin"/>
      </w:r>
      <w:r w:rsidR="002277AA">
        <w:instrText xml:space="preserve"> REF _Ref492921161 \r \h </w:instrText>
      </w:r>
      <w:r w:rsidR="002277AA">
        <w:fldChar w:fldCharType="separate"/>
      </w:r>
      <w:r w:rsidR="002277AA">
        <w:t>[3]</w:t>
      </w:r>
      <w:r w:rsidR="002277AA">
        <w:fldChar w:fldCharType="end"/>
      </w:r>
      <w:r>
        <w:t>.</w:t>
      </w:r>
      <w:r w:rsidR="002277AA">
        <w:t xml:space="preserve"> </w:t>
      </w:r>
      <w:r>
        <w:t xml:space="preserve"> </w:t>
      </w:r>
      <w:r w:rsidR="009921F1">
        <w:t>Also, r</w:t>
      </w:r>
      <w:r>
        <w:t xml:space="preserve">eduction of options for each aggregation level (Option 3) </w:t>
      </w:r>
      <w:r w:rsidR="00E47999">
        <w:t xml:space="preserve">could </w:t>
      </w:r>
      <w:r>
        <w:t xml:space="preserve">be considered during search space design. This contribution focuses on Option 1: Limiting the DCI </w:t>
      </w:r>
      <w:r w:rsidR="00D26674">
        <w:t>size</w:t>
      </w:r>
      <w:r>
        <w:t xml:space="preserve"> options.</w:t>
      </w:r>
      <w:r w:rsidR="00D26674">
        <w:t xml:space="preserve"> More specifically, we will introduce the concept of DCI size quantization.</w:t>
      </w:r>
    </w:p>
    <w:p w14:paraId="014C0054" w14:textId="263ED93E" w:rsidR="008429EF" w:rsidRDefault="008429EF" w:rsidP="00F37583">
      <w:pPr>
        <w:pStyle w:val="Heading2"/>
      </w:pPr>
      <w:r>
        <w:t xml:space="preserve">DCI </w:t>
      </w:r>
      <w:r w:rsidR="00D26674">
        <w:t>Size</w:t>
      </w:r>
      <w:r>
        <w:t xml:space="preserve"> Quantization</w:t>
      </w:r>
    </w:p>
    <w:p w14:paraId="7056DDFA" w14:textId="5AA29C4A" w:rsidR="005F72FF" w:rsidRDefault="008429EF" w:rsidP="00736CD8">
      <w:r>
        <w:t xml:space="preserve">For LTE, DCI format and the DCI </w:t>
      </w:r>
      <w:r w:rsidR="00D26674">
        <w:t xml:space="preserve">size (i.e. number of </w:t>
      </w:r>
      <w:r w:rsidR="002946CF">
        <w:t>un</w:t>
      </w:r>
      <w:r w:rsidR="00D26674">
        <w:t>coded bits for PDCCH)</w:t>
      </w:r>
      <w:r>
        <w:t xml:space="preserve"> are coupled, and the exact size is dependent on the number of RBs configured in the system (N</w:t>
      </w:r>
      <w:r w:rsidRPr="008429EF">
        <w:rPr>
          <w:vertAlign w:val="subscript"/>
        </w:rPr>
        <w:t>RB</w:t>
      </w:r>
      <w:r>
        <w:t>). For example, for N</w:t>
      </w:r>
      <w:r w:rsidRPr="008429EF">
        <w:rPr>
          <w:vertAlign w:val="subscript"/>
        </w:rPr>
        <w:t>RB</w:t>
      </w:r>
      <w:r>
        <w:t xml:space="preserve"> = 100 (i.e. 20MHz BW), DCI format 1A </w:t>
      </w:r>
      <w:r w:rsidR="009309E9">
        <w:t xml:space="preserve">requires </w:t>
      </w:r>
      <w:r>
        <w:t xml:space="preserve">53 bits </w:t>
      </w:r>
      <w:r w:rsidR="009309E9">
        <w:t xml:space="preserve">for its content </w:t>
      </w:r>
      <w:r>
        <w:t>including CRC. However, depending on the transmission mode, the UE needs to monitor another DCI format which has a different size compared to 1A. For example, for TM9, Format 2C should be blind</w:t>
      </w:r>
      <w:r w:rsidR="006E76AF">
        <w:t>ly</w:t>
      </w:r>
      <w:r>
        <w:t xml:space="preserve"> decoded with </w:t>
      </w:r>
      <w:r w:rsidR="006E76AF">
        <w:t xml:space="preserve">a </w:t>
      </w:r>
      <w:r>
        <w:t xml:space="preserve">size </w:t>
      </w:r>
      <w:r w:rsidR="005F72FF">
        <w:t>equal to 75 bits including CRC. This results in two blind decodes</w:t>
      </w:r>
      <w:r w:rsidR="00C34A25">
        <w:t>, and this gets multiplied by the number of search spaces and the number of aggregation levels</w:t>
      </w:r>
      <w:r w:rsidR="005F72FF">
        <w:t xml:space="preserve">. For this example, it can be seen that at least for UE-specific </w:t>
      </w:r>
      <w:r w:rsidR="00C34A25">
        <w:t>search space</w:t>
      </w:r>
      <w:r w:rsidR="005F72FF">
        <w:t>, such multiple decodes can be avoided if UE coordinates with eNB that it only decodes for DCI with size 75 bits. In case Format 1A needs to be conveyed to this UE, there can be a format type identifier embedded in the payload to distinguish between Format 1A and 2C.</w:t>
      </w:r>
      <w:r w:rsidR="00D26674">
        <w:t xml:space="preserve"> Since Format 1A contains fewer bits than Format 2C, when 1A is transmitted this way, padding for 22 bits (75-53) </w:t>
      </w:r>
      <w:r w:rsidR="000B3212">
        <w:t xml:space="preserve">can </w:t>
      </w:r>
      <w:r w:rsidR="00D26674">
        <w:t>be used.</w:t>
      </w:r>
    </w:p>
    <w:p w14:paraId="2C61ADC1" w14:textId="48560FB7" w:rsidR="005F72FF" w:rsidRDefault="005F72FF" w:rsidP="00736CD8">
      <w:r>
        <w:t>The issue of multiple blind decodes due to multiple DCI size hypotheses presents a challenge for LTE as more features are added and extreme care has to be taken to “retrofit” new DCI formats into existing sizes to avoid incurring more blind decoding requirement on the UE.</w:t>
      </w:r>
    </w:p>
    <w:p w14:paraId="28A5BA5F" w14:textId="3D3D6BA5" w:rsidR="005F72FF" w:rsidRDefault="005F72FF" w:rsidP="00736CD8">
      <w:r>
        <w:t xml:space="preserve">For NR, there is an alternative to the association between DCI format and DCI size hypotheses. We </w:t>
      </w:r>
      <w:r w:rsidR="00D26674">
        <w:t>present</w:t>
      </w:r>
      <w:r>
        <w:t xml:space="preserve"> a scheme where DCI format and DCI size could be loosely coupled.</w:t>
      </w:r>
    </w:p>
    <w:p w14:paraId="3B1264ED" w14:textId="2B52B6CC" w:rsidR="00BE1820" w:rsidRDefault="004E00C0" w:rsidP="00736CD8">
      <w:r>
        <w:t xml:space="preserve">First, </w:t>
      </w:r>
      <w:r w:rsidR="00BE1820">
        <w:t>there could be a number of DCI size options (i.e. “quanta”) that is predefined in the spec. For example, 48 bits, 64 bits, 72 bits, and so on</w:t>
      </w:r>
      <w:r w:rsidR="00C34A25">
        <w:t>, or at even finer granularity.</w:t>
      </w:r>
    </w:p>
    <w:p w14:paraId="5EBA9FEA" w14:textId="476E1F3D" w:rsidR="00D26674" w:rsidRDefault="00BE1820" w:rsidP="00736CD8">
      <w:r>
        <w:t xml:space="preserve">Second, </w:t>
      </w:r>
      <w:r w:rsidR="004E00C0">
        <w:t>UE and gNB can agree on a subset of DCI size</w:t>
      </w:r>
      <w:r w:rsidR="002946CF">
        <w:t>s</w:t>
      </w:r>
      <w:r w:rsidR="004E00C0">
        <w:t xml:space="preserve"> </w:t>
      </w:r>
      <w:r w:rsidR="00FE41B2">
        <w:t xml:space="preserve">over which </w:t>
      </w:r>
      <w:r w:rsidR="004E00C0">
        <w:t xml:space="preserve">UE would </w:t>
      </w:r>
      <w:r w:rsidR="00FE41B2">
        <w:t xml:space="preserve">perform blind decoding. Suppose the agreed blind decoding </w:t>
      </w:r>
      <w:r w:rsidR="002946CF">
        <w:t>size</w:t>
      </w:r>
      <w:r w:rsidR="00FE41B2">
        <w:t xml:space="preserve"> hypotheses are L</w:t>
      </w:r>
      <w:r w:rsidR="00FE41B2" w:rsidRPr="00FE41B2">
        <w:rPr>
          <w:vertAlign w:val="subscript"/>
        </w:rPr>
        <w:t>1</w:t>
      </w:r>
      <w:r w:rsidR="00FE41B2">
        <w:t xml:space="preserve"> and L</w:t>
      </w:r>
      <w:r w:rsidR="00FE41B2" w:rsidRPr="00FE41B2">
        <w:rPr>
          <w:vertAlign w:val="subscript"/>
        </w:rPr>
        <w:t>2</w:t>
      </w:r>
      <w:r w:rsidR="00FE41B2">
        <w:t>, when gNB has a DCI (Format A) to transmit, it would pick the smallest L which can fit Format A, and pad the rest of the payload</w:t>
      </w:r>
      <w:r>
        <w:t xml:space="preserve"> for encoding</w:t>
      </w:r>
      <w:r w:rsidR="00FE41B2">
        <w:t>. The number of DCI formats that can be supported by UE’s blind decoding can increase significantly without incurring blind decoding complexity. DCI format identifier needs to be embedded in the DCI payload, similar to Format 0 and 1A flag in LTE. The number of bits required for the DCI format identifier would be log2(number of DCI formats to discern) at the minimum, and this can also be dependent on the actual number of DCI</w:t>
      </w:r>
      <w:r w:rsidR="00D26674">
        <w:t xml:space="preserve"> formats that UE has to support for its current mode of operation.</w:t>
      </w:r>
    </w:p>
    <w:p w14:paraId="23A9F178" w14:textId="391EC674" w:rsidR="00D26674" w:rsidRDefault="00D26674" w:rsidP="00BC4D50">
      <w:r>
        <w:t xml:space="preserve">Limiting to fewer DCI size options for hypotheses could result in spectral efficiency loss if </w:t>
      </w:r>
      <w:r w:rsidR="002946CF">
        <w:t>significant number of padded bits are used.</w:t>
      </w:r>
      <w:r w:rsidR="00BE1820">
        <w:t xml:space="preserve"> This is akin to more “quantization loss”. </w:t>
      </w:r>
      <w:r w:rsidR="002946CF">
        <w:t>More DCI size options that closely tail</w:t>
      </w:r>
      <w:r w:rsidR="00BE1820">
        <w:t xml:space="preserve">or the actual DCI formats in operation </w:t>
      </w:r>
      <w:r w:rsidR="002946CF">
        <w:t xml:space="preserve">would </w:t>
      </w:r>
      <w:r w:rsidR="00BE1820">
        <w:t xml:space="preserve">result in fewer padding and </w:t>
      </w:r>
      <w:r w:rsidR="002946CF">
        <w:t>achieve higher spectral efficiency at the expense of more blind decoding. The DCI size options would be a tradeoff between spectral efficiency and UE blind decoding complexity.</w:t>
      </w:r>
    </w:p>
    <w:p w14:paraId="27D519C2" w14:textId="0DAFDBB8" w:rsidR="00A0398B" w:rsidRDefault="00436617" w:rsidP="00BC4D50">
      <w:r>
        <w:lastRenderedPageBreak/>
        <w:t>RAN1</w:t>
      </w:r>
      <w:r w:rsidR="00BE1820">
        <w:t xml:space="preserve"> should specify the DCI size options</w:t>
      </w:r>
      <w:r>
        <w:t xml:space="preserve"> for NR</w:t>
      </w:r>
      <w:r w:rsidR="00A740F2">
        <w:t xml:space="preserve"> </w:t>
      </w:r>
      <w:r>
        <w:t>considering</w:t>
      </w:r>
      <w:r w:rsidR="00A740F2">
        <w:t xml:space="preserve"> the size of the largest and smallest DCI formats, and those in between, and consider leaving some margin for future extension.</w:t>
      </w:r>
    </w:p>
    <w:p w14:paraId="460F688D" w14:textId="145B9964" w:rsidR="00A740F2" w:rsidRDefault="00BE1820" w:rsidP="00BC4D50">
      <w:r w:rsidRPr="00A740F2">
        <w:rPr>
          <w:b/>
          <w:u w:val="single"/>
        </w:rPr>
        <w:t>Proposal</w:t>
      </w:r>
      <w:r w:rsidR="00A740F2" w:rsidRPr="00A740F2">
        <w:rPr>
          <w:b/>
          <w:u w:val="single"/>
        </w:rPr>
        <w:t xml:space="preserve"> </w:t>
      </w:r>
      <w:r w:rsidR="00436617">
        <w:rPr>
          <w:b/>
          <w:u w:val="single"/>
        </w:rPr>
        <w:t>2</w:t>
      </w:r>
      <w:r>
        <w:t xml:space="preserve">: gNB </w:t>
      </w:r>
      <w:r w:rsidR="00D41458">
        <w:t>configures</w:t>
      </w:r>
      <w:r>
        <w:t xml:space="preserve"> a set of DCI size hypotheses for blind decoding</w:t>
      </w:r>
      <w:r w:rsidR="00A740F2">
        <w:t xml:space="preserve"> at least for UE-specific search space, based on the DCI formats that the UE needs to support in current mode of operation</w:t>
      </w:r>
    </w:p>
    <w:p w14:paraId="468F55C8" w14:textId="19185B5C" w:rsidR="00A740F2" w:rsidRDefault="00A740F2" w:rsidP="00A740F2">
      <w:r w:rsidRPr="00A740F2">
        <w:rPr>
          <w:b/>
          <w:u w:val="single"/>
        </w:rPr>
        <w:t xml:space="preserve">Proposal </w:t>
      </w:r>
      <w:r w:rsidR="00436617">
        <w:rPr>
          <w:b/>
          <w:u w:val="single"/>
        </w:rPr>
        <w:t>3</w:t>
      </w:r>
      <w:r>
        <w:t xml:space="preserve">: </w:t>
      </w:r>
      <w:r w:rsidR="00F90376">
        <w:t xml:space="preserve">All </w:t>
      </w:r>
      <w:r>
        <w:t>DCI formats are discerned by an identifier which is explicitly carried in the DCI payload</w:t>
      </w:r>
    </w:p>
    <w:p w14:paraId="6D5E9E63" w14:textId="56759D94" w:rsidR="00A740F2" w:rsidRDefault="00A740F2" w:rsidP="00A740F2">
      <w:r w:rsidRPr="00A740F2">
        <w:rPr>
          <w:b/>
          <w:u w:val="single"/>
        </w:rPr>
        <w:t xml:space="preserve">Proposal </w:t>
      </w:r>
      <w:r w:rsidR="00436617">
        <w:rPr>
          <w:b/>
          <w:u w:val="single"/>
        </w:rPr>
        <w:t>4</w:t>
      </w:r>
      <w:r>
        <w:t>: The number of bits and the enumeration of the DCI format identifier can be UE-specific based on the DCI formats in operation</w:t>
      </w:r>
    </w:p>
    <w:p w14:paraId="31C0216B" w14:textId="68194BCD" w:rsidR="00BE1820" w:rsidRDefault="00BE1820" w:rsidP="00BC4D50">
      <w:r>
        <w:t>The proposed framework would be flexible and is a practical way to future-proof NR DCI format and blind decoding designs.</w:t>
      </w:r>
    </w:p>
    <w:p w14:paraId="2D7DEADD" w14:textId="63CB78BE" w:rsidR="00A740F2" w:rsidRDefault="00A740F2" w:rsidP="00BC4D50">
      <w:r w:rsidRPr="00A740F2">
        <w:rPr>
          <w:b/>
          <w:u w:val="single"/>
        </w:rPr>
        <w:t xml:space="preserve">Proposal </w:t>
      </w:r>
      <w:r w:rsidR="00436617">
        <w:rPr>
          <w:b/>
          <w:u w:val="single"/>
        </w:rPr>
        <w:t>5</w:t>
      </w:r>
      <w:r>
        <w:t xml:space="preserve">: </w:t>
      </w:r>
      <w:r w:rsidR="00436617">
        <w:t xml:space="preserve">RAN1 </w:t>
      </w:r>
      <w:r w:rsidR="00F90376">
        <w:t>considers</w:t>
      </w:r>
      <w:r>
        <w:t xml:space="preserve"> DCI quantization</w:t>
      </w:r>
      <w:r w:rsidR="00436617">
        <w:t xml:space="preserve"> for NR</w:t>
      </w:r>
      <w:r>
        <w:t>.</w:t>
      </w:r>
    </w:p>
    <w:p w14:paraId="56D28D4B" w14:textId="26018A49" w:rsidR="00067CA8" w:rsidRPr="00226FE2" w:rsidRDefault="004503F9" w:rsidP="00067CA8">
      <w:pPr>
        <w:pStyle w:val="Heading1"/>
        <w:rPr>
          <w:lang w:eastAsia="zh-CN"/>
        </w:rPr>
      </w:pPr>
      <w:r>
        <w:rPr>
          <w:lang w:eastAsia="zh-CN"/>
        </w:rPr>
        <w:t>Conclusions</w:t>
      </w:r>
    </w:p>
    <w:p w14:paraId="104D2FA2" w14:textId="7DA69A43" w:rsidR="00EF3FCB" w:rsidRDefault="00531C5A" w:rsidP="00531C5A">
      <w:pPr>
        <w:jc w:val="both"/>
        <w:rPr>
          <w:lang w:eastAsia="ja-JP"/>
        </w:rPr>
      </w:pPr>
      <w:r>
        <w:rPr>
          <w:szCs w:val="22"/>
        </w:rPr>
        <w:t>This contribution has discussed reduction on PDCCH blind decoding hypotheses</w:t>
      </w:r>
      <w:r w:rsidR="00436617">
        <w:rPr>
          <w:szCs w:val="22"/>
        </w:rPr>
        <w:t xml:space="preserve"> and DCI quantization</w:t>
      </w:r>
      <w:r>
        <w:rPr>
          <w:szCs w:val="22"/>
        </w:rPr>
        <w:t>. The following proposals have been made:</w:t>
      </w:r>
    </w:p>
    <w:p w14:paraId="7FE161AB" w14:textId="118E614B" w:rsidR="00531C5A" w:rsidRDefault="00736CD8" w:rsidP="00FD2F3B">
      <w:r w:rsidRPr="00BA0646">
        <w:rPr>
          <w:b/>
          <w:u w:val="single"/>
        </w:rPr>
        <w:t xml:space="preserve">Proposal </w:t>
      </w:r>
      <w:r w:rsidR="00531C5A">
        <w:rPr>
          <w:b/>
          <w:u w:val="single"/>
        </w:rPr>
        <w:t>1</w:t>
      </w:r>
      <w:r w:rsidRPr="00BA0646">
        <w:rPr>
          <w:b/>
          <w:u w:val="single"/>
        </w:rPr>
        <w:t>:</w:t>
      </w:r>
      <w:r>
        <w:t xml:space="preserve"> </w:t>
      </w:r>
      <w:r w:rsidR="005C3D94">
        <w:t>RAN1 strives to introduce fewer blind decoding hypotheses for NR DL control channel relative to LTE.</w:t>
      </w:r>
    </w:p>
    <w:p w14:paraId="19B355D4" w14:textId="380F70FE" w:rsidR="00FD2F3B" w:rsidRDefault="00D41458" w:rsidP="00FD2F3B">
      <w:r w:rsidRPr="00A740F2">
        <w:rPr>
          <w:b/>
          <w:u w:val="single"/>
        </w:rPr>
        <w:t xml:space="preserve">Proposal </w:t>
      </w:r>
      <w:r>
        <w:rPr>
          <w:b/>
          <w:u w:val="single"/>
        </w:rPr>
        <w:t>2</w:t>
      </w:r>
      <w:r>
        <w:t>: gNB configures a set of DCI size hypotheses for blind decoding at least for UE-specific search space, based on the DCI formats that the UE needs to support in current mode of operation</w:t>
      </w:r>
    </w:p>
    <w:p w14:paraId="0FF0572C" w14:textId="436E93F8" w:rsidR="00FD2F3B" w:rsidRDefault="00FD2F3B" w:rsidP="00FD2F3B">
      <w:r w:rsidRPr="00A740F2">
        <w:rPr>
          <w:b/>
          <w:u w:val="single"/>
        </w:rPr>
        <w:t xml:space="preserve">Proposal </w:t>
      </w:r>
      <w:r w:rsidR="00436617">
        <w:rPr>
          <w:b/>
          <w:u w:val="single"/>
        </w:rPr>
        <w:t>3</w:t>
      </w:r>
      <w:r>
        <w:t xml:space="preserve">: </w:t>
      </w:r>
      <w:r w:rsidR="00F90376">
        <w:t xml:space="preserve">All </w:t>
      </w:r>
      <w:r>
        <w:t>DCI formats are discerned by an identifier which is explicitly carried in the DCI payload</w:t>
      </w:r>
    </w:p>
    <w:p w14:paraId="5DA7166D" w14:textId="042F66D1" w:rsidR="00FD2F3B" w:rsidRDefault="00FD2F3B" w:rsidP="00FD2F3B">
      <w:r w:rsidRPr="00A740F2">
        <w:rPr>
          <w:b/>
          <w:u w:val="single"/>
        </w:rPr>
        <w:t xml:space="preserve">Proposal </w:t>
      </w:r>
      <w:r w:rsidR="00436617">
        <w:rPr>
          <w:b/>
          <w:u w:val="single"/>
        </w:rPr>
        <w:t>4</w:t>
      </w:r>
      <w:r>
        <w:t>: The number of bits and the enumeration of the DCI format identifier can be UE-specific based on the DCI formats in operation</w:t>
      </w:r>
    </w:p>
    <w:p w14:paraId="58E92B77" w14:textId="183CCF1E" w:rsidR="00FD2F3B" w:rsidRDefault="00FD2F3B" w:rsidP="00FD2F3B">
      <w:r w:rsidRPr="00A740F2">
        <w:rPr>
          <w:b/>
          <w:u w:val="single"/>
        </w:rPr>
        <w:t xml:space="preserve">Proposal </w:t>
      </w:r>
      <w:r w:rsidR="00436617">
        <w:rPr>
          <w:b/>
          <w:u w:val="single"/>
        </w:rPr>
        <w:t>5</w:t>
      </w:r>
      <w:r>
        <w:t xml:space="preserve">: </w:t>
      </w:r>
      <w:r w:rsidR="00436617">
        <w:t>RAN1</w:t>
      </w:r>
      <w:r>
        <w:t xml:space="preserve"> </w:t>
      </w:r>
      <w:r w:rsidR="00F90376">
        <w:t>considers</w:t>
      </w:r>
      <w:r>
        <w:t xml:space="preserve"> DCI quantization </w:t>
      </w:r>
      <w:r w:rsidR="00D41458">
        <w:t>for NR</w:t>
      </w:r>
    </w:p>
    <w:p w14:paraId="43B7F896" w14:textId="5D50D665" w:rsidR="00E523F3" w:rsidRPr="000A64D8" w:rsidRDefault="00E523F3" w:rsidP="00E523F3">
      <w:pPr>
        <w:pStyle w:val="Heading1"/>
        <w:rPr>
          <w:lang w:val="en-US"/>
        </w:rPr>
      </w:pPr>
      <w:r w:rsidRPr="000A64D8">
        <w:rPr>
          <w:lang w:val="en-US"/>
        </w:rPr>
        <w:t>References</w:t>
      </w:r>
    </w:p>
    <w:p w14:paraId="3AA40125" w14:textId="77777777" w:rsidR="001B3E73" w:rsidRPr="00396925" w:rsidRDefault="001B3E73" w:rsidP="00F37583">
      <w:pPr>
        <w:numPr>
          <w:ilvl w:val="0"/>
          <w:numId w:val="2"/>
        </w:numPr>
        <w:spacing w:before="120" w:after="120"/>
        <w:ind w:left="562" w:hanging="562"/>
        <w:rPr>
          <w:szCs w:val="22"/>
        </w:rPr>
      </w:pPr>
      <w:bookmarkStart w:id="4" w:name="_Ref4929198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3D3F1758" w14:textId="73786D0E" w:rsidR="005C3D94" w:rsidRDefault="005C3D94" w:rsidP="00F37583">
      <w:pPr>
        <w:numPr>
          <w:ilvl w:val="0"/>
          <w:numId w:val="2"/>
        </w:numPr>
        <w:spacing w:before="120" w:after="120"/>
        <w:ind w:left="562" w:hanging="562"/>
        <w:rPr>
          <w:szCs w:val="22"/>
        </w:rPr>
      </w:pPr>
      <w:bookmarkStart w:id="5" w:name="_Ref492920134"/>
      <w:r>
        <w:rPr>
          <w:szCs w:val="22"/>
        </w:rPr>
        <w:t>R1-1713427, “</w:t>
      </w:r>
      <w:r w:rsidRPr="005C3D94">
        <w:rPr>
          <w:szCs w:val="22"/>
        </w:rPr>
        <w:t>PDCCH blind decoding capability</w:t>
      </w:r>
      <w:r>
        <w:rPr>
          <w:szCs w:val="22"/>
        </w:rPr>
        <w:t>”, RAN1#90, Qualcomm</w:t>
      </w:r>
      <w:bookmarkEnd w:id="5"/>
    </w:p>
    <w:p w14:paraId="0C7DDD9B" w14:textId="2155D5CE" w:rsidR="00396925" w:rsidRPr="00396925" w:rsidRDefault="002277AA" w:rsidP="00F37583">
      <w:pPr>
        <w:pStyle w:val="Reference"/>
        <w:keepLines w:val="0"/>
        <w:numPr>
          <w:ilvl w:val="0"/>
          <w:numId w:val="2"/>
        </w:numPr>
        <w:suppressAutoHyphens w:val="0"/>
        <w:autoSpaceDN w:val="0"/>
        <w:adjustRightInd w:val="0"/>
        <w:spacing w:before="120" w:after="120"/>
        <w:ind w:left="562" w:hanging="562"/>
        <w:jc w:val="both"/>
      </w:pPr>
      <w:bookmarkStart w:id="6" w:name="_Ref485407476"/>
      <w:bookmarkStart w:id="7" w:name="_Ref485346913"/>
      <w:bookmarkStart w:id="8" w:name="_Ref492921161"/>
      <w:r>
        <w:t>Chairman’s Notes</w:t>
      </w:r>
      <w:r>
        <w:tab/>
        <w:t xml:space="preserve">3GPP TSG RAN WG1 </w:t>
      </w:r>
      <w:bookmarkEnd w:id="6"/>
      <w:r>
        <w:t>#</w:t>
      </w:r>
      <w:bookmarkEnd w:id="7"/>
      <w:r>
        <w:t>JanAH</w:t>
      </w:r>
      <w:bookmarkEnd w:id="8"/>
    </w:p>
    <w:sectPr w:rsidR="00396925" w:rsidRPr="0039692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CC862" w14:textId="77777777" w:rsidR="00CD766A" w:rsidRDefault="00CD766A">
      <w:r>
        <w:separator/>
      </w:r>
    </w:p>
  </w:endnote>
  <w:endnote w:type="continuationSeparator" w:id="0">
    <w:p w14:paraId="0816E7E8" w14:textId="77777777" w:rsidR="00CD766A" w:rsidRDefault="00CD766A">
      <w:r>
        <w:continuationSeparator/>
      </w:r>
    </w:p>
  </w:endnote>
  <w:endnote w:type="continuationNotice" w:id="1">
    <w:p w14:paraId="237B93EF" w14:textId="77777777" w:rsidR="00CD766A" w:rsidRDefault="00CD7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ＭＳ 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9C372F6"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22E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2E6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D907A" w14:textId="77777777" w:rsidR="00CD766A" w:rsidRDefault="00CD766A">
      <w:r>
        <w:separator/>
      </w:r>
    </w:p>
  </w:footnote>
  <w:footnote w:type="continuationSeparator" w:id="0">
    <w:p w14:paraId="7A173608" w14:textId="77777777" w:rsidR="00CD766A" w:rsidRDefault="00CD766A">
      <w:r>
        <w:continuationSeparator/>
      </w:r>
    </w:p>
  </w:footnote>
  <w:footnote w:type="continuationNotice" w:id="1">
    <w:p w14:paraId="52DA7CD1" w14:textId="77777777" w:rsidR="00CD766A" w:rsidRDefault="00CD76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5.55pt;height:15.5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cs="Times New Roman" w:hint="default"/>
      </w:rPr>
    </w:lvl>
    <w:lvl w:ilvl="1" w:tplc="6582A392">
      <w:numFmt w:val="bullet"/>
      <w:lvlText w:val="–"/>
      <w:lvlJc w:val="left"/>
      <w:pPr>
        <w:tabs>
          <w:tab w:val="num" w:pos="1080"/>
        </w:tabs>
        <w:ind w:left="1080" w:hanging="360"/>
      </w:pPr>
      <w:rPr>
        <w:rFonts w:ascii="Arial" w:hAnsi="Arial" w:cs="Times New Roman" w:hint="default"/>
      </w:rPr>
    </w:lvl>
    <w:lvl w:ilvl="2" w:tplc="BE94BA26">
      <w:numFmt w:val="bullet"/>
      <w:lvlText w:val="•"/>
      <w:lvlJc w:val="left"/>
      <w:pPr>
        <w:tabs>
          <w:tab w:val="num" w:pos="1800"/>
        </w:tabs>
        <w:ind w:left="1800" w:hanging="360"/>
      </w:pPr>
      <w:rPr>
        <w:rFonts w:ascii="Arial" w:hAnsi="Arial" w:cs="Times New Roman" w:hint="default"/>
      </w:rPr>
    </w:lvl>
    <w:lvl w:ilvl="3" w:tplc="F90871B2">
      <w:start w:val="1"/>
      <w:numFmt w:val="bullet"/>
      <w:lvlText w:val="•"/>
      <w:lvlJc w:val="left"/>
      <w:pPr>
        <w:tabs>
          <w:tab w:val="num" w:pos="2520"/>
        </w:tabs>
        <w:ind w:left="2520" w:hanging="360"/>
      </w:pPr>
      <w:rPr>
        <w:rFonts w:ascii="Arial" w:hAnsi="Arial" w:cs="Times New Roman" w:hint="default"/>
      </w:rPr>
    </w:lvl>
    <w:lvl w:ilvl="4" w:tplc="3DFEB37C">
      <w:start w:val="1"/>
      <w:numFmt w:val="bullet"/>
      <w:lvlText w:val="•"/>
      <w:lvlJc w:val="left"/>
      <w:pPr>
        <w:tabs>
          <w:tab w:val="num" w:pos="3240"/>
        </w:tabs>
        <w:ind w:left="3240" w:hanging="360"/>
      </w:pPr>
      <w:rPr>
        <w:rFonts w:ascii="Arial" w:hAnsi="Arial" w:cs="Times New Roman" w:hint="default"/>
      </w:rPr>
    </w:lvl>
    <w:lvl w:ilvl="5" w:tplc="409605CA">
      <w:start w:val="1"/>
      <w:numFmt w:val="bullet"/>
      <w:lvlText w:val="•"/>
      <w:lvlJc w:val="left"/>
      <w:pPr>
        <w:tabs>
          <w:tab w:val="num" w:pos="3960"/>
        </w:tabs>
        <w:ind w:left="3960" w:hanging="360"/>
      </w:pPr>
      <w:rPr>
        <w:rFonts w:ascii="Arial" w:hAnsi="Arial" w:cs="Times New Roman" w:hint="default"/>
      </w:rPr>
    </w:lvl>
    <w:lvl w:ilvl="6" w:tplc="969A36EA">
      <w:start w:val="1"/>
      <w:numFmt w:val="bullet"/>
      <w:lvlText w:val="•"/>
      <w:lvlJc w:val="left"/>
      <w:pPr>
        <w:tabs>
          <w:tab w:val="num" w:pos="4680"/>
        </w:tabs>
        <w:ind w:left="4680" w:hanging="360"/>
      </w:pPr>
      <w:rPr>
        <w:rFonts w:ascii="Arial" w:hAnsi="Arial" w:cs="Times New Roman" w:hint="default"/>
      </w:rPr>
    </w:lvl>
    <w:lvl w:ilvl="7" w:tplc="266A0DAA">
      <w:start w:val="1"/>
      <w:numFmt w:val="bullet"/>
      <w:lvlText w:val="•"/>
      <w:lvlJc w:val="left"/>
      <w:pPr>
        <w:tabs>
          <w:tab w:val="num" w:pos="5400"/>
        </w:tabs>
        <w:ind w:left="5400" w:hanging="360"/>
      </w:pPr>
      <w:rPr>
        <w:rFonts w:ascii="Arial" w:hAnsi="Arial" w:cs="Times New Roman" w:hint="default"/>
      </w:rPr>
    </w:lvl>
    <w:lvl w:ilvl="8" w:tplc="A380D870">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cs="Times New Roman" w:hint="default"/>
      </w:rPr>
    </w:lvl>
    <w:lvl w:ilvl="1" w:tplc="D75CA794">
      <w:start w:val="4017"/>
      <w:numFmt w:val="bullet"/>
      <w:lvlText w:val="–"/>
      <w:lvlJc w:val="left"/>
      <w:pPr>
        <w:tabs>
          <w:tab w:val="num" w:pos="1440"/>
        </w:tabs>
        <w:ind w:left="1440" w:hanging="360"/>
      </w:pPr>
      <w:rPr>
        <w:rFonts w:ascii="Arial" w:hAnsi="Arial" w:cs="Times New Roman" w:hint="default"/>
      </w:rPr>
    </w:lvl>
    <w:lvl w:ilvl="2" w:tplc="82EE4356">
      <w:start w:val="1"/>
      <w:numFmt w:val="bullet"/>
      <w:lvlText w:val="•"/>
      <w:lvlJc w:val="left"/>
      <w:pPr>
        <w:tabs>
          <w:tab w:val="num" w:pos="2160"/>
        </w:tabs>
        <w:ind w:left="2160" w:hanging="360"/>
      </w:pPr>
      <w:rPr>
        <w:rFonts w:ascii="Arial" w:hAnsi="Arial" w:cs="Times New Roman" w:hint="default"/>
      </w:rPr>
    </w:lvl>
    <w:lvl w:ilvl="3" w:tplc="AE6AB7DA">
      <w:start w:val="1"/>
      <w:numFmt w:val="bullet"/>
      <w:lvlText w:val="•"/>
      <w:lvlJc w:val="left"/>
      <w:pPr>
        <w:tabs>
          <w:tab w:val="num" w:pos="2880"/>
        </w:tabs>
        <w:ind w:left="2880" w:hanging="360"/>
      </w:pPr>
      <w:rPr>
        <w:rFonts w:ascii="Arial" w:hAnsi="Arial" w:cs="Times New Roman" w:hint="default"/>
      </w:rPr>
    </w:lvl>
    <w:lvl w:ilvl="4" w:tplc="CC7E86CE">
      <w:start w:val="1"/>
      <w:numFmt w:val="bullet"/>
      <w:lvlText w:val="•"/>
      <w:lvlJc w:val="left"/>
      <w:pPr>
        <w:tabs>
          <w:tab w:val="num" w:pos="3600"/>
        </w:tabs>
        <w:ind w:left="3600" w:hanging="360"/>
      </w:pPr>
      <w:rPr>
        <w:rFonts w:ascii="Arial" w:hAnsi="Arial" w:cs="Times New Roman" w:hint="default"/>
      </w:rPr>
    </w:lvl>
    <w:lvl w:ilvl="5" w:tplc="FAD2F68E">
      <w:start w:val="1"/>
      <w:numFmt w:val="bullet"/>
      <w:lvlText w:val="•"/>
      <w:lvlJc w:val="left"/>
      <w:pPr>
        <w:tabs>
          <w:tab w:val="num" w:pos="4320"/>
        </w:tabs>
        <w:ind w:left="4320" w:hanging="360"/>
      </w:pPr>
      <w:rPr>
        <w:rFonts w:ascii="Arial" w:hAnsi="Arial" w:cs="Times New Roman" w:hint="default"/>
      </w:rPr>
    </w:lvl>
    <w:lvl w:ilvl="6" w:tplc="5B0C337E">
      <w:start w:val="1"/>
      <w:numFmt w:val="bullet"/>
      <w:lvlText w:val="•"/>
      <w:lvlJc w:val="left"/>
      <w:pPr>
        <w:tabs>
          <w:tab w:val="num" w:pos="5040"/>
        </w:tabs>
        <w:ind w:left="5040" w:hanging="360"/>
      </w:pPr>
      <w:rPr>
        <w:rFonts w:ascii="Arial" w:hAnsi="Arial" w:cs="Times New Roman" w:hint="default"/>
      </w:rPr>
    </w:lvl>
    <w:lvl w:ilvl="7" w:tplc="F8C652A0">
      <w:start w:val="1"/>
      <w:numFmt w:val="bullet"/>
      <w:lvlText w:val="•"/>
      <w:lvlJc w:val="left"/>
      <w:pPr>
        <w:tabs>
          <w:tab w:val="num" w:pos="5760"/>
        </w:tabs>
        <w:ind w:left="5760" w:hanging="360"/>
      </w:pPr>
      <w:rPr>
        <w:rFonts w:ascii="Arial" w:hAnsi="Arial" w:cs="Times New Roman" w:hint="default"/>
      </w:rPr>
    </w:lvl>
    <w:lvl w:ilvl="8" w:tplc="5792D6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042DF6"/>
    <w:multiLevelType w:val="hybridMultilevel"/>
    <w:tmpl w:val="E4BA674E"/>
    <w:lvl w:ilvl="0" w:tplc="BFBE5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926F13"/>
    <w:multiLevelType w:val="hybridMultilevel"/>
    <w:tmpl w:val="EE4EC480"/>
    <w:lvl w:ilvl="0" w:tplc="BFBE59AE">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19"/>
  </w:num>
  <w:num w:numId="5">
    <w:abstractNumId w:val="5"/>
  </w:num>
  <w:num w:numId="6">
    <w:abstractNumId w:val="10"/>
  </w:num>
  <w:num w:numId="7">
    <w:abstractNumId w:val="12"/>
  </w:num>
  <w:num w:numId="8">
    <w:abstractNumId w:val="1"/>
  </w:num>
  <w:num w:numId="9">
    <w:abstractNumId w:val="31"/>
    <w:lvlOverride w:ilvl="0">
      <w:startOverride w:val="1"/>
    </w:lvlOverride>
  </w:num>
  <w:num w:numId="10">
    <w:abstractNumId w:val="21"/>
  </w:num>
  <w:num w:numId="11">
    <w:abstractNumId w:val="25"/>
  </w:num>
  <w:num w:numId="12">
    <w:abstractNumId w:val="26"/>
  </w:num>
  <w:num w:numId="13">
    <w:abstractNumId w:val="16"/>
  </w:num>
  <w:num w:numId="14">
    <w:abstractNumId w:val="24"/>
  </w:num>
  <w:num w:numId="15">
    <w:abstractNumId w:val="8"/>
  </w:num>
  <w:num w:numId="16">
    <w:abstractNumId w:val="18"/>
  </w:num>
  <w:num w:numId="17">
    <w:abstractNumId w:val="14"/>
  </w:num>
  <w:num w:numId="18">
    <w:abstractNumId w:val="29"/>
  </w:num>
  <w:num w:numId="19">
    <w:abstractNumId w:val="33"/>
  </w:num>
  <w:num w:numId="20">
    <w:abstractNumId w:val="13"/>
  </w:num>
  <w:num w:numId="21">
    <w:abstractNumId w:val="28"/>
  </w:num>
  <w:num w:numId="22">
    <w:abstractNumId w:val="3"/>
  </w:num>
  <w:num w:numId="23">
    <w:abstractNumId w:val="15"/>
  </w:num>
  <w:num w:numId="24">
    <w:abstractNumId w:val="11"/>
  </w:num>
  <w:num w:numId="25">
    <w:abstractNumId w:val="7"/>
  </w:num>
  <w:num w:numId="26">
    <w:abstractNumId w:val="23"/>
  </w:num>
  <w:num w:numId="27">
    <w:abstractNumId w:val="27"/>
  </w:num>
  <w:num w:numId="28">
    <w:abstractNumId w:val="20"/>
  </w:num>
  <w:num w:numId="29">
    <w:abstractNumId w:val="30"/>
  </w:num>
  <w:num w:numId="30">
    <w:abstractNumId w:val="32"/>
  </w:num>
  <w:num w:numId="31">
    <w:abstractNumId w:val="2"/>
  </w:num>
  <w:num w:numId="32">
    <w:abstractNumId w:val="22"/>
  </w:num>
  <w:num w:numId="33">
    <w:abstractNumId w:val="6"/>
  </w:num>
  <w:num w:numId="3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B1"/>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12"/>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706"/>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6A"/>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E73"/>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7AA"/>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6CF"/>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732"/>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63C"/>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17"/>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DA5"/>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C0"/>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1D"/>
    <w:rsid w:val="00527489"/>
    <w:rsid w:val="00527860"/>
    <w:rsid w:val="00527A58"/>
    <w:rsid w:val="0053012B"/>
    <w:rsid w:val="0053037A"/>
    <w:rsid w:val="0053066C"/>
    <w:rsid w:val="005306C5"/>
    <w:rsid w:val="00530AFD"/>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D94"/>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FF"/>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3A"/>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4F9"/>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6AF"/>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E64"/>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9EF"/>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D75"/>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DA8"/>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AC1"/>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0F91"/>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9E9"/>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1F1"/>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117"/>
    <w:rsid w:val="009D394E"/>
    <w:rsid w:val="009D39A0"/>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98B"/>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BF3"/>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3C4"/>
    <w:rsid w:val="00A6743F"/>
    <w:rsid w:val="00A677C1"/>
    <w:rsid w:val="00A67A8E"/>
    <w:rsid w:val="00A67AC6"/>
    <w:rsid w:val="00A70A35"/>
    <w:rsid w:val="00A7141F"/>
    <w:rsid w:val="00A71D6B"/>
    <w:rsid w:val="00A71F00"/>
    <w:rsid w:val="00A7215E"/>
    <w:rsid w:val="00A726A3"/>
    <w:rsid w:val="00A726DE"/>
    <w:rsid w:val="00A73242"/>
    <w:rsid w:val="00A73873"/>
    <w:rsid w:val="00A739AB"/>
    <w:rsid w:val="00A73D4C"/>
    <w:rsid w:val="00A740F2"/>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1F53"/>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3AC"/>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48C"/>
    <w:rsid w:val="00B71A5D"/>
    <w:rsid w:val="00B7273B"/>
    <w:rsid w:val="00B727B8"/>
    <w:rsid w:val="00B73453"/>
    <w:rsid w:val="00B737C7"/>
    <w:rsid w:val="00B73E00"/>
    <w:rsid w:val="00B73E31"/>
    <w:rsid w:val="00B7460C"/>
    <w:rsid w:val="00B74A0D"/>
    <w:rsid w:val="00B74EC0"/>
    <w:rsid w:val="00B75493"/>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AF9"/>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820"/>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A25"/>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CC0"/>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36D0"/>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66A"/>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52"/>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674"/>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A26"/>
    <w:rsid w:val="00D36C8E"/>
    <w:rsid w:val="00D36D5A"/>
    <w:rsid w:val="00D37A26"/>
    <w:rsid w:val="00D37C2D"/>
    <w:rsid w:val="00D404CE"/>
    <w:rsid w:val="00D40D79"/>
    <w:rsid w:val="00D40E25"/>
    <w:rsid w:val="00D40E78"/>
    <w:rsid w:val="00D40F5C"/>
    <w:rsid w:val="00D41009"/>
    <w:rsid w:val="00D41458"/>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4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57E"/>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87E"/>
    <w:rsid w:val="00DF7BB2"/>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99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583"/>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671"/>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76"/>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2F3B"/>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1B2"/>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2277AA"/>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16379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615475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HR33RHYHUWRF-4-5769</_dlc_DocId>
    <_dlc_DocIdUrl xmlns="c06861ca-3f08-4d07-bff7-bb15bac121f4">
      <Url>https://projects.qualcomm.com/sites/pentari/_layouts/15/DocIdRedir.aspx?ID=HR33RHYHUWRF-4-5769</Url>
      <Description>HR33RHYHUWRF-4-5769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terms/"/>
    <ds:schemaRef ds:uri="http://purl.org/dc/elements/1.1/"/>
    <ds:schemaRef ds:uri="c06861ca-3f08-4d07-bff7-bb15bac121f4"/>
    <ds:schemaRef ds:uri="http://purl.org/dc/dcmitype/"/>
  </ds:schemaRefs>
</ds:datastoreItem>
</file>

<file path=customXml/itemProps5.xml><?xml version="1.0" encoding="utf-8"?>
<ds:datastoreItem xmlns:ds="http://schemas.openxmlformats.org/officeDocument/2006/customXml" ds:itemID="{CBE6B43E-0928-41E3-A21C-24B31AF67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Heechoon Lee</cp:lastModifiedBy>
  <cp:revision>2</cp:revision>
  <cp:lastPrinted>2014-11-07T05:38:00Z</cp:lastPrinted>
  <dcterms:created xsi:type="dcterms:W3CDTF">2017-09-12T05:16:00Z</dcterms:created>
  <dcterms:modified xsi:type="dcterms:W3CDTF">2017-09-12T05:16:00Z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4c8ae177-8c32-4343-8614-aef6b1eb668b</vt:lpwstr>
  </property>
  <property fmtid="{D5CDD505-2E9C-101B-9397-08002B2CF9AE}" pid="4" name="_AdHocReviewCycleID">
    <vt:i4>939187194</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