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068923" w14:textId="4794AAF0" w:rsidR="008275CA" w:rsidRPr="000A64D8" w:rsidRDefault="008275CA" w:rsidP="008275CA">
      <w:pPr>
        <w:tabs>
          <w:tab w:val="right" w:pos="10000"/>
        </w:tabs>
        <w:spacing w:after="0"/>
        <w:rPr>
          <w:rFonts w:ascii="Arial" w:hAnsi="Arial" w:cs="Arial"/>
          <w:b/>
          <w:sz w:val="24"/>
          <w:szCs w:val="24"/>
        </w:rPr>
      </w:pPr>
      <w:bookmarkStart w:id="0" w:name="_GoBack"/>
      <w:bookmarkEnd w:id="0"/>
      <w:r>
        <w:rPr>
          <w:rFonts w:ascii="Arial" w:hAnsi="Arial" w:cs="Arial"/>
          <w:b/>
          <w:bCs/>
          <w:sz w:val="24"/>
          <w:szCs w:val="24"/>
        </w:rPr>
        <w:t>3GPP TSG RAN WG1 NR Ad-Hoc #3</w:t>
      </w:r>
      <w:r w:rsidRPr="000A64D8">
        <w:rPr>
          <w:rFonts w:ascii="Arial" w:hAnsi="Arial" w:cs="Arial"/>
          <w:b/>
          <w:sz w:val="24"/>
          <w:szCs w:val="24"/>
        </w:rPr>
        <w:t xml:space="preserve"> </w:t>
      </w:r>
      <w:r w:rsidRPr="000A64D8">
        <w:rPr>
          <w:rFonts w:ascii="Arial" w:hAnsi="Arial" w:cs="Arial"/>
          <w:b/>
          <w:sz w:val="24"/>
          <w:szCs w:val="24"/>
        </w:rPr>
        <w:tab/>
      </w:r>
      <w:r w:rsidR="00BF04BF" w:rsidRPr="00BF04BF">
        <w:rPr>
          <w:rFonts w:ascii="Arial" w:hAnsi="Arial" w:cs="Arial"/>
          <w:b/>
          <w:sz w:val="24"/>
          <w:szCs w:val="24"/>
        </w:rPr>
        <w:t>R1-1716402</w:t>
      </w:r>
      <w:r w:rsidR="00BF04BF" w:rsidRPr="00BF04BF" w:rsidDel="00BF04BF">
        <w:rPr>
          <w:rFonts w:ascii="Arial" w:hAnsi="Arial" w:cs="Arial"/>
          <w:b/>
          <w:sz w:val="24"/>
          <w:szCs w:val="24"/>
          <w:highlight w:val="yellow"/>
        </w:rPr>
        <w:t xml:space="preserve"> </w:t>
      </w:r>
    </w:p>
    <w:p w14:paraId="40C7C427" w14:textId="77777777" w:rsidR="008275CA" w:rsidRPr="00FD021C" w:rsidRDefault="008275CA" w:rsidP="008275CA">
      <w:pPr>
        <w:tabs>
          <w:tab w:val="right" w:pos="9630"/>
        </w:tabs>
        <w:spacing w:after="0"/>
        <w:rPr>
          <w:rFonts w:ascii="Arial" w:hAnsi="Arial" w:cs="Arial"/>
          <w:b/>
          <w:sz w:val="24"/>
          <w:szCs w:val="24"/>
        </w:rPr>
      </w:pPr>
      <w:r>
        <w:rPr>
          <w:rFonts w:ascii="Arial" w:hAnsi="Arial" w:cs="Arial"/>
          <w:b/>
          <w:sz w:val="24"/>
          <w:szCs w:val="24"/>
        </w:rPr>
        <w:t>September 18</w:t>
      </w:r>
      <w:r>
        <w:rPr>
          <w:rFonts w:ascii="Arial" w:hAnsi="Arial" w:cs="Arial"/>
          <w:b/>
          <w:sz w:val="24"/>
          <w:szCs w:val="24"/>
          <w:vertAlign w:val="superscript"/>
        </w:rPr>
        <w:t>th</w:t>
      </w:r>
      <w:r>
        <w:rPr>
          <w:rFonts w:ascii="Arial" w:hAnsi="Arial" w:cs="Arial"/>
          <w:b/>
          <w:sz w:val="24"/>
          <w:szCs w:val="24"/>
        </w:rPr>
        <w:t xml:space="preserve"> – 21</w:t>
      </w:r>
      <w:r>
        <w:rPr>
          <w:rFonts w:ascii="Arial" w:hAnsi="Arial" w:cs="Arial"/>
          <w:b/>
          <w:sz w:val="24"/>
          <w:szCs w:val="24"/>
          <w:vertAlign w:val="superscript"/>
        </w:rPr>
        <w:t>st</w:t>
      </w:r>
      <w:r w:rsidRPr="00CC0D62">
        <w:rPr>
          <w:rFonts w:ascii="Arial" w:hAnsi="Arial" w:cs="Arial"/>
          <w:b/>
          <w:sz w:val="24"/>
          <w:szCs w:val="24"/>
        </w:rPr>
        <w:t>, 2017</w:t>
      </w:r>
    </w:p>
    <w:p w14:paraId="4ABCEE19" w14:textId="77777777" w:rsidR="008275CA" w:rsidRPr="00C338D8" w:rsidRDefault="008275CA" w:rsidP="008275CA">
      <w:pPr>
        <w:spacing w:after="0"/>
        <w:rPr>
          <w:rFonts w:cs="Arial"/>
          <w:sz w:val="24"/>
          <w:szCs w:val="24"/>
        </w:rPr>
      </w:pPr>
      <w:r>
        <w:rPr>
          <w:rFonts w:ascii="Arial" w:hAnsi="Arial" w:cs="Arial"/>
          <w:b/>
          <w:sz w:val="24"/>
          <w:szCs w:val="24"/>
        </w:rPr>
        <w:t>Nagoya, Japan</w:t>
      </w:r>
    </w:p>
    <w:p w14:paraId="29851E10" w14:textId="77777777" w:rsidR="00A27330" w:rsidRPr="000A64D8" w:rsidRDefault="00A27330" w:rsidP="00A27330">
      <w:pPr>
        <w:pStyle w:val="Footer"/>
        <w:jc w:val="both"/>
        <w:rPr>
          <w:noProof w:val="0"/>
        </w:rPr>
      </w:pPr>
    </w:p>
    <w:p w14:paraId="72DF2161" w14:textId="4565DB8C" w:rsidR="00A27330" w:rsidRPr="000A64D8" w:rsidRDefault="00A27330" w:rsidP="00A2733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6</w:t>
      </w:r>
      <w:r w:rsidRPr="008231C9">
        <w:rPr>
          <w:rFonts w:ascii="Arial" w:hAnsi="Arial"/>
          <w:sz w:val="24"/>
        </w:rPr>
        <w:t>.</w:t>
      </w:r>
      <w:r w:rsidR="008275CA">
        <w:rPr>
          <w:rFonts w:ascii="Arial" w:hAnsi="Arial"/>
          <w:sz w:val="24"/>
        </w:rPr>
        <w:t>2.2.</w:t>
      </w:r>
      <w:r w:rsidR="00625A5F">
        <w:rPr>
          <w:rFonts w:ascii="Arial" w:hAnsi="Arial"/>
          <w:sz w:val="24"/>
        </w:rPr>
        <w:t>6</w:t>
      </w:r>
    </w:p>
    <w:p w14:paraId="751070B5" w14:textId="77777777" w:rsidR="00A27330" w:rsidRPr="000A64D8" w:rsidRDefault="00A27330" w:rsidP="00A27330">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2C0D44E" w14:textId="6FA46532" w:rsidR="00A27330" w:rsidRPr="000A64D8" w:rsidRDefault="00A27330" w:rsidP="00A27330">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A7017B">
        <w:rPr>
          <w:rFonts w:ascii="Arial" w:hAnsi="Arial"/>
          <w:sz w:val="24"/>
        </w:rPr>
        <w:t xml:space="preserve">On </w:t>
      </w:r>
      <w:r>
        <w:rPr>
          <w:rFonts w:ascii="Arial" w:hAnsi="Arial"/>
          <w:sz w:val="24"/>
        </w:rPr>
        <w:t xml:space="preserve">Type I and Type II </w:t>
      </w:r>
      <w:r w:rsidR="008275CA">
        <w:rPr>
          <w:rFonts w:ascii="Arial" w:hAnsi="Arial"/>
          <w:sz w:val="24"/>
        </w:rPr>
        <w:t>Codebook Subset Restriction</w:t>
      </w:r>
      <w:r w:rsidRPr="00A7017B">
        <w:rPr>
          <w:rFonts w:ascii="Arial" w:hAnsi="Arial"/>
          <w:sz w:val="24"/>
        </w:rPr>
        <w:t xml:space="preserve"> </w:t>
      </w:r>
    </w:p>
    <w:p w14:paraId="0A9D7441" w14:textId="77777777" w:rsidR="00A27330" w:rsidRDefault="00A27330" w:rsidP="00A27330">
      <w:pPr>
        <w:ind w:left="1988" w:hanging="1988"/>
        <w:rPr>
          <w:rFonts w:ascii="Arial" w:hAnsi="Arial"/>
          <w:sz w:val="24"/>
        </w:rPr>
      </w:pPr>
      <w:r w:rsidRPr="000A64D8">
        <w:rPr>
          <w:rFonts w:ascii="Arial" w:hAnsi="Arial"/>
          <w:b/>
          <w:sz w:val="24"/>
        </w:rPr>
        <w:t>Document for:</w:t>
      </w:r>
      <w:r w:rsidRPr="000A64D8">
        <w:rPr>
          <w:rFonts w:ascii="Arial" w:hAnsi="Arial"/>
          <w:sz w:val="24"/>
        </w:rPr>
        <w:tab/>
        <w:t>Discussion/Decision</w:t>
      </w:r>
    </w:p>
    <w:p w14:paraId="558192C4" w14:textId="77777777" w:rsidR="00A27330" w:rsidRDefault="00A27330" w:rsidP="00A27330">
      <w:pPr>
        <w:pStyle w:val="Heading1"/>
        <w:jc w:val="both"/>
      </w:pPr>
      <w:r w:rsidRPr="00183CB7">
        <w:t>Introduction</w:t>
      </w:r>
    </w:p>
    <w:p w14:paraId="66E84909" w14:textId="57039041" w:rsidR="00A27330" w:rsidRDefault="00A27330" w:rsidP="00A27330">
      <w:pPr>
        <w:spacing w:before="180"/>
      </w:pPr>
      <w:r>
        <w:t>In RAN1</w:t>
      </w:r>
      <w:r w:rsidR="00ED0E6A">
        <w:t xml:space="preserve"> </w:t>
      </w:r>
      <w:r>
        <w:t>#</w:t>
      </w:r>
      <w:r w:rsidR="008275CA">
        <w:t xml:space="preserve">90 </w:t>
      </w:r>
      <w:r>
        <w:t>meeting, the</w:t>
      </w:r>
      <w:r w:rsidR="008275CA">
        <w:t xml:space="preserve"> codebook subset restriction for</w:t>
      </w:r>
      <w:r>
        <w:t xml:space="preserve"> Type I</w:t>
      </w:r>
      <w:r w:rsidR="008275CA">
        <w:t xml:space="preserve"> and Type II codebooks </w:t>
      </w:r>
      <w:r>
        <w:t xml:space="preserve">have been </w:t>
      </w:r>
      <w:r w:rsidR="008275CA">
        <w:t>discussed</w:t>
      </w:r>
      <w:r>
        <w:t xml:space="preserve">.  </w:t>
      </w:r>
      <w:r w:rsidR="008275CA">
        <w:t>The following agreements were made</w:t>
      </w:r>
      <w:r>
        <w:t xml:space="preserve"> [1]:</w:t>
      </w:r>
    </w:p>
    <w:p w14:paraId="06F7441B" w14:textId="77777777" w:rsidR="008275CA" w:rsidRPr="00F259EE" w:rsidRDefault="008275CA" w:rsidP="008275CA">
      <w:pPr>
        <w:numPr>
          <w:ilvl w:val="0"/>
          <w:numId w:val="21"/>
        </w:numPr>
        <w:tabs>
          <w:tab w:val="left" w:pos="720"/>
        </w:tabs>
        <w:overflowPunct/>
        <w:autoSpaceDE/>
        <w:autoSpaceDN/>
        <w:adjustRightInd/>
        <w:spacing w:after="0"/>
        <w:textAlignment w:val="auto"/>
        <w:rPr>
          <w:i/>
        </w:rPr>
      </w:pPr>
      <w:r w:rsidRPr="00F259EE">
        <w:rPr>
          <w:i/>
        </w:rPr>
        <w:t>Codebook subset restriction (CSR) is supported for Type I single-panel</w:t>
      </w:r>
    </w:p>
    <w:p w14:paraId="56FC6E0A" w14:textId="77777777" w:rsidR="008275CA" w:rsidRPr="00F259EE" w:rsidRDefault="008275CA" w:rsidP="008275CA">
      <w:pPr>
        <w:numPr>
          <w:ilvl w:val="1"/>
          <w:numId w:val="21"/>
        </w:numPr>
        <w:tabs>
          <w:tab w:val="left" w:pos="720"/>
        </w:tabs>
        <w:overflowPunct/>
        <w:autoSpaceDE/>
        <w:autoSpaceDN/>
        <w:adjustRightInd/>
        <w:spacing w:after="0"/>
        <w:textAlignment w:val="auto"/>
        <w:rPr>
          <w:i/>
        </w:rPr>
      </w:pPr>
      <w:r w:rsidRPr="00F259EE">
        <w:rPr>
          <w:i/>
        </w:rPr>
        <w:t>CSR supports DFT beam restriction and rank restriction</w:t>
      </w:r>
    </w:p>
    <w:p w14:paraId="2D16523F" w14:textId="77777777" w:rsidR="008275CA" w:rsidRPr="00F259EE" w:rsidRDefault="008275CA" w:rsidP="008275CA">
      <w:pPr>
        <w:numPr>
          <w:ilvl w:val="1"/>
          <w:numId w:val="21"/>
        </w:numPr>
        <w:tabs>
          <w:tab w:val="left" w:pos="720"/>
        </w:tabs>
        <w:overflowPunct/>
        <w:autoSpaceDE/>
        <w:autoSpaceDN/>
        <w:adjustRightInd/>
        <w:spacing w:after="0"/>
        <w:textAlignment w:val="auto"/>
        <w:rPr>
          <w:i/>
        </w:rPr>
      </w:pPr>
      <w:r w:rsidRPr="00F259EE">
        <w:rPr>
          <w:i/>
        </w:rPr>
        <w:t>Beam restriction is bitmap of length N</w:t>
      </w:r>
      <w:r w:rsidRPr="00F259EE">
        <w:rPr>
          <w:i/>
          <w:vertAlign w:val="subscript"/>
        </w:rPr>
        <w:t>1</w:t>
      </w:r>
      <w:r w:rsidRPr="00F259EE">
        <w:rPr>
          <w:i/>
        </w:rPr>
        <w:t>O</w:t>
      </w:r>
      <w:r w:rsidRPr="00F259EE">
        <w:rPr>
          <w:i/>
          <w:vertAlign w:val="subscript"/>
        </w:rPr>
        <w:t>1</w:t>
      </w:r>
      <w:r w:rsidRPr="00F259EE">
        <w:rPr>
          <w:i/>
        </w:rPr>
        <w:t>N</w:t>
      </w:r>
      <w:r w:rsidRPr="00F259EE">
        <w:rPr>
          <w:i/>
          <w:vertAlign w:val="subscript"/>
        </w:rPr>
        <w:t>2</w:t>
      </w:r>
      <w:r w:rsidRPr="00F259EE">
        <w:rPr>
          <w:i/>
        </w:rPr>
        <w:t>O</w:t>
      </w:r>
      <w:r w:rsidRPr="00F259EE">
        <w:rPr>
          <w:i/>
          <w:vertAlign w:val="subscript"/>
        </w:rPr>
        <w:t>2</w:t>
      </w:r>
      <w:r w:rsidRPr="00F259EE">
        <w:rPr>
          <w:i/>
        </w:rPr>
        <w:t xml:space="preserve"> where each bit is associated with DFT beam</w:t>
      </w:r>
    </w:p>
    <w:p w14:paraId="4C5E01D8" w14:textId="77777777" w:rsidR="008275CA" w:rsidRPr="00F259EE" w:rsidRDefault="008275CA" w:rsidP="008275CA">
      <w:pPr>
        <w:numPr>
          <w:ilvl w:val="2"/>
          <w:numId w:val="21"/>
        </w:numPr>
        <w:tabs>
          <w:tab w:val="left" w:pos="720"/>
        </w:tabs>
        <w:overflowPunct/>
        <w:autoSpaceDE/>
        <w:autoSpaceDN/>
        <w:adjustRightInd/>
        <w:spacing w:after="0"/>
        <w:textAlignment w:val="auto"/>
        <w:rPr>
          <w:i/>
        </w:rPr>
      </w:pPr>
      <w:r w:rsidRPr="00F259EE">
        <w:rPr>
          <w:i/>
        </w:rPr>
        <w:t>If a PMI is comprising of at least one restricted DFT beam, this PMI is considered as restricted</w:t>
      </w:r>
    </w:p>
    <w:p w14:paraId="4D7995D5" w14:textId="77777777" w:rsidR="008275CA" w:rsidRPr="00F259EE" w:rsidRDefault="008275CA" w:rsidP="008275CA">
      <w:pPr>
        <w:numPr>
          <w:ilvl w:val="2"/>
          <w:numId w:val="21"/>
        </w:numPr>
        <w:tabs>
          <w:tab w:val="left" w:pos="720"/>
        </w:tabs>
        <w:overflowPunct/>
        <w:autoSpaceDE/>
        <w:autoSpaceDN/>
        <w:adjustRightInd/>
        <w:spacing w:after="0"/>
        <w:textAlignment w:val="auto"/>
        <w:rPr>
          <w:i/>
        </w:rPr>
      </w:pPr>
      <w:r w:rsidRPr="00F259EE">
        <w:rPr>
          <w:i/>
        </w:rPr>
        <w:t>FFS:  Beam restriction for rank 3-4 codebooks for 16,24 and 32 ports</w:t>
      </w:r>
    </w:p>
    <w:p w14:paraId="4C75E877" w14:textId="77777777" w:rsidR="008275CA" w:rsidRPr="00F259EE" w:rsidRDefault="008275CA" w:rsidP="008275CA">
      <w:pPr>
        <w:numPr>
          <w:ilvl w:val="0"/>
          <w:numId w:val="21"/>
        </w:numPr>
        <w:tabs>
          <w:tab w:val="left" w:pos="720"/>
        </w:tabs>
        <w:overflowPunct/>
        <w:autoSpaceDE/>
        <w:autoSpaceDN/>
        <w:adjustRightInd/>
        <w:spacing w:after="0"/>
        <w:textAlignment w:val="auto"/>
        <w:rPr>
          <w:i/>
        </w:rPr>
      </w:pPr>
      <w:r w:rsidRPr="00F259EE">
        <w:rPr>
          <w:i/>
        </w:rPr>
        <w:t>CSR is supported for Type I multi-panel</w:t>
      </w:r>
    </w:p>
    <w:p w14:paraId="62640022" w14:textId="77777777" w:rsidR="008275CA" w:rsidRPr="00F259EE" w:rsidRDefault="008275CA" w:rsidP="008275CA">
      <w:pPr>
        <w:numPr>
          <w:ilvl w:val="1"/>
          <w:numId w:val="21"/>
        </w:numPr>
        <w:tabs>
          <w:tab w:val="left" w:pos="720"/>
        </w:tabs>
        <w:overflowPunct/>
        <w:autoSpaceDE/>
        <w:autoSpaceDN/>
        <w:adjustRightInd/>
        <w:spacing w:after="0"/>
        <w:textAlignment w:val="auto"/>
        <w:rPr>
          <w:i/>
        </w:rPr>
      </w:pPr>
      <w:r w:rsidRPr="00F259EE">
        <w:rPr>
          <w:i/>
        </w:rPr>
        <w:t>CSR supports at least rank restriction and beam restriction</w:t>
      </w:r>
    </w:p>
    <w:p w14:paraId="31660F90" w14:textId="77777777" w:rsidR="008275CA" w:rsidRPr="00F259EE" w:rsidRDefault="008275CA" w:rsidP="008275CA">
      <w:pPr>
        <w:numPr>
          <w:ilvl w:val="2"/>
          <w:numId w:val="21"/>
        </w:numPr>
        <w:tabs>
          <w:tab w:val="left" w:pos="720"/>
        </w:tabs>
        <w:overflowPunct/>
        <w:autoSpaceDE/>
        <w:autoSpaceDN/>
        <w:adjustRightInd/>
        <w:spacing w:after="0"/>
        <w:textAlignment w:val="auto"/>
        <w:rPr>
          <w:i/>
        </w:rPr>
      </w:pPr>
      <w:r w:rsidRPr="00F259EE">
        <w:rPr>
          <w:i/>
        </w:rPr>
        <w:t>FFS: Details</w:t>
      </w:r>
    </w:p>
    <w:p w14:paraId="336FE0C7" w14:textId="77777777" w:rsidR="008275CA" w:rsidRPr="00F259EE" w:rsidRDefault="008275CA" w:rsidP="008275CA">
      <w:pPr>
        <w:numPr>
          <w:ilvl w:val="2"/>
          <w:numId w:val="21"/>
        </w:numPr>
        <w:tabs>
          <w:tab w:val="left" w:pos="720"/>
        </w:tabs>
        <w:overflowPunct/>
        <w:autoSpaceDE/>
        <w:autoSpaceDN/>
        <w:adjustRightInd/>
        <w:spacing w:after="0"/>
        <w:textAlignment w:val="auto"/>
        <w:rPr>
          <w:i/>
        </w:rPr>
      </w:pPr>
      <w:r w:rsidRPr="00F259EE">
        <w:rPr>
          <w:i/>
        </w:rPr>
        <w:t>FFS beamforming direction restriction, e.g., it can include at least DFT beam</w:t>
      </w:r>
    </w:p>
    <w:p w14:paraId="660F077C" w14:textId="77777777" w:rsidR="008275CA" w:rsidRPr="00F259EE" w:rsidRDefault="008275CA" w:rsidP="008275CA">
      <w:pPr>
        <w:numPr>
          <w:ilvl w:val="0"/>
          <w:numId w:val="21"/>
        </w:numPr>
        <w:tabs>
          <w:tab w:val="left" w:pos="720"/>
        </w:tabs>
        <w:overflowPunct/>
        <w:autoSpaceDE/>
        <w:autoSpaceDN/>
        <w:adjustRightInd/>
        <w:spacing w:after="0"/>
        <w:textAlignment w:val="auto"/>
        <w:rPr>
          <w:i/>
        </w:rPr>
      </w:pPr>
      <w:r w:rsidRPr="00F259EE">
        <w:rPr>
          <w:i/>
        </w:rPr>
        <w:t>FFS CSR for Type II</w:t>
      </w:r>
    </w:p>
    <w:p w14:paraId="699F0E0A" w14:textId="77777777" w:rsidR="008275CA" w:rsidRPr="00F259EE" w:rsidRDefault="008275CA" w:rsidP="008275CA">
      <w:pPr>
        <w:numPr>
          <w:ilvl w:val="1"/>
          <w:numId w:val="21"/>
        </w:numPr>
        <w:tabs>
          <w:tab w:val="left" w:pos="720"/>
        </w:tabs>
        <w:overflowPunct/>
        <w:autoSpaceDE/>
        <w:autoSpaceDN/>
        <w:adjustRightInd/>
        <w:spacing w:after="0"/>
        <w:textAlignment w:val="auto"/>
        <w:rPr>
          <w:i/>
        </w:rPr>
      </w:pPr>
      <w:r w:rsidRPr="00F259EE">
        <w:rPr>
          <w:i/>
        </w:rPr>
        <w:t>CSR supports DFT beam restriction and rank restriction and FFS power restriction</w:t>
      </w:r>
    </w:p>
    <w:p w14:paraId="15EA885A" w14:textId="77777777" w:rsidR="008275CA" w:rsidRPr="00F259EE" w:rsidRDefault="008275CA" w:rsidP="008275CA">
      <w:pPr>
        <w:numPr>
          <w:ilvl w:val="2"/>
          <w:numId w:val="21"/>
        </w:numPr>
        <w:tabs>
          <w:tab w:val="left" w:pos="720"/>
        </w:tabs>
        <w:overflowPunct/>
        <w:autoSpaceDE/>
        <w:autoSpaceDN/>
        <w:adjustRightInd/>
        <w:spacing w:after="0"/>
        <w:textAlignment w:val="auto"/>
        <w:rPr>
          <w:i/>
        </w:rPr>
      </w:pPr>
      <w:r w:rsidRPr="00F259EE">
        <w:rPr>
          <w:i/>
        </w:rPr>
        <w:t>FFS: Details</w:t>
      </w:r>
    </w:p>
    <w:p w14:paraId="617D9BB1" w14:textId="77777777" w:rsidR="008275CA" w:rsidRPr="00F259EE" w:rsidRDefault="008275CA" w:rsidP="008275CA">
      <w:pPr>
        <w:numPr>
          <w:ilvl w:val="0"/>
          <w:numId w:val="21"/>
        </w:numPr>
        <w:tabs>
          <w:tab w:val="left" w:pos="720"/>
        </w:tabs>
        <w:overflowPunct/>
        <w:autoSpaceDE/>
        <w:autoSpaceDN/>
        <w:adjustRightInd/>
        <w:spacing w:after="0"/>
        <w:textAlignment w:val="auto"/>
        <w:rPr>
          <w:i/>
        </w:rPr>
      </w:pPr>
      <w:r w:rsidRPr="00F259EE">
        <w:rPr>
          <w:i/>
        </w:rPr>
        <w:t>FFS: Impact of CSR on CSI reporting payload size</w:t>
      </w:r>
    </w:p>
    <w:p w14:paraId="2ACABB94" w14:textId="77777777" w:rsidR="008275CA" w:rsidRPr="00F259EE" w:rsidRDefault="008275CA" w:rsidP="008275CA">
      <w:pPr>
        <w:numPr>
          <w:ilvl w:val="0"/>
          <w:numId w:val="21"/>
        </w:numPr>
        <w:tabs>
          <w:tab w:val="left" w:pos="720"/>
        </w:tabs>
        <w:overflowPunct/>
        <w:autoSpaceDE/>
        <w:autoSpaceDN/>
        <w:adjustRightInd/>
        <w:spacing w:after="0"/>
        <w:textAlignment w:val="auto"/>
        <w:rPr>
          <w:i/>
        </w:rPr>
      </w:pPr>
      <w:r w:rsidRPr="00F259EE">
        <w:rPr>
          <w:i/>
        </w:rPr>
        <w:t>FFS CSR for 2Tx</w:t>
      </w:r>
    </w:p>
    <w:p w14:paraId="68C4D35B" w14:textId="4CF1D915" w:rsidR="00A27330" w:rsidRPr="00166D04" w:rsidRDefault="008275CA" w:rsidP="00A27330">
      <w:pPr>
        <w:spacing w:before="180"/>
      </w:pPr>
      <w:r>
        <w:t>In this contribution, we discuss open issues related to Type I and Type II codebook subset restriction.</w:t>
      </w:r>
    </w:p>
    <w:p w14:paraId="78DC8EDF" w14:textId="7521DEBB" w:rsidR="008275CA" w:rsidRDefault="005D5578">
      <w:pPr>
        <w:pStyle w:val="Heading1"/>
      </w:pPr>
      <w:r>
        <w:t xml:space="preserve">CSR for </w:t>
      </w:r>
      <w:r w:rsidR="008275CA">
        <w:t>Type I single-panel</w:t>
      </w:r>
    </w:p>
    <w:p w14:paraId="027CBB74" w14:textId="57AC5FCF" w:rsidR="008275CA" w:rsidRDefault="008275CA" w:rsidP="00F259EE">
      <w:pPr>
        <w:pStyle w:val="Heading2"/>
      </w:pPr>
      <w:r>
        <w:t>CSR for 2TX</w:t>
      </w:r>
    </w:p>
    <w:p w14:paraId="4A58E1F9" w14:textId="7095AEFB" w:rsidR="00734678" w:rsidRPr="002B38A5" w:rsidRDefault="00F163E1" w:rsidP="00F259EE">
      <w:pPr>
        <w:rPr>
          <w:rFonts w:eastAsia="MS Mincho"/>
          <w:iCs/>
          <w:lang w:eastAsia="ja-JP"/>
        </w:rPr>
      </w:pPr>
      <w:r>
        <w:rPr>
          <w:lang w:val="en-GB"/>
        </w:rPr>
        <w:t>The codebook for 2Tx only include a co</w:t>
      </w:r>
      <w:r w:rsidR="0079135F">
        <w:rPr>
          <w:lang w:val="en-GB"/>
        </w:rPr>
        <w:t>-</w:t>
      </w:r>
      <w:r>
        <w:rPr>
          <w:lang w:val="en-GB"/>
        </w:rPr>
        <w:t xml:space="preserve">phasing factor in PMI. </w:t>
      </w:r>
      <w:r w:rsidR="00A637D6">
        <w:rPr>
          <w:lang w:val="en-GB"/>
        </w:rPr>
        <w:t>If the codebook subset restriction is needed, then a 4 bit-map table can be used to indicate the restricted co</w:t>
      </w:r>
      <w:r w:rsidR="0079135F">
        <w:rPr>
          <w:lang w:val="en-GB"/>
        </w:rPr>
        <w:t>-</w:t>
      </w:r>
      <w:r w:rsidR="00A637D6">
        <w:rPr>
          <w:lang w:val="en-GB"/>
        </w:rPr>
        <w:t xml:space="preserve">phasing for 2Tx. </w:t>
      </w:r>
      <w:r w:rsidR="00753ADD">
        <w:rPr>
          <w:lang w:val="en-GB"/>
        </w:rPr>
        <w:t>The gNB can signal UE the restricted co</w:t>
      </w:r>
      <w:r w:rsidR="00F02FAC">
        <w:rPr>
          <w:lang w:val="en-GB"/>
        </w:rPr>
        <w:t>-</w:t>
      </w:r>
      <w:r w:rsidR="00753ADD">
        <w:rPr>
          <w:lang w:val="en-GB"/>
        </w:rPr>
        <w:t>phase and UE can simply avoid any CSI calculation and reporting for the restricted co</w:t>
      </w:r>
      <w:r w:rsidR="00F02FAC">
        <w:rPr>
          <w:lang w:val="en-GB"/>
        </w:rPr>
        <w:t>-</w:t>
      </w:r>
      <w:r w:rsidR="00753ADD">
        <w:rPr>
          <w:lang w:val="en-GB"/>
        </w:rPr>
        <w:t xml:space="preserve">phase and avoid such PMIs. </w:t>
      </w:r>
    </w:p>
    <w:p w14:paraId="769D7502" w14:textId="6EF38E2E" w:rsidR="00734678" w:rsidRPr="00983DF0" w:rsidRDefault="00734678" w:rsidP="00734678">
      <w:pPr>
        <w:pStyle w:val="Proposal"/>
        <w:ind w:left="1170" w:hanging="1170"/>
      </w:pPr>
      <w:bookmarkStart w:id="1" w:name="_Toc492980230"/>
      <w:r w:rsidRPr="00983DF0">
        <w:t>Proposal</w:t>
      </w:r>
      <w:r>
        <w:t xml:space="preserve"> </w:t>
      </w:r>
      <w:fldSimple w:instr=" SEQ Proposal \* ARABIC ">
        <w:r w:rsidR="00F02FAC">
          <w:rPr>
            <w:noProof/>
          </w:rPr>
          <w:t>1</w:t>
        </w:r>
      </w:fldSimple>
      <w:r w:rsidRPr="00983DF0">
        <w:t>:</w:t>
      </w:r>
      <w:r w:rsidRPr="00983DF0">
        <w:tab/>
      </w:r>
      <w:r w:rsidR="00A55CD6">
        <w:t>Same CSR for 2Tx design as LTE for NR.</w:t>
      </w:r>
      <w:bookmarkEnd w:id="1"/>
    </w:p>
    <w:p w14:paraId="0C829AE7" w14:textId="266A0682" w:rsidR="008275CA" w:rsidRDefault="008275CA" w:rsidP="00F259EE">
      <w:pPr>
        <w:pStyle w:val="Heading2"/>
      </w:pPr>
      <w:r>
        <w:t xml:space="preserve">Beam restriction for rank 3-4 codebooks for </w:t>
      </w:r>
      <w:r w:rsidRPr="00F259EE">
        <w:rPr>
          <w:i/>
        </w:rPr>
        <w:t>X</w:t>
      </w:r>
      <w:r>
        <w:t xml:space="preserve"> </w:t>
      </w:r>
      <w:r>
        <w:rPr>
          <w:rFonts w:cs="Arial"/>
        </w:rPr>
        <w:t>≥</w:t>
      </w:r>
      <w:r>
        <w:t xml:space="preserve"> 16 ports</w:t>
      </w:r>
    </w:p>
    <w:p w14:paraId="4C88768D" w14:textId="19D62C1A" w:rsidR="00950CEB" w:rsidRDefault="00950CEB" w:rsidP="00F259EE">
      <w:r>
        <w:rPr>
          <w:lang w:val="en-GB"/>
        </w:rPr>
        <w:t>In contrast to other rank’s DFT beam definition in PMI, for rank 3-4 with X</w:t>
      </w:r>
      <w:r w:rsidR="006E2C77">
        <w:rPr>
          <w:lang w:val="en-GB"/>
        </w:rPr>
        <w:t xml:space="preserve"> </w:t>
      </w:r>
      <w:r w:rsidR="006E2C77">
        <w:rPr>
          <w:rFonts w:cs="Arial"/>
        </w:rPr>
        <w:t xml:space="preserve">≥ </w:t>
      </w:r>
      <w:r>
        <w:rPr>
          <w:lang w:val="en-GB"/>
        </w:rPr>
        <w:t>16 ports, the DFT beam dimension is halved on its 1</w:t>
      </w:r>
      <w:r w:rsidRPr="00F259EE">
        <w:rPr>
          <w:vertAlign w:val="superscript"/>
          <w:lang w:val="en-GB"/>
        </w:rPr>
        <w:t>st</w:t>
      </w:r>
      <w:r>
        <w:rPr>
          <w:lang w:val="en-GB"/>
        </w:rPr>
        <w:t xml:space="preserve"> dimension. In addition, inter subarray co</w:t>
      </w:r>
      <w:r w:rsidR="006E2C77">
        <w:rPr>
          <w:lang w:val="en-GB"/>
        </w:rPr>
        <w:t>-</w:t>
      </w:r>
      <w:r>
        <w:rPr>
          <w:lang w:val="en-GB"/>
        </w:rPr>
        <w:t xml:space="preserve">phasing factor in introduced for subarray concatenation. </w:t>
      </w:r>
      <w:r w:rsidR="00D104DE">
        <w:rPr>
          <w:lang w:val="en-GB"/>
        </w:rPr>
        <w:t>Total hypothesis of rank</w:t>
      </w:r>
      <w:r w:rsidR="006E2C77">
        <w:rPr>
          <w:lang w:val="en-GB"/>
        </w:rPr>
        <w:t xml:space="preserve"> </w:t>
      </w:r>
      <w:r w:rsidR="00D104DE">
        <w:rPr>
          <w:lang w:val="en-GB"/>
        </w:rPr>
        <w:t>3~4 X</w:t>
      </w:r>
      <w:r w:rsidR="006E2C77">
        <w:rPr>
          <w:lang w:val="en-GB"/>
        </w:rPr>
        <w:t xml:space="preserve"> </w:t>
      </w:r>
      <w:r w:rsidR="006E2C77">
        <w:rPr>
          <w:rFonts w:cs="Arial"/>
        </w:rPr>
        <w:t xml:space="preserve">≥ </w:t>
      </w:r>
      <w:r w:rsidR="00D104DE">
        <w:rPr>
          <w:lang w:val="en-GB"/>
        </w:rPr>
        <w:t xml:space="preserve">16 ports W1 beams is actually doubled compared with length-X DFT beams. </w:t>
      </w:r>
      <w:r w:rsidR="00232430">
        <w:rPr>
          <w:lang w:val="en-GB"/>
        </w:rPr>
        <w:t>The beamforming direction is therefore largely different from other ranks DFT beam, which prohibits of leveraging the save CSR bit-map table.</w:t>
      </w:r>
    </w:p>
    <w:p w14:paraId="0D396FB5" w14:textId="1B5754F2" w:rsidR="00232430" w:rsidRDefault="00232430" w:rsidP="00F259EE">
      <w:r>
        <w:rPr>
          <w:lang w:val="en-GB"/>
        </w:rPr>
        <w:t>As mentioned in [</w:t>
      </w:r>
      <w:r w:rsidR="00F743D1">
        <w:rPr>
          <w:lang w:val="en-GB"/>
        </w:rPr>
        <w:t>2</w:t>
      </w:r>
      <w:r>
        <w:rPr>
          <w:lang w:val="en-GB"/>
        </w:rPr>
        <w:t xml:space="preserve">], one </w:t>
      </w:r>
      <w:r w:rsidR="00F743D1">
        <w:rPr>
          <w:lang w:val="en-GB"/>
        </w:rPr>
        <w:t xml:space="preserve">way to find the </w:t>
      </w:r>
      <w:r w:rsidR="00D104DE">
        <w:rPr>
          <w:lang w:val="en-GB"/>
        </w:rPr>
        <w:t xml:space="preserve">restricted beam for such subarray codebook is to find the correlation value that exceeds certain threshold. In our understanding, each of the restricted beams of length-X DFT beams will be calculated with N1/2*N2*O1*O2*2 beams, since the inter subarray factor flipped over the odd/even layers. This would introduce large </w:t>
      </w:r>
      <w:r w:rsidR="00D104DE">
        <w:rPr>
          <w:lang w:val="en-GB"/>
        </w:rPr>
        <w:lastRenderedPageBreak/>
        <w:t>complexity on UE side. One way of avoid such calculation is a separately defined mapping table or mapping rule for length-X DFT beam to length X/2 DFT beam and co</w:t>
      </w:r>
      <w:r w:rsidR="00266D70">
        <w:rPr>
          <w:lang w:val="en-GB"/>
        </w:rPr>
        <w:t>-</w:t>
      </w:r>
      <w:r w:rsidR="00D104DE">
        <w:rPr>
          <w:lang w:val="en-GB"/>
        </w:rPr>
        <w:t>phase, but it will also introduce complication in specification.</w:t>
      </w:r>
    </w:p>
    <w:p w14:paraId="476A2DB8" w14:textId="734AF75A" w:rsidR="00C55161" w:rsidRDefault="00950CEB">
      <w:pPr>
        <w:pStyle w:val="Observation"/>
        <w:ind w:left="1350" w:hanging="1350"/>
      </w:pPr>
      <w:bookmarkStart w:id="2" w:name="_Toc492980223"/>
      <w:r>
        <w:t xml:space="preserve">Observation </w:t>
      </w:r>
      <w:fldSimple w:instr=" SEQ Observation \* ARABIC ">
        <w:r w:rsidR="00F02FAC">
          <w:rPr>
            <w:noProof/>
          </w:rPr>
          <w:t>1</w:t>
        </w:r>
      </w:fldSimple>
      <w:r>
        <w:t>:</w:t>
      </w:r>
      <w:r w:rsidR="00073CBF">
        <w:tab/>
        <w:t>T</w:t>
      </w:r>
      <w:r>
        <w:t>he test of all beam hypothesis with the restricted beams of other ranks cause UE computation or large storage needs, which should be avoided.</w:t>
      </w:r>
      <w:bookmarkEnd w:id="2"/>
    </w:p>
    <w:p w14:paraId="069C5180" w14:textId="23B3917A" w:rsidR="00D104DE" w:rsidRPr="00F259EE" w:rsidRDefault="00D104DE" w:rsidP="00F259EE">
      <w:pPr>
        <w:rPr>
          <w:lang w:val="en-GB"/>
        </w:rPr>
      </w:pPr>
      <w:r w:rsidRPr="00F259EE">
        <w:rPr>
          <w:lang w:val="en-GB"/>
        </w:rPr>
        <w:t>In fact, the inter subarray co</w:t>
      </w:r>
      <w:r w:rsidR="00266D70">
        <w:rPr>
          <w:lang w:val="en-GB"/>
        </w:rPr>
        <w:t>-</w:t>
      </w:r>
      <w:r w:rsidRPr="00F259EE">
        <w:rPr>
          <w:lang w:val="en-GB"/>
        </w:rPr>
        <w:t>phasing factor may be neglected in CSR. The observation is based on the fact that odd/even layers actually flips their phase. It is very likely that the co</w:t>
      </w:r>
      <w:r w:rsidR="00266D70">
        <w:rPr>
          <w:lang w:val="en-GB"/>
        </w:rPr>
        <w:t>-</w:t>
      </w:r>
      <w:r w:rsidRPr="00F259EE">
        <w:rPr>
          <w:lang w:val="en-GB"/>
        </w:rPr>
        <w:t>phase generate small correlation with length-X beams will appear high correlation on its next layer’s flipped version.</w:t>
      </w:r>
      <w:r w:rsidR="00E87149">
        <w:rPr>
          <w:lang w:val="en-GB"/>
        </w:rPr>
        <w:t xml:space="preserve"> It is therefore useless to restrict inter subarray co</w:t>
      </w:r>
      <w:r w:rsidR="00266D70">
        <w:rPr>
          <w:lang w:val="en-GB"/>
        </w:rPr>
        <w:t>-</w:t>
      </w:r>
      <w:r w:rsidR="00E87149">
        <w:rPr>
          <w:lang w:val="en-GB"/>
        </w:rPr>
        <w:t>phase.</w:t>
      </w:r>
      <w:r w:rsidRPr="00F259EE">
        <w:rPr>
          <w:lang w:val="en-GB"/>
        </w:rPr>
        <w:t xml:space="preserve"> </w:t>
      </w:r>
      <w:r w:rsidR="00E87149">
        <w:rPr>
          <w:lang w:val="en-GB"/>
        </w:rPr>
        <w:t xml:space="preserve">If only </w:t>
      </w:r>
      <w:r w:rsidR="00E87149" w:rsidRPr="00AA599D">
        <w:rPr>
          <w:lang w:val="en-GB"/>
        </w:rPr>
        <w:t>length-X/2 DFT beams</w:t>
      </w:r>
      <w:r w:rsidR="00E87149">
        <w:rPr>
          <w:lang w:val="en-GB"/>
        </w:rPr>
        <w:t xml:space="preserve"> is restricted</w:t>
      </w:r>
      <w:r w:rsidRPr="00F259EE">
        <w:rPr>
          <w:lang w:val="en-GB"/>
        </w:rPr>
        <w:t xml:space="preserve">, the total overhead for beam restriction </w:t>
      </w:r>
      <w:r w:rsidR="00E87149">
        <w:rPr>
          <w:lang w:val="en-GB"/>
        </w:rPr>
        <w:t xml:space="preserve">is halved compared with other rank CSR table. This will </w:t>
      </w:r>
      <w:r w:rsidRPr="00F259EE">
        <w:rPr>
          <w:lang w:val="en-GB"/>
        </w:rPr>
        <w:t xml:space="preserve">introduce less burden </w:t>
      </w:r>
      <w:r w:rsidR="00E87149" w:rsidRPr="00F259EE">
        <w:rPr>
          <w:lang w:val="en-GB"/>
        </w:rPr>
        <w:t xml:space="preserve">to </w:t>
      </w:r>
      <w:r w:rsidR="00E87149">
        <w:rPr>
          <w:lang w:val="en-GB"/>
        </w:rPr>
        <w:t xml:space="preserve">RRC </w:t>
      </w:r>
      <w:r w:rsidR="00E87149" w:rsidRPr="00266D70">
        <w:rPr>
          <w:lang w:val="en-GB"/>
        </w:rPr>
        <w:t>signalling</w:t>
      </w:r>
      <w:r w:rsidR="00E87149" w:rsidRPr="00F259EE">
        <w:rPr>
          <w:lang w:val="en-GB"/>
        </w:rPr>
        <w:t>.</w:t>
      </w:r>
    </w:p>
    <w:p w14:paraId="4A3B3DE1" w14:textId="4FA613FA" w:rsidR="00C55161" w:rsidRDefault="00C55161">
      <w:pPr>
        <w:pStyle w:val="Observation"/>
        <w:ind w:left="1350" w:hanging="1350"/>
      </w:pPr>
      <w:bookmarkStart w:id="3" w:name="_Toc492980224"/>
      <w:r>
        <w:t xml:space="preserve">Observation </w:t>
      </w:r>
      <w:fldSimple w:instr=" SEQ Observation \* ARABIC ">
        <w:r w:rsidR="00F02FAC">
          <w:rPr>
            <w:noProof/>
          </w:rPr>
          <w:t>2</w:t>
        </w:r>
      </w:fldSimple>
      <w:r>
        <w:t>:</w:t>
      </w:r>
      <w:r w:rsidR="00073CBF">
        <w:tab/>
      </w:r>
      <w:r>
        <w:t>DFT beam restriction should be sufficient for rank</w:t>
      </w:r>
      <w:r w:rsidR="00266D70">
        <w:t xml:space="preserve"> </w:t>
      </w:r>
      <w:r>
        <w:t>3~4</w:t>
      </w:r>
      <w:r w:rsidR="00E87149">
        <w:t>.</w:t>
      </w:r>
      <w:bookmarkEnd w:id="3"/>
    </w:p>
    <w:p w14:paraId="355E5E99" w14:textId="1228CD21" w:rsidR="00C55161" w:rsidRDefault="00C55161" w:rsidP="00F259EE">
      <w:pPr>
        <w:pStyle w:val="Proposal"/>
        <w:ind w:left="1170" w:hanging="1170"/>
      </w:pPr>
      <w:bookmarkStart w:id="4" w:name="_Toc492980231"/>
      <w:r w:rsidRPr="00983DF0">
        <w:t>Proposal</w:t>
      </w:r>
      <w:r>
        <w:t xml:space="preserve"> </w:t>
      </w:r>
      <w:fldSimple w:instr=" SEQ Proposal \* ARABIC ">
        <w:r w:rsidR="00F02FAC">
          <w:rPr>
            <w:noProof/>
          </w:rPr>
          <w:t>2</w:t>
        </w:r>
      </w:fldSimple>
      <w:r w:rsidRPr="00983DF0">
        <w:t>:</w:t>
      </w:r>
      <w:r w:rsidRPr="00983DF0">
        <w:tab/>
      </w:r>
      <w:r>
        <w:t>For UE simplicity perspective, a separate CSR table which include N1/2*N2*O1*O2 beams in indicated to UE, if the UE supports rank</w:t>
      </w:r>
      <w:r w:rsidR="006E3C0C">
        <w:t xml:space="preserve"> </w:t>
      </w:r>
      <w:r>
        <w:t>3~4 Type-I CSI and X</w:t>
      </w:r>
      <w:r w:rsidR="006E2C77">
        <w:t xml:space="preserve"> </w:t>
      </w:r>
      <w:r w:rsidR="006E2C77">
        <w:rPr>
          <w:rFonts w:cs="Arial"/>
        </w:rPr>
        <w:t xml:space="preserve">≥ </w:t>
      </w:r>
      <w:r>
        <w:t>16 ports</w:t>
      </w:r>
      <w:r w:rsidRPr="00983DF0">
        <w:t>.</w:t>
      </w:r>
      <w:bookmarkEnd w:id="4"/>
      <w:r w:rsidRPr="00983DF0">
        <w:t xml:space="preserve"> </w:t>
      </w:r>
    </w:p>
    <w:p w14:paraId="1DAE55FB" w14:textId="2A7687DD" w:rsidR="008275CA" w:rsidRDefault="005D5578">
      <w:pPr>
        <w:pStyle w:val="Heading1"/>
      </w:pPr>
      <w:r>
        <w:t xml:space="preserve">CSR for </w:t>
      </w:r>
      <w:r w:rsidR="008275CA">
        <w:t>Type I for multi-panel</w:t>
      </w:r>
    </w:p>
    <w:p w14:paraId="3800D3B2" w14:textId="3C23FBC3" w:rsidR="00540353" w:rsidRPr="00F259EE" w:rsidRDefault="00F82412" w:rsidP="00F259EE">
      <w:pPr>
        <w:rPr>
          <w:lang w:val="en-GB"/>
        </w:rPr>
      </w:pPr>
      <w:r>
        <w:rPr>
          <w:lang w:val="en-GB"/>
        </w:rPr>
        <w:t>As mention in [</w:t>
      </w:r>
      <w:r w:rsidR="00F67FAB">
        <w:rPr>
          <w:lang w:val="en-GB"/>
        </w:rPr>
        <w:t>2</w:t>
      </w:r>
      <w:r>
        <w:rPr>
          <w:lang w:val="en-GB"/>
        </w:rPr>
        <w:t xml:space="preserve">], a CSR table for each of the hypothesis in W1 should be restricted by a bit-map table. Such application </w:t>
      </w:r>
      <w:r w:rsidRPr="00F259EE">
        <w:rPr>
          <w:lang w:val="en-GB"/>
        </w:rPr>
        <w:t xml:space="preserve">brings largest flexibility to gNB. The cost is large overhead in signaling payload. One extrema case is for </w:t>
      </w:r>
      <m:oMath>
        <m:d>
          <m:dPr>
            <m:ctrlPr>
              <w:rPr>
                <w:rFonts w:ascii="Cambria Math" w:hAnsi="Cambria Math"/>
                <w:lang w:val="en-GB"/>
              </w:rPr>
            </m:ctrlPr>
          </m:dPr>
          <m:e>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g</m:t>
                </m:r>
              </m:sub>
            </m:sSub>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N</m:t>
                </m:r>
              </m:e>
              <m:sub>
                <m:r>
                  <m:rPr>
                    <m:sty m:val="p"/>
                  </m:rPr>
                  <w:rPr>
                    <w:rFonts w:ascii="Cambria Math" w:hAnsi="Cambria Math"/>
                    <w:lang w:val="en-GB"/>
                  </w:rPr>
                  <m:t>1</m:t>
                </m:r>
              </m:sub>
            </m:sSub>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N</m:t>
                </m:r>
              </m:e>
              <m:sub>
                <m:r>
                  <m:rPr>
                    <m:sty m:val="p"/>
                  </m:rPr>
                  <w:rPr>
                    <w:rFonts w:ascii="Cambria Math" w:hAnsi="Cambria Math"/>
                    <w:lang w:val="en-GB"/>
                  </w:rPr>
                  <m:t>2</m:t>
                </m:r>
              </m:sub>
            </m:sSub>
          </m:e>
        </m:d>
        <m:r>
          <m:rPr>
            <m:sty m:val="p"/>
          </m:rPr>
          <w:rPr>
            <w:rFonts w:ascii="Cambria Math" w:hAnsi="Cambria Math"/>
            <w:lang w:val="en-GB"/>
          </w:rPr>
          <m:t>=(4,2,2)</m:t>
        </m:r>
      </m:oMath>
      <w:r w:rsidRPr="00F259EE">
        <w:rPr>
          <w:lang w:val="en-GB"/>
        </w:rPr>
        <w:t>, totally 4096bits is needed.</w:t>
      </w:r>
    </w:p>
    <w:p w14:paraId="72F6B822" w14:textId="3CFB4303" w:rsidR="00540353" w:rsidRDefault="00540353" w:rsidP="00540353">
      <w:pPr>
        <w:pStyle w:val="Observation"/>
        <w:ind w:left="1350" w:hanging="1350"/>
      </w:pPr>
      <w:bookmarkStart w:id="5" w:name="_Toc492980225"/>
      <w:r>
        <w:t xml:space="preserve">Observation </w:t>
      </w:r>
      <w:fldSimple w:instr=" SEQ Observation \* ARABIC ">
        <w:r w:rsidR="00F02FAC">
          <w:rPr>
            <w:noProof/>
          </w:rPr>
          <w:t>3</w:t>
        </w:r>
      </w:fldSimple>
      <w:r>
        <w:t>:</w:t>
      </w:r>
      <w:r w:rsidR="00073CBF">
        <w:tab/>
      </w:r>
      <w:r w:rsidR="00FB6F24">
        <w:t>R</w:t>
      </w:r>
      <w:r>
        <w:t>estriction of all wideband PMI requires significant large overhead in bit-map.</w:t>
      </w:r>
      <w:bookmarkEnd w:id="5"/>
    </w:p>
    <w:p w14:paraId="343A343B" w14:textId="1ABDC214" w:rsidR="00540353" w:rsidRPr="00F259EE" w:rsidRDefault="00F82412" w:rsidP="00F259EE">
      <w:pPr>
        <w:rPr>
          <w:lang w:val="en-GB"/>
        </w:rPr>
      </w:pPr>
      <w:r w:rsidRPr="00F259EE">
        <w:rPr>
          <w:lang w:val="en-GB"/>
        </w:rPr>
        <w:t>One way to reduce the signaling overhead is that beam restriction and per-panel co</w:t>
      </w:r>
      <w:r w:rsidR="00266D70">
        <w:rPr>
          <w:lang w:val="en-GB"/>
        </w:rPr>
        <w:t>-</w:t>
      </w:r>
      <w:r w:rsidRPr="00F259EE">
        <w:rPr>
          <w:lang w:val="en-GB"/>
        </w:rPr>
        <w:t>phasing is separately configured to UE. And per-panel co</w:t>
      </w:r>
      <w:r w:rsidR="006E2C77">
        <w:rPr>
          <w:lang w:val="en-GB"/>
        </w:rPr>
        <w:t>-</w:t>
      </w:r>
      <w:r w:rsidRPr="00F259EE">
        <w:rPr>
          <w:lang w:val="en-GB"/>
        </w:rPr>
        <w:t xml:space="preserve">phase </w:t>
      </w:r>
      <w:r w:rsidR="00595120">
        <w:rPr>
          <w:lang w:val="en-GB"/>
        </w:rPr>
        <w:t xml:space="preserve">restriction </w:t>
      </w:r>
      <w:r w:rsidRPr="00F259EE">
        <w:rPr>
          <w:lang w:val="en-GB"/>
        </w:rPr>
        <w:t>is applied to only the restricted beams. If the restricted beam is less in total beams, then the overhead reduction can be expected.</w:t>
      </w:r>
      <w:r w:rsidR="00595120">
        <w:rPr>
          <w:lang w:val="en-GB"/>
        </w:rPr>
        <w:t xml:space="preserve"> The PMI is prohibited from reporting when both beam and per-panel co</w:t>
      </w:r>
      <w:r w:rsidR="00266D70">
        <w:rPr>
          <w:lang w:val="en-GB"/>
        </w:rPr>
        <w:t>-</w:t>
      </w:r>
      <w:r w:rsidR="00595120">
        <w:rPr>
          <w:lang w:val="en-GB"/>
        </w:rPr>
        <w:t>phase is restricted.</w:t>
      </w:r>
    </w:p>
    <w:p w14:paraId="59E10FF4" w14:textId="3942632B" w:rsidR="00540353" w:rsidRPr="00266D70" w:rsidRDefault="00540353" w:rsidP="00F259EE">
      <w:pPr>
        <w:pStyle w:val="Proposal"/>
        <w:ind w:left="1170" w:hanging="1170"/>
      </w:pPr>
      <w:bookmarkStart w:id="6" w:name="_Toc492980232"/>
      <w:r w:rsidRPr="00983DF0">
        <w:t>Proposal</w:t>
      </w:r>
      <w:r>
        <w:t xml:space="preserve"> </w:t>
      </w:r>
      <w:fldSimple w:instr=" SEQ Proposal \* ARABIC ">
        <w:r w:rsidR="00F02FAC">
          <w:rPr>
            <w:noProof/>
          </w:rPr>
          <w:t>3</w:t>
        </w:r>
      </w:fldSimple>
      <w:r w:rsidR="002C0094">
        <w:t>:</w:t>
      </w:r>
      <w:r w:rsidR="00FB6F24">
        <w:tab/>
      </w:r>
      <w:r w:rsidR="008A3F18">
        <w:t>Per-panel co-phasing restriction is only configured for restricted beams for Type-I multi-panel CSI</w:t>
      </w:r>
      <w:r w:rsidR="00F163E1">
        <w:t>.</w:t>
      </w:r>
      <w:bookmarkEnd w:id="6"/>
    </w:p>
    <w:p w14:paraId="28E33998" w14:textId="42E34768" w:rsidR="005D5578" w:rsidRDefault="005D5578">
      <w:pPr>
        <w:pStyle w:val="Heading1"/>
      </w:pPr>
      <w:r>
        <w:t xml:space="preserve">CSR for Type II </w:t>
      </w:r>
      <w:r w:rsidR="00540353">
        <w:t>CSI</w:t>
      </w:r>
    </w:p>
    <w:p w14:paraId="0AC33C45" w14:textId="24373201" w:rsidR="008275CA" w:rsidRDefault="005D5578" w:rsidP="00F259EE">
      <w:pPr>
        <w:pStyle w:val="Heading2"/>
      </w:pPr>
      <w:r>
        <w:t xml:space="preserve">Type II Cat 1 </w:t>
      </w:r>
      <w:r w:rsidR="002C0094">
        <w:t>CSI</w:t>
      </w:r>
    </w:p>
    <w:p w14:paraId="0481810D" w14:textId="6A64E839" w:rsidR="002C0094" w:rsidRDefault="00FD05B6" w:rsidP="00F259EE">
      <w:pPr>
        <w:rPr>
          <w:lang w:val="en-GB"/>
        </w:rPr>
      </w:pPr>
      <w:r>
        <w:rPr>
          <w:lang w:val="en-GB"/>
        </w:rPr>
        <w:t>The major motivation of CSR is to restrict certain PMIs that introduce large interference to neighbouring cells. Since the DFT beam is the same for Type-I and Type-II Cat-1 CSI codebook, the sharing between Type-I and Type-II CSI’s CSR seems straight forward. This saves extra signalling for Type-II CSI’s beam CSR.</w:t>
      </w:r>
    </w:p>
    <w:p w14:paraId="650275F2" w14:textId="59786549" w:rsidR="002C0094" w:rsidRDefault="002C0094" w:rsidP="002C0094">
      <w:pPr>
        <w:pStyle w:val="Observation"/>
        <w:ind w:left="1350" w:hanging="1350"/>
      </w:pPr>
      <w:bookmarkStart w:id="7" w:name="_Toc492980226"/>
      <w:r>
        <w:t xml:space="preserve">Observation </w:t>
      </w:r>
      <w:fldSimple w:instr=" SEQ Observation \* ARABIC ">
        <w:r w:rsidR="00F02FAC">
          <w:rPr>
            <w:noProof/>
          </w:rPr>
          <w:t>4</w:t>
        </w:r>
      </w:fldSimple>
      <w:r>
        <w:t>:</w:t>
      </w:r>
      <w:r w:rsidR="00073CBF">
        <w:tab/>
      </w:r>
      <w:r>
        <w:t xml:space="preserve">A common </w:t>
      </w:r>
      <w:r w:rsidR="00CF56FE">
        <w:t xml:space="preserve">beam </w:t>
      </w:r>
      <w:r>
        <w:t xml:space="preserve">CSR </w:t>
      </w:r>
      <w:r w:rsidR="00CF56FE">
        <w:t xml:space="preserve">bit-map </w:t>
      </w:r>
      <w:r>
        <w:t>table can be shared between Type-I and Type-II CSR.</w:t>
      </w:r>
      <w:bookmarkEnd w:id="7"/>
    </w:p>
    <w:p w14:paraId="6A54E615" w14:textId="13587687" w:rsidR="000659A8" w:rsidRPr="00F259EE" w:rsidRDefault="000659A8" w:rsidP="00F259EE">
      <w:pPr>
        <w:rPr>
          <w:lang w:val="en-GB"/>
        </w:rPr>
      </w:pPr>
      <w:r w:rsidRPr="00F259EE">
        <w:rPr>
          <w:lang w:val="en-GB"/>
        </w:rPr>
        <w:t>As indicated in [</w:t>
      </w:r>
      <w:r w:rsidR="00552568">
        <w:rPr>
          <w:lang w:val="en-GB"/>
        </w:rPr>
        <w:t>4</w:t>
      </w:r>
      <w:r w:rsidRPr="00F259EE">
        <w:rPr>
          <w:lang w:val="en-GB"/>
        </w:rPr>
        <w:t xml:space="preserve">], a different CSR table shall be provided for Type-II CSR. The wideband amplitude </w:t>
      </w:r>
      <w:r w:rsidR="00B20978" w:rsidRPr="00F259EE">
        <w:rPr>
          <w:lang w:val="en-GB"/>
        </w:rPr>
        <w:t xml:space="preserve">restricted value is provided for each DFT beam. </w:t>
      </w:r>
      <w:r w:rsidRPr="00F259EE">
        <w:rPr>
          <w:lang w:val="en-GB"/>
        </w:rPr>
        <w:t xml:space="preserve"> </w:t>
      </w:r>
      <w:r w:rsidR="00552568" w:rsidRPr="00F259EE">
        <w:rPr>
          <w:lang w:val="en-GB"/>
        </w:rPr>
        <w:t xml:space="preserve">Totally Q*N1*N2*O1*O2 bits is reported via signaling, where Q is the amplitude quantization level. In our understanding, this can be seen as a more finer granularity of beam restriction. However, it is unclear the benefit of introducing amplitude restriction as compared with beam restriction alone. Another main issue of amplitude restriction that it will cause complication in UE’s PMI calculation. </w:t>
      </w:r>
    </w:p>
    <w:p w14:paraId="47814768" w14:textId="77AEACF9" w:rsidR="002C0094" w:rsidRPr="00AA599D" w:rsidRDefault="002C0094" w:rsidP="002C0094">
      <w:pPr>
        <w:pStyle w:val="Observation"/>
        <w:ind w:left="1350" w:hanging="1350"/>
      </w:pPr>
      <w:bookmarkStart w:id="8" w:name="_Toc492980227"/>
      <w:r>
        <w:t xml:space="preserve">Observation </w:t>
      </w:r>
      <w:fldSimple w:instr=" SEQ Observation \* ARABIC ">
        <w:r w:rsidR="00F02FAC">
          <w:rPr>
            <w:noProof/>
          </w:rPr>
          <w:t>5</w:t>
        </w:r>
      </w:fldSimple>
      <w:r>
        <w:t>:</w:t>
      </w:r>
      <w:r w:rsidR="00073CBF">
        <w:tab/>
      </w:r>
      <w:r>
        <w:t>No clear benefit of performing wideband amplitude restriction for Type-II CSR.</w:t>
      </w:r>
      <w:bookmarkEnd w:id="8"/>
    </w:p>
    <w:p w14:paraId="33A77E23" w14:textId="76484A22" w:rsidR="002C0094" w:rsidRPr="00983DF0" w:rsidRDefault="002C0094" w:rsidP="002C0094">
      <w:pPr>
        <w:pStyle w:val="Proposal"/>
        <w:ind w:left="1170" w:hanging="1170"/>
      </w:pPr>
      <w:bookmarkStart w:id="9" w:name="_Toc492980233"/>
      <w:r w:rsidRPr="00983DF0">
        <w:t>Proposal</w:t>
      </w:r>
      <w:r>
        <w:t xml:space="preserve"> </w:t>
      </w:r>
      <w:fldSimple w:instr=" SEQ Proposal \* ARABIC ">
        <w:r w:rsidR="00F02FAC">
          <w:rPr>
            <w:noProof/>
          </w:rPr>
          <w:t>4</w:t>
        </w:r>
      </w:fldSimple>
      <w:r>
        <w:t xml:space="preserve">: </w:t>
      </w:r>
      <w:r w:rsidR="00FB6F24">
        <w:tab/>
      </w:r>
      <w:r>
        <w:t>Type-II</w:t>
      </w:r>
      <w:r w:rsidR="00F163E1">
        <w:t xml:space="preserve"> CSR </w:t>
      </w:r>
      <w:r w:rsidR="00552568">
        <w:t>should</w:t>
      </w:r>
      <w:r w:rsidR="00F163E1">
        <w:t xml:space="preserve"> not support amplitude restriction.</w:t>
      </w:r>
      <w:bookmarkEnd w:id="9"/>
    </w:p>
    <w:p w14:paraId="3849A61D" w14:textId="2C617DC5" w:rsidR="002C0094" w:rsidRDefault="002C0094" w:rsidP="002C0094">
      <w:pPr>
        <w:pStyle w:val="Heading2"/>
      </w:pPr>
      <w:r>
        <w:t>Type II Cat 3 CSI</w:t>
      </w:r>
    </w:p>
    <w:p w14:paraId="0A9FA725" w14:textId="67783557" w:rsidR="00552568" w:rsidRPr="00F259EE" w:rsidRDefault="008441FE" w:rsidP="00F259EE">
      <w:pPr>
        <w:rPr>
          <w:lang w:val="en-GB"/>
        </w:rPr>
      </w:pPr>
      <w:r w:rsidRPr="00F259EE">
        <w:rPr>
          <w:lang w:val="en-GB"/>
        </w:rPr>
        <w:t>For Type-II Cat</w:t>
      </w:r>
      <w:r w:rsidR="00FB5EAC">
        <w:rPr>
          <w:lang w:val="en-GB"/>
        </w:rPr>
        <w:t xml:space="preserve"> </w:t>
      </w:r>
      <w:r w:rsidRPr="00F259EE">
        <w:rPr>
          <w:lang w:val="en-GB"/>
        </w:rPr>
        <w:t xml:space="preserve">3 CSI reporting, a beam group selection coefficient factor, namely as ‘m’ will be feedback to base station. </w:t>
      </w:r>
      <w:r w:rsidR="000A199C" w:rsidRPr="00F259EE">
        <w:rPr>
          <w:lang w:val="en-GB"/>
        </w:rPr>
        <w:t>One</w:t>
      </w:r>
      <w:r w:rsidRPr="00F259EE">
        <w:rPr>
          <w:lang w:val="en-GB"/>
        </w:rPr>
        <w:t xml:space="preserve"> remaining issue is whether ‘m’ value should be restricted for PMI reporting. </w:t>
      </w:r>
      <w:r w:rsidR="000A199C" w:rsidRPr="00F259EE">
        <w:rPr>
          <w:lang w:val="en-GB"/>
        </w:rPr>
        <w:t xml:space="preserve">Since the beams for Cat 3 CSI is from base </w:t>
      </w:r>
      <w:r w:rsidR="000A199C" w:rsidRPr="00F259EE">
        <w:rPr>
          <w:lang w:val="en-GB"/>
        </w:rPr>
        <w:lastRenderedPageBreak/>
        <w:t xml:space="preserve">station transmitted beamformed CSI-RS, it should be up to base station implementation that avoid the transmission on restricted beams, rather than restrict ‘m’ in PMI reporting. </w:t>
      </w:r>
    </w:p>
    <w:p w14:paraId="3D5EBF90" w14:textId="7F23AF73" w:rsidR="002C0094" w:rsidRPr="00AA599D" w:rsidRDefault="002C0094" w:rsidP="002C0094">
      <w:pPr>
        <w:pStyle w:val="Observation"/>
        <w:ind w:left="1350" w:hanging="1350"/>
      </w:pPr>
      <w:bookmarkStart w:id="10" w:name="_Toc492980228"/>
      <w:r>
        <w:t xml:space="preserve">Observation </w:t>
      </w:r>
      <w:fldSimple w:instr=" SEQ Observation \* ARABIC ">
        <w:r w:rsidR="00F02FAC">
          <w:rPr>
            <w:noProof/>
          </w:rPr>
          <w:t>6</w:t>
        </w:r>
      </w:fldSimple>
      <w:r>
        <w:t>:</w:t>
      </w:r>
      <w:r w:rsidR="00073CBF">
        <w:tab/>
      </w:r>
      <w:r>
        <w:t xml:space="preserve">Base station </w:t>
      </w:r>
      <w:r w:rsidR="000A199C">
        <w:t xml:space="preserve">can </w:t>
      </w:r>
      <w:r w:rsidR="002D66C8">
        <w:t xml:space="preserve">avoid transmission of </w:t>
      </w:r>
      <w:r w:rsidR="000A199C">
        <w:t>restricted</w:t>
      </w:r>
      <w:r w:rsidR="002D66C8">
        <w:t xml:space="preserve"> beams</w:t>
      </w:r>
      <w:r>
        <w:t xml:space="preserve"> </w:t>
      </w:r>
      <w:r w:rsidR="000A199C">
        <w:t>for Type-II Cat3 CSI.</w:t>
      </w:r>
      <w:bookmarkEnd w:id="10"/>
    </w:p>
    <w:p w14:paraId="0F4686DD" w14:textId="3DB3D228" w:rsidR="002C0094" w:rsidRPr="00266D70" w:rsidRDefault="002C0094" w:rsidP="00F259EE">
      <w:pPr>
        <w:pStyle w:val="Proposal"/>
      </w:pPr>
      <w:bookmarkStart w:id="11" w:name="_Toc492980234"/>
      <w:r w:rsidRPr="00983DF0">
        <w:t>Proposal</w:t>
      </w:r>
      <w:r>
        <w:t xml:space="preserve"> </w:t>
      </w:r>
      <w:fldSimple w:instr=" SEQ Proposal \* ARABIC ">
        <w:r w:rsidR="00F02FAC">
          <w:rPr>
            <w:noProof/>
          </w:rPr>
          <w:t>5</w:t>
        </w:r>
      </w:fldSimple>
      <w:r>
        <w:t xml:space="preserve">: </w:t>
      </w:r>
      <w:r w:rsidR="00FB6F24">
        <w:tab/>
      </w:r>
      <w:r w:rsidR="000A199C">
        <w:t>No Type-II Cat 3 CSR in NR-MIMO.</w:t>
      </w:r>
      <w:bookmarkEnd w:id="11"/>
    </w:p>
    <w:p w14:paraId="3AD08D88" w14:textId="1851F260" w:rsidR="00734678" w:rsidRDefault="00734678" w:rsidP="00F259EE">
      <w:pPr>
        <w:pStyle w:val="Heading1"/>
      </w:pPr>
      <w:r>
        <w:t>Impact of CSR on CSI reporting payload size</w:t>
      </w:r>
    </w:p>
    <w:p w14:paraId="071351DA" w14:textId="2CD0737D" w:rsidR="000A199C" w:rsidRPr="00F259EE" w:rsidRDefault="000A199C" w:rsidP="00F259EE">
      <w:pPr>
        <w:rPr>
          <w:lang w:val="en-GB"/>
        </w:rPr>
      </w:pPr>
      <w:r w:rsidRPr="00F259EE">
        <w:rPr>
          <w:lang w:val="en-GB"/>
        </w:rPr>
        <w:t xml:space="preserve">In some designs, CSI reporting payload size is considered to be changed accordingly with CSR. The concurrent CSR at least will support rank restriction and beam restriction for Type-I CSI. For Rank restriction, since the total payload size for rank is already limited in reporting, the benefit is not strong for rank restriction. For beam restriction, only if over half of the beam is restricted, the payload size can be reduced by only 1 bit. In practice, it is hard to say whether CSR should inclusive that many beams to be restricted. </w:t>
      </w:r>
      <w:r w:rsidRPr="00266D70">
        <w:rPr>
          <w:lang w:val="en-GB"/>
        </w:rPr>
        <w:t>Therefore,</w:t>
      </w:r>
      <w:r w:rsidRPr="00F259EE">
        <w:rPr>
          <w:lang w:val="en-GB"/>
        </w:rPr>
        <w:t xml:space="preserve"> the benefit is also minimal</w:t>
      </w:r>
      <w:r>
        <w:rPr>
          <w:lang w:val="en-GB"/>
        </w:rPr>
        <w:t xml:space="preserve"> for CSI reporting payload size updated with CSR</w:t>
      </w:r>
      <w:r w:rsidRPr="00F259EE">
        <w:rPr>
          <w:lang w:val="en-GB"/>
        </w:rPr>
        <w:t>.</w:t>
      </w:r>
    </w:p>
    <w:p w14:paraId="5FDFC354" w14:textId="2099388A" w:rsidR="002C0094" w:rsidRPr="00AA599D" w:rsidRDefault="002C0094" w:rsidP="002C0094">
      <w:pPr>
        <w:pStyle w:val="Observation"/>
        <w:ind w:left="1350" w:hanging="1350"/>
      </w:pPr>
      <w:bookmarkStart w:id="12" w:name="_Toc492980229"/>
      <w:r>
        <w:t xml:space="preserve">Observation </w:t>
      </w:r>
      <w:fldSimple w:instr=" SEQ Observation \* ARABIC ">
        <w:r w:rsidR="00F02FAC">
          <w:rPr>
            <w:noProof/>
          </w:rPr>
          <w:t>7</w:t>
        </w:r>
      </w:fldSimple>
      <w:r>
        <w:t>:</w:t>
      </w:r>
      <w:r w:rsidR="00073CBF">
        <w:tab/>
      </w:r>
      <w:r>
        <w:t>There’s no clear benefit of changing CSI reporting payload size for CSR</w:t>
      </w:r>
      <w:r w:rsidR="00F163E1">
        <w:t>.</w:t>
      </w:r>
      <w:bookmarkEnd w:id="12"/>
    </w:p>
    <w:p w14:paraId="1ACC1E66" w14:textId="11F8AAF4" w:rsidR="005D5578" w:rsidRPr="00266D70" w:rsidRDefault="002C0094" w:rsidP="00F259EE">
      <w:pPr>
        <w:pStyle w:val="Proposal"/>
        <w:ind w:left="1170" w:hanging="1170"/>
      </w:pPr>
      <w:bookmarkStart w:id="13" w:name="_Toc492980235"/>
      <w:r w:rsidRPr="00983DF0">
        <w:t>Proposal</w:t>
      </w:r>
      <w:r>
        <w:t xml:space="preserve"> </w:t>
      </w:r>
      <w:fldSimple w:instr=" SEQ Proposal \* ARABIC ">
        <w:r w:rsidR="00F02FAC">
          <w:rPr>
            <w:noProof/>
          </w:rPr>
          <w:t>6</w:t>
        </w:r>
      </w:fldSimple>
      <w:r>
        <w:t>:</w:t>
      </w:r>
      <w:r w:rsidR="00073CBF">
        <w:tab/>
      </w:r>
      <w:r w:rsidR="00E2069A">
        <w:t>C</w:t>
      </w:r>
      <w:r>
        <w:t>hanging CSI reporting payload size is not supported for NR.</w:t>
      </w:r>
      <w:bookmarkEnd w:id="13"/>
    </w:p>
    <w:p w14:paraId="23818DC1" w14:textId="77777777" w:rsidR="00A27330" w:rsidRDefault="00A27330" w:rsidP="00A27330">
      <w:pPr>
        <w:pStyle w:val="Heading1"/>
        <w:jc w:val="both"/>
      </w:pPr>
      <w:r>
        <w:t>Conclusion</w:t>
      </w:r>
    </w:p>
    <w:p w14:paraId="3C27EBFF" w14:textId="21E718C9" w:rsidR="00A27330" w:rsidRDefault="00A27330" w:rsidP="00A27330">
      <w:r>
        <w:rPr>
          <w:lang w:val="en-GB"/>
        </w:rPr>
        <w:t xml:space="preserve">In this contribution, we discuss </w:t>
      </w:r>
      <w:r w:rsidR="000A199C" w:rsidRPr="00F259EE">
        <w:rPr>
          <w:lang w:val="en-GB"/>
        </w:rPr>
        <w:t>remaining CSR issues</w:t>
      </w:r>
      <w:r w:rsidR="000A199C">
        <w:t xml:space="preserve"> for NR-MIMO</w:t>
      </w:r>
      <w:r>
        <w:t>.  We have following observation:</w:t>
      </w:r>
    </w:p>
    <w:p w14:paraId="0D6327EE" w14:textId="77777777" w:rsidR="00F02FAC" w:rsidRDefault="00A27330">
      <w:pPr>
        <w:pStyle w:val="TableofFigures"/>
        <w:rPr>
          <w:rFonts w:asciiTheme="minorHAnsi" w:eastAsiaTheme="minorEastAsia" w:hAnsiTheme="minorHAnsi" w:cstheme="minorBidi"/>
          <w:b w:val="0"/>
          <w:i w:val="0"/>
          <w:noProof/>
          <w:sz w:val="22"/>
          <w:szCs w:val="22"/>
          <w:lang w:eastAsia="zh-CN"/>
        </w:rPr>
      </w:pPr>
      <w:r>
        <w:fldChar w:fldCharType="begin"/>
      </w:r>
      <w:r>
        <w:instrText xml:space="preserve"> TOC \n \h \z \c "Observation" </w:instrText>
      </w:r>
      <w:r>
        <w:fldChar w:fldCharType="separate"/>
      </w:r>
      <w:hyperlink w:anchor="_Toc492980223" w:history="1">
        <w:r w:rsidR="00F02FAC" w:rsidRPr="001D51E5">
          <w:rPr>
            <w:rStyle w:val="Hyperlink"/>
            <w:noProof/>
          </w:rPr>
          <w:t>Observation 1:</w:t>
        </w:r>
        <w:r w:rsidR="00F02FAC">
          <w:rPr>
            <w:rFonts w:asciiTheme="minorHAnsi" w:eastAsiaTheme="minorEastAsia" w:hAnsiTheme="minorHAnsi" w:cstheme="minorBidi"/>
            <w:b w:val="0"/>
            <w:i w:val="0"/>
            <w:noProof/>
            <w:sz w:val="22"/>
            <w:szCs w:val="22"/>
            <w:lang w:eastAsia="zh-CN"/>
          </w:rPr>
          <w:tab/>
        </w:r>
        <w:r w:rsidR="00F02FAC" w:rsidRPr="001D51E5">
          <w:rPr>
            <w:rStyle w:val="Hyperlink"/>
            <w:noProof/>
          </w:rPr>
          <w:t>The test of all beam hypothesis with the restricted beams of other ranks cause UE computation or large storage needs, which should be avoided.</w:t>
        </w:r>
      </w:hyperlink>
    </w:p>
    <w:p w14:paraId="2FFF924E" w14:textId="77777777" w:rsidR="00F02FAC" w:rsidRDefault="00F02FAC">
      <w:pPr>
        <w:pStyle w:val="TableofFigures"/>
        <w:rPr>
          <w:rFonts w:asciiTheme="minorHAnsi" w:eastAsiaTheme="minorEastAsia" w:hAnsiTheme="minorHAnsi" w:cstheme="minorBidi"/>
          <w:b w:val="0"/>
          <w:i w:val="0"/>
          <w:noProof/>
          <w:sz w:val="22"/>
          <w:szCs w:val="22"/>
          <w:lang w:eastAsia="zh-CN"/>
        </w:rPr>
      </w:pPr>
      <w:hyperlink w:anchor="_Toc492980224" w:history="1">
        <w:r w:rsidRPr="001D51E5">
          <w:rPr>
            <w:rStyle w:val="Hyperlink"/>
            <w:noProof/>
          </w:rPr>
          <w:t>Observation 2:</w:t>
        </w:r>
        <w:r>
          <w:rPr>
            <w:rFonts w:asciiTheme="minorHAnsi" w:eastAsiaTheme="minorEastAsia" w:hAnsiTheme="minorHAnsi" w:cstheme="minorBidi"/>
            <w:b w:val="0"/>
            <w:i w:val="0"/>
            <w:noProof/>
            <w:sz w:val="22"/>
            <w:szCs w:val="22"/>
            <w:lang w:eastAsia="zh-CN"/>
          </w:rPr>
          <w:tab/>
        </w:r>
        <w:r w:rsidRPr="001D51E5">
          <w:rPr>
            <w:rStyle w:val="Hyperlink"/>
            <w:noProof/>
          </w:rPr>
          <w:t>DFT beam restriction should be sufficient for rank 3~4.</w:t>
        </w:r>
      </w:hyperlink>
    </w:p>
    <w:p w14:paraId="7A9C80B1" w14:textId="77777777" w:rsidR="00F02FAC" w:rsidRDefault="00F02FAC">
      <w:pPr>
        <w:pStyle w:val="TableofFigures"/>
        <w:rPr>
          <w:rFonts w:asciiTheme="minorHAnsi" w:eastAsiaTheme="minorEastAsia" w:hAnsiTheme="minorHAnsi" w:cstheme="minorBidi"/>
          <w:b w:val="0"/>
          <w:i w:val="0"/>
          <w:noProof/>
          <w:sz w:val="22"/>
          <w:szCs w:val="22"/>
          <w:lang w:eastAsia="zh-CN"/>
        </w:rPr>
      </w:pPr>
      <w:hyperlink w:anchor="_Toc492980225" w:history="1">
        <w:r w:rsidRPr="001D51E5">
          <w:rPr>
            <w:rStyle w:val="Hyperlink"/>
            <w:noProof/>
          </w:rPr>
          <w:t>Observation 3:</w:t>
        </w:r>
        <w:r>
          <w:rPr>
            <w:rFonts w:asciiTheme="minorHAnsi" w:eastAsiaTheme="minorEastAsia" w:hAnsiTheme="minorHAnsi" w:cstheme="minorBidi"/>
            <w:b w:val="0"/>
            <w:i w:val="0"/>
            <w:noProof/>
            <w:sz w:val="22"/>
            <w:szCs w:val="22"/>
            <w:lang w:eastAsia="zh-CN"/>
          </w:rPr>
          <w:tab/>
        </w:r>
        <w:r w:rsidRPr="001D51E5">
          <w:rPr>
            <w:rStyle w:val="Hyperlink"/>
            <w:noProof/>
          </w:rPr>
          <w:t>Restriction of all wideband PMI requires significant large overhead in bit-map.</w:t>
        </w:r>
      </w:hyperlink>
    </w:p>
    <w:p w14:paraId="6101F5A4" w14:textId="77777777" w:rsidR="00F02FAC" w:rsidRDefault="00F02FAC">
      <w:pPr>
        <w:pStyle w:val="TableofFigures"/>
        <w:rPr>
          <w:rFonts w:asciiTheme="minorHAnsi" w:eastAsiaTheme="minorEastAsia" w:hAnsiTheme="minorHAnsi" w:cstheme="minorBidi"/>
          <w:b w:val="0"/>
          <w:i w:val="0"/>
          <w:noProof/>
          <w:sz w:val="22"/>
          <w:szCs w:val="22"/>
          <w:lang w:eastAsia="zh-CN"/>
        </w:rPr>
      </w:pPr>
      <w:hyperlink w:anchor="_Toc492980226" w:history="1">
        <w:r w:rsidRPr="001D51E5">
          <w:rPr>
            <w:rStyle w:val="Hyperlink"/>
            <w:noProof/>
          </w:rPr>
          <w:t>Observation 4:</w:t>
        </w:r>
        <w:r>
          <w:rPr>
            <w:rFonts w:asciiTheme="minorHAnsi" w:eastAsiaTheme="minorEastAsia" w:hAnsiTheme="minorHAnsi" w:cstheme="minorBidi"/>
            <w:b w:val="0"/>
            <w:i w:val="0"/>
            <w:noProof/>
            <w:sz w:val="22"/>
            <w:szCs w:val="22"/>
            <w:lang w:eastAsia="zh-CN"/>
          </w:rPr>
          <w:tab/>
        </w:r>
        <w:r w:rsidRPr="001D51E5">
          <w:rPr>
            <w:rStyle w:val="Hyperlink"/>
            <w:noProof/>
          </w:rPr>
          <w:t>A common beam CSR bit-map table can be shared between Type-I and Type-II CSR.</w:t>
        </w:r>
      </w:hyperlink>
    </w:p>
    <w:p w14:paraId="233991C9" w14:textId="77777777" w:rsidR="00F02FAC" w:rsidRDefault="00F02FAC">
      <w:pPr>
        <w:pStyle w:val="TableofFigures"/>
        <w:rPr>
          <w:rFonts w:asciiTheme="minorHAnsi" w:eastAsiaTheme="minorEastAsia" w:hAnsiTheme="minorHAnsi" w:cstheme="minorBidi"/>
          <w:b w:val="0"/>
          <w:i w:val="0"/>
          <w:noProof/>
          <w:sz w:val="22"/>
          <w:szCs w:val="22"/>
          <w:lang w:eastAsia="zh-CN"/>
        </w:rPr>
      </w:pPr>
      <w:hyperlink w:anchor="_Toc492980227" w:history="1">
        <w:r w:rsidRPr="001D51E5">
          <w:rPr>
            <w:rStyle w:val="Hyperlink"/>
            <w:noProof/>
          </w:rPr>
          <w:t>Observation 5:</w:t>
        </w:r>
        <w:r>
          <w:rPr>
            <w:rFonts w:asciiTheme="minorHAnsi" w:eastAsiaTheme="minorEastAsia" w:hAnsiTheme="minorHAnsi" w:cstheme="minorBidi"/>
            <w:b w:val="0"/>
            <w:i w:val="0"/>
            <w:noProof/>
            <w:sz w:val="22"/>
            <w:szCs w:val="22"/>
            <w:lang w:eastAsia="zh-CN"/>
          </w:rPr>
          <w:tab/>
        </w:r>
        <w:r w:rsidRPr="001D51E5">
          <w:rPr>
            <w:rStyle w:val="Hyperlink"/>
            <w:noProof/>
          </w:rPr>
          <w:t>No clear benefit of performing wideband amplitude restriction for Type-II CSR.</w:t>
        </w:r>
      </w:hyperlink>
    </w:p>
    <w:p w14:paraId="729A9380" w14:textId="77777777" w:rsidR="00F02FAC" w:rsidRDefault="00F02FAC">
      <w:pPr>
        <w:pStyle w:val="TableofFigures"/>
        <w:rPr>
          <w:rFonts w:asciiTheme="minorHAnsi" w:eastAsiaTheme="minorEastAsia" w:hAnsiTheme="minorHAnsi" w:cstheme="minorBidi"/>
          <w:b w:val="0"/>
          <w:i w:val="0"/>
          <w:noProof/>
          <w:sz w:val="22"/>
          <w:szCs w:val="22"/>
          <w:lang w:eastAsia="zh-CN"/>
        </w:rPr>
      </w:pPr>
      <w:hyperlink w:anchor="_Toc492980228" w:history="1">
        <w:r w:rsidRPr="001D51E5">
          <w:rPr>
            <w:rStyle w:val="Hyperlink"/>
            <w:noProof/>
          </w:rPr>
          <w:t>Observation 6:</w:t>
        </w:r>
        <w:r>
          <w:rPr>
            <w:rFonts w:asciiTheme="minorHAnsi" w:eastAsiaTheme="minorEastAsia" w:hAnsiTheme="minorHAnsi" w:cstheme="minorBidi"/>
            <w:b w:val="0"/>
            <w:i w:val="0"/>
            <w:noProof/>
            <w:sz w:val="22"/>
            <w:szCs w:val="22"/>
            <w:lang w:eastAsia="zh-CN"/>
          </w:rPr>
          <w:tab/>
        </w:r>
        <w:r w:rsidRPr="001D51E5">
          <w:rPr>
            <w:rStyle w:val="Hyperlink"/>
            <w:noProof/>
          </w:rPr>
          <w:t>Base station can avoid transmission of restricted beams for Type-II Cat3 CSI.</w:t>
        </w:r>
      </w:hyperlink>
    </w:p>
    <w:p w14:paraId="2F197A48" w14:textId="77777777" w:rsidR="00F02FAC" w:rsidRDefault="00F02FAC">
      <w:pPr>
        <w:pStyle w:val="TableofFigures"/>
        <w:rPr>
          <w:rFonts w:asciiTheme="minorHAnsi" w:eastAsiaTheme="minorEastAsia" w:hAnsiTheme="minorHAnsi" w:cstheme="minorBidi"/>
          <w:b w:val="0"/>
          <w:i w:val="0"/>
          <w:noProof/>
          <w:sz w:val="22"/>
          <w:szCs w:val="22"/>
          <w:lang w:eastAsia="zh-CN"/>
        </w:rPr>
      </w:pPr>
      <w:hyperlink w:anchor="_Toc492980229" w:history="1">
        <w:r w:rsidRPr="001D51E5">
          <w:rPr>
            <w:rStyle w:val="Hyperlink"/>
            <w:noProof/>
          </w:rPr>
          <w:t>Observation 7:</w:t>
        </w:r>
        <w:r>
          <w:rPr>
            <w:rFonts w:asciiTheme="minorHAnsi" w:eastAsiaTheme="minorEastAsia" w:hAnsiTheme="minorHAnsi" w:cstheme="minorBidi"/>
            <w:b w:val="0"/>
            <w:i w:val="0"/>
            <w:noProof/>
            <w:sz w:val="22"/>
            <w:szCs w:val="22"/>
            <w:lang w:eastAsia="zh-CN"/>
          </w:rPr>
          <w:tab/>
        </w:r>
        <w:r w:rsidRPr="001D51E5">
          <w:rPr>
            <w:rStyle w:val="Hyperlink"/>
            <w:noProof/>
          </w:rPr>
          <w:t>There’s no clear benefit of changing CSI reporting payload size for CSR.</w:t>
        </w:r>
      </w:hyperlink>
    </w:p>
    <w:p w14:paraId="1E660D91" w14:textId="21A0ED24" w:rsidR="00A27330" w:rsidRPr="00D53E1A" w:rsidRDefault="00A27330" w:rsidP="00D53E1A">
      <w:pPr>
        <w:pStyle w:val="Proposal"/>
        <w:ind w:left="1170" w:hanging="1170"/>
        <w:rPr>
          <w:b w:val="0"/>
          <w:i w:val="0"/>
          <w:lang w:val="en-GB"/>
        </w:rPr>
      </w:pPr>
      <w:r>
        <w:fldChar w:fldCharType="end"/>
      </w:r>
      <w:r w:rsidRPr="00D53E1A">
        <w:rPr>
          <w:b w:val="0"/>
          <w:i w:val="0"/>
          <w:lang w:val="en-GB"/>
        </w:rPr>
        <w:t>In addition, we propose</w:t>
      </w:r>
    </w:p>
    <w:p w14:paraId="5CAA4D8B" w14:textId="1EC40A4E" w:rsidR="00F02FAC" w:rsidRDefault="00A27330">
      <w:pPr>
        <w:pStyle w:val="TableofFigures"/>
        <w:rPr>
          <w:rFonts w:asciiTheme="minorHAnsi" w:eastAsiaTheme="minorEastAsia" w:hAnsiTheme="minorHAnsi" w:cstheme="minorBidi"/>
          <w:b w:val="0"/>
          <w:i w:val="0"/>
          <w:noProof/>
          <w:sz w:val="22"/>
          <w:szCs w:val="22"/>
          <w:lang w:eastAsia="zh-CN"/>
        </w:rPr>
      </w:pPr>
      <w:r>
        <w:rPr>
          <w:rFonts w:eastAsia="MS Mincho"/>
          <w:lang w:eastAsia="ja-JP"/>
        </w:rPr>
        <w:fldChar w:fldCharType="begin"/>
      </w:r>
      <w:r w:rsidRPr="00D53E1A">
        <w:rPr>
          <w:rFonts w:eastAsia="MS Mincho"/>
          <w:lang w:eastAsia="ja-JP"/>
        </w:rPr>
        <w:instrText xml:space="preserve"> TOC \n \h \z \c "Proposal" </w:instrText>
      </w:r>
      <w:r>
        <w:rPr>
          <w:rFonts w:eastAsia="MS Mincho"/>
          <w:lang w:eastAsia="ja-JP"/>
        </w:rPr>
        <w:fldChar w:fldCharType="separate"/>
      </w:r>
      <w:hyperlink w:anchor="_Toc492980230" w:history="1">
        <w:r w:rsidR="00F02FAC" w:rsidRPr="0028594A">
          <w:rPr>
            <w:rStyle w:val="Hyperlink"/>
            <w:noProof/>
          </w:rPr>
          <w:t>Proposal 1:</w:t>
        </w:r>
        <w:r w:rsidR="00F02FAC">
          <w:rPr>
            <w:rFonts w:asciiTheme="minorHAnsi" w:eastAsiaTheme="minorEastAsia" w:hAnsiTheme="minorHAnsi" w:cstheme="minorBidi"/>
            <w:b w:val="0"/>
            <w:i w:val="0"/>
            <w:noProof/>
            <w:sz w:val="22"/>
            <w:szCs w:val="22"/>
            <w:lang w:eastAsia="zh-CN"/>
          </w:rPr>
          <w:tab/>
        </w:r>
        <w:r w:rsidR="00F02FAC" w:rsidRPr="0028594A">
          <w:rPr>
            <w:rStyle w:val="Hyperlink"/>
            <w:noProof/>
          </w:rPr>
          <w:t>Same CSR for 2Tx design as LTE for NR.</w:t>
        </w:r>
      </w:hyperlink>
    </w:p>
    <w:p w14:paraId="0C6DAC82" w14:textId="6C27414D" w:rsidR="00F02FAC" w:rsidRDefault="00F02FAC">
      <w:pPr>
        <w:pStyle w:val="TableofFigures"/>
        <w:rPr>
          <w:rFonts w:asciiTheme="minorHAnsi" w:eastAsiaTheme="minorEastAsia" w:hAnsiTheme="minorHAnsi" w:cstheme="minorBidi"/>
          <w:b w:val="0"/>
          <w:i w:val="0"/>
          <w:noProof/>
          <w:sz w:val="22"/>
          <w:szCs w:val="22"/>
          <w:lang w:eastAsia="zh-CN"/>
        </w:rPr>
      </w:pPr>
      <w:hyperlink w:anchor="_Toc492980231" w:history="1">
        <w:r w:rsidRPr="0028594A">
          <w:rPr>
            <w:rStyle w:val="Hyperlink"/>
            <w:noProof/>
          </w:rPr>
          <w:t>Proposal 2:</w:t>
        </w:r>
        <w:r>
          <w:rPr>
            <w:rFonts w:asciiTheme="minorHAnsi" w:eastAsiaTheme="minorEastAsia" w:hAnsiTheme="minorHAnsi" w:cstheme="minorBidi"/>
            <w:b w:val="0"/>
            <w:i w:val="0"/>
            <w:noProof/>
            <w:sz w:val="22"/>
            <w:szCs w:val="22"/>
            <w:lang w:eastAsia="zh-CN"/>
          </w:rPr>
          <w:tab/>
        </w:r>
        <w:r w:rsidRPr="0028594A">
          <w:rPr>
            <w:rStyle w:val="Hyperlink"/>
            <w:noProof/>
          </w:rPr>
          <w:t xml:space="preserve">For UE simplicity perspective, a separate CSR table which include N1/2*N2*O1*O2 beams in indicated to UE, if the UE supports rank 3~4 Type-I CSI and X </w:t>
        </w:r>
        <w:r w:rsidRPr="0028594A">
          <w:rPr>
            <w:rStyle w:val="Hyperlink"/>
            <w:rFonts w:cs="Arial" w:hint="eastAsia"/>
            <w:noProof/>
          </w:rPr>
          <w:t>≥</w:t>
        </w:r>
        <w:r w:rsidRPr="0028594A">
          <w:rPr>
            <w:rStyle w:val="Hyperlink"/>
            <w:rFonts w:cs="Arial" w:hint="eastAsia"/>
            <w:noProof/>
          </w:rPr>
          <w:t xml:space="preserve"> </w:t>
        </w:r>
        <w:r w:rsidRPr="0028594A">
          <w:rPr>
            <w:rStyle w:val="Hyperlink"/>
            <w:noProof/>
          </w:rPr>
          <w:t>16 ports.</w:t>
        </w:r>
      </w:hyperlink>
    </w:p>
    <w:p w14:paraId="667FB6FD" w14:textId="77F32D03" w:rsidR="00F02FAC" w:rsidRDefault="00F02FAC">
      <w:pPr>
        <w:pStyle w:val="TableofFigures"/>
        <w:rPr>
          <w:rFonts w:asciiTheme="minorHAnsi" w:eastAsiaTheme="minorEastAsia" w:hAnsiTheme="minorHAnsi" w:cstheme="minorBidi"/>
          <w:b w:val="0"/>
          <w:i w:val="0"/>
          <w:noProof/>
          <w:sz w:val="22"/>
          <w:szCs w:val="22"/>
          <w:lang w:eastAsia="zh-CN"/>
        </w:rPr>
      </w:pPr>
      <w:hyperlink w:anchor="_Toc492980232" w:history="1">
        <w:r w:rsidRPr="0028594A">
          <w:rPr>
            <w:rStyle w:val="Hyperlink"/>
            <w:noProof/>
          </w:rPr>
          <w:t>Proposal 3:</w:t>
        </w:r>
        <w:r>
          <w:rPr>
            <w:rFonts w:asciiTheme="minorHAnsi" w:eastAsiaTheme="minorEastAsia" w:hAnsiTheme="minorHAnsi" w:cstheme="minorBidi"/>
            <w:b w:val="0"/>
            <w:i w:val="0"/>
            <w:noProof/>
            <w:sz w:val="22"/>
            <w:szCs w:val="22"/>
            <w:lang w:eastAsia="zh-CN"/>
          </w:rPr>
          <w:tab/>
        </w:r>
        <w:r w:rsidRPr="0028594A">
          <w:rPr>
            <w:rStyle w:val="Hyperlink"/>
            <w:noProof/>
          </w:rPr>
          <w:t>Per-panel co-phasing restriction is only configured for restricted beams for Type-I multi-panel CSI.</w:t>
        </w:r>
      </w:hyperlink>
    </w:p>
    <w:p w14:paraId="4C9BF7DA" w14:textId="351AA31A" w:rsidR="00F02FAC" w:rsidRDefault="00F02FAC">
      <w:pPr>
        <w:pStyle w:val="TableofFigures"/>
        <w:rPr>
          <w:rFonts w:asciiTheme="minorHAnsi" w:eastAsiaTheme="minorEastAsia" w:hAnsiTheme="minorHAnsi" w:cstheme="minorBidi"/>
          <w:b w:val="0"/>
          <w:i w:val="0"/>
          <w:noProof/>
          <w:sz w:val="22"/>
          <w:szCs w:val="22"/>
          <w:lang w:eastAsia="zh-CN"/>
        </w:rPr>
      </w:pPr>
      <w:hyperlink w:anchor="_Toc492980233" w:history="1">
        <w:r w:rsidRPr="0028594A">
          <w:rPr>
            <w:rStyle w:val="Hyperlink"/>
            <w:noProof/>
          </w:rPr>
          <w:t xml:space="preserve">Proposal 4: </w:t>
        </w:r>
        <w:r>
          <w:rPr>
            <w:rFonts w:asciiTheme="minorHAnsi" w:eastAsiaTheme="minorEastAsia" w:hAnsiTheme="minorHAnsi" w:cstheme="minorBidi"/>
            <w:b w:val="0"/>
            <w:i w:val="0"/>
            <w:noProof/>
            <w:sz w:val="22"/>
            <w:szCs w:val="22"/>
            <w:lang w:eastAsia="zh-CN"/>
          </w:rPr>
          <w:tab/>
        </w:r>
        <w:r w:rsidRPr="0028594A">
          <w:rPr>
            <w:rStyle w:val="Hyperlink"/>
            <w:noProof/>
          </w:rPr>
          <w:t>Type-II CSR should not support amplitude restriction.</w:t>
        </w:r>
      </w:hyperlink>
    </w:p>
    <w:p w14:paraId="16804E46" w14:textId="66383B25" w:rsidR="00F02FAC" w:rsidRDefault="00F02FAC">
      <w:pPr>
        <w:pStyle w:val="TableofFigures"/>
        <w:rPr>
          <w:rFonts w:asciiTheme="minorHAnsi" w:eastAsiaTheme="minorEastAsia" w:hAnsiTheme="minorHAnsi" w:cstheme="minorBidi"/>
          <w:b w:val="0"/>
          <w:i w:val="0"/>
          <w:noProof/>
          <w:sz w:val="22"/>
          <w:szCs w:val="22"/>
          <w:lang w:eastAsia="zh-CN"/>
        </w:rPr>
      </w:pPr>
      <w:hyperlink w:anchor="_Toc492980234" w:history="1">
        <w:r w:rsidRPr="0028594A">
          <w:rPr>
            <w:rStyle w:val="Hyperlink"/>
            <w:noProof/>
          </w:rPr>
          <w:t xml:space="preserve">Proposal 5: </w:t>
        </w:r>
        <w:r>
          <w:rPr>
            <w:rFonts w:asciiTheme="minorHAnsi" w:eastAsiaTheme="minorEastAsia" w:hAnsiTheme="minorHAnsi" w:cstheme="minorBidi"/>
            <w:b w:val="0"/>
            <w:i w:val="0"/>
            <w:noProof/>
            <w:sz w:val="22"/>
            <w:szCs w:val="22"/>
            <w:lang w:eastAsia="zh-CN"/>
          </w:rPr>
          <w:tab/>
        </w:r>
        <w:r w:rsidRPr="0028594A">
          <w:rPr>
            <w:rStyle w:val="Hyperlink"/>
            <w:noProof/>
          </w:rPr>
          <w:t>No Type-II Cat 3 CSR in NR-MIMO.</w:t>
        </w:r>
      </w:hyperlink>
    </w:p>
    <w:p w14:paraId="5347925E" w14:textId="7B114AEE" w:rsidR="00F02FAC" w:rsidRDefault="00F02FAC">
      <w:pPr>
        <w:pStyle w:val="TableofFigures"/>
        <w:rPr>
          <w:rFonts w:asciiTheme="minorHAnsi" w:eastAsiaTheme="minorEastAsia" w:hAnsiTheme="minorHAnsi" w:cstheme="minorBidi"/>
          <w:b w:val="0"/>
          <w:i w:val="0"/>
          <w:noProof/>
          <w:sz w:val="22"/>
          <w:szCs w:val="22"/>
          <w:lang w:eastAsia="zh-CN"/>
        </w:rPr>
      </w:pPr>
      <w:hyperlink w:anchor="_Toc492980235" w:history="1">
        <w:r w:rsidRPr="0028594A">
          <w:rPr>
            <w:rStyle w:val="Hyperlink"/>
            <w:noProof/>
          </w:rPr>
          <w:t>Proposal 6:</w:t>
        </w:r>
        <w:r>
          <w:rPr>
            <w:rFonts w:asciiTheme="minorHAnsi" w:eastAsiaTheme="minorEastAsia" w:hAnsiTheme="minorHAnsi" w:cstheme="minorBidi"/>
            <w:b w:val="0"/>
            <w:i w:val="0"/>
            <w:noProof/>
            <w:sz w:val="22"/>
            <w:szCs w:val="22"/>
            <w:lang w:eastAsia="zh-CN"/>
          </w:rPr>
          <w:tab/>
        </w:r>
        <w:r w:rsidRPr="0028594A">
          <w:rPr>
            <w:rStyle w:val="Hyperlink"/>
            <w:noProof/>
          </w:rPr>
          <w:t>Changing CSI reporting payload size is not supported for NR.</w:t>
        </w:r>
      </w:hyperlink>
    </w:p>
    <w:p w14:paraId="0FBC77DD" w14:textId="2BD310A6" w:rsidR="00A27330" w:rsidRDefault="00A27330">
      <w:pPr>
        <w:pStyle w:val="Heading1"/>
        <w:jc w:val="both"/>
      </w:pPr>
      <w:r>
        <w:fldChar w:fldCharType="end"/>
      </w:r>
      <w:r>
        <w:t>Reference</w:t>
      </w:r>
    </w:p>
    <w:p w14:paraId="4C4F0545" w14:textId="7FAE7595" w:rsidR="00A27330" w:rsidRPr="00E81B02" w:rsidRDefault="00B16A77" w:rsidP="00F259EE">
      <w:pPr>
        <w:pStyle w:val="Reference"/>
        <w:keepLines w:val="0"/>
        <w:numPr>
          <w:ilvl w:val="0"/>
          <w:numId w:val="50"/>
        </w:numPr>
        <w:suppressAutoHyphens w:val="0"/>
        <w:autoSpaceDN w:val="0"/>
        <w:adjustRightInd w:val="0"/>
        <w:spacing w:before="60" w:after="60"/>
        <w:ind w:left="562" w:hanging="562"/>
      </w:pPr>
      <w:bookmarkStart w:id="14" w:name="_Ref485362179"/>
      <w:r w:rsidRPr="00E81B02">
        <w:t xml:space="preserve">Draft report of </w:t>
      </w:r>
      <w:r w:rsidR="00A27330" w:rsidRPr="00E81B02">
        <w:t xml:space="preserve">3GPP TSG RAN WG1 Meeting </w:t>
      </w:r>
      <w:r w:rsidRPr="00E81B02">
        <w:t>#90</w:t>
      </w:r>
      <w:r w:rsidR="00A27330" w:rsidRPr="00E81B02">
        <w:t>.</w:t>
      </w:r>
      <w:bookmarkEnd w:id="14"/>
    </w:p>
    <w:p w14:paraId="5244B4E4" w14:textId="62E1D302" w:rsidR="00F02B52" w:rsidRPr="00F259EE" w:rsidRDefault="00E81B02" w:rsidP="00F259EE">
      <w:pPr>
        <w:pStyle w:val="ListParagraph"/>
        <w:numPr>
          <w:ilvl w:val="0"/>
          <w:numId w:val="50"/>
        </w:numPr>
        <w:spacing w:before="60" w:after="60"/>
        <w:ind w:left="562" w:hanging="562"/>
        <w:rPr>
          <w:rFonts w:ascii="Times New Roman" w:eastAsia="MS Mincho" w:hAnsi="Times New Roman"/>
          <w:sz w:val="20"/>
          <w:szCs w:val="20"/>
          <w:lang w:eastAsia="ja-JP"/>
        </w:rPr>
      </w:pPr>
      <w:r w:rsidRPr="00F259EE">
        <w:rPr>
          <w:rFonts w:ascii="Times New Roman" w:hAnsi="Times New Roman"/>
          <w:sz w:val="20"/>
          <w:szCs w:val="20"/>
        </w:rPr>
        <w:t>R1-1712546</w:t>
      </w:r>
      <w:r w:rsidR="00F02B52" w:rsidRPr="00F259EE">
        <w:rPr>
          <w:rFonts w:ascii="Times New Roman" w:eastAsia="MS Mincho" w:hAnsi="Times New Roman"/>
          <w:sz w:val="20"/>
          <w:szCs w:val="20"/>
          <w:lang w:eastAsia="ja-JP"/>
        </w:rPr>
        <w:tab/>
        <w:t>Discussion on codebook subset restriction for NR</w:t>
      </w:r>
      <w:r w:rsidR="00F02B52" w:rsidRPr="00F259EE">
        <w:rPr>
          <w:rFonts w:ascii="Times New Roman" w:eastAsia="MS Mincho" w:hAnsi="Times New Roman"/>
          <w:sz w:val="20"/>
          <w:szCs w:val="20"/>
          <w:lang w:eastAsia="ja-JP"/>
        </w:rPr>
        <w:tab/>
        <w:t>Intel Corporation</w:t>
      </w:r>
    </w:p>
    <w:p w14:paraId="267E5CE8" w14:textId="0C68D390" w:rsidR="00F743D1" w:rsidRPr="00F259EE" w:rsidRDefault="00E81B02" w:rsidP="00F259EE">
      <w:pPr>
        <w:pStyle w:val="ListParagraph"/>
        <w:numPr>
          <w:ilvl w:val="0"/>
          <w:numId w:val="50"/>
        </w:numPr>
        <w:spacing w:before="60" w:after="60"/>
        <w:ind w:left="562" w:hanging="562"/>
        <w:rPr>
          <w:rFonts w:ascii="Times New Roman" w:eastAsia="MS Mincho" w:hAnsi="Times New Roman"/>
          <w:sz w:val="20"/>
          <w:szCs w:val="20"/>
          <w:lang w:eastAsia="ja-JP"/>
        </w:rPr>
      </w:pPr>
      <w:r w:rsidRPr="00F259EE">
        <w:rPr>
          <w:rFonts w:ascii="Times New Roman" w:hAnsi="Times New Roman"/>
          <w:sz w:val="20"/>
          <w:szCs w:val="20"/>
        </w:rPr>
        <w:t>R1-1714283</w:t>
      </w:r>
      <w:r w:rsidR="00F743D1" w:rsidRPr="00F259EE">
        <w:rPr>
          <w:rFonts w:ascii="Times New Roman" w:eastAsia="MS Mincho" w:hAnsi="Times New Roman"/>
          <w:sz w:val="20"/>
          <w:szCs w:val="20"/>
          <w:lang w:eastAsia="ja-JP"/>
        </w:rPr>
        <w:tab/>
        <w:t>On codebook subset restriction</w:t>
      </w:r>
      <w:r w:rsidR="00F743D1" w:rsidRPr="00F259EE">
        <w:rPr>
          <w:rFonts w:ascii="Times New Roman" w:eastAsia="MS Mincho" w:hAnsi="Times New Roman"/>
          <w:sz w:val="20"/>
          <w:szCs w:val="20"/>
          <w:lang w:eastAsia="ja-JP"/>
        </w:rPr>
        <w:tab/>
        <w:t>Ericsson</w:t>
      </w:r>
    </w:p>
    <w:p w14:paraId="2E17AC0C" w14:textId="2C88FB01" w:rsidR="00552568" w:rsidRDefault="00E81B02" w:rsidP="00F259EE">
      <w:pPr>
        <w:pStyle w:val="ListParagraph"/>
        <w:numPr>
          <w:ilvl w:val="0"/>
          <w:numId w:val="50"/>
        </w:numPr>
        <w:spacing w:before="60" w:after="60"/>
        <w:ind w:left="562" w:hanging="562"/>
        <w:rPr>
          <w:rFonts w:ascii="Times New Roman" w:eastAsia="MS Mincho" w:hAnsi="Times New Roman"/>
          <w:sz w:val="20"/>
          <w:szCs w:val="20"/>
          <w:lang w:eastAsia="ja-JP"/>
        </w:rPr>
      </w:pPr>
      <w:r w:rsidRPr="00F259EE">
        <w:rPr>
          <w:rFonts w:ascii="Times New Roman" w:hAnsi="Times New Roman"/>
          <w:sz w:val="20"/>
          <w:szCs w:val="20"/>
        </w:rPr>
        <w:t>R1-1713776</w:t>
      </w:r>
      <w:r w:rsidR="00552568" w:rsidRPr="00F259EE">
        <w:rPr>
          <w:rFonts w:ascii="Times New Roman" w:eastAsia="MS Mincho" w:hAnsi="Times New Roman"/>
          <w:sz w:val="20"/>
          <w:szCs w:val="20"/>
          <w:lang w:eastAsia="ja-JP"/>
        </w:rPr>
        <w:tab/>
        <w:t>Codebook subset restriction</w:t>
      </w:r>
      <w:r w:rsidR="00552568" w:rsidRPr="00F259EE">
        <w:rPr>
          <w:rFonts w:ascii="Times New Roman" w:eastAsia="MS Mincho" w:hAnsi="Times New Roman"/>
          <w:sz w:val="20"/>
          <w:szCs w:val="20"/>
          <w:lang w:eastAsia="ja-JP"/>
        </w:rPr>
        <w:tab/>
        <w:t>Huawei, HiSilicon</w:t>
      </w:r>
    </w:p>
    <w:p w14:paraId="2B48D529" w14:textId="77777777" w:rsidR="00B11AED" w:rsidRPr="00F259EE" w:rsidRDefault="00B11AED" w:rsidP="00F259EE">
      <w:pPr>
        <w:pStyle w:val="Reference"/>
        <w:keepLines w:val="0"/>
        <w:numPr>
          <w:ilvl w:val="0"/>
          <w:numId w:val="50"/>
        </w:numPr>
        <w:suppressAutoHyphens w:val="0"/>
        <w:autoSpaceDN w:val="0"/>
        <w:adjustRightInd w:val="0"/>
        <w:spacing w:before="60" w:after="60"/>
        <w:ind w:left="562" w:hanging="562"/>
      </w:pPr>
      <w:r w:rsidRPr="00F259EE">
        <w:t>R1-1714810</w:t>
      </w:r>
      <w:r w:rsidRPr="00F259EE">
        <w:tab/>
      </w:r>
      <w:r>
        <w:t>WF on codebook subset restriction for NR</w:t>
      </w:r>
      <w:r>
        <w:tab/>
        <w:t>Intel, Ericsson, LGE, AT&amp;T, ZTE, CATT</w:t>
      </w:r>
    </w:p>
    <w:p w14:paraId="7781D6F6" w14:textId="77777777" w:rsidR="00A27330" w:rsidRPr="00266D70" w:rsidRDefault="00A27330" w:rsidP="00F259EE">
      <w:pPr>
        <w:rPr>
          <w:lang w:eastAsia="zh-CN"/>
        </w:rPr>
      </w:pPr>
    </w:p>
    <w:p w14:paraId="6610CF84" w14:textId="77777777" w:rsidR="00E26FC8" w:rsidRPr="001A1841" w:rsidRDefault="00E26FC8" w:rsidP="001A1841">
      <w:pPr>
        <w:pStyle w:val="ListParagraph"/>
        <w:ind w:left="450"/>
        <w:rPr>
          <w:rFonts w:ascii="Times New Roman" w:hAnsi="Times New Roman"/>
          <w:sz w:val="20"/>
          <w:szCs w:val="20"/>
          <w:lang w:eastAsia="zh-CN"/>
        </w:rPr>
      </w:pPr>
    </w:p>
    <w:sectPr w:rsidR="00E26FC8" w:rsidRPr="001A1841" w:rsidSect="004F2A55">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69D0E" w14:textId="77777777" w:rsidR="002F0131" w:rsidRDefault="002F0131">
      <w:r>
        <w:separator/>
      </w:r>
    </w:p>
  </w:endnote>
  <w:endnote w:type="continuationSeparator" w:id="0">
    <w:p w14:paraId="4169D289" w14:textId="77777777" w:rsidR="002F0131" w:rsidRDefault="002F0131">
      <w:r>
        <w:continuationSeparator/>
      </w:r>
    </w:p>
  </w:endnote>
  <w:endnote w:type="continuationNotice" w:id="1">
    <w:p w14:paraId="13E17BD2" w14:textId="77777777" w:rsidR="002F0131" w:rsidRDefault="002F01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2F0131" w:rsidRDefault="002F013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2F0131" w:rsidRDefault="002F013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6261E202" w:rsidR="002F0131" w:rsidRDefault="002F013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259E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59EE">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580AF" w14:textId="77777777" w:rsidR="002F0131" w:rsidRDefault="002F0131">
      <w:r>
        <w:separator/>
      </w:r>
    </w:p>
  </w:footnote>
  <w:footnote w:type="continuationSeparator" w:id="0">
    <w:p w14:paraId="3563C63B" w14:textId="77777777" w:rsidR="002F0131" w:rsidRDefault="002F0131">
      <w:r>
        <w:continuationSeparator/>
      </w:r>
    </w:p>
  </w:footnote>
  <w:footnote w:type="continuationNotice" w:id="1">
    <w:p w14:paraId="7661AD84" w14:textId="77777777" w:rsidR="002F0131" w:rsidRDefault="002F01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2F0131" w:rsidRDefault="002F013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312945"/>
    <w:multiLevelType w:val="hybridMultilevel"/>
    <w:tmpl w:val="F39C7016"/>
    <w:lvl w:ilvl="0" w:tplc="345871B8">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BD947C2"/>
    <w:multiLevelType w:val="hybridMultilevel"/>
    <w:tmpl w:val="46E8855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42A48A8"/>
    <w:multiLevelType w:val="hybridMultilevel"/>
    <w:tmpl w:val="262CB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D75849"/>
    <w:multiLevelType w:val="hybridMultilevel"/>
    <w:tmpl w:val="5CA22A3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2877266C"/>
    <w:multiLevelType w:val="hybridMultilevel"/>
    <w:tmpl w:val="7098EA90"/>
    <w:lvl w:ilvl="0" w:tplc="9544DEF2">
      <w:start w:val="2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EA6D45"/>
    <w:multiLevelType w:val="hybridMultilevel"/>
    <w:tmpl w:val="9438D1D4"/>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9" w15:restartNumberingAfterBreak="0">
    <w:nsid w:val="31CF1ABA"/>
    <w:multiLevelType w:val="hybridMultilevel"/>
    <w:tmpl w:val="1B747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5303B7"/>
    <w:multiLevelType w:val="hybridMultilevel"/>
    <w:tmpl w:val="8990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454C67"/>
    <w:multiLevelType w:val="hybridMultilevel"/>
    <w:tmpl w:val="84D66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4A543E"/>
    <w:multiLevelType w:val="hybridMultilevel"/>
    <w:tmpl w:val="2F6CA5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6C4144"/>
    <w:multiLevelType w:val="hybridMultilevel"/>
    <w:tmpl w:val="40AED454"/>
    <w:lvl w:ilvl="0" w:tplc="14A8F99C">
      <w:start w:val="1"/>
      <w:numFmt w:val="bullet"/>
      <w:lvlText w:val=""/>
      <w:lvlJc w:val="left"/>
      <w:pPr>
        <w:tabs>
          <w:tab w:val="num" w:pos="720"/>
        </w:tabs>
        <w:ind w:left="720" w:hanging="360"/>
      </w:pPr>
      <w:rPr>
        <w:rFonts w:ascii="Symbol" w:hAnsi="Symbol" w:hint="default"/>
      </w:rPr>
    </w:lvl>
    <w:lvl w:ilvl="1" w:tplc="8D5C8E12">
      <w:numFmt w:val="bullet"/>
      <w:lvlText w:val="−"/>
      <w:lvlJc w:val="left"/>
      <w:pPr>
        <w:tabs>
          <w:tab w:val="num" w:pos="1440"/>
        </w:tabs>
        <w:ind w:left="1440" w:hanging="360"/>
      </w:pPr>
      <w:rPr>
        <w:rFonts w:ascii="Calibre Regular" w:hAnsi="Calibre Regular" w:hint="default"/>
      </w:rPr>
    </w:lvl>
    <w:lvl w:ilvl="2" w:tplc="C9BE3C44" w:tentative="1">
      <w:start w:val="1"/>
      <w:numFmt w:val="bullet"/>
      <w:lvlText w:val=""/>
      <w:lvlJc w:val="left"/>
      <w:pPr>
        <w:tabs>
          <w:tab w:val="num" w:pos="2160"/>
        </w:tabs>
        <w:ind w:left="2160" w:hanging="360"/>
      </w:pPr>
      <w:rPr>
        <w:rFonts w:ascii="Symbol" w:hAnsi="Symbol" w:hint="default"/>
      </w:rPr>
    </w:lvl>
    <w:lvl w:ilvl="3" w:tplc="67267892" w:tentative="1">
      <w:start w:val="1"/>
      <w:numFmt w:val="bullet"/>
      <w:lvlText w:val=""/>
      <w:lvlJc w:val="left"/>
      <w:pPr>
        <w:tabs>
          <w:tab w:val="num" w:pos="2880"/>
        </w:tabs>
        <w:ind w:left="2880" w:hanging="360"/>
      </w:pPr>
      <w:rPr>
        <w:rFonts w:ascii="Symbol" w:hAnsi="Symbol" w:hint="default"/>
      </w:rPr>
    </w:lvl>
    <w:lvl w:ilvl="4" w:tplc="D3564886" w:tentative="1">
      <w:start w:val="1"/>
      <w:numFmt w:val="bullet"/>
      <w:lvlText w:val=""/>
      <w:lvlJc w:val="left"/>
      <w:pPr>
        <w:tabs>
          <w:tab w:val="num" w:pos="3600"/>
        </w:tabs>
        <w:ind w:left="3600" w:hanging="360"/>
      </w:pPr>
      <w:rPr>
        <w:rFonts w:ascii="Symbol" w:hAnsi="Symbol" w:hint="default"/>
      </w:rPr>
    </w:lvl>
    <w:lvl w:ilvl="5" w:tplc="A3BABAF0" w:tentative="1">
      <w:start w:val="1"/>
      <w:numFmt w:val="bullet"/>
      <w:lvlText w:val=""/>
      <w:lvlJc w:val="left"/>
      <w:pPr>
        <w:tabs>
          <w:tab w:val="num" w:pos="4320"/>
        </w:tabs>
        <w:ind w:left="4320" w:hanging="360"/>
      </w:pPr>
      <w:rPr>
        <w:rFonts w:ascii="Symbol" w:hAnsi="Symbol" w:hint="default"/>
      </w:rPr>
    </w:lvl>
    <w:lvl w:ilvl="6" w:tplc="17429686" w:tentative="1">
      <w:start w:val="1"/>
      <w:numFmt w:val="bullet"/>
      <w:lvlText w:val=""/>
      <w:lvlJc w:val="left"/>
      <w:pPr>
        <w:tabs>
          <w:tab w:val="num" w:pos="5040"/>
        </w:tabs>
        <w:ind w:left="5040" w:hanging="360"/>
      </w:pPr>
      <w:rPr>
        <w:rFonts w:ascii="Symbol" w:hAnsi="Symbol" w:hint="default"/>
      </w:rPr>
    </w:lvl>
    <w:lvl w:ilvl="7" w:tplc="2AD6BD52" w:tentative="1">
      <w:start w:val="1"/>
      <w:numFmt w:val="bullet"/>
      <w:lvlText w:val=""/>
      <w:lvlJc w:val="left"/>
      <w:pPr>
        <w:tabs>
          <w:tab w:val="num" w:pos="5760"/>
        </w:tabs>
        <w:ind w:left="5760" w:hanging="360"/>
      </w:pPr>
      <w:rPr>
        <w:rFonts w:ascii="Symbol" w:hAnsi="Symbol" w:hint="default"/>
      </w:rPr>
    </w:lvl>
    <w:lvl w:ilvl="8" w:tplc="916C465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1466A4F"/>
    <w:multiLevelType w:val="hybridMultilevel"/>
    <w:tmpl w:val="70E69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A54807"/>
    <w:multiLevelType w:val="hybridMultilevel"/>
    <w:tmpl w:val="EF52A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62698"/>
    <w:multiLevelType w:val="hybridMultilevel"/>
    <w:tmpl w:val="9180432A"/>
    <w:lvl w:ilvl="0" w:tplc="1684359C">
      <w:start w:val="1"/>
      <w:numFmt w:val="bullet"/>
      <w:lvlText w:val=""/>
      <w:lvlJc w:val="left"/>
      <w:pPr>
        <w:tabs>
          <w:tab w:val="num" w:pos="720"/>
        </w:tabs>
        <w:ind w:left="720" w:hanging="360"/>
      </w:pPr>
      <w:rPr>
        <w:rFonts w:ascii="Symbol" w:hAnsi="Symbol" w:hint="default"/>
      </w:rPr>
    </w:lvl>
    <w:lvl w:ilvl="1" w:tplc="31DC5574">
      <w:numFmt w:val="bullet"/>
      <w:lvlText w:val="−"/>
      <w:lvlJc w:val="left"/>
      <w:pPr>
        <w:tabs>
          <w:tab w:val="num" w:pos="1440"/>
        </w:tabs>
        <w:ind w:left="1440" w:hanging="360"/>
      </w:pPr>
      <w:rPr>
        <w:rFonts w:ascii="Calibre Regular" w:hAnsi="Calibre Regular" w:hint="default"/>
      </w:rPr>
    </w:lvl>
    <w:lvl w:ilvl="2" w:tplc="B2E48B0E" w:tentative="1">
      <w:start w:val="1"/>
      <w:numFmt w:val="bullet"/>
      <w:lvlText w:val=""/>
      <w:lvlJc w:val="left"/>
      <w:pPr>
        <w:tabs>
          <w:tab w:val="num" w:pos="2160"/>
        </w:tabs>
        <w:ind w:left="2160" w:hanging="360"/>
      </w:pPr>
      <w:rPr>
        <w:rFonts w:ascii="Symbol" w:hAnsi="Symbol" w:hint="default"/>
      </w:rPr>
    </w:lvl>
    <w:lvl w:ilvl="3" w:tplc="19D6B04C" w:tentative="1">
      <w:start w:val="1"/>
      <w:numFmt w:val="bullet"/>
      <w:lvlText w:val=""/>
      <w:lvlJc w:val="left"/>
      <w:pPr>
        <w:tabs>
          <w:tab w:val="num" w:pos="2880"/>
        </w:tabs>
        <w:ind w:left="2880" w:hanging="360"/>
      </w:pPr>
      <w:rPr>
        <w:rFonts w:ascii="Symbol" w:hAnsi="Symbol" w:hint="default"/>
      </w:rPr>
    </w:lvl>
    <w:lvl w:ilvl="4" w:tplc="DA184B6E" w:tentative="1">
      <w:start w:val="1"/>
      <w:numFmt w:val="bullet"/>
      <w:lvlText w:val=""/>
      <w:lvlJc w:val="left"/>
      <w:pPr>
        <w:tabs>
          <w:tab w:val="num" w:pos="3600"/>
        </w:tabs>
        <w:ind w:left="3600" w:hanging="360"/>
      </w:pPr>
      <w:rPr>
        <w:rFonts w:ascii="Symbol" w:hAnsi="Symbol" w:hint="default"/>
      </w:rPr>
    </w:lvl>
    <w:lvl w:ilvl="5" w:tplc="4120C970" w:tentative="1">
      <w:start w:val="1"/>
      <w:numFmt w:val="bullet"/>
      <w:lvlText w:val=""/>
      <w:lvlJc w:val="left"/>
      <w:pPr>
        <w:tabs>
          <w:tab w:val="num" w:pos="4320"/>
        </w:tabs>
        <w:ind w:left="4320" w:hanging="360"/>
      </w:pPr>
      <w:rPr>
        <w:rFonts w:ascii="Symbol" w:hAnsi="Symbol" w:hint="default"/>
      </w:rPr>
    </w:lvl>
    <w:lvl w:ilvl="6" w:tplc="5C2A259E" w:tentative="1">
      <w:start w:val="1"/>
      <w:numFmt w:val="bullet"/>
      <w:lvlText w:val=""/>
      <w:lvlJc w:val="left"/>
      <w:pPr>
        <w:tabs>
          <w:tab w:val="num" w:pos="5040"/>
        </w:tabs>
        <w:ind w:left="5040" w:hanging="360"/>
      </w:pPr>
      <w:rPr>
        <w:rFonts w:ascii="Symbol" w:hAnsi="Symbol" w:hint="default"/>
      </w:rPr>
    </w:lvl>
    <w:lvl w:ilvl="7" w:tplc="ABD0FDD0" w:tentative="1">
      <w:start w:val="1"/>
      <w:numFmt w:val="bullet"/>
      <w:lvlText w:val=""/>
      <w:lvlJc w:val="left"/>
      <w:pPr>
        <w:tabs>
          <w:tab w:val="num" w:pos="5760"/>
        </w:tabs>
        <w:ind w:left="5760" w:hanging="360"/>
      </w:pPr>
      <w:rPr>
        <w:rFonts w:ascii="Symbol" w:hAnsi="Symbol" w:hint="default"/>
      </w:rPr>
    </w:lvl>
    <w:lvl w:ilvl="8" w:tplc="9D0C3E8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3BA5A0E"/>
    <w:multiLevelType w:val="hybridMultilevel"/>
    <w:tmpl w:val="1594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FD299D"/>
    <w:multiLevelType w:val="hybridMultilevel"/>
    <w:tmpl w:val="3AAADFF0"/>
    <w:lvl w:ilvl="0" w:tplc="74C8A84C">
      <w:start w:val="1"/>
      <w:numFmt w:val="bullet"/>
      <w:lvlText w:val=""/>
      <w:lvlJc w:val="left"/>
      <w:pPr>
        <w:tabs>
          <w:tab w:val="num" w:pos="720"/>
        </w:tabs>
        <w:ind w:left="720" w:hanging="360"/>
      </w:pPr>
      <w:rPr>
        <w:rFonts w:ascii="Symbol" w:hAnsi="Symbol" w:hint="default"/>
      </w:rPr>
    </w:lvl>
    <w:lvl w:ilvl="1" w:tplc="F9001C5E" w:tentative="1">
      <w:start w:val="1"/>
      <w:numFmt w:val="bullet"/>
      <w:lvlText w:val=""/>
      <w:lvlJc w:val="left"/>
      <w:pPr>
        <w:tabs>
          <w:tab w:val="num" w:pos="1440"/>
        </w:tabs>
        <w:ind w:left="1440" w:hanging="360"/>
      </w:pPr>
      <w:rPr>
        <w:rFonts w:ascii="Symbol" w:hAnsi="Symbol" w:hint="default"/>
      </w:rPr>
    </w:lvl>
    <w:lvl w:ilvl="2" w:tplc="BCD83430" w:tentative="1">
      <w:start w:val="1"/>
      <w:numFmt w:val="bullet"/>
      <w:lvlText w:val=""/>
      <w:lvlJc w:val="left"/>
      <w:pPr>
        <w:tabs>
          <w:tab w:val="num" w:pos="2160"/>
        </w:tabs>
        <w:ind w:left="2160" w:hanging="360"/>
      </w:pPr>
      <w:rPr>
        <w:rFonts w:ascii="Symbol" w:hAnsi="Symbol" w:hint="default"/>
      </w:rPr>
    </w:lvl>
    <w:lvl w:ilvl="3" w:tplc="715A1110" w:tentative="1">
      <w:start w:val="1"/>
      <w:numFmt w:val="bullet"/>
      <w:lvlText w:val=""/>
      <w:lvlJc w:val="left"/>
      <w:pPr>
        <w:tabs>
          <w:tab w:val="num" w:pos="2880"/>
        </w:tabs>
        <w:ind w:left="2880" w:hanging="360"/>
      </w:pPr>
      <w:rPr>
        <w:rFonts w:ascii="Symbol" w:hAnsi="Symbol" w:hint="default"/>
      </w:rPr>
    </w:lvl>
    <w:lvl w:ilvl="4" w:tplc="FFF065A2" w:tentative="1">
      <w:start w:val="1"/>
      <w:numFmt w:val="bullet"/>
      <w:lvlText w:val=""/>
      <w:lvlJc w:val="left"/>
      <w:pPr>
        <w:tabs>
          <w:tab w:val="num" w:pos="3600"/>
        </w:tabs>
        <w:ind w:left="3600" w:hanging="360"/>
      </w:pPr>
      <w:rPr>
        <w:rFonts w:ascii="Symbol" w:hAnsi="Symbol" w:hint="default"/>
      </w:rPr>
    </w:lvl>
    <w:lvl w:ilvl="5" w:tplc="598CB662" w:tentative="1">
      <w:start w:val="1"/>
      <w:numFmt w:val="bullet"/>
      <w:lvlText w:val=""/>
      <w:lvlJc w:val="left"/>
      <w:pPr>
        <w:tabs>
          <w:tab w:val="num" w:pos="4320"/>
        </w:tabs>
        <w:ind w:left="4320" w:hanging="360"/>
      </w:pPr>
      <w:rPr>
        <w:rFonts w:ascii="Symbol" w:hAnsi="Symbol" w:hint="default"/>
      </w:rPr>
    </w:lvl>
    <w:lvl w:ilvl="6" w:tplc="7472BAE6" w:tentative="1">
      <w:start w:val="1"/>
      <w:numFmt w:val="bullet"/>
      <w:lvlText w:val=""/>
      <w:lvlJc w:val="left"/>
      <w:pPr>
        <w:tabs>
          <w:tab w:val="num" w:pos="5040"/>
        </w:tabs>
        <w:ind w:left="5040" w:hanging="360"/>
      </w:pPr>
      <w:rPr>
        <w:rFonts w:ascii="Symbol" w:hAnsi="Symbol" w:hint="default"/>
      </w:rPr>
    </w:lvl>
    <w:lvl w:ilvl="7" w:tplc="7F382B14" w:tentative="1">
      <w:start w:val="1"/>
      <w:numFmt w:val="bullet"/>
      <w:lvlText w:val=""/>
      <w:lvlJc w:val="left"/>
      <w:pPr>
        <w:tabs>
          <w:tab w:val="num" w:pos="5760"/>
        </w:tabs>
        <w:ind w:left="5760" w:hanging="360"/>
      </w:pPr>
      <w:rPr>
        <w:rFonts w:ascii="Symbol" w:hAnsi="Symbol" w:hint="default"/>
      </w:rPr>
    </w:lvl>
    <w:lvl w:ilvl="8" w:tplc="1D2680E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5D063D9"/>
    <w:multiLevelType w:val="hybridMultilevel"/>
    <w:tmpl w:val="2556C7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7E74AA"/>
    <w:multiLevelType w:val="hybridMultilevel"/>
    <w:tmpl w:val="EDF455C6"/>
    <w:lvl w:ilvl="0" w:tplc="FBFC9B4E">
      <w:start w:val="1"/>
      <w:numFmt w:val="bullet"/>
      <w:lvlText w:val=""/>
      <w:lvlJc w:val="left"/>
      <w:pPr>
        <w:tabs>
          <w:tab w:val="num" w:pos="720"/>
        </w:tabs>
        <w:ind w:left="720" w:hanging="360"/>
      </w:pPr>
      <w:rPr>
        <w:rFonts w:ascii="Symbol" w:hAnsi="Symbol" w:hint="default"/>
      </w:rPr>
    </w:lvl>
    <w:lvl w:ilvl="1" w:tplc="AAA28398">
      <w:numFmt w:val="bullet"/>
      <w:lvlText w:val="−"/>
      <w:lvlJc w:val="left"/>
      <w:pPr>
        <w:tabs>
          <w:tab w:val="num" w:pos="1440"/>
        </w:tabs>
        <w:ind w:left="1440" w:hanging="360"/>
      </w:pPr>
      <w:rPr>
        <w:rFonts w:ascii="Calibre Regular" w:hAnsi="Calibre Regular" w:hint="default"/>
      </w:rPr>
    </w:lvl>
    <w:lvl w:ilvl="2" w:tplc="DA5A5D0C">
      <w:numFmt w:val="bullet"/>
      <w:lvlText w:val="−"/>
      <w:lvlJc w:val="left"/>
      <w:pPr>
        <w:tabs>
          <w:tab w:val="num" w:pos="2160"/>
        </w:tabs>
        <w:ind w:left="2160" w:hanging="360"/>
      </w:pPr>
      <w:rPr>
        <w:rFonts w:ascii="Calibre Regular" w:hAnsi="Calibre Regular" w:hint="default"/>
      </w:rPr>
    </w:lvl>
    <w:lvl w:ilvl="3" w:tplc="31EEE068">
      <w:numFmt w:val="bullet"/>
      <w:lvlText w:val="−"/>
      <w:lvlJc w:val="left"/>
      <w:pPr>
        <w:tabs>
          <w:tab w:val="num" w:pos="2880"/>
        </w:tabs>
        <w:ind w:left="2880" w:hanging="360"/>
      </w:pPr>
      <w:rPr>
        <w:rFonts w:ascii="Calibre Regular" w:hAnsi="Calibre Regular" w:hint="default"/>
      </w:rPr>
    </w:lvl>
    <w:lvl w:ilvl="4" w:tplc="90B87462" w:tentative="1">
      <w:start w:val="1"/>
      <w:numFmt w:val="bullet"/>
      <w:lvlText w:val=""/>
      <w:lvlJc w:val="left"/>
      <w:pPr>
        <w:tabs>
          <w:tab w:val="num" w:pos="3600"/>
        </w:tabs>
        <w:ind w:left="3600" w:hanging="360"/>
      </w:pPr>
      <w:rPr>
        <w:rFonts w:ascii="Symbol" w:hAnsi="Symbol" w:hint="default"/>
      </w:rPr>
    </w:lvl>
    <w:lvl w:ilvl="5" w:tplc="4D902628" w:tentative="1">
      <w:start w:val="1"/>
      <w:numFmt w:val="bullet"/>
      <w:lvlText w:val=""/>
      <w:lvlJc w:val="left"/>
      <w:pPr>
        <w:tabs>
          <w:tab w:val="num" w:pos="4320"/>
        </w:tabs>
        <w:ind w:left="4320" w:hanging="360"/>
      </w:pPr>
      <w:rPr>
        <w:rFonts w:ascii="Symbol" w:hAnsi="Symbol" w:hint="default"/>
      </w:rPr>
    </w:lvl>
    <w:lvl w:ilvl="6" w:tplc="1772BCBE" w:tentative="1">
      <w:start w:val="1"/>
      <w:numFmt w:val="bullet"/>
      <w:lvlText w:val=""/>
      <w:lvlJc w:val="left"/>
      <w:pPr>
        <w:tabs>
          <w:tab w:val="num" w:pos="5040"/>
        </w:tabs>
        <w:ind w:left="5040" w:hanging="360"/>
      </w:pPr>
      <w:rPr>
        <w:rFonts w:ascii="Symbol" w:hAnsi="Symbol" w:hint="default"/>
      </w:rPr>
    </w:lvl>
    <w:lvl w:ilvl="7" w:tplc="7C7C2392" w:tentative="1">
      <w:start w:val="1"/>
      <w:numFmt w:val="bullet"/>
      <w:lvlText w:val=""/>
      <w:lvlJc w:val="left"/>
      <w:pPr>
        <w:tabs>
          <w:tab w:val="num" w:pos="5760"/>
        </w:tabs>
        <w:ind w:left="5760" w:hanging="360"/>
      </w:pPr>
      <w:rPr>
        <w:rFonts w:ascii="Symbol" w:hAnsi="Symbol" w:hint="default"/>
      </w:rPr>
    </w:lvl>
    <w:lvl w:ilvl="8" w:tplc="E06AC68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9AF5B95"/>
    <w:multiLevelType w:val="hybridMultilevel"/>
    <w:tmpl w:val="565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E1E026E"/>
    <w:multiLevelType w:val="hybridMultilevel"/>
    <w:tmpl w:val="B568C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6733DB"/>
    <w:multiLevelType w:val="hybridMultilevel"/>
    <w:tmpl w:val="2A4035A0"/>
    <w:lvl w:ilvl="0" w:tplc="C49C4472">
      <w:start w:val="1"/>
      <w:numFmt w:val="bullet"/>
      <w:lvlText w:val=""/>
      <w:lvlJc w:val="left"/>
      <w:pPr>
        <w:tabs>
          <w:tab w:val="num" w:pos="720"/>
        </w:tabs>
        <w:ind w:left="720" w:hanging="360"/>
      </w:pPr>
      <w:rPr>
        <w:rFonts w:ascii="Symbol" w:hAnsi="Symbol" w:hint="default"/>
      </w:rPr>
    </w:lvl>
    <w:lvl w:ilvl="1" w:tplc="2240485E">
      <w:numFmt w:val="bullet"/>
      <w:lvlText w:val="−"/>
      <w:lvlJc w:val="left"/>
      <w:pPr>
        <w:tabs>
          <w:tab w:val="num" w:pos="1440"/>
        </w:tabs>
        <w:ind w:left="1440" w:hanging="360"/>
      </w:pPr>
      <w:rPr>
        <w:rFonts w:ascii="Calibre Regular" w:hAnsi="Calibre Regular" w:hint="default"/>
      </w:rPr>
    </w:lvl>
    <w:lvl w:ilvl="2" w:tplc="BEA8ACDA">
      <w:numFmt w:val="bullet"/>
      <w:lvlText w:val="−"/>
      <w:lvlJc w:val="left"/>
      <w:pPr>
        <w:tabs>
          <w:tab w:val="num" w:pos="2160"/>
        </w:tabs>
        <w:ind w:left="2160" w:hanging="360"/>
      </w:pPr>
      <w:rPr>
        <w:rFonts w:ascii="Calibre Regular" w:hAnsi="Calibre Regular" w:hint="default"/>
      </w:rPr>
    </w:lvl>
    <w:lvl w:ilvl="3" w:tplc="C3B6AA06" w:tentative="1">
      <w:start w:val="1"/>
      <w:numFmt w:val="bullet"/>
      <w:lvlText w:val=""/>
      <w:lvlJc w:val="left"/>
      <w:pPr>
        <w:tabs>
          <w:tab w:val="num" w:pos="2880"/>
        </w:tabs>
        <w:ind w:left="2880" w:hanging="360"/>
      </w:pPr>
      <w:rPr>
        <w:rFonts w:ascii="Symbol" w:hAnsi="Symbol" w:hint="default"/>
      </w:rPr>
    </w:lvl>
    <w:lvl w:ilvl="4" w:tplc="281E836A" w:tentative="1">
      <w:start w:val="1"/>
      <w:numFmt w:val="bullet"/>
      <w:lvlText w:val=""/>
      <w:lvlJc w:val="left"/>
      <w:pPr>
        <w:tabs>
          <w:tab w:val="num" w:pos="3600"/>
        </w:tabs>
        <w:ind w:left="3600" w:hanging="360"/>
      </w:pPr>
      <w:rPr>
        <w:rFonts w:ascii="Symbol" w:hAnsi="Symbol" w:hint="default"/>
      </w:rPr>
    </w:lvl>
    <w:lvl w:ilvl="5" w:tplc="EAD6A0E4" w:tentative="1">
      <w:start w:val="1"/>
      <w:numFmt w:val="bullet"/>
      <w:lvlText w:val=""/>
      <w:lvlJc w:val="left"/>
      <w:pPr>
        <w:tabs>
          <w:tab w:val="num" w:pos="4320"/>
        </w:tabs>
        <w:ind w:left="4320" w:hanging="360"/>
      </w:pPr>
      <w:rPr>
        <w:rFonts w:ascii="Symbol" w:hAnsi="Symbol" w:hint="default"/>
      </w:rPr>
    </w:lvl>
    <w:lvl w:ilvl="6" w:tplc="BB2AD144" w:tentative="1">
      <w:start w:val="1"/>
      <w:numFmt w:val="bullet"/>
      <w:lvlText w:val=""/>
      <w:lvlJc w:val="left"/>
      <w:pPr>
        <w:tabs>
          <w:tab w:val="num" w:pos="5040"/>
        </w:tabs>
        <w:ind w:left="5040" w:hanging="360"/>
      </w:pPr>
      <w:rPr>
        <w:rFonts w:ascii="Symbol" w:hAnsi="Symbol" w:hint="default"/>
      </w:rPr>
    </w:lvl>
    <w:lvl w:ilvl="7" w:tplc="BC6C08AE" w:tentative="1">
      <w:start w:val="1"/>
      <w:numFmt w:val="bullet"/>
      <w:lvlText w:val=""/>
      <w:lvlJc w:val="left"/>
      <w:pPr>
        <w:tabs>
          <w:tab w:val="num" w:pos="5760"/>
        </w:tabs>
        <w:ind w:left="5760" w:hanging="360"/>
      </w:pPr>
      <w:rPr>
        <w:rFonts w:ascii="Symbol" w:hAnsi="Symbol" w:hint="default"/>
      </w:rPr>
    </w:lvl>
    <w:lvl w:ilvl="8" w:tplc="3894F150"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D313DC"/>
    <w:multiLevelType w:val="hybridMultilevel"/>
    <w:tmpl w:val="2EF25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E77FAC"/>
    <w:multiLevelType w:val="hybridMultilevel"/>
    <w:tmpl w:val="98A6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44" w15:restartNumberingAfterBreak="0">
    <w:nsid w:val="6FE5661C"/>
    <w:multiLevelType w:val="hybridMultilevel"/>
    <w:tmpl w:val="FAC63458"/>
    <w:lvl w:ilvl="0" w:tplc="90C07DC6">
      <w:start w:val="1"/>
      <w:numFmt w:val="bullet"/>
      <w:lvlText w:val=""/>
      <w:lvlJc w:val="left"/>
      <w:pPr>
        <w:tabs>
          <w:tab w:val="num" w:pos="720"/>
        </w:tabs>
        <w:ind w:left="720" w:hanging="360"/>
      </w:pPr>
      <w:rPr>
        <w:rFonts w:ascii="Symbol" w:hAnsi="Symbol" w:hint="default"/>
      </w:rPr>
    </w:lvl>
    <w:lvl w:ilvl="1" w:tplc="90DA8264">
      <w:numFmt w:val="bullet"/>
      <w:lvlText w:val="−"/>
      <w:lvlJc w:val="left"/>
      <w:pPr>
        <w:tabs>
          <w:tab w:val="num" w:pos="1440"/>
        </w:tabs>
        <w:ind w:left="1440" w:hanging="360"/>
      </w:pPr>
      <w:rPr>
        <w:rFonts w:ascii="Calibre Regular" w:hAnsi="Calibre Regular" w:hint="default"/>
      </w:rPr>
    </w:lvl>
    <w:lvl w:ilvl="2" w:tplc="AB36CC28">
      <w:numFmt w:val="bullet"/>
      <w:lvlText w:val="−"/>
      <w:lvlJc w:val="left"/>
      <w:pPr>
        <w:tabs>
          <w:tab w:val="num" w:pos="2160"/>
        </w:tabs>
        <w:ind w:left="2160" w:hanging="360"/>
      </w:pPr>
      <w:rPr>
        <w:rFonts w:ascii="Calibre Regular" w:hAnsi="Calibre Regular" w:hint="default"/>
      </w:rPr>
    </w:lvl>
    <w:lvl w:ilvl="3" w:tplc="B98A6F16" w:tentative="1">
      <w:start w:val="1"/>
      <w:numFmt w:val="bullet"/>
      <w:lvlText w:val=""/>
      <w:lvlJc w:val="left"/>
      <w:pPr>
        <w:tabs>
          <w:tab w:val="num" w:pos="2880"/>
        </w:tabs>
        <w:ind w:left="2880" w:hanging="360"/>
      </w:pPr>
      <w:rPr>
        <w:rFonts w:ascii="Symbol" w:hAnsi="Symbol" w:hint="default"/>
      </w:rPr>
    </w:lvl>
    <w:lvl w:ilvl="4" w:tplc="0FE409D6" w:tentative="1">
      <w:start w:val="1"/>
      <w:numFmt w:val="bullet"/>
      <w:lvlText w:val=""/>
      <w:lvlJc w:val="left"/>
      <w:pPr>
        <w:tabs>
          <w:tab w:val="num" w:pos="3600"/>
        </w:tabs>
        <w:ind w:left="3600" w:hanging="360"/>
      </w:pPr>
      <w:rPr>
        <w:rFonts w:ascii="Symbol" w:hAnsi="Symbol" w:hint="default"/>
      </w:rPr>
    </w:lvl>
    <w:lvl w:ilvl="5" w:tplc="91668D66" w:tentative="1">
      <w:start w:val="1"/>
      <w:numFmt w:val="bullet"/>
      <w:lvlText w:val=""/>
      <w:lvlJc w:val="left"/>
      <w:pPr>
        <w:tabs>
          <w:tab w:val="num" w:pos="4320"/>
        </w:tabs>
        <w:ind w:left="4320" w:hanging="360"/>
      </w:pPr>
      <w:rPr>
        <w:rFonts w:ascii="Symbol" w:hAnsi="Symbol" w:hint="default"/>
      </w:rPr>
    </w:lvl>
    <w:lvl w:ilvl="6" w:tplc="25186BD0" w:tentative="1">
      <w:start w:val="1"/>
      <w:numFmt w:val="bullet"/>
      <w:lvlText w:val=""/>
      <w:lvlJc w:val="left"/>
      <w:pPr>
        <w:tabs>
          <w:tab w:val="num" w:pos="5040"/>
        </w:tabs>
        <w:ind w:left="5040" w:hanging="360"/>
      </w:pPr>
      <w:rPr>
        <w:rFonts w:ascii="Symbol" w:hAnsi="Symbol" w:hint="default"/>
      </w:rPr>
    </w:lvl>
    <w:lvl w:ilvl="7" w:tplc="A7CE003A" w:tentative="1">
      <w:start w:val="1"/>
      <w:numFmt w:val="bullet"/>
      <w:lvlText w:val=""/>
      <w:lvlJc w:val="left"/>
      <w:pPr>
        <w:tabs>
          <w:tab w:val="num" w:pos="5760"/>
        </w:tabs>
        <w:ind w:left="5760" w:hanging="360"/>
      </w:pPr>
      <w:rPr>
        <w:rFonts w:ascii="Symbol" w:hAnsi="Symbol" w:hint="default"/>
      </w:rPr>
    </w:lvl>
    <w:lvl w:ilvl="8" w:tplc="0038AA78"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18012C0"/>
    <w:multiLevelType w:val="hybridMultilevel"/>
    <w:tmpl w:val="107E3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9"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7"/>
  </w:num>
  <w:num w:numId="2">
    <w:abstractNumId w:val="6"/>
  </w:num>
  <w:num w:numId="3">
    <w:abstractNumId w:val="22"/>
    <w:lvlOverride w:ilvl="0">
      <w:startOverride w:val="1"/>
    </w:lvlOverride>
  </w:num>
  <w:num w:numId="4">
    <w:abstractNumId w:val="43"/>
    <w:lvlOverride w:ilvl="0">
      <w:startOverride w:val="1"/>
    </w:lvlOverride>
  </w:num>
  <w:num w:numId="5">
    <w:abstractNumId w:val="13"/>
  </w:num>
  <w:num w:numId="6">
    <w:abstractNumId w:val="0"/>
  </w:num>
  <w:num w:numId="7">
    <w:abstractNumId w:val="47"/>
  </w:num>
  <w:num w:numId="8">
    <w:abstractNumId w:val="3"/>
  </w:num>
  <w:num w:numId="9">
    <w:abstractNumId w:val="5"/>
  </w:num>
  <w:num w:numId="10">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11"/>
  </w:num>
  <w:num w:numId="12">
    <w:abstractNumId w:val="36"/>
  </w:num>
  <w:num w:numId="13">
    <w:abstractNumId w:val="45"/>
  </w:num>
  <w:num w:numId="14">
    <w:abstractNumId w:val="23"/>
  </w:num>
  <w:num w:numId="15">
    <w:abstractNumId w:val="6"/>
  </w:num>
  <w:num w:numId="16">
    <w:abstractNumId w:val="42"/>
  </w:num>
  <w:num w:numId="17">
    <w:abstractNumId w:val="2"/>
  </w:num>
  <w:num w:numId="18">
    <w:abstractNumId w:val="39"/>
  </w:num>
  <w:num w:numId="19">
    <w:abstractNumId w:val="49"/>
  </w:num>
  <w:num w:numId="20">
    <w:abstractNumId w:val="48"/>
  </w:num>
  <w:num w:numId="21">
    <w:abstractNumId w:val="16"/>
  </w:num>
  <w:num w:numId="22">
    <w:abstractNumId w:val="19"/>
  </w:num>
  <w:num w:numId="23">
    <w:abstractNumId w:val="10"/>
  </w:num>
  <w:num w:numId="24">
    <w:abstractNumId w:val="8"/>
  </w:num>
  <w:num w:numId="25">
    <w:abstractNumId w:val="7"/>
  </w:num>
  <w:num w:numId="26">
    <w:abstractNumId w:val="32"/>
  </w:num>
  <w:num w:numId="27">
    <w:abstractNumId w:val="31"/>
  </w:num>
  <w:num w:numId="28">
    <w:abstractNumId w:val="44"/>
  </w:num>
  <w:num w:numId="29">
    <w:abstractNumId w:val="33"/>
  </w:num>
  <w:num w:numId="30">
    <w:abstractNumId w:val="14"/>
  </w:num>
  <w:num w:numId="31">
    <w:abstractNumId w:val="30"/>
  </w:num>
  <w:num w:numId="32">
    <w:abstractNumId w:val="41"/>
  </w:num>
  <w:num w:numId="33">
    <w:abstractNumId w:val="12"/>
  </w:num>
  <w:num w:numId="34">
    <w:abstractNumId w:val="21"/>
  </w:num>
  <w:num w:numId="35">
    <w:abstractNumId w:val="29"/>
  </w:num>
  <w:num w:numId="36">
    <w:abstractNumId w:val="25"/>
  </w:num>
  <w:num w:numId="37">
    <w:abstractNumId w:val="38"/>
  </w:num>
  <w:num w:numId="38">
    <w:abstractNumId w:val="18"/>
  </w:num>
  <w:num w:numId="39">
    <w:abstractNumId w:val="46"/>
  </w:num>
  <w:num w:numId="40">
    <w:abstractNumId w:val="40"/>
  </w:num>
  <w:num w:numId="41">
    <w:abstractNumId w:val="20"/>
  </w:num>
  <w:num w:numId="42">
    <w:abstractNumId w:val="27"/>
  </w:num>
  <w:num w:numId="43">
    <w:abstractNumId w:val="26"/>
  </w:num>
  <w:num w:numId="44">
    <w:abstractNumId w:val="34"/>
  </w:num>
  <w:num w:numId="45">
    <w:abstractNumId w:val="37"/>
  </w:num>
  <w:num w:numId="46">
    <w:abstractNumId w:val="24"/>
  </w:num>
  <w:num w:numId="47">
    <w:abstractNumId w:val="6"/>
  </w:num>
  <w:num w:numId="48">
    <w:abstractNumId w:val="35"/>
  </w:num>
  <w:num w:numId="49">
    <w:abstractNumId w:val="9"/>
  </w:num>
  <w:num w:numId="50">
    <w:abstractNumId w:val="28"/>
  </w:num>
  <w:num w:numId="51">
    <w:abstractNumId w:val="6"/>
  </w:num>
  <w:num w:numId="52">
    <w:abstractNumId w:val="1"/>
  </w:num>
  <w:num w:numId="53">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0B"/>
    <w:rsid w:val="000003D2"/>
    <w:rsid w:val="000003F7"/>
    <w:rsid w:val="000004CA"/>
    <w:rsid w:val="00000515"/>
    <w:rsid w:val="0000052E"/>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688"/>
    <w:rsid w:val="00004885"/>
    <w:rsid w:val="00004D8C"/>
    <w:rsid w:val="00004DCB"/>
    <w:rsid w:val="000051F0"/>
    <w:rsid w:val="0000553B"/>
    <w:rsid w:val="000059D2"/>
    <w:rsid w:val="000063BC"/>
    <w:rsid w:val="00006780"/>
    <w:rsid w:val="00006C7A"/>
    <w:rsid w:val="0000705B"/>
    <w:rsid w:val="0000733C"/>
    <w:rsid w:val="00007495"/>
    <w:rsid w:val="0000792C"/>
    <w:rsid w:val="00007B4B"/>
    <w:rsid w:val="00007C50"/>
    <w:rsid w:val="000101EF"/>
    <w:rsid w:val="0001071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B69"/>
    <w:rsid w:val="00021C67"/>
    <w:rsid w:val="00021DEC"/>
    <w:rsid w:val="00021EE6"/>
    <w:rsid w:val="000221EB"/>
    <w:rsid w:val="000222F7"/>
    <w:rsid w:val="00023C29"/>
    <w:rsid w:val="00024D64"/>
    <w:rsid w:val="00024E37"/>
    <w:rsid w:val="00024E64"/>
    <w:rsid w:val="0002506A"/>
    <w:rsid w:val="000255A1"/>
    <w:rsid w:val="000258DD"/>
    <w:rsid w:val="0002591B"/>
    <w:rsid w:val="00025B86"/>
    <w:rsid w:val="0002633D"/>
    <w:rsid w:val="000266AE"/>
    <w:rsid w:val="00026905"/>
    <w:rsid w:val="00026977"/>
    <w:rsid w:val="00026B7D"/>
    <w:rsid w:val="00026EF9"/>
    <w:rsid w:val="00027333"/>
    <w:rsid w:val="000273DF"/>
    <w:rsid w:val="000275A7"/>
    <w:rsid w:val="000300FE"/>
    <w:rsid w:val="00030619"/>
    <w:rsid w:val="000307C6"/>
    <w:rsid w:val="00030F74"/>
    <w:rsid w:val="00030F85"/>
    <w:rsid w:val="000317B2"/>
    <w:rsid w:val="00031ADB"/>
    <w:rsid w:val="00031EDD"/>
    <w:rsid w:val="000321DC"/>
    <w:rsid w:val="000325EF"/>
    <w:rsid w:val="00032A0C"/>
    <w:rsid w:val="00034419"/>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36"/>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9DD"/>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AE6"/>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DC"/>
    <w:rsid w:val="00061D2A"/>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A8"/>
    <w:rsid w:val="000659DD"/>
    <w:rsid w:val="00065D64"/>
    <w:rsid w:val="00065F49"/>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CBF"/>
    <w:rsid w:val="00073FDA"/>
    <w:rsid w:val="000741B3"/>
    <w:rsid w:val="00074375"/>
    <w:rsid w:val="000743A0"/>
    <w:rsid w:val="00074A9E"/>
    <w:rsid w:val="00074BF5"/>
    <w:rsid w:val="000752CD"/>
    <w:rsid w:val="00075680"/>
    <w:rsid w:val="00075999"/>
    <w:rsid w:val="00075AB6"/>
    <w:rsid w:val="00076408"/>
    <w:rsid w:val="00076608"/>
    <w:rsid w:val="00076A2E"/>
    <w:rsid w:val="00077073"/>
    <w:rsid w:val="0007740C"/>
    <w:rsid w:val="0008022A"/>
    <w:rsid w:val="00080418"/>
    <w:rsid w:val="000805B2"/>
    <w:rsid w:val="00080D74"/>
    <w:rsid w:val="00081383"/>
    <w:rsid w:val="000826FF"/>
    <w:rsid w:val="00082A49"/>
    <w:rsid w:val="00082C90"/>
    <w:rsid w:val="000832D0"/>
    <w:rsid w:val="00083322"/>
    <w:rsid w:val="0008399B"/>
    <w:rsid w:val="00083A4C"/>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329"/>
    <w:rsid w:val="00092A3D"/>
    <w:rsid w:val="000931C3"/>
    <w:rsid w:val="00093566"/>
    <w:rsid w:val="00093F75"/>
    <w:rsid w:val="0009437A"/>
    <w:rsid w:val="0009477F"/>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99C"/>
    <w:rsid w:val="000A1AD3"/>
    <w:rsid w:val="000A1D49"/>
    <w:rsid w:val="000A23E5"/>
    <w:rsid w:val="000A26E4"/>
    <w:rsid w:val="000A28AE"/>
    <w:rsid w:val="000A2D70"/>
    <w:rsid w:val="000A31F7"/>
    <w:rsid w:val="000A3ACB"/>
    <w:rsid w:val="000A3E70"/>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B3A"/>
    <w:rsid w:val="000B0E8D"/>
    <w:rsid w:val="000B10AB"/>
    <w:rsid w:val="000B10E2"/>
    <w:rsid w:val="000B1658"/>
    <w:rsid w:val="000B1CD3"/>
    <w:rsid w:val="000B22A1"/>
    <w:rsid w:val="000B2459"/>
    <w:rsid w:val="000B256B"/>
    <w:rsid w:val="000B32D4"/>
    <w:rsid w:val="000B38DA"/>
    <w:rsid w:val="000B3F37"/>
    <w:rsid w:val="000B4788"/>
    <w:rsid w:val="000B49D7"/>
    <w:rsid w:val="000B546F"/>
    <w:rsid w:val="000B6030"/>
    <w:rsid w:val="000B61B8"/>
    <w:rsid w:val="000B65BE"/>
    <w:rsid w:val="000B6BDF"/>
    <w:rsid w:val="000B71B6"/>
    <w:rsid w:val="000B76A6"/>
    <w:rsid w:val="000B78D1"/>
    <w:rsid w:val="000B7B2B"/>
    <w:rsid w:val="000B7D5E"/>
    <w:rsid w:val="000C133A"/>
    <w:rsid w:val="000C1545"/>
    <w:rsid w:val="000C1DBD"/>
    <w:rsid w:val="000C205E"/>
    <w:rsid w:val="000C240A"/>
    <w:rsid w:val="000C2DE1"/>
    <w:rsid w:val="000C2E7E"/>
    <w:rsid w:val="000C393F"/>
    <w:rsid w:val="000C4065"/>
    <w:rsid w:val="000C4137"/>
    <w:rsid w:val="000C4538"/>
    <w:rsid w:val="000C4C76"/>
    <w:rsid w:val="000C5759"/>
    <w:rsid w:val="000C59C4"/>
    <w:rsid w:val="000C5C2C"/>
    <w:rsid w:val="000C5E7D"/>
    <w:rsid w:val="000C5EF5"/>
    <w:rsid w:val="000C673C"/>
    <w:rsid w:val="000C69F8"/>
    <w:rsid w:val="000C6A01"/>
    <w:rsid w:val="000C6A31"/>
    <w:rsid w:val="000C71D9"/>
    <w:rsid w:val="000D0153"/>
    <w:rsid w:val="000D037E"/>
    <w:rsid w:val="000D0453"/>
    <w:rsid w:val="000D0704"/>
    <w:rsid w:val="000D0A0F"/>
    <w:rsid w:val="000D0AB8"/>
    <w:rsid w:val="000D0BCC"/>
    <w:rsid w:val="000D0F9A"/>
    <w:rsid w:val="000D10A8"/>
    <w:rsid w:val="000D148D"/>
    <w:rsid w:val="000D14EB"/>
    <w:rsid w:val="000D1610"/>
    <w:rsid w:val="000D206C"/>
    <w:rsid w:val="000D2185"/>
    <w:rsid w:val="000D2623"/>
    <w:rsid w:val="000D2AE0"/>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67"/>
    <w:rsid w:val="000E0D89"/>
    <w:rsid w:val="000E1003"/>
    <w:rsid w:val="000E1313"/>
    <w:rsid w:val="000E14B9"/>
    <w:rsid w:val="000E182B"/>
    <w:rsid w:val="000E1E8E"/>
    <w:rsid w:val="000E2787"/>
    <w:rsid w:val="000E279B"/>
    <w:rsid w:val="000E3075"/>
    <w:rsid w:val="000E331F"/>
    <w:rsid w:val="000E3358"/>
    <w:rsid w:val="000E35CC"/>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048"/>
    <w:rsid w:val="000F42EA"/>
    <w:rsid w:val="000F4374"/>
    <w:rsid w:val="000F47AB"/>
    <w:rsid w:val="000F49D8"/>
    <w:rsid w:val="000F4CAF"/>
    <w:rsid w:val="000F4D2F"/>
    <w:rsid w:val="000F4F44"/>
    <w:rsid w:val="000F53CB"/>
    <w:rsid w:val="000F546A"/>
    <w:rsid w:val="000F631F"/>
    <w:rsid w:val="000F6799"/>
    <w:rsid w:val="000F6881"/>
    <w:rsid w:val="000F6C32"/>
    <w:rsid w:val="000F6D86"/>
    <w:rsid w:val="000F7CAD"/>
    <w:rsid w:val="00100097"/>
    <w:rsid w:val="001000E9"/>
    <w:rsid w:val="00100161"/>
    <w:rsid w:val="00100169"/>
    <w:rsid w:val="0010067A"/>
    <w:rsid w:val="00100F0D"/>
    <w:rsid w:val="00101042"/>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2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20CF"/>
    <w:rsid w:val="00122727"/>
    <w:rsid w:val="00122842"/>
    <w:rsid w:val="001228EF"/>
    <w:rsid w:val="00122BFD"/>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69B0"/>
    <w:rsid w:val="001274AC"/>
    <w:rsid w:val="001275E6"/>
    <w:rsid w:val="00127AEC"/>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5A8D"/>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610"/>
    <w:rsid w:val="001418FE"/>
    <w:rsid w:val="00141E46"/>
    <w:rsid w:val="00141ED1"/>
    <w:rsid w:val="00141F72"/>
    <w:rsid w:val="0014206B"/>
    <w:rsid w:val="00142093"/>
    <w:rsid w:val="00142E42"/>
    <w:rsid w:val="00143153"/>
    <w:rsid w:val="0014368C"/>
    <w:rsid w:val="0014371C"/>
    <w:rsid w:val="00143BAB"/>
    <w:rsid w:val="00143EFE"/>
    <w:rsid w:val="00143FFE"/>
    <w:rsid w:val="0014471E"/>
    <w:rsid w:val="0014491B"/>
    <w:rsid w:val="00144B3F"/>
    <w:rsid w:val="00144D67"/>
    <w:rsid w:val="00144E04"/>
    <w:rsid w:val="001454C4"/>
    <w:rsid w:val="001462D7"/>
    <w:rsid w:val="00146577"/>
    <w:rsid w:val="00146773"/>
    <w:rsid w:val="00147D65"/>
    <w:rsid w:val="00147D91"/>
    <w:rsid w:val="00150736"/>
    <w:rsid w:val="00150883"/>
    <w:rsid w:val="001508E1"/>
    <w:rsid w:val="001510ED"/>
    <w:rsid w:val="001517AB"/>
    <w:rsid w:val="00151805"/>
    <w:rsid w:val="00151897"/>
    <w:rsid w:val="00152066"/>
    <w:rsid w:val="00152559"/>
    <w:rsid w:val="00152A3B"/>
    <w:rsid w:val="00152CF4"/>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496"/>
    <w:rsid w:val="00164646"/>
    <w:rsid w:val="001647FA"/>
    <w:rsid w:val="00165137"/>
    <w:rsid w:val="001652DD"/>
    <w:rsid w:val="00165F8A"/>
    <w:rsid w:val="0016634F"/>
    <w:rsid w:val="00166809"/>
    <w:rsid w:val="00166879"/>
    <w:rsid w:val="001669F9"/>
    <w:rsid w:val="00166D04"/>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EC4"/>
    <w:rsid w:val="001908C5"/>
    <w:rsid w:val="00190927"/>
    <w:rsid w:val="00190BD5"/>
    <w:rsid w:val="00190C5A"/>
    <w:rsid w:val="00191727"/>
    <w:rsid w:val="00191CA3"/>
    <w:rsid w:val="00191EBF"/>
    <w:rsid w:val="00192338"/>
    <w:rsid w:val="001924F9"/>
    <w:rsid w:val="00192589"/>
    <w:rsid w:val="001925E5"/>
    <w:rsid w:val="001929F7"/>
    <w:rsid w:val="00193987"/>
    <w:rsid w:val="00194351"/>
    <w:rsid w:val="00194955"/>
    <w:rsid w:val="0019573B"/>
    <w:rsid w:val="0019592C"/>
    <w:rsid w:val="00195A0D"/>
    <w:rsid w:val="00195BC6"/>
    <w:rsid w:val="00195EA6"/>
    <w:rsid w:val="00196085"/>
    <w:rsid w:val="001960BD"/>
    <w:rsid w:val="00196700"/>
    <w:rsid w:val="0019695B"/>
    <w:rsid w:val="00196B90"/>
    <w:rsid w:val="00196DE8"/>
    <w:rsid w:val="00196FF4"/>
    <w:rsid w:val="0019734F"/>
    <w:rsid w:val="001A0303"/>
    <w:rsid w:val="001A0479"/>
    <w:rsid w:val="001A0676"/>
    <w:rsid w:val="001A067A"/>
    <w:rsid w:val="001A06C8"/>
    <w:rsid w:val="001A0ABD"/>
    <w:rsid w:val="001A12E5"/>
    <w:rsid w:val="001A1337"/>
    <w:rsid w:val="001A1841"/>
    <w:rsid w:val="001A2939"/>
    <w:rsid w:val="001A2FD5"/>
    <w:rsid w:val="001A3037"/>
    <w:rsid w:val="001A30FB"/>
    <w:rsid w:val="001A36CF"/>
    <w:rsid w:val="001A3974"/>
    <w:rsid w:val="001A3F0F"/>
    <w:rsid w:val="001A3FA5"/>
    <w:rsid w:val="001A4EC1"/>
    <w:rsid w:val="001A4EDF"/>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1688"/>
    <w:rsid w:val="001B1E51"/>
    <w:rsid w:val="001B2993"/>
    <w:rsid w:val="001B2C18"/>
    <w:rsid w:val="001B35C1"/>
    <w:rsid w:val="001B3754"/>
    <w:rsid w:val="001B3A10"/>
    <w:rsid w:val="001B4371"/>
    <w:rsid w:val="001B5332"/>
    <w:rsid w:val="001B54E9"/>
    <w:rsid w:val="001B55DE"/>
    <w:rsid w:val="001B62EE"/>
    <w:rsid w:val="001B70CF"/>
    <w:rsid w:val="001B748B"/>
    <w:rsid w:val="001B7905"/>
    <w:rsid w:val="001C0085"/>
    <w:rsid w:val="001C063F"/>
    <w:rsid w:val="001C0874"/>
    <w:rsid w:val="001C0883"/>
    <w:rsid w:val="001C0B33"/>
    <w:rsid w:val="001C16A9"/>
    <w:rsid w:val="001C19EB"/>
    <w:rsid w:val="001C1E53"/>
    <w:rsid w:val="001C211D"/>
    <w:rsid w:val="001C2A8B"/>
    <w:rsid w:val="001C3434"/>
    <w:rsid w:val="001C3474"/>
    <w:rsid w:val="001C3CE2"/>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42D"/>
    <w:rsid w:val="001C7F47"/>
    <w:rsid w:val="001D006C"/>
    <w:rsid w:val="001D056C"/>
    <w:rsid w:val="001D0578"/>
    <w:rsid w:val="001D0593"/>
    <w:rsid w:val="001D1258"/>
    <w:rsid w:val="001D125F"/>
    <w:rsid w:val="001D19F8"/>
    <w:rsid w:val="001D1CFF"/>
    <w:rsid w:val="001D2B3C"/>
    <w:rsid w:val="001D2E6C"/>
    <w:rsid w:val="001D35DC"/>
    <w:rsid w:val="001D41AC"/>
    <w:rsid w:val="001D43C0"/>
    <w:rsid w:val="001D448E"/>
    <w:rsid w:val="001D4969"/>
    <w:rsid w:val="001D4A3F"/>
    <w:rsid w:val="001D4AF0"/>
    <w:rsid w:val="001D4BAB"/>
    <w:rsid w:val="001D4F24"/>
    <w:rsid w:val="001D506F"/>
    <w:rsid w:val="001D57BC"/>
    <w:rsid w:val="001D69ED"/>
    <w:rsid w:val="001D6E61"/>
    <w:rsid w:val="001D6F30"/>
    <w:rsid w:val="001D70E9"/>
    <w:rsid w:val="001D7260"/>
    <w:rsid w:val="001D7816"/>
    <w:rsid w:val="001D7ADE"/>
    <w:rsid w:val="001D7B96"/>
    <w:rsid w:val="001D7CA5"/>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4894"/>
    <w:rsid w:val="001E5BB2"/>
    <w:rsid w:val="001E5D1F"/>
    <w:rsid w:val="001E6313"/>
    <w:rsid w:val="001E6870"/>
    <w:rsid w:val="001E6BDA"/>
    <w:rsid w:val="001E6C1B"/>
    <w:rsid w:val="001E719A"/>
    <w:rsid w:val="001E750C"/>
    <w:rsid w:val="001E7A8F"/>
    <w:rsid w:val="001F020C"/>
    <w:rsid w:val="001F0546"/>
    <w:rsid w:val="001F0DDF"/>
    <w:rsid w:val="001F0F62"/>
    <w:rsid w:val="001F0FC0"/>
    <w:rsid w:val="001F18E2"/>
    <w:rsid w:val="001F1B1E"/>
    <w:rsid w:val="001F1BEA"/>
    <w:rsid w:val="001F1DFA"/>
    <w:rsid w:val="001F1E26"/>
    <w:rsid w:val="001F22A9"/>
    <w:rsid w:val="001F26E9"/>
    <w:rsid w:val="001F2ACB"/>
    <w:rsid w:val="001F2E08"/>
    <w:rsid w:val="001F33A0"/>
    <w:rsid w:val="001F35A8"/>
    <w:rsid w:val="001F39AB"/>
    <w:rsid w:val="001F45E8"/>
    <w:rsid w:val="001F4E57"/>
    <w:rsid w:val="001F53A2"/>
    <w:rsid w:val="001F5C95"/>
    <w:rsid w:val="001F5C9E"/>
    <w:rsid w:val="001F5E3A"/>
    <w:rsid w:val="001F5E73"/>
    <w:rsid w:val="001F5ED8"/>
    <w:rsid w:val="001F5F10"/>
    <w:rsid w:val="001F644E"/>
    <w:rsid w:val="001F6CA9"/>
    <w:rsid w:val="001F6E45"/>
    <w:rsid w:val="001F7317"/>
    <w:rsid w:val="001F798D"/>
    <w:rsid w:val="001F7DB0"/>
    <w:rsid w:val="001F7DD6"/>
    <w:rsid w:val="002000F2"/>
    <w:rsid w:val="002000FC"/>
    <w:rsid w:val="0020039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4FD"/>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1B"/>
    <w:rsid w:val="00210F42"/>
    <w:rsid w:val="00211042"/>
    <w:rsid w:val="00211109"/>
    <w:rsid w:val="00211345"/>
    <w:rsid w:val="002114FA"/>
    <w:rsid w:val="00211D31"/>
    <w:rsid w:val="00211DD9"/>
    <w:rsid w:val="00212816"/>
    <w:rsid w:val="002130BD"/>
    <w:rsid w:val="00213851"/>
    <w:rsid w:val="0021452F"/>
    <w:rsid w:val="00214E0D"/>
    <w:rsid w:val="0021512E"/>
    <w:rsid w:val="0021586D"/>
    <w:rsid w:val="00215D76"/>
    <w:rsid w:val="002162EA"/>
    <w:rsid w:val="002165F9"/>
    <w:rsid w:val="00216685"/>
    <w:rsid w:val="00216B17"/>
    <w:rsid w:val="00216BBF"/>
    <w:rsid w:val="00216D0D"/>
    <w:rsid w:val="00217033"/>
    <w:rsid w:val="00217135"/>
    <w:rsid w:val="002171E1"/>
    <w:rsid w:val="0021797D"/>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EC3"/>
    <w:rsid w:val="00222FE7"/>
    <w:rsid w:val="00223833"/>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BE"/>
    <w:rsid w:val="00227F9E"/>
    <w:rsid w:val="00230040"/>
    <w:rsid w:val="00230189"/>
    <w:rsid w:val="00230AD3"/>
    <w:rsid w:val="00230BB1"/>
    <w:rsid w:val="0023124C"/>
    <w:rsid w:val="002314EE"/>
    <w:rsid w:val="00231740"/>
    <w:rsid w:val="00231B71"/>
    <w:rsid w:val="00231D67"/>
    <w:rsid w:val="00232149"/>
    <w:rsid w:val="00232191"/>
    <w:rsid w:val="00232430"/>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7D1"/>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67F"/>
    <w:rsid w:val="00254B5D"/>
    <w:rsid w:val="00254FAC"/>
    <w:rsid w:val="00256A5E"/>
    <w:rsid w:val="00256B22"/>
    <w:rsid w:val="00256D51"/>
    <w:rsid w:val="00256F02"/>
    <w:rsid w:val="00257042"/>
    <w:rsid w:val="002571C8"/>
    <w:rsid w:val="002572F1"/>
    <w:rsid w:val="00257A62"/>
    <w:rsid w:val="00260156"/>
    <w:rsid w:val="0026075E"/>
    <w:rsid w:val="002608BD"/>
    <w:rsid w:val="00260A57"/>
    <w:rsid w:val="00260FAD"/>
    <w:rsid w:val="002617F6"/>
    <w:rsid w:val="00261D05"/>
    <w:rsid w:val="002623AC"/>
    <w:rsid w:val="00262802"/>
    <w:rsid w:val="00262979"/>
    <w:rsid w:val="00263038"/>
    <w:rsid w:val="002631DC"/>
    <w:rsid w:val="002635E2"/>
    <w:rsid w:val="0026382D"/>
    <w:rsid w:val="0026385F"/>
    <w:rsid w:val="00263DD9"/>
    <w:rsid w:val="00264256"/>
    <w:rsid w:val="0026432F"/>
    <w:rsid w:val="0026455A"/>
    <w:rsid w:val="0026460B"/>
    <w:rsid w:val="0026468A"/>
    <w:rsid w:val="00264C28"/>
    <w:rsid w:val="002654D9"/>
    <w:rsid w:val="00265701"/>
    <w:rsid w:val="002659EA"/>
    <w:rsid w:val="00265CB1"/>
    <w:rsid w:val="00265E9A"/>
    <w:rsid w:val="00266111"/>
    <w:rsid w:val="00266210"/>
    <w:rsid w:val="0026627A"/>
    <w:rsid w:val="002664FA"/>
    <w:rsid w:val="00266867"/>
    <w:rsid w:val="00266D70"/>
    <w:rsid w:val="00266DB3"/>
    <w:rsid w:val="00266E1B"/>
    <w:rsid w:val="00266ED4"/>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261"/>
    <w:rsid w:val="0027540F"/>
    <w:rsid w:val="00275464"/>
    <w:rsid w:val="0027568B"/>
    <w:rsid w:val="002756D5"/>
    <w:rsid w:val="00275B92"/>
    <w:rsid w:val="00275E10"/>
    <w:rsid w:val="00276001"/>
    <w:rsid w:val="0027609B"/>
    <w:rsid w:val="00276243"/>
    <w:rsid w:val="002764FB"/>
    <w:rsid w:val="00276660"/>
    <w:rsid w:val="002766C9"/>
    <w:rsid w:val="002768E3"/>
    <w:rsid w:val="00276DDB"/>
    <w:rsid w:val="00276F36"/>
    <w:rsid w:val="00277512"/>
    <w:rsid w:val="002777E4"/>
    <w:rsid w:val="00277E66"/>
    <w:rsid w:val="002801E2"/>
    <w:rsid w:val="002804B9"/>
    <w:rsid w:val="00280612"/>
    <w:rsid w:val="0028073A"/>
    <w:rsid w:val="00280960"/>
    <w:rsid w:val="0028168F"/>
    <w:rsid w:val="00282018"/>
    <w:rsid w:val="002825CE"/>
    <w:rsid w:val="00282D4F"/>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7D2"/>
    <w:rsid w:val="00295F1C"/>
    <w:rsid w:val="002960D4"/>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AC6"/>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DC1"/>
    <w:rsid w:val="002B10F9"/>
    <w:rsid w:val="002B12C7"/>
    <w:rsid w:val="002B1AFA"/>
    <w:rsid w:val="002B21D6"/>
    <w:rsid w:val="002B2C92"/>
    <w:rsid w:val="002B3081"/>
    <w:rsid w:val="002B318B"/>
    <w:rsid w:val="002B32BC"/>
    <w:rsid w:val="002B340B"/>
    <w:rsid w:val="002B34AE"/>
    <w:rsid w:val="002B38A5"/>
    <w:rsid w:val="002B3D90"/>
    <w:rsid w:val="002B453B"/>
    <w:rsid w:val="002B4C39"/>
    <w:rsid w:val="002B601A"/>
    <w:rsid w:val="002B60BB"/>
    <w:rsid w:val="002B61F1"/>
    <w:rsid w:val="002B64FE"/>
    <w:rsid w:val="002B694E"/>
    <w:rsid w:val="002B6D31"/>
    <w:rsid w:val="002B7D56"/>
    <w:rsid w:val="002C0094"/>
    <w:rsid w:val="002C04C2"/>
    <w:rsid w:val="002C0818"/>
    <w:rsid w:val="002C0D11"/>
    <w:rsid w:val="002C1B17"/>
    <w:rsid w:val="002C203A"/>
    <w:rsid w:val="002C2519"/>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30B"/>
    <w:rsid w:val="002D2B4E"/>
    <w:rsid w:val="002D3968"/>
    <w:rsid w:val="002D3FE2"/>
    <w:rsid w:val="002D425A"/>
    <w:rsid w:val="002D4314"/>
    <w:rsid w:val="002D4A54"/>
    <w:rsid w:val="002D4CA5"/>
    <w:rsid w:val="002D4E37"/>
    <w:rsid w:val="002D52E0"/>
    <w:rsid w:val="002D5DEA"/>
    <w:rsid w:val="002D6127"/>
    <w:rsid w:val="002D61BE"/>
    <w:rsid w:val="002D66C8"/>
    <w:rsid w:val="002D7235"/>
    <w:rsid w:val="002D76E8"/>
    <w:rsid w:val="002E0E94"/>
    <w:rsid w:val="002E15A5"/>
    <w:rsid w:val="002E16BC"/>
    <w:rsid w:val="002E25D2"/>
    <w:rsid w:val="002E2738"/>
    <w:rsid w:val="002E2923"/>
    <w:rsid w:val="002E2A76"/>
    <w:rsid w:val="002E306D"/>
    <w:rsid w:val="002E32D4"/>
    <w:rsid w:val="002E3513"/>
    <w:rsid w:val="002E3653"/>
    <w:rsid w:val="002E38B7"/>
    <w:rsid w:val="002E4301"/>
    <w:rsid w:val="002E58E1"/>
    <w:rsid w:val="002E5BDD"/>
    <w:rsid w:val="002E5C56"/>
    <w:rsid w:val="002E5D86"/>
    <w:rsid w:val="002E5DD7"/>
    <w:rsid w:val="002E6809"/>
    <w:rsid w:val="002E6AFE"/>
    <w:rsid w:val="002F0045"/>
    <w:rsid w:val="002F00F0"/>
    <w:rsid w:val="002F0131"/>
    <w:rsid w:val="002F025B"/>
    <w:rsid w:val="002F0684"/>
    <w:rsid w:val="002F09C0"/>
    <w:rsid w:val="002F0ADB"/>
    <w:rsid w:val="002F0E34"/>
    <w:rsid w:val="002F27FD"/>
    <w:rsid w:val="002F2AE0"/>
    <w:rsid w:val="002F2CD3"/>
    <w:rsid w:val="002F31C4"/>
    <w:rsid w:val="002F34F5"/>
    <w:rsid w:val="002F3F16"/>
    <w:rsid w:val="002F3FDF"/>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34FC"/>
    <w:rsid w:val="003036D3"/>
    <w:rsid w:val="00303FD3"/>
    <w:rsid w:val="00304556"/>
    <w:rsid w:val="00304770"/>
    <w:rsid w:val="00304AC5"/>
    <w:rsid w:val="00304C9E"/>
    <w:rsid w:val="003065FB"/>
    <w:rsid w:val="003068DA"/>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7C3"/>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A96"/>
    <w:rsid w:val="00323FAD"/>
    <w:rsid w:val="00324089"/>
    <w:rsid w:val="00324701"/>
    <w:rsid w:val="0032489D"/>
    <w:rsid w:val="003249F8"/>
    <w:rsid w:val="0032556B"/>
    <w:rsid w:val="00325C9B"/>
    <w:rsid w:val="0032651E"/>
    <w:rsid w:val="00326C67"/>
    <w:rsid w:val="00327127"/>
    <w:rsid w:val="003271E3"/>
    <w:rsid w:val="003272D0"/>
    <w:rsid w:val="003273DE"/>
    <w:rsid w:val="00327632"/>
    <w:rsid w:val="003278C7"/>
    <w:rsid w:val="0032793B"/>
    <w:rsid w:val="00327AEA"/>
    <w:rsid w:val="00327B8E"/>
    <w:rsid w:val="00327D99"/>
    <w:rsid w:val="00327FA5"/>
    <w:rsid w:val="003308C4"/>
    <w:rsid w:val="00330C30"/>
    <w:rsid w:val="00330DE8"/>
    <w:rsid w:val="00331044"/>
    <w:rsid w:val="00331A16"/>
    <w:rsid w:val="003321C3"/>
    <w:rsid w:val="003327FE"/>
    <w:rsid w:val="00332962"/>
    <w:rsid w:val="00334CE7"/>
    <w:rsid w:val="00335250"/>
    <w:rsid w:val="00335670"/>
    <w:rsid w:val="0033572D"/>
    <w:rsid w:val="0033592C"/>
    <w:rsid w:val="00335E2A"/>
    <w:rsid w:val="003365FB"/>
    <w:rsid w:val="00336780"/>
    <w:rsid w:val="003367C5"/>
    <w:rsid w:val="00336DAD"/>
    <w:rsid w:val="00336DB3"/>
    <w:rsid w:val="00337065"/>
    <w:rsid w:val="0033741D"/>
    <w:rsid w:val="00337C71"/>
    <w:rsid w:val="003409DA"/>
    <w:rsid w:val="00340CC6"/>
    <w:rsid w:val="00340E58"/>
    <w:rsid w:val="00341087"/>
    <w:rsid w:val="00341706"/>
    <w:rsid w:val="00341F09"/>
    <w:rsid w:val="0034246D"/>
    <w:rsid w:val="00342A2F"/>
    <w:rsid w:val="0034305B"/>
    <w:rsid w:val="00343C24"/>
    <w:rsid w:val="00343FA6"/>
    <w:rsid w:val="00344725"/>
    <w:rsid w:val="00344901"/>
    <w:rsid w:val="0034511B"/>
    <w:rsid w:val="003451FD"/>
    <w:rsid w:val="003472BE"/>
    <w:rsid w:val="0034745C"/>
    <w:rsid w:val="003474CD"/>
    <w:rsid w:val="003479B6"/>
    <w:rsid w:val="0035025F"/>
    <w:rsid w:val="0035041A"/>
    <w:rsid w:val="003505AD"/>
    <w:rsid w:val="00350631"/>
    <w:rsid w:val="00350EE7"/>
    <w:rsid w:val="00351439"/>
    <w:rsid w:val="0035180B"/>
    <w:rsid w:val="00351B17"/>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28"/>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6BA5"/>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A01"/>
    <w:rsid w:val="00376E0C"/>
    <w:rsid w:val="0037709A"/>
    <w:rsid w:val="00377146"/>
    <w:rsid w:val="003771CA"/>
    <w:rsid w:val="00377241"/>
    <w:rsid w:val="00377397"/>
    <w:rsid w:val="0037757C"/>
    <w:rsid w:val="003775BD"/>
    <w:rsid w:val="00380543"/>
    <w:rsid w:val="00380602"/>
    <w:rsid w:val="00380892"/>
    <w:rsid w:val="00380BBD"/>
    <w:rsid w:val="00381F57"/>
    <w:rsid w:val="0038213B"/>
    <w:rsid w:val="003821E7"/>
    <w:rsid w:val="0038284F"/>
    <w:rsid w:val="00382903"/>
    <w:rsid w:val="00383319"/>
    <w:rsid w:val="00383D4B"/>
    <w:rsid w:val="00383DDB"/>
    <w:rsid w:val="003842A8"/>
    <w:rsid w:val="003844E4"/>
    <w:rsid w:val="00384747"/>
    <w:rsid w:val="003848D9"/>
    <w:rsid w:val="00384BC0"/>
    <w:rsid w:val="00384E3E"/>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783"/>
    <w:rsid w:val="00394948"/>
    <w:rsid w:val="00394975"/>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5D1C"/>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6FE"/>
    <w:rsid w:val="003B7DB4"/>
    <w:rsid w:val="003C009A"/>
    <w:rsid w:val="003C07D7"/>
    <w:rsid w:val="003C0985"/>
    <w:rsid w:val="003C10B8"/>
    <w:rsid w:val="003C16F4"/>
    <w:rsid w:val="003C2C9D"/>
    <w:rsid w:val="003C2E72"/>
    <w:rsid w:val="003C3044"/>
    <w:rsid w:val="003C3B73"/>
    <w:rsid w:val="003C3D6E"/>
    <w:rsid w:val="003C3F8B"/>
    <w:rsid w:val="003C4213"/>
    <w:rsid w:val="003C4250"/>
    <w:rsid w:val="003C44DB"/>
    <w:rsid w:val="003C4F25"/>
    <w:rsid w:val="003C4FB7"/>
    <w:rsid w:val="003C64CD"/>
    <w:rsid w:val="003C6580"/>
    <w:rsid w:val="003C6CCB"/>
    <w:rsid w:val="003C6DA9"/>
    <w:rsid w:val="003C7855"/>
    <w:rsid w:val="003C7A6E"/>
    <w:rsid w:val="003D0240"/>
    <w:rsid w:val="003D06A7"/>
    <w:rsid w:val="003D0868"/>
    <w:rsid w:val="003D09DA"/>
    <w:rsid w:val="003D0D75"/>
    <w:rsid w:val="003D1F11"/>
    <w:rsid w:val="003D22AC"/>
    <w:rsid w:val="003D2339"/>
    <w:rsid w:val="003D26AA"/>
    <w:rsid w:val="003D2E43"/>
    <w:rsid w:val="003D3597"/>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B1A"/>
    <w:rsid w:val="003E089F"/>
    <w:rsid w:val="003E0974"/>
    <w:rsid w:val="003E0ADB"/>
    <w:rsid w:val="003E0CE4"/>
    <w:rsid w:val="003E121C"/>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05A"/>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36E1"/>
    <w:rsid w:val="003F447E"/>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390"/>
    <w:rsid w:val="004017C6"/>
    <w:rsid w:val="00401B23"/>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38"/>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CD"/>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853"/>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27F75"/>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895"/>
    <w:rsid w:val="00437E77"/>
    <w:rsid w:val="004402A7"/>
    <w:rsid w:val="0044035D"/>
    <w:rsid w:val="00440850"/>
    <w:rsid w:val="00440EA5"/>
    <w:rsid w:val="0044142F"/>
    <w:rsid w:val="00441CEF"/>
    <w:rsid w:val="004423BF"/>
    <w:rsid w:val="004423C3"/>
    <w:rsid w:val="004425C2"/>
    <w:rsid w:val="004426FE"/>
    <w:rsid w:val="00442824"/>
    <w:rsid w:val="00442A32"/>
    <w:rsid w:val="00442B42"/>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5DE8"/>
    <w:rsid w:val="004462AF"/>
    <w:rsid w:val="00446424"/>
    <w:rsid w:val="0044662A"/>
    <w:rsid w:val="00446ED5"/>
    <w:rsid w:val="0044711A"/>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37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5C1"/>
    <w:rsid w:val="0047475B"/>
    <w:rsid w:val="00475260"/>
    <w:rsid w:val="0047539C"/>
    <w:rsid w:val="004753D8"/>
    <w:rsid w:val="004755D5"/>
    <w:rsid w:val="00475674"/>
    <w:rsid w:val="00475BC8"/>
    <w:rsid w:val="00475E50"/>
    <w:rsid w:val="00475E54"/>
    <w:rsid w:val="00475F90"/>
    <w:rsid w:val="00476281"/>
    <w:rsid w:val="00476549"/>
    <w:rsid w:val="00476B40"/>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17"/>
    <w:rsid w:val="00485E8A"/>
    <w:rsid w:val="00486032"/>
    <w:rsid w:val="004862DE"/>
    <w:rsid w:val="004864FB"/>
    <w:rsid w:val="004869B5"/>
    <w:rsid w:val="00487866"/>
    <w:rsid w:val="00487F28"/>
    <w:rsid w:val="00490185"/>
    <w:rsid w:val="00490532"/>
    <w:rsid w:val="00490649"/>
    <w:rsid w:val="004906ED"/>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BFB"/>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4FF6"/>
    <w:rsid w:val="004A51FA"/>
    <w:rsid w:val="004A5270"/>
    <w:rsid w:val="004A567D"/>
    <w:rsid w:val="004A57FC"/>
    <w:rsid w:val="004A5D36"/>
    <w:rsid w:val="004A6342"/>
    <w:rsid w:val="004A6784"/>
    <w:rsid w:val="004A705C"/>
    <w:rsid w:val="004A7172"/>
    <w:rsid w:val="004A7276"/>
    <w:rsid w:val="004A746B"/>
    <w:rsid w:val="004A770C"/>
    <w:rsid w:val="004A7EE7"/>
    <w:rsid w:val="004A7FB0"/>
    <w:rsid w:val="004B0706"/>
    <w:rsid w:val="004B0780"/>
    <w:rsid w:val="004B0787"/>
    <w:rsid w:val="004B0E34"/>
    <w:rsid w:val="004B1313"/>
    <w:rsid w:val="004B1392"/>
    <w:rsid w:val="004B169E"/>
    <w:rsid w:val="004B19BB"/>
    <w:rsid w:val="004B1C42"/>
    <w:rsid w:val="004B2371"/>
    <w:rsid w:val="004B2700"/>
    <w:rsid w:val="004B2B31"/>
    <w:rsid w:val="004B2C33"/>
    <w:rsid w:val="004B2CDB"/>
    <w:rsid w:val="004B2DE8"/>
    <w:rsid w:val="004B2F6E"/>
    <w:rsid w:val="004B3C3F"/>
    <w:rsid w:val="004B45A2"/>
    <w:rsid w:val="004B46C3"/>
    <w:rsid w:val="004B46D1"/>
    <w:rsid w:val="004B4789"/>
    <w:rsid w:val="004B4A0F"/>
    <w:rsid w:val="004B4F6B"/>
    <w:rsid w:val="004B50E0"/>
    <w:rsid w:val="004B55EC"/>
    <w:rsid w:val="004B5C62"/>
    <w:rsid w:val="004B6301"/>
    <w:rsid w:val="004B69B9"/>
    <w:rsid w:val="004B6FFB"/>
    <w:rsid w:val="004B7311"/>
    <w:rsid w:val="004B795F"/>
    <w:rsid w:val="004B7BA5"/>
    <w:rsid w:val="004C0346"/>
    <w:rsid w:val="004C0B5B"/>
    <w:rsid w:val="004C0C5C"/>
    <w:rsid w:val="004C0F99"/>
    <w:rsid w:val="004C130D"/>
    <w:rsid w:val="004C1624"/>
    <w:rsid w:val="004C16AA"/>
    <w:rsid w:val="004C19D5"/>
    <w:rsid w:val="004C19E4"/>
    <w:rsid w:val="004C2371"/>
    <w:rsid w:val="004C2E73"/>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BB"/>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6CD"/>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7D1"/>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C6"/>
    <w:rsid w:val="004E6158"/>
    <w:rsid w:val="004E6184"/>
    <w:rsid w:val="004E6463"/>
    <w:rsid w:val="004E6CEA"/>
    <w:rsid w:val="004E6F18"/>
    <w:rsid w:val="004E7465"/>
    <w:rsid w:val="004E76A5"/>
    <w:rsid w:val="004E7B7F"/>
    <w:rsid w:val="004F01B4"/>
    <w:rsid w:val="004F020A"/>
    <w:rsid w:val="004F10A2"/>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4F0B"/>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BEF"/>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482"/>
    <w:rsid w:val="00513B8C"/>
    <w:rsid w:val="00513D20"/>
    <w:rsid w:val="00513F8F"/>
    <w:rsid w:val="005147E7"/>
    <w:rsid w:val="005148EC"/>
    <w:rsid w:val="005149A2"/>
    <w:rsid w:val="00514CEE"/>
    <w:rsid w:val="005150E4"/>
    <w:rsid w:val="005152D6"/>
    <w:rsid w:val="00515507"/>
    <w:rsid w:val="00515708"/>
    <w:rsid w:val="00515746"/>
    <w:rsid w:val="00515907"/>
    <w:rsid w:val="00515E2B"/>
    <w:rsid w:val="00516B96"/>
    <w:rsid w:val="00516E9E"/>
    <w:rsid w:val="005170D5"/>
    <w:rsid w:val="005173A4"/>
    <w:rsid w:val="005179DC"/>
    <w:rsid w:val="0052001B"/>
    <w:rsid w:val="005204F7"/>
    <w:rsid w:val="0052079E"/>
    <w:rsid w:val="00520AE3"/>
    <w:rsid w:val="00521294"/>
    <w:rsid w:val="00521906"/>
    <w:rsid w:val="00521D65"/>
    <w:rsid w:val="005221A4"/>
    <w:rsid w:val="00523366"/>
    <w:rsid w:val="0052381F"/>
    <w:rsid w:val="00523E18"/>
    <w:rsid w:val="00523F11"/>
    <w:rsid w:val="00523F32"/>
    <w:rsid w:val="0052422C"/>
    <w:rsid w:val="005244D5"/>
    <w:rsid w:val="00524AD1"/>
    <w:rsid w:val="00524AE9"/>
    <w:rsid w:val="00524C8F"/>
    <w:rsid w:val="00524E6A"/>
    <w:rsid w:val="00524EA7"/>
    <w:rsid w:val="005251DA"/>
    <w:rsid w:val="00525407"/>
    <w:rsid w:val="00525F71"/>
    <w:rsid w:val="00526270"/>
    <w:rsid w:val="0052627F"/>
    <w:rsid w:val="005269C2"/>
    <w:rsid w:val="00526A5E"/>
    <w:rsid w:val="00526B30"/>
    <w:rsid w:val="00526C8A"/>
    <w:rsid w:val="005272A8"/>
    <w:rsid w:val="00527489"/>
    <w:rsid w:val="00527860"/>
    <w:rsid w:val="00527A58"/>
    <w:rsid w:val="0053012B"/>
    <w:rsid w:val="0053064F"/>
    <w:rsid w:val="0053066C"/>
    <w:rsid w:val="00530AFD"/>
    <w:rsid w:val="00531318"/>
    <w:rsid w:val="00531562"/>
    <w:rsid w:val="0053173A"/>
    <w:rsid w:val="00531824"/>
    <w:rsid w:val="00531AF4"/>
    <w:rsid w:val="00531EA2"/>
    <w:rsid w:val="00531F71"/>
    <w:rsid w:val="00532292"/>
    <w:rsid w:val="005323A0"/>
    <w:rsid w:val="00532462"/>
    <w:rsid w:val="00532B16"/>
    <w:rsid w:val="00532C9D"/>
    <w:rsid w:val="00533215"/>
    <w:rsid w:val="00533455"/>
    <w:rsid w:val="005334E4"/>
    <w:rsid w:val="0053379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353"/>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362"/>
    <w:rsid w:val="0055088A"/>
    <w:rsid w:val="00550D6F"/>
    <w:rsid w:val="005511B1"/>
    <w:rsid w:val="00551248"/>
    <w:rsid w:val="00551542"/>
    <w:rsid w:val="00551593"/>
    <w:rsid w:val="0055196B"/>
    <w:rsid w:val="00551E52"/>
    <w:rsid w:val="00552038"/>
    <w:rsid w:val="0055233E"/>
    <w:rsid w:val="00552568"/>
    <w:rsid w:val="00552569"/>
    <w:rsid w:val="005528E1"/>
    <w:rsid w:val="00552E20"/>
    <w:rsid w:val="00552FF4"/>
    <w:rsid w:val="005535D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BBF"/>
    <w:rsid w:val="00556C18"/>
    <w:rsid w:val="005570E7"/>
    <w:rsid w:val="0055718D"/>
    <w:rsid w:val="00557464"/>
    <w:rsid w:val="0055771C"/>
    <w:rsid w:val="00557A2C"/>
    <w:rsid w:val="00557CAB"/>
    <w:rsid w:val="00557D87"/>
    <w:rsid w:val="00560AC9"/>
    <w:rsid w:val="00560E78"/>
    <w:rsid w:val="00561128"/>
    <w:rsid w:val="00561250"/>
    <w:rsid w:val="0056134D"/>
    <w:rsid w:val="00561A95"/>
    <w:rsid w:val="00561BF6"/>
    <w:rsid w:val="00562757"/>
    <w:rsid w:val="005627C0"/>
    <w:rsid w:val="00562CDC"/>
    <w:rsid w:val="00563FD2"/>
    <w:rsid w:val="0056434D"/>
    <w:rsid w:val="00564A85"/>
    <w:rsid w:val="00564EB9"/>
    <w:rsid w:val="0056719E"/>
    <w:rsid w:val="005676F8"/>
    <w:rsid w:val="00567B3B"/>
    <w:rsid w:val="00567B75"/>
    <w:rsid w:val="005701C5"/>
    <w:rsid w:val="0057021C"/>
    <w:rsid w:val="0057025F"/>
    <w:rsid w:val="005703E3"/>
    <w:rsid w:val="0057041E"/>
    <w:rsid w:val="0057054C"/>
    <w:rsid w:val="00570764"/>
    <w:rsid w:val="0057088B"/>
    <w:rsid w:val="005708C3"/>
    <w:rsid w:val="005708C6"/>
    <w:rsid w:val="00570C83"/>
    <w:rsid w:val="00571311"/>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4D0"/>
    <w:rsid w:val="00574D14"/>
    <w:rsid w:val="00574E82"/>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44"/>
    <w:rsid w:val="005815D2"/>
    <w:rsid w:val="005818D4"/>
    <w:rsid w:val="005819D7"/>
    <w:rsid w:val="00581AB8"/>
    <w:rsid w:val="00581C6E"/>
    <w:rsid w:val="00581CD7"/>
    <w:rsid w:val="00581F40"/>
    <w:rsid w:val="005829CC"/>
    <w:rsid w:val="00582E3D"/>
    <w:rsid w:val="00583147"/>
    <w:rsid w:val="0058330C"/>
    <w:rsid w:val="005836D0"/>
    <w:rsid w:val="00583951"/>
    <w:rsid w:val="00583DEF"/>
    <w:rsid w:val="00583E78"/>
    <w:rsid w:val="00584496"/>
    <w:rsid w:val="005846AA"/>
    <w:rsid w:val="005852AA"/>
    <w:rsid w:val="00585431"/>
    <w:rsid w:val="00585867"/>
    <w:rsid w:val="00585C3A"/>
    <w:rsid w:val="00586013"/>
    <w:rsid w:val="0058628A"/>
    <w:rsid w:val="00586505"/>
    <w:rsid w:val="00586B34"/>
    <w:rsid w:val="00587117"/>
    <w:rsid w:val="0058759B"/>
    <w:rsid w:val="0058764D"/>
    <w:rsid w:val="00590077"/>
    <w:rsid w:val="005909AD"/>
    <w:rsid w:val="00590BF6"/>
    <w:rsid w:val="00591B9C"/>
    <w:rsid w:val="00591E12"/>
    <w:rsid w:val="00592160"/>
    <w:rsid w:val="005923C9"/>
    <w:rsid w:val="0059284F"/>
    <w:rsid w:val="00592E68"/>
    <w:rsid w:val="0059323A"/>
    <w:rsid w:val="00593447"/>
    <w:rsid w:val="00594131"/>
    <w:rsid w:val="005943C6"/>
    <w:rsid w:val="005946E2"/>
    <w:rsid w:val="00594862"/>
    <w:rsid w:val="0059486C"/>
    <w:rsid w:val="00595120"/>
    <w:rsid w:val="00595308"/>
    <w:rsid w:val="00595777"/>
    <w:rsid w:val="0059593C"/>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D0"/>
    <w:rsid w:val="005A588D"/>
    <w:rsid w:val="005A59CF"/>
    <w:rsid w:val="005A5CE7"/>
    <w:rsid w:val="005A670B"/>
    <w:rsid w:val="005A6A3A"/>
    <w:rsid w:val="005A6E87"/>
    <w:rsid w:val="005A7F72"/>
    <w:rsid w:val="005B0987"/>
    <w:rsid w:val="005B0A7D"/>
    <w:rsid w:val="005B0F18"/>
    <w:rsid w:val="005B1197"/>
    <w:rsid w:val="005B16CC"/>
    <w:rsid w:val="005B18BB"/>
    <w:rsid w:val="005B2899"/>
    <w:rsid w:val="005B2C5B"/>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943"/>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2F3"/>
    <w:rsid w:val="005C376D"/>
    <w:rsid w:val="005C408E"/>
    <w:rsid w:val="005C4B4D"/>
    <w:rsid w:val="005C4DE3"/>
    <w:rsid w:val="005C4E1E"/>
    <w:rsid w:val="005C4FAA"/>
    <w:rsid w:val="005C5024"/>
    <w:rsid w:val="005C5372"/>
    <w:rsid w:val="005C5379"/>
    <w:rsid w:val="005C5425"/>
    <w:rsid w:val="005C5849"/>
    <w:rsid w:val="005C5A28"/>
    <w:rsid w:val="005C6222"/>
    <w:rsid w:val="005C6B26"/>
    <w:rsid w:val="005C7312"/>
    <w:rsid w:val="005C772B"/>
    <w:rsid w:val="005C7A54"/>
    <w:rsid w:val="005C7CAD"/>
    <w:rsid w:val="005C7CF2"/>
    <w:rsid w:val="005C7EF8"/>
    <w:rsid w:val="005D02FA"/>
    <w:rsid w:val="005D047B"/>
    <w:rsid w:val="005D0572"/>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578"/>
    <w:rsid w:val="005D59CF"/>
    <w:rsid w:val="005D5E46"/>
    <w:rsid w:val="005D609E"/>
    <w:rsid w:val="005D6323"/>
    <w:rsid w:val="005D64A5"/>
    <w:rsid w:val="005D6929"/>
    <w:rsid w:val="005D6B30"/>
    <w:rsid w:val="005D6E1C"/>
    <w:rsid w:val="005D6F65"/>
    <w:rsid w:val="005D71B8"/>
    <w:rsid w:val="005D7539"/>
    <w:rsid w:val="005D7E04"/>
    <w:rsid w:val="005E0082"/>
    <w:rsid w:val="005E06E1"/>
    <w:rsid w:val="005E0899"/>
    <w:rsid w:val="005E0E2A"/>
    <w:rsid w:val="005E1149"/>
    <w:rsid w:val="005E1393"/>
    <w:rsid w:val="005E1411"/>
    <w:rsid w:val="005E3035"/>
    <w:rsid w:val="005E34B2"/>
    <w:rsid w:val="005E35FD"/>
    <w:rsid w:val="005E383F"/>
    <w:rsid w:val="005E3B77"/>
    <w:rsid w:val="005E48F7"/>
    <w:rsid w:val="005E4CCB"/>
    <w:rsid w:val="005E5563"/>
    <w:rsid w:val="005E559B"/>
    <w:rsid w:val="005E59C5"/>
    <w:rsid w:val="005E5AF6"/>
    <w:rsid w:val="005E5E74"/>
    <w:rsid w:val="005E66F1"/>
    <w:rsid w:val="005E6AFB"/>
    <w:rsid w:val="005E731D"/>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B2E"/>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305B"/>
    <w:rsid w:val="006039C5"/>
    <w:rsid w:val="00603B1B"/>
    <w:rsid w:val="00604281"/>
    <w:rsid w:val="006043D7"/>
    <w:rsid w:val="00604594"/>
    <w:rsid w:val="00604708"/>
    <w:rsid w:val="00604CFF"/>
    <w:rsid w:val="00605399"/>
    <w:rsid w:val="006054EE"/>
    <w:rsid w:val="0060591D"/>
    <w:rsid w:val="006059EC"/>
    <w:rsid w:val="00605A02"/>
    <w:rsid w:val="00605A5D"/>
    <w:rsid w:val="00605B5D"/>
    <w:rsid w:val="00606196"/>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5F"/>
    <w:rsid w:val="00625B24"/>
    <w:rsid w:val="0062657C"/>
    <w:rsid w:val="00626C25"/>
    <w:rsid w:val="00626E64"/>
    <w:rsid w:val="0062725A"/>
    <w:rsid w:val="00627B8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BB1"/>
    <w:rsid w:val="00633C0A"/>
    <w:rsid w:val="0063405E"/>
    <w:rsid w:val="006341AD"/>
    <w:rsid w:val="00634588"/>
    <w:rsid w:val="006346F1"/>
    <w:rsid w:val="006347F5"/>
    <w:rsid w:val="006353D0"/>
    <w:rsid w:val="00635EDC"/>
    <w:rsid w:val="00635F56"/>
    <w:rsid w:val="0063606C"/>
    <w:rsid w:val="00636094"/>
    <w:rsid w:val="006361DA"/>
    <w:rsid w:val="0063633A"/>
    <w:rsid w:val="0063650D"/>
    <w:rsid w:val="00636A76"/>
    <w:rsid w:val="0063720A"/>
    <w:rsid w:val="006373C7"/>
    <w:rsid w:val="00637E00"/>
    <w:rsid w:val="006401C6"/>
    <w:rsid w:val="00640207"/>
    <w:rsid w:val="00640222"/>
    <w:rsid w:val="006409F3"/>
    <w:rsid w:val="00641061"/>
    <w:rsid w:val="006411DF"/>
    <w:rsid w:val="006419B2"/>
    <w:rsid w:val="006419ED"/>
    <w:rsid w:val="006427DE"/>
    <w:rsid w:val="00642D10"/>
    <w:rsid w:val="00642E65"/>
    <w:rsid w:val="006434D7"/>
    <w:rsid w:val="00643769"/>
    <w:rsid w:val="00643891"/>
    <w:rsid w:val="00643DCD"/>
    <w:rsid w:val="00643E74"/>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0DD"/>
    <w:rsid w:val="00653217"/>
    <w:rsid w:val="00653273"/>
    <w:rsid w:val="00653FED"/>
    <w:rsid w:val="0065424F"/>
    <w:rsid w:val="006544F6"/>
    <w:rsid w:val="00655070"/>
    <w:rsid w:val="00655223"/>
    <w:rsid w:val="006554D0"/>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48B5"/>
    <w:rsid w:val="00665229"/>
    <w:rsid w:val="00665316"/>
    <w:rsid w:val="006654E8"/>
    <w:rsid w:val="0066568F"/>
    <w:rsid w:val="00665874"/>
    <w:rsid w:val="00665CCE"/>
    <w:rsid w:val="006669D0"/>
    <w:rsid w:val="006672FC"/>
    <w:rsid w:val="00667378"/>
    <w:rsid w:val="0066745C"/>
    <w:rsid w:val="00667A27"/>
    <w:rsid w:val="00670290"/>
    <w:rsid w:val="006704BF"/>
    <w:rsid w:val="00670AD6"/>
    <w:rsid w:val="00670ECD"/>
    <w:rsid w:val="00671010"/>
    <w:rsid w:val="0067106A"/>
    <w:rsid w:val="00671B4F"/>
    <w:rsid w:val="00671B92"/>
    <w:rsid w:val="00671C68"/>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AB8"/>
    <w:rsid w:val="00683D7F"/>
    <w:rsid w:val="00684258"/>
    <w:rsid w:val="0068433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4E"/>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59D"/>
    <w:rsid w:val="006B59AA"/>
    <w:rsid w:val="006B6346"/>
    <w:rsid w:val="006B63EF"/>
    <w:rsid w:val="006B6AD0"/>
    <w:rsid w:val="006B6BA3"/>
    <w:rsid w:val="006B6C83"/>
    <w:rsid w:val="006B6C95"/>
    <w:rsid w:val="006B725C"/>
    <w:rsid w:val="006B7864"/>
    <w:rsid w:val="006C03B2"/>
    <w:rsid w:val="006C09DD"/>
    <w:rsid w:val="006C0D16"/>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DED"/>
    <w:rsid w:val="006C5FF1"/>
    <w:rsid w:val="006C6287"/>
    <w:rsid w:val="006C677C"/>
    <w:rsid w:val="006C6E92"/>
    <w:rsid w:val="006C75C9"/>
    <w:rsid w:val="006C7735"/>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498C"/>
    <w:rsid w:val="006D5457"/>
    <w:rsid w:val="006D549C"/>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C77"/>
    <w:rsid w:val="006E30AB"/>
    <w:rsid w:val="006E3C0C"/>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A2"/>
    <w:rsid w:val="006F0EB1"/>
    <w:rsid w:val="006F195C"/>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49E"/>
    <w:rsid w:val="0070063F"/>
    <w:rsid w:val="0070124B"/>
    <w:rsid w:val="007017EA"/>
    <w:rsid w:val="0070181F"/>
    <w:rsid w:val="00701918"/>
    <w:rsid w:val="0070193E"/>
    <w:rsid w:val="00701B27"/>
    <w:rsid w:val="00701F97"/>
    <w:rsid w:val="00702756"/>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8AC"/>
    <w:rsid w:val="00710994"/>
    <w:rsid w:val="007109CD"/>
    <w:rsid w:val="00710A3E"/>
    <w:rsid w:val="00710D33"/>
    <w:rsid w:val="00711760"/>
    <w:rsid w:val="0071196B"/>
    <w:rsid w:val="00711A0F"/>
    <w:rsid w:val="00711AE4"/>
    <w:rsid w:val="00711B30"/>
    <w:rsid w:val="00711D10"/>
    <w:rsid w:val="00711D73"/>
    <w:rsid w:val="00712202"/>
    <w:rsid w:val="007127EC"/>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4CE4"/>
    <w:rsid w:val="00724F2C"/>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474"/>
    <w:rsid w:val="00734678"/>
    <w:rsid w:val="0073497A"/>
    <w:rsid w:val="0073532A"/>
    <w:rsid w:val="0073637C"/>
    <w:rsid w:val="00736886"/>
    <w:rsid w:val="00736D7B"/>
    <w:rsid w:val="00737086"/>
    <w:rsid w:val="007377ED"/>
    <w:rsid w:val="007379C8"/>
    <w:rsid w:val="007406A2"/>
    <w:rsid w:val="007406C0"/>
    <w:rsid w:val="00740AC1"/>
    <w:rsid w:val="00740B5C"/>
    <w:rsid w:val="00740BF9"/>
    <w:rsid w:val="0074108B"/>
    <w:rsid w:val="00741434"/>
    <w:rsid w:val="007415B6"/>
    <w:rsid w:val="0074189F"/>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167"/>
    <w:rsid w:val="00746199"/>
    <w:rsid w:val="00747446"/>
    <w:rsid w:val="00747AB5"/>
    <w:rsid w:val="00747BD8"/>
    <w:rsid w:val="00747F05"/>
    <w:rsid w:val="0075038A"/>
    <w:rsid w:val="007503B7"/>
    <w:rsid w:val="007509F9"/>
    <w:rsid w:val="00751F76"/>
    <w:rsid w:val="00752497"/>
    <w:rsid w:val="007524E2"/>
    <w:rsid w:val="00752883"/>
    <w:rsid w:val="00752FE7"/>
    <w:rsid w:val="00753547"/>
    <w:rsid w:val="00753ADD"/>
    <w:rsid w:val="00753F01"/>
    <w:rsid w:val="0075412E"/>
    <w:rsid w:val="0075460F"/>
    <w:rsid w:val="00754747"/>
    <w:rsid w:val="00754D64"/>
    <w:rsid w:val="00754FCC"/>
    <w:rsid w:val="0075522A"/>
    <w:rsid w:val="0075522B"/>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24F"/>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6CB"/>
    <w:rsid w:val="007728F4"/>
    <w:rsid w:val="00772D15"/>
    <w:rsid w:val="00772D37"/>
    <w:rsid w:val="00772DC3"/>
    <w:rsid w:val="007733C4"/>
    <w:rsid w:val="00773EC7"/>
    <w:rsid w:val="007743A1"/>
    <w:rsid w:val="007744EF"/>
    <w:rsid w:val="00775BAA"/>
    <w:rsid w:val="00775EFD"/>
    <w:rsid w:val="00775F11"/>
    <w:rsid w:val="00776564"/>
    <w:rsid w:val="00776679"/>
    <w:rsid w:val="007768F2"/>
    <w:rsid w:val="00776C10"/>
    <w:rsid w:val="00776CAE"/>
    <w:rsid w:val="00776E9E"/>
    <w:rsid w:val="00776F98"/>
    <w:rsid w:val="00777053"/>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35F"/>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A1C"/>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29E"/>
    <w:rsid w:val="007B2638"/>
    <w:rsid w:val="007B2BB1"/>
    <w:rsid w:val="007B3476"/>
    <w:rsid w:val="007B3717"/>
    <w:rsid w:val="007B448A"/>
    <w:rsid w:val="007B44DC"/>
    <w:rsid w:val="007B4543"/>
    <w:rsid w:val="007B4937"/>
    <w:rsid w:val="007B4D3D"/>
    <w:rsid w:val="007B5243"/>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1F49"/>
    <w:rsid w:val="007C26FF"/>
    <w:rsid w:val="007C28F6"/>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3BE8"/>
    <w:rsid w:val="007D415C"/>
    <w:rsid w:val="007D478D"/>
    <w:rsid w:val="007D4838"/>
    <w:rsid w:val="007D4956"/>
    <w:rsid w:val="007D4E78"/>
    <w:rsid w:val="007D4FF2"/>
    <w:rsid w:val="007D512C"/>
    <w:rsid w:val="007D526F"/>
    <w:rsid w:val="007D5B09"/>
    <w:rsid w:val="007D5CFA"/>
    <w:rsid w:val="007D6310"/>
    <w:rsid w:val="007D673F"/>
    <w:rsid w:val="007D68F4"/>
    <w:rsid w:val="007D6CE5"/>
    <w:rsid w:val="007D6E8A"/>
    <w:rsid w:val="007D6EF0"/>
    <w:rsid w:val="007D6F9B"/>
    <w:rsid w:val="007D7042"/>
    <w:rsid w:val="007D7059"/>
    <w:rsid w:val="007E0162"/>
    <w:rsid w:val="007E05CC"/>
    <w:rsid w:val="007E0986"/>
    <w:rsid w:val="007E0C8C"/>
    <w:rsid w:val="007E0D04"/>
    <w:rsid w:val="007E101C"/>
    <w:rsid w:val="007E1479"/>
    <w:rsid w:val="007E1A55"/>
    <w:rsid w:val="007E1A7D"/>
    <w:rsid w:val="007E1CB1"/>
    <w:rsid w:val="007E1EBF"/>
    <w:rsid w:val="007E201B"/>
    <w:rsid w:val="007E2146"/>
    <w:rsid w:val="007E2B64"/>
    <w:rsid w:val="007E2B9D"/>
    <w:rsid w:val="007E3182"/>
    <w:rsid w:val="007E36F8"/>
    <w:rsid w:val="007E3BCE"/>
    <w:rsid w:val="007E4096"/>
    <w:rsid w:val="007E48CD"/>
    <w:rsid w:val="007E48E4"/>
    <w:rsid w:val="007E50E3"/>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0E4B"/>
    <w:rsid w:val="007F0FBA"/>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867"/>
    <w:rsid w:val="00804B2F"/>
    <w:rsid w:val="008053AD"/>
    <w:rsid w:val="008057FF"/>
    <w:rsid w:val="00805D11"/>
    <w:rsid w:val="0080616A"/>
    <w:rsid w:val="0080656E"/>
    <w:rsid w:val="008065D3"/>
    <w:rsid w:val="00806979"/>
    <w:rsid w:val="0080699F"/>
    <w:rsid w:val="00806D29"/>
    <w:rsid w:val="00806F5E"/>
    <w:rsid w:val="00807365"/>
    <w:rsid w:val="0080770D"/>
    <w:rsid w:val="008078D2"/>
    <w:rsid w:val="00807D28"/>
    <w:rsid w:val="00807D5E"/>
    <w:rsid w:val="00807E1B"/>
    <w:rsid w:val="008100D3"/>
    <w:rsid w:val="0081012C"/>
    <w:rsid w:val="00810DE9"/>
    <w:rsid w:val="00810EAE"/>
    <w:rsid w:val="00811036"/>
    <w:rsid w:val="00812027"/>
    <w:rsid w:val="00812258"/>
    <w:rsid w:val="008123D5"/>
    <w:rsid w:val="008124FE"/>
    <w:rsid w:val="008127B0"/>
    <w:rsid w:val="00812FE3"/>
    <w:rsid w:val="008137C6"/>
    <w:rsid w:val="00813CE0"/>
    <w:rsid w:val="00814072"/>
    <w:rsid w:val="008142CD"/>
    <w:rsid w:val="0081433F"/>
    <w:rsid w:val="00814500"/>
    <w:rsid w:val="0081481C"/>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1C9"/>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5CA"/>
    <w:rsid w:val="008276FE"/>
    <w:rsid w:val="00827A41"/>
    <w:rsid w:val="00827AF3"/>
    <w:rsid w:val="00830516"/>
    <w:rsid w:val="00830D70"/>
    <w:rsid w:val="0083179C"/>
    <w:rsid w:val="00832142"/>
    <w:rsid w:val="0083227E"/>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573"/>
    <w:rsid w:val="008419A1"/>
    <w:rsid w:val="00841EE6"/>
    <w:rsid w:val="00841FA0"/>
    <w:rsid w:val="00842061"/>
    <w:rsid w:val="0084296C"/>
    <w:rsid w:val="00842B49"/>
    <w:rsid w:val="00842CFC"/>
    <w:rsid w:val="00842DB7"/>
    <w:rsid w:val="0084387F"/>
    <w:rsid w:val="00843AFD"/>
    <w:rsid w:val="00843B2C"/>
    <w:rsid w:val="008441FE"/>
    <w:rsid w:val="008444F8"/>
    <w:rsid w:val="008445D2"/>
    <w:rsid w:val="00844750"/>
    <w:rsid w:val="00844864"/>
    <w:rsid w:val="00845A92"/>
    <w:rsid w:val="00845F51"/>
    <w:rsid w:val="00846106"/>
    <w:rsid w:val="00846467"/>
    <w:rsid w:val="00846661"/>
    <w:rsid w:val="00846AC4"/>
    <w:rsid w:val="00846C77"/>
    <w:rsid w:val="00846E99"/>
    <w:rsid w:val="00846EE8"/>
    <w:rsid w:val="00847085"/>
    <w:rsid w:val="00847991"/>
    <w:rsid w:val="00847C4E"/>
    <w:rsid w:val="00847F69"/>
    <w:rsid w:val="00850AE8"/>
    <w:rsid w:val="00850B13"/>
    <w:rsid w:val="00851B22"/>
    <w:rsid w:val="00852338"/>
    <w:rsid w:val="00852AA6"/>
    <w:rsid w:val="00853954"/>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2F01"/>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50D"/>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428"/>
    <w:rsid w:val="008829DC"/>
    <w:rsid w:val="00882BB1"/>
    <w:rsid w:val="00883004"/>
    <w:rsid w:val="00883753"/>
    <w:rsid w:val="00883ED6"/>
    <w:rsid w:val="00884255"/>
    <w:rsid w:val="0088425B"/>
    <w:rsid w:val="00884AD8"/>
    <w:rsid w:val="00884CDF"/>
    <w:rsid w:val="0088579F"/>
    <w:rsid w:val="00885AB0"/>
    <w:rsid w:val="00885D5D"/>
    <w:rsid w:val="00885E37"/>
    <w:rsid w:val="00885EC9"/>
    <w:rsid w:val="00885F46"/>
    <w:rsid w:val="00885F7A"/>
    <w:rsid w:val="00886223"/>
    <w:rsid w:val="0088651F"/>
    <w:rsid w:val="008867FD"/>
    <w:rsid w:val="00886C1D"/>
    <w:rsid w:val="008876DF"/>
    <w:rsid w:val="00887771"/>
    <w:rsid w:val="00887FEF"/>
    <w:rsid w:val="008907B2"/>
    <w:rsid w:val="00890BCD"/>
    <w:rsid w:val="00890E0D"/>
    <w:rsid w:val="00890F04"/>
    <w:rsid w:val="00890FBE"/>
    <w:rsid w:val="00891DB2"/>
    <w:rsid w:val="00891F63"/>
    <w:rsid w:val="00892253"/>
    <w:rsid w:val="008922DF"/>
    <w:rsid w:val="00892779"/>
    <w:rsid w:val="00893024"/>
    <w:rsid w:val="00893B3B"/>
    <w:rsid w:val="00893BA4"/>
    <w:rsid w:val="00893DB3"/>
    <w:rsid w:val="008948A0"/>
    <w:rsid w:val="00895243"/>
    <w:rsid w:val="00895285"/>
    <w:rsid w:val="008954DA"/>
    <w:rsid w:val="008957F2"/>
    <w:rsid w:val="00895A0C"/>
    <w:rsid w:val="008961A5"/>
    <w:rsid w:val="0089669B"/>
    <w:rsid w:val="0089699C"/>
    <w:rsid w:val="00896D10"/>
    <w:rsid w:val="00896DF5"/>
    <w:rsid w:val="00896FD8"/>
    <w:rsid w:val="00897082"/>
    <w:rsid w:val="008970F6"/>
    <w:rsid w:val="008972C1"/>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1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A0"/>
    <w:rsid w:val="008B0CD0"/>
    <w:rsid w:val="008B0F9B"/>
    <w:rsid w:val="008B130E"/>
    <w:rsid w:val="008B1651"/>
    <w:rsid w:val="008B175A"/>
    <w:rsid w:val="008B182D"/>
    <w:rsid w:val="008B18CE"/>
    <w:rsid w:val="008B1C0D"/>
    <w:rsid w:val="008B2052"/>
    <w:rsid w:val="008B21F5"/>
    <w:rsid w:val="008B269F"/>
    <w:rsid w:val="008B2A2E"/>
    <w:rsid w:val="008B2AB2"/>
    <w:rsid w:val="008B2B36"/>
    <w:rsid w:val="008B2D1D"/>
    <w:rsid w:val="008B2DEB"/>
    <w:rsid w:val="008B365D"/>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156D"/>
    <w:rsid w:val="008C2236"/>
    <w:rsid w:val="008C2426"/>
    <w:rsid w:val="008C2453"/>
    <w:rsid w:val="008C26B4"/>
    <w:rsid w:val="008C2767"/>
    <w:rsid w:val="008C322F"/>
    <w:rsid w:val="008C39BF"/>
    <w:rsid w:val="008C4B47"/>
    <w:rsid w:val="008C570A"/>
    <w:rsid w:val="008C59D5"/>
    <w:rsid w:val="008C5B10"/>
    <w:rsid w:val="008C6970"/>
    <w:rsid w:val="008C6B61"/>
    <w:rsid w:val="008C6C7A"/>
    <w:rsid w:val="008C6F4F"/>
    <w:rsid w:val="008C6F9B"/>
    <w:rsid w:val="008C6FA2"/>
    <w:rsid w:val="008C7245"/>
    <w:rsid w:val="008C74CC"/>
    <w:rsid w:val="008C76D5"/>
    <w:rsid w:val="008C7856"/>
    <w:rsid w:val="008C7F77"/>
    <w:rsid w:val="008D0459"/>
    <w:rsid w:val="008D05D2"/>
    <w:rsid w:val="008D069D"/>
    <w:rsid w:val="008D0A7A"/>
    <w:rsid w:val="008D0B27"/>
    <w:rsid w:val="008D0D32"/>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A5D"/>
    <w:rsid w:val="008E5B5F"/>
    <w:rsid w:val="008E5D5A"/>
    <w:rsid w:val="008E624A"/>
    <w:rsid w:val="008E6788"/>
    <w:rsid w:val="008E6F35"/>
    <w:rsid w:val="008E743E"/>
    <w:rsid w:val="008E7684"/>
    <w:rsid w:val="008E76C6"/>
    <w:rsid w:val="008E7B04"/>
    <w:rsid w:val="008E7DB3"/>
    <w:rsid w:val="008E7F9D"/>
    <w:rsid w:val="008F0090"/>
    <w:rsid w:val="008F01AB"/>
    <w:rsid w:val="008F044C"/>
    <w:rsid w:val="008F0460"/>
    <w:rsid w:val="008F06E5"/>
    <w:rsid w:val="008F0958"/>
    <w:rsid w:val="008F0B2F"/>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5A0B"/>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5C5"/>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DC2"/>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17E85"/>
    <w:rsid w:val="0092078E"/>
    <w:rsid w:val="00920848"/>
    <w:rsid w:val="009216BF"/>
    <w:rsid w:val="009218D2"/>
    <w:rsid w:val="00921A44"/>
    <w:rsid w:val="00921A74"/>
    <w:rsid w:val="00921C9F"/>
    <w:rsid w:val="00921ED5"/>
    <w:rsid w:val="00921FA1"/>
    <w:rsid w:val="009222A5"/>
    <w:rsid w:val="009225B6"/>
    <w:rsid w:val="00923151"/>
    <w:rsid w:val="009235CF"/>
    <w:rsid w:val="00923821"/>
    <w:rsid w:val="00924108"/>
    <w:rsid w:val="00924368"/>
    <w:rsid w:val="00924A29"/>
    <w:rsid w:val="00924EA1"/>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D15"/>
    <w:rsid w:val="00940232"/>
    <w:rsid w:val="00940A5D"/>
    <w:rsid w:val="00940BCB"/>
    <w:rsid w:val="00940D85"/>
    <w:rsid w:val="00940DF4"/>
    <w:rsid w:val="00940FB5"/>
    <w:rsid w:val="00941259"/>
    <w:rsid w:val="0094148B"/>
    <w:rsid w:val="00941A1C"/>
    <w:rsid w:val="00941B97"/>
    <w:rsid w:val="009421B3"/>
    <w:rsid w:val="00942A33"/>
    <w:rsid w:val="00942BB8"/>
    <w:rsid w:val="00942E21"/>
    <w:rsid w:val="00942EF9"/>
    <w:rsid w:val="0094335F"/>
    <w:rsid w:val="0094376F"/>
    <w:rsid w:val="00944202"/>
    <w:rsid w:val="00944335"/>
    <w:rsid w:val="0094484A"/>
    <w:rsid w:val="00944AF4"/>
    <w:rsid w:val="009456CD"/>
    <w:rsid w:val="00945E49"/>
    <w:rsid w:val="009462D8"/>
    <w:rsid w:val="00946388"/>
    <w:rsid w:val="0094663A"/>
    <w:rsid w:val="00946AA5"/>
    <w:rsid w:val="00946C4B"/>
    <w:rsid w:val="00946D5E"/>
    <w:rsid w:val="009478ED"/>
    <w:rsid w:val="009479E5"/>
    <w:rsid w:val="00950781"/>
    <w:rsid w:val="009509D7"/>
    <w:rsid w:val="00950B09"/>
    <w:rsid w:val="00950CEB"/>
    <w:rsid w:val="00950DD1"/>
    <w:rsid w:val="00950FFB"/>
    <w:rsid w:val="0095130F"/>
    <w:rsid w:val="00951417"/>
    <w:rsid w:val="0095154C"/>
    <w:rsid w:val="0095183E"/>
    <w:rsid w:val="00951995"/>
    <w:rsid w:val="00951C7E"/>
    <w:rsid w:val="00951CF6"/>
    <w:rsid w:val="00951DE9"/>
    <w:rsid w:val="0095259D"/>
    <w:rsid w:val="00952ACA"/>
    <w:rsid w:val="00953424"/>
    <w:rsid w:val="009537A7"/>
    <w:rsid w:val="00953B1F"/>
    <w:rsid w:val="00953C21"/>
    <w:rsid w:val="009548C3"/>
    <w:rsid w:val="00954AC8"/>
    <w:rsid w:val="00954DB5"/>
    <w:rsid w:val="00954E67"/>
    <w:rsid w:val="00955040"/>
    <w:rsid w:val="0095506D"/>
    <w:rsid w:val="009551B9"/>
    <w:rsid w:val="009555E2"/>
    <w:rsid w:val="009557DF"/>
    <w:rsid w:val="00955A2E"/>
    <w:rsid w:val="00955B1F"/>
    <w:rsid w:val="00955D2B"/>
    <w:rsid w:val="00955D6A"/>
    <w:rsid w:val="00955E8D"/>
    <w:rsid w:val="00956101"/>
    <w:rsid w:val="00956430"/>
    <w:rsid w:val="00956957"/>
    <w:rsid w:val="00956AA4"/>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3D3"/>
    <w:rsid w:val="009616FA"/>
    <w:rsid w:val="00961A61"/>
    <w:rsid w:val="00961E6D"/>
    <w:rsid w:val="00961F21"/>
    <w:rsid w:val="009621FF"/>
    <w:rsid w:val="00962F46"/>
    <w:rsid w:val="0096392B"/>
    <w:rsid w:val="0096397B"/>
    <w:rsid w:val="00964E3C"/>
    <w:rsid w:val="00964E69"/>
    <w:rsid w:val="0096504D"/>
    <w:rsid w:val="009654F0"/>
    <w:rsid w:val="009659EA"/>
    <w:rsid w:val="0096691D"/>
    <w:rsid w:val="00966EC4"/>
    <w:rsid w:val="0096758A"/>
    <w:rsid w:val="0096766C"/>
    <w:rsid w:val="00967851"/>
    <w:rsid w:val="00967D2D"/>
    <w:rsid w:val="00970B19"/>
    <w:rsid w:val="00970F7A"/>
    <w:rsid w:val="00970FE3"/>
    <w:rsid w:val="0097165C"/>
    <w:rsid w:val="00971C7D"/>
    <w:rsid w:val="00971EC5"/>
    <w:rsid w:val="00971F6B"/>
    <w:rsid w:val="00971FCC"/>
    <w:rsid w:val="00972007"/>
    <w:rsid w:val="00972562"/>
    <w:rsid w:val="00972618"/>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C3F"/>
    <w:rsid w:val="00974EBD"/>
    <w:rsid w:val="009751BA"/>
    <w:rsid w:val="0097539E"/>
    <w:rsid w:val="0097577E"/>
    <w:rsid w:val="009765CF"/>
    <w:rsid w:val="009766CE"/>
    <w:rsid w:val="009767C2"/>
    <w:rsid w:val="00976D1B"/>
    <w:rsid w:val="00976FFB"/>
    <w:rsid w:val="00977852"/>
    <w:rsid w:val="009778AB"/>
    <w:rsid w:val="00980151"/>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3DF0"/>
    <w:rsid w:val="00984206"/>
    <w:rsid w:val="00984C8E"/>
    <w:rsid w:val="0098511E"/>
    <w:rsid w:val="00985133"/>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9EF"/>
    <w:rsid w:val="00996A8B"/>
    <w:rsid w:val="00996C3B"/>
    <w:rsid w:val="00996CD4"/>
    <w:rsid w:val="0099731A"/>
    <w:rsid w:val="009975D0"/>
    <w:rsid w:val="00997937"/>
    <w:rsid w:val="009979D6"/>
    <w:rsid w:val="00997CA3"/>
    <w:rsid w:val="009A006A"/>
    <w:rsid w:val="009A0212"/>
    <w:rsid w:val="009A031F"/>
    <w:rsid w:val="009A0C1F"/>
    <w:rsid w:val="009A12A5"/>
    <w:rsid w:val="009A1DBA"/>
    <w:rsid w:val="009A1DFF"/>
    <w:rsid w:val="009A2144"/>
    <w:rsid w:val="009A246A"/>
    <w:rsid w:val="009A3183"/>
    <w:rsid w:val="009A3576"/>
    <w:rsid w:val="009A3A6D"/>
    <w:rsid w:val="009A3AB5"/>
    <w:rsid w:val="009A3B70"/>
    <w:rsid w:val="009A3BA5"/>
    <w:rsid w:val="009A4AA9"/>
    <w:rsid w:val="009A516A"/>
    <w:rsid w:val="009A56A7"/>
    <w:rsid w:val="009A6127"/>
    <w:rsid w:val="009A627D"/>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0FC9"/>
    <w:rsid w:val="009C19BC"/>
    <w:rsid w:val="009C19D2"/>
    <w:rsid w:val="009C1D4B"/>
    <w:rsid w:val="009C1E0C"/>
    <w:rsid w:val="009C281C"/>
    <w:rsid w:val="009C2AB0"/>
    <w:rsid w:val="009C32C6"/>
    <w:rsid w:val="009C3D88"/>
    <w:rsid w:val="009C42A3"/>
    <w:rsid w:val="009C4B76"/>
    <w:rsid w:val="009C520B"/>
    <w:rsid w:val="009C5785"/>
    <w:rsid w:val="009C5872"/>
    <w:rsid w:val="009C5874"/>
    <w:rsid w:val="009C59D7"/>
    <w:rsid w:val="009C6768"/>
    <w:rsid w:val="009C6894"/>
    <w:rsid w:val="009C6B3B"/>
    <w:rsid w:val="009C6B7B"/>
    <w:rsid w:val="009C6E93"/>
    <w:rsid w:val="009C73C4"/>
    <w:rsid w:val="009C7CE4"/>
    <w:rsid w:val="009C7F47"/>
    <w:rsid w:val="009D0361"/>
    <w:rsid w:val="009D0720"/>
    <w:rsid w:val="009D0C8D"/>
    <w:rsid w:val="009D12DE"/>
    <w:rsid w:val="009D1342"/>
    <w:rsid w:val="009D15EA"/>
    <w:rsid w:val="009D1ED3"/>
    <w:rsid w:val="009D1F69"/>
    <w:rsid w:val="009D2118"/>
    <w:rsid w:val="009D22EA"/>
    <w:rsid w:val="009D2453"/>
    <w:rsid w:val="009D25D9"/>
    <w:rsid w:val="009D2CDE"/>
    <w:rsid w:val="009D394E"/>
    <w:rsid w:val="009D422B"/>
    <w:rsid w:val="009D42B5"/>
    <w:rsid w:val="009D4303"/>
    <w:rsid w:val="009D478C"/>
    <w:rsid w:val="009D49A4"/>
    <w:rsid w:val="009D4A8E"/>
    <w:rsid w:val="009D4DA3"/>
    <w:rsid w:val="009D4F83"/>
    <w:rsid w:val="009D5A3B"/>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8C3"/>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AB4"/>
    <w:rsid w:val="009E5BEB"/>
    <w:rsid w:val="009E641D"/>
    <w:rsid w:val="009E65A9"/>
    <w:rsid w:val="009E6A64"/>
    <w:rsid w:val="009E6BE1"/>
    <w:rsid w:val="009E6FBA"/>
    <w:rsid w:val="009E6FC8"/>
    <w:rsid w:val="009E7E9B"/>
    <w:rsid w:val="009F0258"/>
    <w:rsid w:val="009F02E1"/>
    <w:rsid w:val="009F056D"/>
    <w:rsid w:val="009F07FC"/>
    <w:rsid w:val="009F0992"/>
    <w:rsid w:val="009F0CD1"/>
    <w:rsid w:val="009F1123"/>
    <w:rsid w:val="009F1140"/>
    <w:rsid w:val="009F187B"/>
    <w:rsid w:val="009F1933"/>
    <w:rsid w:val="009F1C7D"/>
    <w:rsid w:val="009F24CA"/>
    <w:rsid w:val="009F2A94"/>
    <w:rsid w:val="009F2AAF"/>
    <w:rsid w:val="009F2E7E"/>
    <w:rsid w:val="009F33E0"/>
    <w:rsid w:val="009F3A4B"/>
    <w:rsid w:val="009F4196"/>
    <w:rsid w:val="009F41E1"/>
    <w:rsid w:val="009F4375"/>
    <w:rsid w:val="009F4F05"/>
    <w:rsid w:val="009F5104"/>
    <w:rsid w:val="009F5606"/>
    <w:rsid w:val="009F5CA4"/>
    <w:rsid w:val="009F6410"/>
    <w:rsid w:val="009F6457"/>
    <w:rsid w:val="009F7169"/>
    <w:rsid w:val="009F7883"/>
    <w:rsid w:val="009F79BE"/>
    <w:rsid w:val="009F7F0D"/>
    <w:rsid w:val="00A0018E"/>
    <w:rsid w:val="00A00B60"/>
    <w:rsid w:val="00A01006"/>
    <w:rsid w:val="00A010E1"/>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2DB"/>
    <w:rsid w:val="00A10536"/>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8AE"/>
    <w:rsid w:val="00A21A9D"/>
    <w:rsid w:val="00A21AAA"/>
    <w:rsid w:val="00A21E51"/>
    <w:rsid w:val="00A22132"/>
    <w:rsid w:val="00A22207"/>
    <w:rsid w:val="00A22371"/>
    <w:rsid w:val="00A22664"/>
    <w:rsid w:val="00A23243"/>
    <w:rsid w:val="00A23590"/>
    <w:rsid w:val="00A23921"/>
    <w:rsid w:val="00A23E0D"/>
    <w:rsid w:val="00A24002"/>
    <w:rsid w:val="00A2470A"/>
    <w:rsid w:val="00A2481C"/>
    <w:rsid w:val="00A24CCF"/>
    <w:rsid w:val="00A25046"/>
    <w:rsid w:val="00A25296"/>
    <w:rsid w:val="00A253C6"/>
    <w:rsid w:val="00A2585A"/>
    <w:rsid w:val="00A25AD9"/>
    <w:rsid w:val="00A25C9D"/>
    <w:rsid w:val="00A261E4"/>
    <w:rsid w:val="00A265D9"/>
    <w:rsid w:val="00A26883"/>
    <w:rsid w:val="00A26D60"/>
    <w:rsid w:val="00A26EE0"/>
    <w:rsid w:val="00A2702B"/>
    <w:rsid w:val="00A27330"/>
    <w:rsid w:val="00A279DC"/>
    <w:rsid w:val="00A27E3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EF7"/>
    <w:rsid w:val="00A330CB"/>
    <w:rsid w:val="00A3331F"/>
    <w:rsid w:val="00A3393A"/>
    <w:rsid w:val="00A34685"/>
    <w:rsid w:val="00A346E1"/>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8C0"/>
    <w:rsid w:val="00A46FAD"/>
    <w:rsid w:val="00A47B4B"/>
    <w:rsid w:val="00A5044D"/>
    <w:rsid w:val="00A50B00"/>
    <w:rsid w:val="00A50D49"/>
    <w:rsid w:val="00A511FB"/>
    <w:rsid w:val="00A514EB"/>
    <w:rsid w:val="00A516E6"/>
    <w:rsid w:val="00A521E0"/>
    <w:rsid w:val="00A524C8"/>
    <w:rsid w:val="00A5291D"/>
    <w:rsid w:val="00A52DC6"/>
    <w:rsid w:val="00A52EDB"/>
    <w:rsid w:val="00A530C2"/>
    <w:rsid w:val="00A536A3"/>
    <w:rsid w:val="00A54A90"/>
    <w:rsid w:val="00A54B0B"/>
    <w:rsid w:val="00A54D16"/>
    <w:rsid w:val="00A553DF"/>
    <w:rsid w:val="00A5579B"/>
    <w:rsid w:val="00A55877"/>
    <w:rsid w:val="00A55BB7"/>
    <w:rsid w:val="00A55CD6"/>
    <w:rsid w:val="00A55E76"/>
    <w:rsid w:val="00A5637C"/>
    <w:rsid w:val="00A564EA"/>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7D6"/>
    <w:rsid w:val="00A63872"/>
    <w:rsid w:val="00A63A37"/>
    <w:rsid w:val="00A64196"/>
    <w:rsid w:val="00A641CA"/>
    <w:rsid w:val="00A647A9"/>
    <w:rsid w:val="00A649B4"/>
    <w:rsid w:val="00A64BC7"/>
    <w:rsid w:val="00A64EB1"/>
    <w:rsid w:val="00A65417"/>
    <w:rsid w:val="00A655C8"/>
    <w:rsid w:val="00A6563A"/>
    <w:rsid w:val="00A657CF"/>
    <w:rsid w:val="00A65AF7"/>
    <w:rsid w:val="00A65C72"/>
    <w:rsid w:val="00A65FBF"/>
    <w:rsid w:val="00A6636E"/>
    <w:rsid w:val="00A66851"/>
    <w:rsid w:val="00A669D6"/>
    <w:rsid w:val="00A67071"/>
    <w:rsid w:val="00A6743F"/>
    <w:rsid w:val="00A677C1"/>
    <w:rsid w:val="00A67A8E"/>
    <w:rsid w:val="00A67AC6"/>
    <w:rsid w:val="00A7017B"/>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F7"/>
    <w:rsid w:val="00A7735F"/>
    <w:rsid w:val="00A806D6"/>
    <w:rsid w:val="00A8135C"/>
    <w:rsid w:val="00A81633"/>
    <w:rsid w:val="00A81694"/>
    <w:rsid w:val="00A81D9B"/>
    <w:rsid w:val="00A8221B"/>
    <w:rsid w:val="00A82508"/>
    <w:rsid w:val="00A82C1E"/>
    <w:rsid w:val="00A8308B"/>
    <w:rsid w:val="00A831F0"/>
    <w:rsid w:val="00A835B2"/>
    <w:rsid w:val="00A83BF1"/>
    <w:rsid w:val="00A83CA0"/>
    <w:rsid w:val="00A84298"/>
    <w:rsid w:val="00A844CE"/>
    <w:rsid w:val="00A84EBF"/>
    <w:rsid w:val="00A8510D"/>
    <w:rsid w:val="00A85237"/>
    <w:rsid w:val="00A8523D"/>
    <w:rsid w:val="00A85661"/>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340"/>
    <w:rsid w:val="00A91469"/>
    <w:rsid w:val="00A9164F"/>
    <w:rsid w:val="00A91AF4"/>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3"/>
    <w:rsid w:val="00A958D1"/>
    <w:rsid w:val="00A95A3E"/>
    <w:rsid w:val="00A96058"/>
    <w:rsid w:val="00A964EC"/>
    <w:rsid w:val="00A9692B"/>
    <w:rsid w:val="00A96CF6"/>
    <w:rsid w:val="00A96D7E"/>
    <w:rsid w:val="00A9727C"/>
    <w:rsid w:val="00A9763B"/>
    <w:rsid w:val="00A97666"/>
    <w:rsid w:val="00A97B8C"/>
    <w:rsid w:val="00A97DBD"/>
    <w:rsid w:val="00A97EF9"/>
    <w:rsid w:val="00AA0003"/>
    <w:rsid w:val="00AA0050"/>
    <w:rsid w:val="00AA1264"/>
    <w:rsid w:val="00AA13A6"/>
    <w:rsid w:val="00AA158B"/>
    <w:rsid w:val="00AA1740"/>
    <w:rsid w:val="00AA1D12"/>
    <w:rsid w:val="00AA1EEC"/>
    <w:rsid w:val="00AA20A1"/>
    <w:rsid w:val="00AA210C"/>
    <w:rsid w:val="00AA29F2"/>
    <w:rsid w:val="00AA2B6A"/>
    <w:rsid w:val="00AA2CD8"/>
    <w:rsid w:val="00AA30A2"/>
    <w:rsid w:val="00AA39B7"/>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A5"/>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3F10"/>
    <w:rsid w:val="00AD4597"/>
    <w:rsid w:val="00AD48F9"/>
    <w:rsid w:val="00AD4C34"/>
    <w:rsid w:val="00AD57E1"/>
    <w:rsid w:val="00AD6980"/>
    <w:rsid w:val="00AD6C7F"/>
    <w:rsid w:val="00AD6E06"/>
    <w:rsid w:val="00AD6EEB"/>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FA4"/>
    <w:rsid w:val="00AF0FFE"/>
    <w:rsid w:val="00AF1414"/>
    <w:rsid w:val="00AF15C3"/>
    <w:rsid w:val="00AF19CD"/>
    <w:rsid w:val="00AF25F3"/>
    <w:rsid w:val="00AF28B0"/>
    <w:rsid w:val="00AF2A13"/>
    <w:rsid w:val="00AF2DED"/>
    <w:rsid w:val="00AF30C6"/>
    <w:rsid w:val="00AF3560"/>
    <w:rsid w:val="00AF3AF8"/>
    <w:rsid w:val="00AF3C80"/>
    <w:rsid w:val="00AF3C8C"/>
    <w:rsid w:val="00AF4095"/>
    <w:rsid w:val="00AF41FC"/>
    <w:rsid w:val="00AF4447"/>
    <w:rsid w:val="00AF457C"/>
    <w:rsid w:val="00AF4ABD"/>
    <w:rsid w:val="00AF52F6"/>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A21"/>
    <w:rsid w:val="00B03BB8"/>
    <w:rsid w:val="00B03D26"/>
    <w:rsid w:val="00B04AD7"/>
    <w:rsid w:val="00B04D36"/>
    <w:rsid w:val="00B04F11"/>
    <w:rsid w:val="00B05003"/>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5CE"/>
    <w:rsid w:val="00B11882"/>
    <w:rsid w:val="00B11AED"/>
    <w:rsid w:val="00B11E29"/>
    <w:rsid w:val="00B124BE"/>
    <w:rsid w:val="00B12A8C"/>
    <w:rsid w:val="00B13003"/>
    <w:rsid w:val="00B137BE"/>
    <w:rsid w:val="00B13829"/>
    <w:rsid w:val="00B13BB3"/>
    <w:rsid w:val="00B13F1F"/>
    <w:rsid w:val="00B13F73"/>
    <w:rsid w:val="00B14251"/>
    <w:rsid w:val="00B144C1"/>
    <w:rsid w:val="00B147CC"/>
    <w:rsid w:val="00B15141"/>
    <w:rsid w:val="00B151C6"/>
    <w:rsid w:val="00B16815"/>
    <w:rsid w:val="00B16A77"/>
    <w:rsid w:val="00B16B5F"/>
    <w:rsid w:val="00B16D08"/>
    <w:rsid w:val="00B1736C"/>
    <w:rsid w:val="00B17744"/>
    <w:rsid w:val="00B17D3E"/>
    <w:rsid w:val="00B20057"/>
    <w:rsid w:val="00B2043A"/>
    <w:rsid w:val="00B20978"/>
    <w:rsid w:val="00B20CD7"/>
    <w:rsid w:val="00B20E2B"/>
    <w:rsid w:val="00B20EC8"/>
    <w:rsid w:val="00B20F3D"/>
    <w:rsid w:val="00B21016"/>
    <w:rsid w:val="00B214D2"/>
    <w:rsid w:val="00B215F9"/>
    <w:rsid w:val="00B217CD"/>
    <w:rsid w:val="00B21B67"/>
    <w:rsid w:val="00B21CA7"/>
    <w:rsid w:val="00B22472"/>
    <w:rsid w:val="00B225DB"/>
    <w:rsid w:val="00B233A9"/>
    <w:rsid w:val="00B239CC"/>
    <w:rsid w:val="00B23C57"/>
    <w:rsid w:val="00B23E2E"/>
    <w:rsid w:val="00B240FE"/>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37C67"/>
    <w:rsid w:val="00B4003E"/>
    <w:rsid w:val="00B40292"/>
    <w:rsid w:val="00B403FF"/>
    <w:rsid w:val="00B404D6"/>
    <w:rsid w:val="00B406B2"/>
    <w:rsid w:val="00B40D73"/>
    <w:rsid w:val="00B4110D"/>
    <w:rsid w:val="00B411A3"/>
    <w:rsid w:val="00B412CB"/>
    <w:rsid w:val="00B416D8"/>
    <w:rsid w:val="00B41B34"/>
    <w:rsid w:val="00B42879"/>
    <w:rsid w:val="00B430D3"/>
    <w:rsid w:val="00B4327E"/>
    <w:rsid w:val="00B437BD"/>
    <w:rsid w:val="00B43985"/>
    <w:rsid w:val="00B439FA"/>
    <w:rsid w:val="00B43D4D"/>
    <w:rsid w:val="00B440CF"/>
    <w:rsid w:val="00B4418B"/>
    <w:rsid w:val="00B443C5"/>
    <w:rsid w:val="00B4485B"/>
    <w:rsid w:val="00B44B05"/>
    <w:rsid w:val="00B45A61"/>
    <w:rsid w:val="00B45AC0"/>
    <w:rsid w:val="00B46501"/>
    <w:rsid w:val="00B47784"/>
    <w:rsid w:val="00B477B6"/>
    <w:rsid w:val="00B4783F"/>
    <w:rsid w:val="00B47858"/>
    <w:rsid w:val="00B479C7"/>
    <w:rsid w:val="00B47CEF"/>
    <w:rsid w:val="00B50261"/>
    <w:rsid w:val="00B504F7"/>
    <w:rsid w:val="00B50810"/>
    <w:rsid w:val="00B50933"/>
    <w:rsid w:val="00B50E09"/>
    <w:rsid w:val="00B51420"/>
    <w:rsid w:val="00B51526"/>
    <w:rsid w:val="00B515C1"/>
    <w:rsid w:val="00B517F1"/>
    <w:rsid w:val="00B51A40"/>
    <w:rsid w:val="00B51FD9"/>
    <w:rsid w:val="00B5238F"/>
    <w:rsid w:val="00B529F2"/>
    <w:rsid w:val="00B52C23"/>
    <w:rsid w:val="00B52EC8"/>
    <w:rsid w:val="00B5306C"/>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57B29"/>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3B8D"/>
    <w:rsid w:val="00B640AB"/>
    <w:rsid w:val="00B64124"/>
    <w:rsid w:val="00B64398"/>
    <w:rsid w:val="00B64484"/>
    <w:rsid w:val="00B645F8"/>
    <w:rsid w:val="00B64A44"/>
    <w:rsid w:val="00B652B0"/>
    <w:rsid w:val="00B65771"/>
    <w:rsid w:val="00B65BC1"/>
    <w:rsid w:val="00B664EC"/>
    <w:rsid w:val="00B665AF"/>
    <w:rsid w:val="00B66801"/>
    <w:rsid w:val="00B66880"/>
    <w:rsid w:val="00B668B4"/>
    <w:rsid w:val="00B66FFC"/>
    <w:rsid w:val="00B6796C"/>
    <w:rsid w:val="00B67B2B"/>
    <w:rsid w:val="00B7021B"/>
    <w:rsid w:val="00B70333"/>
    <w:rsid w:val="00B70A03"/>
    <w:rsid w:val="00B70A49"/>
    <w:rsid w:val="00B70EDB"/>
    <w:rsid w:val="00B71378"/>
    <w:rsid w:val="00B71A5D"/>
    <w:rsid w:val="00B7273B"/>
    <w:rsid w:val="00B727B8"/>
    <w:rsid w:val="00B72CE6"/>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99B"/>
    <w:rsid w:val="00B820AE"/>
    <w:rsid w:val="00B821AB"/>
    <w:rsid w:val="00B8282F"/>
    <w:rsid w:val="00B82A8C"/>
    <w:rsid w:val="00B83042"/>
    <w:rsid w:val="00B830F7"/>
    <w:rsid w:val="00B8321E"/>
    <w:rsid w:val="00B837F5"/>
    <w:rsid w:val="00B83AC3"/>
    <w:rsid w:val="00B83BDD"/>
    <w:rsid w:val="00B83DAC"/>
    <w:rsid w:val="00B83DF6"/>
    <w:rsid w:val="00B841D6"/>
    <w:rsid w:val="00B84BE8"/>
    <w:rsid w:val="00B855A8"/>
    <w:rsid w:val="00B85837"/>
    <w:rsid w:val="00B85A98"/>
    <w:rsid w:val="00B85F67"/>
    <w:rsid w:val="00B86557"/>
    <w:rsid w:val="00B86822"/>
    <w:rsid w:val="00B86BEC"/>
    <w:rsid w:val="00B87C60"/>
    <w:rsid w:val="00B90165"/>
    <w:rsid w:val="00B90674"/>
    <w:rsid w:val="00B91356"/>
    <w:rsid w:val="00B91E9D"/>
    <w:rsid w:val="00B922C4"/>
    <w:rsid w:val="00B926E0"/>
    <w:rsid w:val="00B92AD4"/>
    <w:rsid w:val="00B92BF1"/>
    <w:rsid w:val="00B93046"/>
    <w:rsid w:val="00B932E1"/>
    <w:rsid w:val="00B93639"/>
    <w:rsid w:val="00B93BA0"/>
    <w:rsid w:val="00B93C36"/>
    <w:rsid w:val="00B94054"/>
    <w:rsid w:val="00B94253"/>
    <w:rsid w:val="00B9436E"/>
    <w:rsid w:val="00B946E7"/>
    <w:rsid w:val="00B94A1C"/>
    <w:rsid w:val="00B94D0D"/>
    <w:rsid w:val="00B950E8"/>
    <w:rsid w:val="00B95372"/>
    <w:rsid w:val="00B953B9"/>
    <w:rsid w:val="00B954FC"/>
    <w:rsid w:val="00B95A04"/>
    <w:rsid w:val="00B95C49"/>
    <w:rsid w:val="00B95EEF"/>
    <w:rsid w:val="00B95FD7"/>
    <w:rsid w:val="00B96228"/>
    <w:rsid w:val="00B96313"/>
    <w:rsid w:val="00B96CF0"/>
    <w:rsid w:val="00B96DA2"/>
    <w:rsid w:val="00B977E6"/>
    <w:rsid w:val="00B97BC2"/>
    <w:rsid w:val="00BA067F"/>
    <w:rsid w:val="00BA0FFF"/>
    <w:rsid w:val="00BA13E0"/>
    <w:rsid w:val="00BA17C4"/>
    <w:rsid w:val="00BA270E"/>
    <w:rsid w:val="00BA2729"/>
    <w:rsid w:val="00BA283C"/>
    <w:rsid w:val="00BA2AEB"/>
    <w:rsid w:val="00BA2B41"/>
    <w:rsid w:val="00BA3416"/>
    <w:rsid w:val="00BA3603"/>
    <w:rsid w:val="00BA36E8"/>
    <w:rsid w:val="00BA388C"/>
    <w:rsid w:val="00BA3974"/>
    <w:rsid w:val="00BA3C13"/>
    <w:rsid w:val="00BA3CC9"/>
    <w:rsid w:val="00BA3D2F"/>
    <w:rsid w:val="00BA3F29"/>
    <w:rsid w:val="00BA40BE"/>
    <w:rsid w:val="00BA48E0"/>
    <w:rsid w:val="00BA48EB"/>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579"/>
    <w:rsid w:val="00BB277B"/>
    <w:rsid w:val="00BB2835"/>
    <w:rsid w:val="00BB2DAB"/>
    <w:rsid w:val="00BB2DFD"/>
    <w:rsid w:val="00BB365A"/>
    <w:rsid w:val="00BB3782"/>
    <w:rsid w:val="00BB37B0"/>
    <w:rsid w:val="00BB3F4C"/>
    <w:rsid w:val="00BB463D"/>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D6D"/>
    <w:rsid w:val="00BC16BF"/>
    <w:rsid w:val="00BC1B4B"/>
    <w:rsid w:val="00BC201A"/>
    <w:rsid w:val="00BC2BC7"/>
    <w:rsid w:val="00BC2F45"/>
    <w:rsid w:val="00BC344E"/>
    <w:rsid w:val="00BC38B8"/>
    <w:rsid w:val="00BC3CF8"/>
    <w:rsid w:val="00BC4B9C"/>
    <w:rsid w:val="00BC5181"/>
    <w:rsid w:val="00BC56C1"/>
    <w:rsid w:val="00BC58CC"/>
    <w:rsid w:val="00BC5CE2"/>
    <w:rsid w:val="00BC60D3"/>
    <w:rsid w:val="00BC642E"/>
    <w:rsid w:val="00BC6742"/>
    <w:rsid w:val="00BC71C5"/>
    <w:rsid w:val="00BC7659"/>
    <w:rsid w:val="00BC791C"/>
    <w:rsid w:val="00BC7A42"/>
    <w:rsid w:val="00BC7E6E"/>
    <w:rsid w:val="00BD013E"/>
    <w:rsid w:val="00BD0383"/>
    <w:rsid w:val="00BD082C"/>
    <w:rsid w:val="00BD0ECB"/>
    <w:rsid w:val="00BD0FC4"/>
    <w:rsid w:val="00BD12BF"/>
    <w:rsid w:val="00BD13ED"/>
    <w:rsid w:val="00BD140B"/>
    <w:rsid w:val="00BD1749"/>
    <w:rsid w:val="00BD1DB6"/>
    <w:rsid w:val="00BD238C"/>
    <w:rsid w:val="00BD2A08"/>
    <w:rsid w:val="00BD2F55"/>
    <w:rsid w:val="00BD37A7"/>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50D"/>
    <w:rsid w:val="00BD689C"/>
    <w:rsid w:val="00BD6A22"/>
    <w:rsid w:val="00BD78B8"/>
    <w:rsid w:val="00BD7A82"/>
    <w:rsid w:val="00BD7F9E"/>
    <w:rsid w:val="00BE072F"/>
    <w:rsid w:val="00BE0C3B"/>
    <w:rsid w:val="00BE13B8"/>
    <w:rsid w:val="00BE15A3"/>
    <w:rsid w:val="00BE197A"/>
    <w:rsid w:val="00BE1A06"/>
    <w:rsid w:val="00BE223D"/>
    <w:rsid w:val="00BE2E99"/>
    <w:rsid w:val="00BE3389"/>
    <w:rsid w:val="00BE3AFA"/>
    <w:rsid w:val="00BE3F52"/>
    <w:rsid w:val="00BE403F"/>
    <w:rsid w:val="00BE5515"/>
    <w:rsid w:val="00BE55EB"/>
    <w:rsid w:val="00BE5613"/>
    <w:rsid w:val="00BE5813"/>
    <w:rsid w:val="00BE5C7E"/>
    <w:rsid w:val="00BE65B3"/>
    <w:rsid w:val="00BE68B9"/>
    <w:rsid w:val="00BE7265"/>
    <w:rsid w:val="00BE76E2"/>
    <w:rsid w:val="00BE7B27"/>
    <w:rsid w:val="00BF0089"/>
    <w:rsid w:val="00BF02E6"/>
    <w:rsid w:val="00BF04BF"/>
    <w:rsid w:val="00BF0A66"/>
    <w:rsid w:val="00BF10D2"/>
    <w:rsid w:val="00BF10D6"/>
    <w:rsid w:val="00BF120B"/>
    <w:rsid w:val="00BF1309"/>
    <w:rsid w:val="00BF18B9"/>
    <w:rsid w:val="00BF1B70"/>
    <w:rsid w:val="00BF220D"/>
    <w:rsid w:val="00BF252B"/>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491"/>
    <w:rsid w:val="00BF7548"/>
    <w:rsid w:val="00BF7CDD"/>
    <w:rsid w:val="00BF7D43"/>
    <w:rsid w:val="00C002BF"/>
    <w:rsid w:val="00C00B8B"/>
    <w:rsid w:val="00C00F1A"/>
    <w:rsid w:val="00C010F5"/>
    <w:rsid w:val="00C01835"/>
    <w:rsid w:val="00C01DFD"/>
    <w:rsid w:val="00C02192"/>
    <w:rsid w:val="00C0279C"/>
    <w:rsid w:val="00C02CDE"/>
    <w:rsid w:val="00C03B7B"/>
    <w:rsid w:val="00C03C30"/>
    <w:rsid w:val="00C03E32"/>
    <w:rsid w:val="00C04339"/>
    <w:rsid w:val="00C04C6C"/>
    <w:rsid w:val="00C057E0"/>
    <w:rsid w:val="00C05863"/>
    <w:rsid w:val="00C05C20"/>
    <w:rsid w:val="00C06031"/>
    <w:rsid w:val="00C06066"/>
    <w:rsid w:val="00C0648A"/>
    <w:rsid w:val="00C067A4"/>
    <w:rsid w:val="00C06F8C"/>
    <w:rsid w:val="00C07358"/>
    <w:rsid w:val="00C07A6C"/>
    <w:rsid w:val="00C07AE3"/>
    <w:rsid w:val="00C07AE4"/>
    <w:rsid w:val="00C10599"/>
    <w:rsid w:val="00C10F46"/>
    <w:rsid w:val="00C1114F"/>
    <w:rsid w:val="00C11183"/>
    <w:rsid w:val="00C11197"/>
    <w:rsid w:val="00C1157C"/>
    <w:rsid w:val="00C11580"/>
    <w:rsid w:val="00C11C33"/>
    <w:rsid w:val="00C11C73"/>
    <w:rsid w:val="00C11FE5"/>
    <w:rsid w:val="00C11FF6"/>
    <w:rsid w:val="00C12068"/>
    <w:rsid w:val="00C12EB5"/>
    <w:rsid w:val="00C1328A"/>
    <w:rsid w:val="00C13504"/>
    <w:rsid w:val="00C13C8A"/>
    <w:rsid w:val="00C13F22"/>
    <w:rsid w:val="00C140FE"/>
    <w:rsid w:val="00C14217"/>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1D7"/>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17"/>
    <w:rsid w:val="00C3375A"/>
    <w:rsid w:val="00C337EC"/>
    <w:rsid w:val="00C339DE"/>
    <w:rsid w:val="00C33AA7"/>
    <w:rsid w:val="00C33DCE"/>
    <w:rsid w:val="00C3463A"/>
    <w:rsid w:val="00C346BB"/>
    <w:rsid w:val="00C346C1"/>
    <w:rsid w:val="00C34BDB"/>
    <w:rsid w:val="00C34C05"/>
    <w:rsid w:val="00C34D4B"/>
    <w:rsid w:val="00C34F16"/>
    <w:rsid w:val="00C350CD"/>
    <w:rsid w:val="00C3566B"/>
    <w:rsid w:val="00C35B23"/>
    <w:rsid w:val="00C36050"/>
    <w:rsid w:val="00C361B0"/>
    <w:rsid w:val="00C36463"/>
    <w:rsid w:val="00C367B9"/>
    <w:rsid w:val="00C36DAD"/>
    <w:rsid w:val="00C37050"/>
    <w:rsid w:val="00C37F8D"/>
    <w:rsid w:val="00C4018E"/>
    <w:rsid w:val="00C403B0"/>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11E"/>
    <w:rsid w:val="00C47AE8"/>
    <w:rsid w:val="00C47B93"/>
    <w:rsid w:val="00C47BDE"/>
    <w:rsid w:val="00C5002F"/>
    <w:rsid w:val="00C508B7"/>
    <w:rsid w:val="00C509D3"/>
    <w:rsid w:val="00C50F80"/>
    <w:rsid w:val="00C51696"/>
    <w:rsid w:val="00C51D11"/>
    <w:rsid w:val="00C51D30"/>
    <w:rsid w:val="00C51D5C"/>
    <w:rsid w:val="00C51F21"/>
    <w:rsid w:val="00C521CD"/>
    <w:rsid w:val="00C5257E"/>
    <w:rsid w:val="00C530E0"/>
    <w:rsid w:val="00C531B4"/>
    <w:rsid w:val="00C532F9"/>
    <w:rsid w:val="00C53E22"/>
    <w:rsid w:val="00C54564"/>
    <w:rsid w:val="00C54989"/>
    <w:rsid w:val="00C54C14"/>
    <w:rsid w:val="00C54C62"/>
    <w:rsid w:val="00C54CBD"/>
    <w:rsid w:val="00C54CDD"/>
    <w:rsid w:val="00C55161"/>
    <w:rsid w:val="00C5589B"/>
    <w:rsid w:val="00C55A58"/>
    <w:rsid w:val="00C55E23"/>
    <w:rsid w:val="00C5638E"/>
    <w:rsid w:val="00C56918"/>
    <w:rsid w:val="00C569CA"/>
    <w:rsid w:val="00C5733A"/>
    <w:rsid w:val="00C57CC6"/>
    <w:rsid w:val="00C57D22"/>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03A"/>
    <w:rsid w:val="00C6409E"/>
    <w:rsid w:val="00C64849"/>
    <w:rsid w:val="00C6560B"/>
    <w:rsid w:val="00C6560D"/>
    <w:rsid w:val="00C656A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77F"/>
    <w:rsid w:val="00C76941"/>
    <w:rsid w:val="00C76952"/>
    <w:rsid w:val="00C7731D"/>
    <w:rsid w:val="00C7799E"/>
    <w:rsid w:val="00C80441"/>
    <w:rsid w:val="00C80547"/>
    <w:rsid w:val="00C80DB5"/>
    <w:rsid w:val="00C8198E"/>
    <w:rsid w:val="00C81A85"/>
    <w:rsid w:val="00C81B30"/>
    <w:rsid w:val="00C8220B"/>
    <w:rsid w:val="00C82387"/>
    <w:rsid w:val="00C823D0"/>
    <w:rsid w:val="00C82BA3"/>
    <w:rsid w:val="00C831FC"/>
    <w:rsid w:val="00C8395C"/>
    <w:rsid w:val="00C83D50"/>
    <w:rsid w:val="00C84231"/>
    <w:rsid w:val="00C847C8"/>
    <w:rsid w:val="00C84D5A"/>
    <w:rsid w:val="00C85034"/>
    <w:rsid w:val="00C8534D"/>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46B"/>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A6517"/>
    <w:rsid w:val="00CB01BC"/>
    <w:rsid w:val="00CB03CF"/>
    <w:rsid w:val="00CB047F"/>
    <w:rsid w:val="00CB0CFE"/>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4C7"/>
    <w:rsid w:val="00CC27F5"/>
    <w:rsid w:val="00CC2D18"/>
    <w:rsid w:val="00CC2EFE"/>
    <w:rsid w:val="00CC32B0"/>
    <w:rsid w:val="00CC3D8D"/>
    <w:rsid w:val="00CC3E8C"/>
    <w:rsid w:val="00CC400F"/>
    <w:rsid w:val="00CC4365"/>
    <w:rsid w:val="00CC4C5E"/>
    <w:rsid w:val="00CC4CD7"/>
    <w:rsid w:val="00CC4F58"/>
    <w:rsid w:val="00CC57AE"/>
    <w:rsid w:val="00CC57B3"/>
    <w:rsid w:val="00CC606C"/>
    <w:rsid w:val="00CC620F"/>
    <w:rsid w:val="00CC6DFB"/>
    <w:rsid w:val="00CC728B"/>
    <w:rsid w:val="00CC7356"/>
    <w:rsid w:val="00CC74D5"/>
    <w:rsid w:val="00CC7A6D"/>
    <w:rsid w:val="00CC7DF5"/>
    <w:rsid w:val="00CD04B6"/>
    <w:rsid w:val="00CD0740"/>
    <w:rsid w:val="00CD0768"/>
    <w:rsid w:val="00CD0C03"/>
    <w:rsid w:val="00CD14CB"/>
    <w:rsid w:val="00CD179D"/>
    <w:rsid w:val="00CD18CC"/>
    <w:rsid w:val="00CD1D09"/>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B1"/>
    <w:rsid w:val="00CD5ADA"/>
    <w:rsid w:val="00CD5C02"/>
    <w:rsid w:val="00CD5F80"/>
    <w:rsid w:val="00CD61E3"/>
    <w:rsid w:val="00CD6823"/>
    <w:rsid w:val="00CD6D63"/>
    <w:rsid w:val="00CD6E0B"/>
    <w:rsid w:val="00CD787F"/>
    <w:rsid w:val="00CD7A86"/>
    <w:rsid w:val="00CE025E"/>
    <w:rsid w:val="00CE030D"/>
    <w:rsid w:val="00CE03B6"/>
    <w:rsid w:val="00CE05F2"/>
    <w:rsid w:val="00CE0AF7"/>
    <w:rsid w:val="00CE0CBF"/>
    <w:rsid w:val="00CE0E84"/>
    <w:rsid w:val="00CE0F12"/>
    <w:rsid w:val="00CE112E"/>
    <w:rsid w:val="00CE1225"/>
    <w:rsid w:val="00CE132D"/>
    <w:rsid w:val="00CE143E"/>
    <w:rsid w:val="00CE19F2"/>
    <w:rsid w:val="00CE24A8"/>
    <w:rsid w:val="00CE253D"/>
    <w:rsid w:val="00CE3257"/>
    <w:rsid w:val="00CE38AA"/>
    <w:rsid w:val="00CE3CDC"/>
    <w:rsid w:val="00CE3D16"/>
    <w:rsid w:val="00CE48F9"/>
    <w:rsid w:val="00CE4E7D"/>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225"/>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6FE"/>
    <w:rsid w:val="00CF5EE9"/>
    <w:rsid w:val="00CF61A3"/>
    <w:rsid w:val="00CF6623"/>
    <w:rsid w:val="00CF66DE"/>
    <w:rsid w:val="00CF6848"/>
    <w:rsid w:val="00CF6AF3"/>
    <w:rsid w:val="00CF6C9A"/>
    <w:rsid w:val="00CF74F6"/>
    <w:rsid w:val="00CF76AE"/>
    <w:rsid w:val="00CF7CCF"/>
    <w:rsid w:val="00CF7D8D"/>
    <w:rsid w:val="00D001E2"/>
    <w:rsid w:val="00D00249"/>
    <w:rsid w:val="00D0033A"/>
    <w:rsid w:val="00D00522"/>
    <w:rsid w:val="00D00B22"/>
    <w:rsid w:val="00D00FCA"/>
    <w:rsid w:val="00D01005"/>
    <w:rsid w:val="00D017EE"/>
    <w:rsid w:val="00D01C73"/>
    <w:rsid w:val="00D02369"/>
    <w:rsid w:val="00D027E5"/>
    <w:rsid w:val="00D02AFC"/>
    <w:rsid w:val="00D02C36"/>
    <w:rsid w:val="00D02E17"/>
    <w:rsid w:val="00D02F2F"/>
    <w:rsid w:val="00D04A63"/>
    <w:rsid w:val="00D04FC8"/>
    <w:rsid w:val="00D050BA"/>
    <w:rsid w:val="00D05F62"/>
    <w:rsid w:val="00D05FD4"/>
    <w:rsid w:val="00D06088"/>
    <w:rsid w:val="00D060F9"/>
    <w:rsid w:val="00D0675C"/>
    <w:rsid w:val="00D06800"/>
    <w:rsid w:val="00D06B22"/>
    <w:rsid w:val="00D06DED"/>
    <w:rsid w:val="00D070AD"/>
    <w:rsid w:val="00D073D1"/>
    <w:rsid w:val="00D078A7"/>
    <w:rsid w:val="00D078A9"/>
    <w:rsid w:val="00D078C9"/>
    <w:rsid w:val="00D07D73"/>
    <w:rsid w:val="00D07DCA"/>
    <w:rsid w:val="00D07E5F"/>
    <w:rsid w:val="00D1023A"/>
    <w:rsid w:val="00D104DE"/>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15D"/>
    <w:rsid w:val="00D14204"/>
    <w:rsid w:val="00D1552A"/>
    <w:rsid w:val="00D15BED"/>
    <w:rsid w:val="00D15D9D"/>
    <w:rsid w:val="00D1624D"/>
    <w:rsid w:val="00D16AF7"/>
    <w:rsid w:val="00D17327"/>
    <w:rsid w:val="00D17869"/>
    <w:rsid w:val="00D1792B"/>
    <w:rsid w:val="00D17F37"/>
    <w:rsid w:val="00D202D3"/>
    <w:rsid w:val="00D2171B"/>
    <w:rsid w:val="00D217CE"/>
    <w:rsid w:val="00D21A77"/>
    <w:rsid w:val="00D21B8C"/>
    <w:rsid w:val="00D22148"/>
    <w:rsid w:val="00D229A3"/>
    <w:rsid w:val="00D22D40"/>
    <w:rsid w:val="00D22F49"/>
    <w:rsid w:val="00D23556"/>
    <w:rsid w:val="00D23A1F"/>
    <w:rsid w:val="00D23B89"/>
    <w:rsid w:val="00D23CE2"/>
    <w:rsid w:val="00D243F3"/>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3A6"/>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3E1A"/>
    <w:rsid w:val="00D54370"/>
    <w:rsid w:val="00D5438E"/>
    <w:rsid w:val="00D54C59"/>
    <w:rsid w:val="00D54D88"/>
    <w:rsid w:val="00D5521C"/>
    <w:rsid w:val="00D554AE"/>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94"/>
    <w:rsid w:val="00D62DDF"/>
    <w:rsid w:val="00D62DEC"/>
    <w:rsid w:val="00D62E00"/>
    <w:rsid w:val="00D62F9E"/>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7E0"/>
    <w:rsid w:val="00D66C66"/>
    <w:rsid w:val="00D66DAA"/>
    <w:rsid w:val="00D672A9"/>
    <w:rsid w:val="00D67888"/>
    <w:rsid w:val="00D7010A"/>
    <w:rsid w:val="00D7024F"/>
    <w:rsid w:val="00D7040B"/>
    <w:rsid w:val="00D7066F"/>
    <w:rsid w:val="00D70B5B"/>
    <w:rsid w:val="00D70F5E"/>
    <w:rsid w:val="00D70F87"/>
    <w:rsid w:val="00D7123A"/>
    <w:rsid w:val="00D71BD5"/>
    <w:rsid w:val="00D72265"/>
    <w:rsid w:val="00D72829"/>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481"/>
    <w:rsid w:val="00D75843"/>
    <w:rsid w:val="00D758A1"/>
    <w:rsid w:val="00D75E85"/>
    <w:rsid w:val="00D75F68"/>
    <w:rsid w:val="00D76139"/>
    <w:rsid w:val="00D7643F"/>
    <w:rsid w:val="00D769F0"/>
    <w:rsid w:val="00D76E0D"/>
    <w:rsid w:val="00D76E83"/>
    <w:rsid w:val="00D771C9"/>
    <w:rsid w:val="00D800A1"/>
    <w:rsid w:val="00D8036A"/>
    <w:rsid w:val="00D80AB8"/>
    <w:rsid w:val="00D80C93"/>
    <w:rsid w:val="00D80CCB"/>
    <w:rsid w:val="00D81307"/>
    <w:rsid w:val="00D81454"/>
    <w:rsid w:val="00D81465"/>
    <w:rsid w:val="00D8176B"/>
    <w:rsid w:val="00D817FD"/>
    <w:rsid w:val="00D820F3"/>
    <w:rsid w:val="00D829AC"/>
    <w:rsid w:val="00D82AA1"/>
    <w:rsid w:val="00D83401"/>
    <w:rsid w:val="00D83850"/>
    <w:rsid w:val="00D84268"/>
    <w:rsid w:val="00D84278"/>
    <w:rsid w:val="00D846C5"/>
    <w:rsid w:val="00D847C6"/>
    <w:rsid w:val="00D86041"/>
    <w:rsid w:val="00D86ACF"/>
    <w:rsid w:val="00D86B37"/>
    <w:rsid w:val="00D86EF6"/>
    <w:rsid w:val="00D87154"/>
    <w:rsid w:val="00D8778A"/>
    <w:rsid w:val="00D91009"/>
    <w:rsid w:val="00D9120D"/>
    <w:rsid w:val="00D9126A"/>
    <w:rsid w:val="00D912DF"/>
    <w:rsid w:val="00D9171E"/>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83A"/>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494"/>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42B"/>
    <w:rsid w:val="00DB6681"/>
    <w:rsid w:val="00DB6DB4"/>
    <w:rsid w:val="00DB70B3"/>
    <w:rsid w:val="00DB749A"/>
    <w:rsid w:val="00DB7E8C"/>
    <w:rsid w:val="00DC0B65"/>
    <w:rsid w:val="00DC0F93"/>
    <w:rsid w:val="00DC1384"/>
    <w:rsid w:val="00DC1479"/>
    <w:rsid w:val="00DC1624"/>
    <w:rsid w:val="00DC1763"/>
    <w:rsid w:val="00DC22B7"/>
    <w:rsid w:val="00DC2435"/>
    <w:rsid w:val="00DC257F"/>
    <w:rsid w:val="00DC2898"/>
    <w:rsid w:val="00DC28A6"/>
    <w:rsid w:val="00DC28EC"/>
    <w:rsid w:val="00DC3093"/>
    <w:rsid w:val="00DC3417"/>
    <w:rsid w:val="00DC3DE4"/>
    <w:rsid w:val="00DC4796"/>
    <w:rsid w:val="00DC4D82"/>
    <w:rsid w:val="00DC5015"/>
    <w:rsid w:val="00DC522F"/>
    <w:rsid w:val="00DC588E"/>
    <w:rsid w:val="00DC5E7A"/>
    <w:rsid w:val="00DC6035"/>
    <w:rsid w:val="00DC65D8"/>
    <w:rsid w:val="00DC6870"/>
    <w:rsid w:val="00DC69C6"/>
    <w:rsid w:val="00DC6A94"/>
    <w:rsid w:val="00DC6E29"/>
    <w:rsid w:val="00DC7354"/>
    <w:rsid w:val="00DC75B3"/>
    <w:rsid w:val="00DC7890"/>
    <w:rsid w:val="00DC79A3"/>
    <w:rsid w:val="00DC7E92"/>
    <w:rsid w:val="00DC7F00"/>
    <w:rsid w:val="00DD02C4"/>
    <w:rsid w:val="00DD044C"/>
    <w:rsid w:val="00DD0960"/>
    <w:rsid w:val="00DD0BE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4D6C"/>
    <w:rsid w:val="00DD4D8E"/>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00F"/>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82B"/>
    <w:rsid w:val="00DF08F9"/>
    <w:rsid w:val="00DF0AE9"/>
    <w:rsid w:val="00DF0D33"/>
    <w:rsid w:val="00DF0E63"/>
    <w:rsid w:val="00DF12DC"/>
    <w:rsid w:val="00DF1300"/>
    <w:rsid w:val="00DF1EB6"/>
    <w:rsid w:val="00DF1FD6"/>
    <w:rsid w:val="00DF32AF"/>
    <w:rsid w:val="00DF3307"/>
    <w:rsid w:val="00DF360E"/>
    <w:rsid w:val="00DF3623"/>
    <w:rsid w:val="00DF395E"/>
    <w:rsid w:val="00DF3A2C"/>
    <w:rsid w:val="00DF4158"/>
    <w:rsid w:val="00DF41DA"/>
    <w:rsid w:val="00DF4430"/>
    <w:rsid w:val="00DF4920"/>
    <w:rsid w:val="00DF4DEA"/>
    <w:rsid w:val="00DF4F19"/>
    <w:rsid w:val="00DF4FEC"/>
    <w:rsid w:val="00DF5002"/>
    <w:rsid w:val="00DF5270"/>
    <w:rsid w:val="00DF5B4C"/>
    <w:rsid w:val="00DF6014"/>
    <w:rsid w:val="00DF6531"/>
    <w:rsid w:val="00DF6824"/>
    <w:rsid w:val="00DF69A9"/>
    <w:rsid w:val="00DF6A83"/>
    <w:rsid w:val="00DF7226"/>
    <w:rsid w:val="00DF7BC3"/>
    <w:rsid w:val="00E00048"/>
    <w:rsid w:val="00E00368"/>
    <w:rsid w:val="00E005F5"/>
    <w:rsid w:val="00E00A07"/>
    <w:rsid w:val="00E00A92"/>
    <w:rsid w:val="00E0125C"/>
    <w:rsid w:val="00E01395"/>
    <w:rsid w:val="00E019EA"/>
    <w:rsid w:val="00E01A5C"/>
    <w:rsid w:val="00E02304"/>
    <w:rsid w:val="00E028E6"/>
    <w:rsid w:val="00E02C20"/>
    <w:rsid w:val="00E0324B"/>
    <w:rsid w:val="00E0345F"/>
    <w:rsid w:val="00E03BEA"/>
    <w:rsid w:val="00E0401E"/>
    <w:rsid w:val="00E0438C"/>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0B84"/>
    <w:rsid w:val="00E11075"/>
    <w:rsid w:val="00E11E29"/>
    <w:rsid w:val="00E11EB8"/>
    <w:rsid w:val="00E1273A"/>
    <w:rsid w:val="00E12933"/>
    <w:rsid w:val="00E12A5A"/>
    <w:rsid w:val="00E12AF0"/>
    <w:rsid w:val="00E12FB2"/>
    <w:rsid w:val="00E13622"/>
    <w:rsid w:val="00E136AE"/>
    <w:rsid w:val="00E139D0"/>
    <w:rsid w:val="00E143F1"/>
    <w:rsid w:val="00E145A7"/>
    <w:rsid w:val="00E145E0"/>
    <w:rsid w:val="00E147E5"/>
    <w:rsid w:val="00E14913"/>
    <w:rsid w:val="00E149D5"/>
    <w:rsid w:val="00E150B1"/>
    <w:rsid w:val="00E152A7"/>
    <w:rsid w:val="00E15352"/>
    <w:rsid w:val="00E154A1"/>
    <w:rsid w:val="00E15DF9"/>
    <w:rsid w:val="00E15E8A"/>
    <w:rsid w:val="00E15ED2"/>
    <w:rsid w:val="00E164E8"/>
    <w:rsid w:val="00E1654E"/>
    <w:rsid w:val="00E167D4"/>
    <w:rsid w:val="00E169EC"/>
    <w:rsid w:val="00E16A7B"/>
    <w:rsid w:val="00E172D5"/>
    <w:rsid w:val="00E175FF"/>
    <w:rsid w:val="00E17C3F"/>
    <w:rsid w:val="00E17CFB"/>
    <w:rsid w:val="00E200EF"/>
    <w:rsid w:val="00E201E3"/>
    <w:rsid w:val="00E20661"/>
    <w:rsid w:val="00E2069A"/>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6FC8"/>
    <w:rsid w:val="00E272FE"/>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7D9"/>
    <w:rsid w:val="00E35AC2"/>
    <w:rsid w:val="00E35EB9"/>
    <w:rsid w:val="00E35F47"/>
    <w:rsid w:val="00E3610B"/>
    <w:rsid w:val="00E363B9"/>
    <w:rsid w:val="00E36AED"/>
    <w:rsid w:val="00E377BF"/>
    <w:rsid w:val="00E37C25"/>
    <w:rsid w:val="00E40362"/>
    <w:rsid w:val="00E411B6"/>
    <w:rsid w:val="00E41BAC"/>
    <w:rsid w:val="00E42532"/>
    <w:rsid w:val="00E42D71"/>
    <w:rsid w:val="00E432AE"/>
    <w:rsid w:val="00E434D2"/>
    <w:rsid w:val="00E4356E"/>
    <w:rsid w:val="00E4386C"/>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5A3"/>
    <w:rsid w:val="00E51A1D"/>
    <w:rsid w:val="00E51E23"/>
    <w:rsid w:val="00E523F3"/>
    <w:rsid w:val="00E52F76"/>
    <w:rsid w:val="00E5315C"/>
    <w:rsid w:val="00E534EA"/>
    <w:rsid w:val="00E538E0"/>
    <w:rsid w:val="00E5457E"/>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135"/>
    <w:rsid w:val="00E643D0"/>
    <w:rsid w:val="00E64763"/>
    <w:rsid w:val="00E647DC"/>
    <w:rsid w:val="00E6484F"/>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240"/>
    <w:rsid w:val="00E739A7"/>
    <w:rsid w:val="00E73B87"/>
    <w:rsid w:val="00E73E01"/>
    <w:rsid w:val="00E7449A"/>
    <w:rsid w:val="00E74B5A"/>
    <w:rsid w:val="00E7524F"/>
    <w:rsid w:val="00E7556D"/>
    <w:rsid w:val="00E755A5"/>
    <w:rsid w:val="00E75693"/>
    <w:rsid w:val="00E756FB"/>
    <w:rsid w:val="00E76141"/>
    <w:rsid w:val="00E76270"/>
    <w:rsid w:val="00E76B45"/>
    <w:rsid w:val="00E77040"/>
    <w:rsid w:val="00E772C4"/>
    <w:rsid w:val="00E77655"/>
    <w:rsid w:val="00E8016D"/>
    <w:rsid w:val="00E803CC"/>
    <w:rsid w:val="00E810EC"/>
    <w:rsid w:val="00E8112C"/>
    <w:rsid w:val="00E81587"/>
    <w:rsid w:val="00E81B02"/>
    <w:rsid w:val="00E826C8"/>
    <w:rsid w:val="00E82819"/>
    <w:rsid w:val="00E82EE0"/>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49"/>
    <w:rsid w:val="00E87182"/>
    <w:rsid w:val="00E879F0"/>
    <w:rsid w:val="00E87AE6"/>
    <w:rsid w:val="00E87BC7"/>
    <w:rsid w:val="00E91139"/>
    <w:rsid w:val="00E915E1"/>
    <w:rsid w:val="00E91845"/>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B99"/>
    <w:rsid w:val="00E93D80"/>
    <w:rsid w:val="00E94307"/>
    <w:rsid w:val="00E94762"/>
    <w:rsid w:val="00E95754"/>
    <w:rsid w:val="00E959A9"/>
    <w:rsid w:val="00E95A9A"/>
    <w:rsid w:val="00E9627E"/>
    <w:rsid w:val="00E9639D"/>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A56"/>
    <w:rsid w:val="00EA3D67"/>
    <w:rsid w:val="00EA3DB9"/>
    <w:rsid w:val="00EA430C"/>
    <w:rsid w:val="00EA475F"/>
    <w:rsid w:val="00EA4A36"/>
    <w:rsid w:val="00EA5029"/>
    <w:rsid w:val="00EA5335"/>
    <w:rsid w:val="00EA630B"/>
    <w:rsid w:val="00EA6E29"/>
    <w:rsid w:val="00EA7887"/>
    <w:rsid w:val="00EA7B1C"/>
    <w:rsid w:val="00EA7CE6"/>
    <w:rsid w:val="00EA7E15"/>
    <w:rsid w:val="00EA7E9E"/>
    <w:rsid w:val="00EA7EF5"/>
    <w:rsid w:val="00EA7F1F"/>
    <w:rsid w:val="00EB05DC"/>
    <w:rsid w:val="00EB0E95"/>
    <w:rsid w:val="00EB1705"/>
    <w:rsid w:val="00EB1EB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B8E"/>
    <w:rsid w:val="00EB7C50"/>
    <w:rsid w:val="00EB7E4D"/>
    <w:rsid w:val="00EB7E97"/>
    <w:rsid w:val="00EB7FE8"/>
    <w:rsid w:val="00EC009A"/>
    <w:rsid w:val="00EC06DE"/>
    <w:rsid w:val="00EC16A3"/>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6A"/>
    <w:rsid w:val="00ED0EB9"/>
    <w:rsid w:val="00ED15E6"/>
    <w:rsid w:val="00ED188F"/>
    <w:rsid w:val="00ED1A21"/>
    <w:rsid w:val="00ED1A39"/>
    <w:rsid w:val="00ED1CD6"/>
    <w:rsid w:val="00ED20A7"/>
    <w:rsid w:val="00ED23F5"/>
    <w:rsid w:val="00ED2FF1"/>
    <w:rsid w:val="00ED3207"/>
    <w:rsid w:val="00ED32E7"/>
    <w:rsid w:val="00ED341E"/>
    <w:rsid w:val="00ED3423"/>
    <w:rsid w:val="00ED352D"/>
    <w:rsid w:val="00ED3534"/>
    <w:rsid w:val="00ED38D7"/>
    <w:rsid w:val="00ED3B7D"/>
    <w:rsid w:val="00ED3DA3"/>
    <w:rsid w:val="00ED40CC"/>
    <w:rsid w:val="00ED434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58F"/>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E0"/>
    <w:rsid w:val="00EF48E3"/>
    <w:rsid w:val="00EF493B"/>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7E3"/>
    <w:rsid w:val="00F0197D"/>
    <w:rsid w:val="00F01A58"/>
    <w:rsid w:val="00F023A1"/>
    <w:rsid w:val="00F026AE"/>
    <w:rsid w:val="00F027FF"/>
    <w:rsid w:val="00F02B52"/>
    <w:rsid w:val="00F02B5B"/>
    <w:rsid w:val="00F02FAC"/>
    <w:rsid w:val="00F0301D"/>
    <w:rsid w:val="00F032DF"/>
    <w:rsid w:val="00F0372A"/>
    <w:rsid w:val="00F0388F"/>
    <w:rsid w:val="00F03891"/>
    <w:rsid w:val="00F03B1F"/>
    <w:rsid w:val="00F046FD"/>
    <w:rsid w:val="00F04B6C"/>
    <w:rsid w:val="00F04D51"/>
    <w:rsid w:val="00F05EED"/>
    <w:rsid w:val="00F05F00"/>
    <w:rsid w:val="00F06B39"/>
    <w:rsid w:val="00F06F02"/>
    <w:rsid w:val="00F07CD5"/>
    <w:rsid w:val="00F10305"/>
    <w:rsid w:val="00F10437"/>
    <w:rsid w:val="00F10465"/>
    <w:rsid w:val="00F105EC"/>
    <w:rsid w:val="00F10864"/>
    <w:rsid w:val="00F10C72"/>
    <w:rsid w:val="00F1165E"/>
    <w:rsid w:val="00F11CF5"/>
    <w:rsid w:val="00F12B3D"/>
    <w:rsid w:val="00F1323A"/>
    <w:rsid w:val="00F13242"/>
    <w:rsid w:val="00F13555"/>
    <w:rsid w:val="00F1403E"/>
    <w:rsid w:val="00F140FE"/>
    <w:rsid w:val="00F1415B"/>
    <w:rsid w:val="00F14FB4"/>
    <w:rsid w:val="00F163E1"/>
    <w:rsid w:val="00F165FF"/>
    <w:rsid w:val="00F16BB1"/>
    <w:rsid w:val="00F17A8F"/>
    <w:rsid w:val="00F17D56"/>
    <w:rsid w:val="00F20046"/>
    <w:rsid w:val="00F20242"/>
    <w:rsid w:val="00F206FE"/>
    <w:rsid w:val="00F208C6"/>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E42"/>
    <w:rsid w:val="00F23FCA"/>
    <w:rsid w:val="00F2456B"/>
    <w:rsid w:val="00F24A57"/>
    <w:rsid w:val="00F24D96"/>
    <w:rsid w:val="00F24F3C"/>
    <w:rsid w:val="00F24F4D"/>
    <w:rsid w:val="00F24FA0"/>
    <w:rsid w:val="00F25157"/>
    <w:rsid w:val="00F259EE"/>
    <w:rsid w:val="00F25EB4"/>
    <w:rsid w:val="00F25F62"/>
    <w:rsid w:val="00F2617C"/>
    <w:rsid w:val="00F2643A"/>
    <w:rsid w:val="00F26886"/>
    <w:rsid w:val="00F2699C"/>
    <w:rsid w:val="00F27000"/>
    <w:rsid w:val="00F27B50"/>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5F1"/>
    <w:rsid w:val="00F4269E"/>
    <w:rsid w:val="00F42910"/>
    <w:rsid w:val="00F42C2B"/>
    <w:rsid w:val="00F44833"/>
    <w:rsid w:val="00F44D23"/>
    <w:rsid w:val="00F4572D"/>
    <w:rsid w:val="00F45B82"/>
    <w:rsid w:val="00F46694"/>
    <w:rsid w:val="00F467B0"/>
    <w:rsid w:val="00F4682A"/>
    <w:rsid w:val="00F4683A"/>
    <w:rsid w:val="00F46957"/>
    <w:rsid w:val="00F46E40"/>
    <w:rsid w:val="00F46F8B"/>
    <w:rsid w:val="00F47132"/>
    <w:rsid w:val="00F47728"/>
    <w:rsid w:val="00F47AF4"/>
    <w:rsid w:val="00F47AFE"/>
    <w:rsid w:val="00F47CBA"/>
    <w:rsid w:val="00F47CF5"/>
    <w:rsid w:val="00F50020"/>
    <w:rsid w:val="00F5007C"/>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E9D"/>
    <w:rsid w:val="00F6584A"/>
    <w:rsid w:val="00F65961"/>
    <w:rsid w:val="00F65E8A"/>
    <w:rsid w:val="00F65E91"/>
    <w:rsid w:val="00F660B8"/>
    <w:rsid w:val="00F6617D"/>
    <w:rsid w:val="00F66709"/>
    <w:rsid w:val="00F669E3"/>
    <w:rsid w:val="00F66AF7"/>
    <w:rsid w:val="00F672EB"/>
    <w:rsid w:val="00F6753C"/>
    <w:rsid w:val="00F67906"/>
    <w:rsid w:val="00F67A85"/>
    <w:rsid w:val="00F67D0D"/>
    <w:rsid w:val="00F67FAB"/>
    <w:rsid w:val="00F7037A"/>
    <w:rsid w:val="00F70E8C"/>
    <w:rsid w:val="00F71026"/>
    <w:rsid w:val="00F71042"/>
    <w:rsid w:val="00F710A0"/>
    <w:rsid w:val="00F710D9"/>
    <w:rsid w:val="00F71976"/>
    <w:rsid w:val="00F71F79"/>
    <w:rsid w:val="00F721A1"/>
    <w:rsid w:val="00F724E3"/>
    <w:rsid w:val="00F727AA"/>
    <w:rsid w:val="00F729F2"/>
    <w:rsid w:val="00F72C94"/>
    <w:rsid w:val="00F73EDE"/>
    <w:rsid w:val="00F73F43"/>
    <w:rsid w:val="00F743D1"/>
    <w:rsid w:val="00F74664"/>
    <w:rsid w:val="00F74791"/>
    <w:rsid w:val="00F747FD"/>
    <w:rsid w:val="00F74A7A"/>
    <w:rsid w:val="00F75C0B"/>
    <w:rsid w:val="00F763DF"/>
    <w:rsid w:val="00F77028"/>
    <w:rsid w:val="00F7761E"/>
    <w:rsid w:val="00F7792A"/>
    <w:rsid w:val="00F77C47"/>
    <w:rsid w:val="00F77CFA"/>
    <w:rsid w:val="00F802D3"/>
    <w:rsid w:val="00F80A32"/>
    <w:rsid w:val="00F80D8F"/>
    <w:rsid w:val="00F80F7D"/>
    <w:rsid w:val="00F8116A"/>
    <w:rsid w:val="00F81311"/>
    <w:rsid w:val="00F81625"/>
    <w:rsid w:val="00F8183F"/>
    <w:rsid w:val="00F81A54"/>
    <w:rsid w:val="00F81E0E"/>
    <w:rsid w:val="00F81F25"/>
    <w:rsid w:val="00F82272"/>
    <w:rsid w:val="00F82412"/>
    <w:rsid w:val="00F825FF"/>
    <w:rsid w:val="00F82760"/>
    <w:rsid w:val="00F82A7D"/>
    <w:rsid w:val="00F82D8E"/>
    <w:rsid w:val="00F83301"/>
    <w:rsid w:val="00F837DD"/>
    <w:rsid w:val="00F83CCD"/>
    <w:rsid w:val="00F849D7"/>
    <w:rsid w:val="00F84A2F"/>
    <w:rsid w:val="00F84BAB"/>
    <w:rsid w:val="00F850EB"/>
    <w:rsid w:val="00F855CB"/>
    <w:rsid w:val="00F85744"/>
    <w:rsid w:val="00F85B36"/>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343"/>
    <w:rsid w:val="00FA4813"/>
    <w:rsid w:val="00FA4EDE"/>
    <w:rsid w:val="00FA50E8"/>
    <w:rsid w:val="00FA526F"/>
    <w:rsid w:val="00FA53C1"/>
    <w:rsid w:val="00FA5527"/>
    <w:rsid w:val="00FA558C"/>
    <w:rsid w:val="00FA5710"/>
    <w:rsid w:val="00FA586F"/>
    <w:rsid w:val="00FA5871"/>
    <w:rsid w:val="00FA589E"/>
    <w:rsid w:val="00FA5909"/>
    <w:rsid w:val="00FA5A96"/>
    <w:rsid w:val="00FA5EC3"/>
    <w:rsid w:val="00FA6225"/>
    <w:rsid w:val="00FA656D"/>
    <w:rsid w:val="00FA65C9"/>
    <w:rsid w:val="00FA6686"/>
    <w:rsid w:val="00FA6A8C"/>
    <w:rsid w:val="00FA7A20"/>
    <w:rsid w:val="00FA7AA6"/>
    <w:rsid w:val="00FA7C04"/>
    <w:rsid w:val="00FB0443"/>
    <w:rsid w:val="00FB0540"/>
    <w:rsid w:val="00FB13F1"/>
    <w:rsid w:val="00FB15D5"/>
    <w:rsid w:val="00FB18E8"/>
    <w:rsid w:val="00FB19D8"/>
    <w:rsid w:val="00FB22E5"/>
    <w:rsid w:val="00FB2850"/>
    <w:rsid w:val="00FB2864"/>
    <w:rsid w:val="00FB2DA1"/>
    <w:rsid w:val="00FB2F94"/>
    <w:rsid w:val="00FB365F"/>
    <w:rsid w:val="00FB3CD6"/>
    <w:rsid w:val="00FB4065"/>
    <w:rsid w:val="00FB4760"/>
    <w:rsid w:val="00FB47B5"/>
    <w:rsid w:val="00FB5201"/>
    <w:rsid w:val="00FB52FD"/>
    <w:rsid w:val="00FB57A7"/>
    <w:rsid w:val="00FB5A6F"/>
    <w:rsid w:val="00FB5EAC"/>
    <w:rsid w:val="00FB67CA"/>
    <w:rsid w:val="00FB6EDC"/>
    <w:rsid w:val="00FB6F24"/>
    <w:rsid w:val="00FB7284"/>
    <w:rsid w:val="00FB72CB"/>
    <w:rsid w:val="00FB7607"/>
    <w:rsid w:val="00FB77BB"/>
    <w:rsid w:val="00FB7BEA"/>
    <w:rsid w:val="00FB7C38"/>
    <w:rsid w:val="00FC0038"/>
    <w:rsid w:val="00FC0AB4"/>
    <w:rsid w:val="00FC0B11"/>
    <w:rsid w:val="00FC0B9B"/>
    <w:rsid w:val="00FC0E12"/>
    <w:rsid w:val="00FC1190"/>
    <w:rsid w:val="00FC1696"/>
    <w:rsid w:val="00FC1859"/>
    <w:rsid w:val="00FC1AB5"/>
    <w:rsid w:val="00FC22FE"/>
    <w:rsid w:val="00FC23FA"/>
    <w:rsid w:val="00FC2742"/>
    <w:rsid w:val="00FC2939"/>
    <w:rsid w:val="00FC37F0"/>
    <w:rsid w:val="00FC3BBC"/>
    <w:rsid w:val="00FC3EEB"/>
    <w:rsid w:val="00FC4278"/>
    <w:rsid w:val="00FC4423"/>
    <w:rsid w:val="00FC47CD"/>
    <w:rsid w:val="00FC47D1"/>
    <w:rsid w:val="00FC4CA4"/>
    <w:rsid w:val="00FC4ED1"/>
    <w:rsid w:val="00FC545C"/>
    <w:rsid w:val="00FC553E"/>
    <w:rsid w:val="00FC61D1"/>
    <w:rsid w:val="00FC65A0"/>
    <w:rsid w:val="00FC6B41"/>
    <w:rsid w:val="00FC6D8C"/>
    <w:rsid w:val="00FC791E"/>
    <w:rsid w:val="00FC7AEB"/>
    <w:rsid w:val="00FC7F93"/>
    <w:rsid w:val="00FD03C3"/>
    <w:rsid w:val="00FD05B6"/>
    <w:rsid w:val="00FD0ACE"/>
    <w:rsid w:val="00FD10D2"/>
    <w:rsid w:val="00FD1407"/>
    <w:rsid w:val="00FD1917"/>
    <w:rsid w:val="00FD235B"/>
    <w:rsid w:val="00FD2804"/>
    <w:rsid w:val="00FD282A"/>
    <w:rsid w:val="00FD2A71"/>
    <w:rsid w:val="00FD2BDC"/>
    <w:rsid w:val="00FD3124"/>
    <w:rsid w:val="00FD38ED"/>
    <w:rsid w:val="00FD3905"/>
    <w:rsid w:val="00FD398C"/>
    <w:rsid w:val="00FD4CC0"/>
    <w:rsid w:val="00FD5999"/>
    <w:rsid w:val="00FD6318"/>
    <w:rsid w:val="00FD6A3D"/>
    <w:rsid w:val="00FD6F9D"/>
    <w:rsid w:val="00FD72D9"/>
    <w:rsid w:val="00FD73AE"/>
    <w:rsid w:val="00FD74D9"/>
    <w:rsid w:val="00FD7D6B"/>
    <w:rsid w:val="00FE00DC"/>
    <w:rsid w:val="00FE00E2"/>
    <w:rsid w:val="00FE0477"/>
    <w:rsid w:val="00FE0657"/>
    <w:rsid w:val="00FE15F5"/>
    <w:rsid w:val="00FE1728"/>
    <w:rsid w:val="00FE1F8B"/>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865"/>
    <w:rsid w:val="00FF1901"/>
    <w:rsid w:val="00FF1920"/>
    <w:rsid w:val="00FF1ACF"/>
    <w:rsid w:val="00FF2A88"/>
    <w:rsid w:val="00FF37C5"/>
    <w:rsid w:val="00FF3835"/>
    <w:rsid w:val="00FF3A12"/>
    <w:rsid w:val="00FF3CFC"/>
    <w:rsid w:val="00FF43AF"/>
    <w:rsid w:val="00FF46CF"/>
    <w:rsid w:val="00FF48E0"/>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6D6EC68-FD1B-4235-B1CA-99C03BF6A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E3C0C"/>
    <w:pPr>
      <w:overflowPunct w:val="0"/>
      <w:autoSpaceDE w:val="0"/>
      <w:autoSpaceDN w:val="0"/>
      <w:adjustRightInd w:val="0"/>
      <w:spacing w:after="18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pPr>
      <w:spacing w:after="120"/>
    </w:pP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textAlignment w:val="auto"/>
    </w:pPr>
    <w:rPr>
      <w:rFonts w:ascii="Calibri" w:hAnsi="Calibri"/>
      <w:sz w:val="22"/>
      <w:szCs w:val="16"/>
      <w:lang w:eastAsia="zh-CN"/>
    </w:rPr>
  </w:style>
  <w:style w:type="character" w:styleId="Strong">
    <w:name w:val="Strong"/>
    <w:basedOn w:val="DefaultParagraphFont"/>
    <w:uiPriority w:val="22"/>
    <w:qFormat/>
    <w:rsid w:val="00FD0ACE"/>
    <w:rPr>
      <w:b w:val="0"/>
      <w:bCs w:val="0"/>
      <w:i w:val="0"/>
      <w:iCs w:val="0"/>
    </w:rPr>
  </w:style>
  <w:style w:type="paragraph" w:customStyle="1" w:styleId="Proposal">
    <w:name w:val="Proposal"/>
    <w:basedOn w:val="Normal"/>
    <w:link w:val="ProposalChar"/>
    <w:qFormat/>
    <w:rsid w:val="00983DF0"/>
    <w:pPr>
      <w:spacing w:before="180"/>
    </w:pPr>
    <w:rPr>
      <w:rFonts w:eastAsia="MS Mincho"/>
      <w:b/>
      <w:i/>
      <w:lang w:eastAsia="ja-JP"/>
    </w:rPr>
  </w:style>
  <w:style w:type="character" w:customStyle="1" w:styleId="ProposalChar">
    <w:name w:val="Proposal Char"/>
    <w:basedOn w:val="DefaultParagraphFont"/>
    <w:link w:val="Proposal"/>
    <w:rsid w:val="00983DF0"/>
    <w:rPr>
      <w:rFonts w:ascii="Times New Roman" w:eastAsia="MS Mincho" w:hAnsi="Times New Roman"/>
      <w:b/>
      <w:i/>
      <w:lang w:eastAsia="ja-JP"/>
    </w:rPr>
  </w:style>
  <w:style w:type="paragraph" w:customStyle="1" w:styleId="Observation">
    <w:name w:val="Observation"/>
    <w:basedOn w:val="Normal"/>
    <w:link w:val="ObservationChar"/>
    <w:qFormat/>
    <w:rsid w:val="00AD3F10"/>
    <w:pPr>
      <w:spacing w:before="180"/>
    </w:pPr>
    <w:rPr>
      <w:rFonts w:eastAsia="MS Mincho"/>
      <w:b/>
      <w:i/>
      <w:lang w:eastAsia="ja-JP"/>
    </w:rPr>
  </w:style>
  <w:style w:type="character" w:customStyle="1" w:styleId="ObservationChar">
    <w:name w:val="Observation Char"/>
    <w:basedOn w:val="DefaultParagraphFont"/>
    <w:link w:val="Observation"/>
    <w:rsid w:val="00AD3F10"/>
    <w:rPr>
      <w:rFonts w:ascii="Times New Roman" w:eastAsia="MS Mincho" w:hAnsi="Times New Roman"/>
      <w:b/>
      <w:i/>
      <w:lang w:eastAsia="ja-JP"/>
    </w:rPr>
  </w:style>
  <w:style w:type="paragraph" w:styleId="TableofFigures">
    <w:name w:val="table of figures"/>
    <w:basedOn w:val="Normal"/>
    <w:next w:val="Normal"/>
    <w:uiPriority w:val="99"/>
    <w:unhideWhenUsed/>
    <w:rsid w:val="00D21B8C"/>
    <w:pPr>
      <w:tabs>
        <w:tab w:val="left" w:pos="1354"/>
      </w:tabs>
      <w:spacing w:before="60" w:after="60"/>
      <w:ind w:left="1354" w:hanging="1354"/>
    </w:pPr>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631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091917">
      <w:bodyDiv w:val="1"/>
      <w:marLeft w:val="0"/>
      <w:marRight w:val="0"/>
      <w:marTop w:val="0"/>
      <w:marBottom w:val="0"/>
      <w:divBdr>
        <w:top w:val="none" w:sz="0" w:space="0" w:color="auto"/>
        <w:left w:val="none" w:sz="0" w:space="0" w:color="auto"/>
        <w:bottom w:val="none" w:sz="0" w:space="0" w:color="auto"/>
        <w:right w:val="none" w:sz="0" w:space="0" w:color="auto"/>
      </w:divBdr>
      <w:divsChild>
        <w:div w:id="677512330">
          <w:marLeft w:val="547"/>
          <w:marRight w:val="0"/>
          <w:marTop w:val="115"/>
          <w:marBottom w:val="0"/>
          <w:divBdr>
            <w:top w:val="none" w:sz="0" w:space="0" w:color="auto"/>
            <w:left w:val="none" w:sz="0" w:space="0" w:color="auto"/>
            <w:bottom w:val="none" w:sz="0" w:space="0" w:color="auto"/>
            <w:right w:val="none" w:sz="0" w:space="0" w:color="auto"/>
          </w:divBdr>
        </w:div>
        <w:div w:id="1922983414">
          <w:marLeft w:val="1166"/>
          <w:marRight w:val="0"/>
          <w:marTop w:val="96"/>
          <w:marBottom w:val="0"/>
          <w:divBdr>
            <w:top w:val="none" w:sz="0" w:space="0" w:color="auto"/>
            <w:left w:val="none" w:sz="0" w:space="0" w:color="auto"/>
            <w:bottom w:val="none" w:sz="0" w:space="0" w:color="auto"/>
            <w:right w:val="none" w:sz="0" w:space="0" w:color="auto"/>
          </w:divBdr>
        </w:div>
        <w:div w:id="406726440">
          <w:marLeft w:val="1166"/>
          <w:marRight w:val="0"/>
          <w:marTop w:val="96"/>
          <w:marBottom w:val="0"/>
          <w:divBdr>
            <w:top w:val="none" w:sz="0" w:space="0" w:color="auto"/>
            <w:left w:val="none" w:sz="0" w:space="0" w:color="auto"/>
            <w:bottom w:val="none" w:sz="0" w:space="0" w:color="auto"/>
            <w:right w:val="none" w:sz="0" w:space="0" w:color="auto"/>
          </w:divBdr>
        </w:div>
        <w:div w:id="93747323">
          <w:marLeft w:val="547"/>
          <w:marRight w:val="0"/>
          <w:marTop w:val="115"/>
          <w:marBottom w:val="0"/>
          <w:divBdr>
            <w:top w:val="none" w:sz="0" w:space="0" w:color="auto"/>
            <w:left w:val="none" w:sz="0" w:space="0" w:color="auto"/>
            <w:bottom w:val="none" w:sz="0" w:space="0" w:color="auto"/>
            <w:right w:val="none" w:sz="0" w:space="0" w:color="auto"/>
          </w:divBdr>
        </w:div>
        <w:div w:id="116418130">
          <w:marLeft w:val="1166"/>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3583848">
      <w:bodyDiv w:val="1"/>
      <w:marLeft w:val="0"/>
      <w:marRight w:val="0"/>
      <w:marTop w:val="0"/>
      <w:marBottom w:val="0"/>
      <w:divBdr>
        <w:top w:val="none" w:sz="0" w:space="0" w:color="auto"/>
        <w:left w:val="none" w:sz="0" w:space="0" w:color="auto"/>
        <w:bottom w:val="none" w:sz="0" w:space="0" w:color="auto"/>
        <w:right w:val="none" w:sz="0" w:space="0" w:color="auto"/>
      </w:divBdr>
      <w:divsChild>
        <w:div w:id="233980432">
          <w:marLeft w:val="547"/>
          <w:marRight w:val="0"/>
          <w:marTop w:val="115"/>
          <w:marBottom w:val="0"/>
          <w:divBdr>
            <w:top w:val="none" w:sz="0" w:space="0" w:color="auto"/>
            <w:left w:val="none" w:sz="0" w:space="0" w:color="auto"/>
            <w:bottom w:val="none" w:sz="0" w:space="0" w:color="auto"/>
            <w:right w:val="none" w:sz="0" w:space="0" w:color="auto"/>
          </w:divBdr>
        </w:div>
        <w:div w:id="296112918">
          <w:marLeft w:val="1166"/>
          <w:marRight w:val="0"/>
          <w:marTop w:val="96"/>
          <w:marBottom w:val="0"/>
          <w:divBdr>
            <w:top w:val="none" w:sz="0" w:space="0" w:color="auto"/>
            <w:left w:val="none" w:sz="0" w:space="0" w:color="auto"/>
            <w:bottom w:val="none" w:sz="0" w:space="0" w:color="auto"/>
            <w:right w:val="none" w:sz="0" w:space="0" w:color="auto"/>
          </w:divBdr>
        </w:div>
        <w:div w:id="1126118869">
          <w:marLeft w:val="1627"/>
          <w:marRight w:val="0"/>
          <w:marTop w:val="86"/>
          <w:marBottom w:val="0"/>
          <w:divBdr>
            <w:top w:val="none" w:sz="0" w:space="0" w:color="auto"/>
            <w:left w:val="none" w:sz="0" w:space="0" w:color="auto"/>
            <w:bottom w:val="none" w:sz="0" w:space="0" w:color="auto"/>
            <w:right w:val="none" w:sz="0" w:space="0" w:color="auto"/>
          </w:divBdr>
        </w:div>
        <w:div w:id="1918322943">
          <w:marLeft w:val="2074"/>
          <w:marRight w:val="0"/>
          <w:marTop w:val="77"/>
          <w:marBottom w:val="0"/>
          <w:divBdr>
            <w:top w:val="none" w:sz="0" w:space="0" w:color="auto"/>
            <w:left w:val="none" w:sz="0" w:space="0" w:color="auto"/>
            <w:bottom w:val="none" w:sz="0" w:space="0" w:color="auto"/>
            <w:right w:val="none" w:sz="0" w:space="0" w:color="auto"/>
          </w:divBdr>
        </w:div>
        <w:div w:id="1745104228">
          <w:marLeft w:val="1627"/>
          <w:marRight w:val="0"/>
          <w:marTop w:val="86"/>
          <w:marBottom w:val="0"/>
          <w:divBdr>
            <w:top w:val="none" w:sz="0" w:space="0" w:color="auto"/>
            <w:left w:val="none" w:sz="0" w:space="0" w:color="auto"/>
            <w:bottom w:val="none" w:sz="0" w:space="0" w:color="auto"/>
            <w:right w:val="none" w:sz="0" w:space="0" w:color="auto"/>
          </w:divBdr>
        </w:div>
        <w:div w:id="968047736">
          <w:marLeft w:val="2074"/>
          <w:marRight w:val="0"/>
          <w:marTop w:val="77"/>
          <w:marBottom w:val="0"/>
          <w:divBdr>
            <w:top w:val="none" w:sz="0" w:space="0" w:color="auto"/>
            <w:left w:val="none" w:sz="0" w:space="0" w:color="auto"/>
            <w:bottom w:val="none" w:sz="0" w:space="0" w:color="auto"/>
            <w:right w:val="none" w:sz="0" w:space="0" w:color="auto"/>
          </w:divBdr>
        </w:div>
        <w:div w:id="1495297208">
          <w:marLeft w:val="1166"/>
          <w:marRight w:val="0"/>
          <w:marTop w:val="96"/>
          <w:marBottom w:val="0"/>
          <w:divBdr>
            <w:top w:val="none" w:sz="0" w:space="0" w:color="auto"/>
            <w:left w:val="none" w:sz="0" w:space="0" w:color="auto"/>
            <w:bottom w:val="none" w:sz="0" w:space="0" w:color="auto"/>
            <w:right w:val="none" w:sz="0" w:space="0" w:color="auto"/>
          </w:divBdr>
        </w:div>
        <w:div w:id="1154026264">
          <w:marLeft w:val="1627"/>
          <w:marRight w:val="0"/>
          <w:marTop w:val="8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2064803">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732973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81543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2375773">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554628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900422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179979">
      <w:bodyDiv w:val="1"/>
      <w:marLeft w:val="0"/>
      <w:marRight w:val="0"/>
      <w:marTop w:val="0"/>
      <w:marBottom w:val="0"/>
      <w:divBdr>
        <w:top w:val="none" w:sz="0" w:space="0" w:color="auto"/>
        <w:left w:val="none" w:sz="0" w:space="0" w:color="auto"/>
        <w:bottom w:val="none" w:sz="0" w:space="0" w:color="auto"/>
        <w:right w:val="none" w:sz="0" w:space="0" w:color="auto"/>
      </w:divBdr>
      <w:divsChild>
        <w:div w:id="758216706">
          <w:marLeft w:val="547"/>
          <w:marRight w:val="0"/>
          <w:marTop w:val="115"/>
          <w:marBottom w:val="0"/>
          <w:divBdr>
            <w:top w:val="none" w:sz="0" w:space="0" w:color="auto"/>
            <w:left w:val="none" w:sz="0" w:space="0" w:color="auto"/>
            <w:bottom w:val="none" w:sz="0" w:space="0" w:color="auto"/>
            <w:right w:val="none" w:sz="0" w:space="0" w:color="auto"/>
          </w:divBdr>
        </w:div>
        <w:div w:id="1520653920">
          <w:marLeft w:val="1166"/>
          <w:marRight w:val="0"/>
          <w:marTop w:val="96"/>
          <w:marBottom w:val="0"/>
          <w:divBdr>
            <w:top w:val="none" w:sz="0" w:space="0" w:color="auto"/>
            <w:left w:val="none" w:sz="0" w:space="0" w:color="auto"/>
            <w:bottom w:val="none" w:sz="0" w:space="0" w:color="auto"/>
            <w:right w:val="none" w:sz="0" w:space="0" w:color="auto"/>
          </w:divBdr>
        </w:div>
        <w:div w:id="309020259">
          <w:marLeft w:val="1166"/>
          <w:marRight w:val="0"/>
          <w:marTop w:val="96"/>
          <w:marBottom w:val="0"/>
          <w:divBdr>
            <w:top w:val="none" w:sz="0" w:space="0" w:color="auto"/>
            <w:left w:val="none" w:sz="0" w:space="0" w:color="auto"/>
            <w:bottom w:val="none" w:sz="0" w:space="0" w:color="auto"/>
            <w:right w:val="none" w:sz="0" w:space="0" w:color="auto"/>
          </w:divBdr>
        </w:div>
        <w:div w:id="2081245336">
          <w:marLeft w:val="1166"/>
          <w:marRight w:val="0"/>
          <w:marTop w:val="96"/>
          <w:marBottom w:val="0"/>
          <w:divBdr>
            <w:top w:val="none" w:sz="0" w:space="0" w:color="auto"/>
            <w:left w:val="none" w:sz="0" w:space="0" w:color="auto"/>
            <w:bottom w:val="none" w:sz="0" w:space="0" w:color="auto"/>
            <w:right w:val="none" w:sz="0" w:space="0" w:color="auto"/>
          </w:divBdr>
        </w:div>
        <w:div w:id="1021125176">
          <w:marLeft w:val="1627"/>
          <w:marRight w:val="0"/>
          <w:marTop w:val="86"/>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24221">
      <w:bodyDiv w:val="1"/>
      <w:marLeft w:val="0"/>
      <w:marRight w:val="0"/>
      <w:marTop w:val="0"/>
      <w:marBottom w:val="0"/>
      <w:divBdr>
        <w:top w:val="none" w:sz="0" w:space="0" w:color="auto"/>
        <w:left w:val="none" w:sz="0" w:space="0" w:color="auto"/>
        <w:bottom w:val="none" w:sz="0" w:space="0" w:color="auto"/>
        <w:right w:val="none" w:sz="0" w:space="0" w:color="auto"/>
      </w:divBdr>
      <w:divsChild>
        <w:div w:id="1104232267">
          <w:marLeft w:val="547"/>
          <w:marRight w:val="0"/>
          <w:marTop w:val="115"/>
          <w:marBottom w:val="0"/>
          <w:divBdr>
            <w:top w:val="none" w:sz="0" w:space="0" w:color="auto"/>
            <w:left w:val="none" w:sz="0" w:space="0" w:color="auto"/>
            <w:bottom w:val="none" w:sz="0" w:space="0" w:color="auto"/>
            <w:right w:val="none" w:sz="0" w:space="0" w:color="auto"/>
          </w:divBdr>
        </w:div>
        <w:div w:id="1975334293">
          <w:marLeft w:val="1166"/>
          <w:marRight w:val="0"/>
          <w:marTop w:val="96"/>
          <w:marBottom w:val="0"/>
          <w:divBdr>
            <w:top w:val="none" w:sz="0" w:space="0" w:color="auto"/>
            <w:left w:val="none" w:sz="0" w:space="0" w:color="auto"/>
            <w:bottom w:val="none" w:sz="0" w:space="0" w:color="auto"/>
            <w:right w:val="none" w:sz="0" w:space="0" w:color="auto"/>
          </w:divBdr>
        </w:div>
        <w:div w:id="1466509955">
          <w:marLeft w:val="1627"/>
          <w:marRight w:val="0"/>
          <w:marTop w:val="86"/>
          <w:marBottom w:val="0"/>
          <w:divBdr>
            <w:top w:val="none" w:sz="0" w:space="0" w:color="auto"/>
            <w:left w:val="none" w:sz="0" w:space="0" w:color="auto"/>
            <w:bottom w:val="none" w:sz="0" w:space="0" w:color="auto"/>
            <w:right w:val="none" w:sz="0" w:space="0" w:color="auto"/>
          </w:divBdr>
        </w:div>
        <w:div w:id="1705330244">
          <w:marLeft w:val="1166"/>
          <w:marRight w:val="0"/>
          <w:marTop w:val="96"/>
          <w:marBottom w:val="0"/>
          <w:divBdr>
            <w:top w:val="none" w:sz="0" w:space="0" w:color="auto"/>
            <w:left w:val="none" w:sz="0" w:space="0" w:color="auto"/>
            <w:bottom w:val="none" w:sz="0" w:space="0" w:color="auto"/>
            <w:right w:val="none" w:sz="0" w:space="0" w:color="auto"/>
          </w:divBdr>
        </w:div>
        <w:div w:id="1070538580">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5192893">
      <w:bodyDiv w:val="1"/>
      <w:marLeft w:val="0"/>
      <w:marRight w:val="0"/>
      <w:marTop w:val="0"/>
      <w:marBottom w:val="0"/>
      <w:divBdr>
        <w:top w:val="none" w:sz="0" w:space="0" w:color="auto"/>
        <w:left w:val="none" w:sz="0" w:space="0" w:color="auto"/>
        <w:bottom w:val="none" w:sz="0" w:space="0" w:color="auto"/>
        <w:right w:val="none" w:sz="0" w:space="0" w:color="auto"/>
      </w:divBdr>
    </w:div>
    <w:div w:id="18292452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8732611">
      <w:bodyDiv w:val="1"/>
      <w:marLeft w:val="0"/>
      <w:marRight w:val="0"/>
      <w:marTop w:val="0"/>
      <w:marBottom w:val="0"/>
      <w:divBdr>
        <w:top w:val="none" w:sz="0" w:space="0" w:color="auto"/>
        <w:left w:val="none" w:sz="0" w:space="0" w:color="auto"/>
        <w:bottom w:val="none" w:sz="0" w:space="0" w:color="auto"/>
        <w:right w:val="none" w:sz="0" w:space="0" w:color="auto"/>
      </w:divBdr>
    </w:div>
    <w:div w:id="1969821916">
      <w:bodyDiv w:val="1"/>
      <w:marLeft w:val="0"/>
      <w:marRight w:val="0"/>
      <w:marTop w:val="0"/>
      <w:marBottom w:val="0"/>
      <w:divBdr>
        <w:top w:val="none" w:sz="0" w:space="0" w:color="auto"/>
        <w:left w:val="none" w:sz="0" w:space="0" w:color="auto"/>
        <w:bottom w:val="none" w:sz="0" w:space="0" w:color="auto"/>
        <w:right w:val="none" w:sz="0" w:space="0" w:color="auto"/>
      </w:divBdr>
      <w:divsChild>
        <w:div w:id="1715421759">
          <w:marLeft w:val="547"/>
          <w:marRight w:val="0"/>
          <w:marTop w:val="115"/>
          <w:marBottom w:val="0"/>
          <w:divBdr>
            <w:top w:val="none" w:sz="0" w:space="0" w:color="auto"/>
            <w:left w:val="none" w:sz="0" w:space="0" w:color="auto"/>
            <w:bottom w:val="none" w:sz="0" w:space="0" w:color="auto"/>
            <w:right w:val="none" w:sz="0" w:space="0" w:color="auto"/>
          </w:divBdr>
        </w:div>
      </w:divsChild>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HR33RHYHUWRF-4-5676</_dlc_DocId>
    <_dlc_DocIdUrl xmlns="c06861ca-3f08-4d07-bff7-bb15bac121f4">
      <Url>https://projects.qualcomm.com/sites/pentari/_layouts/15/DocIdRedir.aspx?ID=HR33RHYHUWRF-4-5676</Url>
      <Description>HR33RHYHUWRF-4-5676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4F019-AFA0-4E37-87B5-4421D5AAA564}">
  <ds:schemaRefs>
    <ds:schemaRef ds:uri="http://purl.org/dc/terms/"/>
    <ds:schemaRef ds:uri="http://schemas.openxmlformats.org/package/2006/metadata/core-properties"/>
    <ds:schemaRef ds:uri="http://purl.org/dc/dcmitype/"/>
    <ds:schemaRef ds:uri="c06861ca-3f08-4d07-bff7-bb15bac121f4"/>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3.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4.xml><?xml version="1.0" encoding="utf-8"?>
<ds:datastoreItem xmlns:ds="http://schemas.openxmlformats.org/officeDocument/2006/customXml" ds:itemID="{1D0631C3-8919-425B-A30C-AFE16B895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F5F571-FD47-413A-92E5-984F380BE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14590</TotalTime>
  <Pages>3</Pages>
  <Words>1462</Words>
  <Characters>8335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Details of Type I and Type II Codebook Subset Restriction</vt:lpstr>
    </vt:vector>
  </TitlesOfParts>
  <Company>Qualcomm Inc.</Company>
  <LinksUpToDate>false</LinksUpToDate>
  <CharactersWithSpaces>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Type I and Type II Codebook Subset Restriction</dc:title>
  <dc:subject/>
  <dc:creator>Qualcomm Europe</dc:creator>
  <cp:keywords/>
  <dc:description/>
  <cp:lastModifiedBy>Yu Zhang</cp:lastModifiedBy>
  <cp:revision>223</cp:revision>
  <cp:lastPrinted>2014-11-07T05:38:00Z</cp:lastPrinted>
  <dcterms:created xsi:type="dcterms:W3CDTF">2017-01-10T05:03:00Z</dcterms:created>
  <dcterms:modified xsi:type="dcterms:W3CDTF">2017-09-12T05:09:00Z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3c52d1c0-1030-480b-a18d-f0adb93ec2d8</vt:lpwstr>
  </property>
  <property fmtid="{D5CDD505-2E9C-101B-9397-08002B2CF9AE}" pid="3" name="ContentTypeId">
    <vt:lpwstr>0x010100BC29BFD66497B943AA3B102F0C7B1355</vt:lpwstr>
  </property>
  <property fmtid="{D5CDD505-2E9C-101B-9397-08002B2CF9AE}" pid="4" name="_AdHocReviewCycleID">
    <vt:i4>1805341246</vt:i4>
  </property>
  <property fmtid="{D5CDD505-2E9C-101B-9397-08002B2CF9AE}" pid="5" name="_NewReviewCycle">
    <vt:lpwstr/>
  </property>
  <property fmtid="{D5CDD505-2E9C-101B-9397-08002B2CF9AE}" pid="6" name="_EmailSubject">
    <vt:lpwstr>attached the file for contribution</vt:lpwstr>
  </property>
  <property fmtid="{D5CDD505-2E9C-101B-9397-08002B2CF9AE}" pid="7" name="_AuthorEmail">
    <vt:lpwstr>liangmin@qti.qualcomm.com</vt:lpwstr>
  </property>
  <property fmtid="{D5CDD505-2E9C-101B-9397-08002B2CF9AE}" pid="8" name="_AuthorEmailDisplayName">
    <vt:lpwstr>Liangming Wu</vt:lpwstr>
  </property>
  <property fmtid="{D5CDD505-2E9C-101B-9397-08002B2CF9AE}" pid="9" name="_PreviousAdHocReviewCycleID">
    <vt:i4>-1142230262</vt:i4>
  </property>
  <property fmtid="{D5CDD505-2E9C-101B-9397-08002B2CF9AE}" pid="10" name="_ReviewingToolsShownOnce">
    <vt:lpwstr/>
  </property>
</Properties>
</file>