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97195" w:rsidRPr="009C718A" w:rsidRDefault="00A97195" w:rsidP="00A97195">
      <w:pPr>
        <w:tabs>
          <w:tab w:val="center" w:pos="4536"/>
          <w:tab w:val="right" w:pos="8280"/>
          <w:tab w:val="right" w:pos="9781"/>
        </w:tabs>
        <w:spacing w:after="0"/>
        <w:ind w:right="-58"/>
        <w:jc w:val="both"/>
        <w:rPr>
          <w:rFonts w:ascii="Arial" w:eastAsia="MS Mincho" w:hAnsi="Arial" w:cs="Arial"/>
          <w:b/>
          <w:bCs/>
          <w:sz w:val="24"/>
          <w:szCs w:val="24"/>
          <w:lang w:eastAsia="ja-JP"/>
        </w:rPr>
      </w:pPr>
      <w:r w:rsidRPr="009C718A">
        <w:rPr>
          <w:rFonts w:ascii="Arial" w:hAnsi="Arial" w:cs="Arial"/>
          <w:b/>
          <w:bCs/>
          <w:sz w:val="24"/>
          <w:szCs w:val="24"/>
        </w:rPr>
        <w:t xml:space="preserve">3GPP TSG RAN WG1 Meeting </w:t>
      </w:r>
      <w:r>
        <w:rPr>
          <w:rFonts w:ascii="Arial" w:hAnsi="Arial" w:cs="Arial"/>
          <w:b/>
          <w:bCs/>
          <w:sz w:val="24"/>
          <w:szCs w:val="24"/>
        </w:rPr>
        <w:t xml:space="preserve">NR #3               </w:t>
      </w:r>
      <w:r>
        <w:rPr>
          <w:rFonts w:ascii="Arial" w:hAnsi="Arial" w:cs="Arial"/>
          <w:b/>
          <w:bCs/>
          <w:sz w:val="24"/>
          <w:szCs w:val="24"/>
        </w:rPr>
        <w:tab/>
      </w:r>
      <w:r w:rsidRPr="009C718A">
        <w:rPr>
          <w:rFonts w:ascii="Arial" w:hAnsi="Arial" w:cs="Arial"/>
          <w:b/>
          <w:bCs/>
          <w:sz w:val="24"/>
          <w:szCs w:val="24"/>
        </w:rPr>
        <w:tab/>
      </w:r>
      <w:r w:rsidRPr="005F6707">
        <w:rPr>
          <w:rFonts w:ascii="Arial" w:hAnsi="Arial" w:cs="Arial"/>
          <w:b/>
          <w:bCs/>
          <w:sz w:val="24"/>
          <w:szCs w:val="24"/>
        </w:rPr>
        <w:t>R1-171633</w:t>
      </w:r>
      <w:r>
        <w:rPr>
          <w:rFonts w:ascii="Arial" w:hAnsi="Arial" w:cs="Arial"/>
          <w:b/>
          <w:bCs/>
          <w:sz w:val="24"/>
          <w:szCs w:val="24"/>
        </w:rPr>
        <w:t>0</w:t>
      </w:r>
    </w:p>
    <w:p w:rsidR="00A97195" w:rsidRPr="009C718A" w:rsidRDefault="00A97195" w:rsidP="00A97195">
      <w:pPr>
        <w:tabs>
          <w:tab w:val="center" w:pos="4536"/>
          <w:tab w:val="right" w:pos="9072"/>
        </w:tabs>
        <w:jc w:val="both"/>
        <w:rPr>
          <w:rFonts w:ascii="Arial" w:eastAsia="MS Mincho" w:hAnsi="Arial" w:cs="Arial"/>
          <w:b/>
          <w:bCs/>
          <w:sz w:val="24"/>
          <w:szCs w:val="24"/>
          <w:lang w:eastAsia="ja-JP"/>
        </w:rPr>
      </w:pPr>
      <w:r>
        <w:rPr>
          <w:rFonts w:ascii="Arial" w:eastAsia="MS Mincho" w:hAnsi="Arial" w:cs="Arial"/>
          <w:b/>
          <w:bCs/>
          <w:sz w:val="24"/>
          <w:szCs w:val="24"/>
          <w:lang w:eastAsia="ja-JP"/>
        </w:rPr>
        <w:t>Nagoya, Japan</w:t>
      </w:r>
      <w:r w:rsidRPr="00022D29">
        <w:rPr>
          <w:rFonts w:ascii="Arial" w:eastAsia="MS Mincho" w:hAnsi="Arial" w:cs="Arial"/>
          <w:b/>
          <w:bCs/>
          <w:sz w:val="24"/>
          <w:szCs w:val="24"/>
          <w:lang w:eastAsia="ja-JP"/>
        </w:rPr>
        <w:t xml:space="preserve">, </w:t>
      </w:r>
      <w:r>
        <w:rPr>
          <w:rFonts w:ascii="Arial" w:eastAsia="MS Mincho" w:hAnsi="Arial" w:cs="Arial"/>
          <w:b/>
          <w:bCs/>
          <w:sz w:val="24"/>
          <w:szCs w:val="24"/>
          <w:lang w:eastAsia="ja-JP"/>
        </w:rPr>
        <w:t>18</w:t>
      </w:r>
      <w:r w:rsidRPr="00CC0E0E">
        <w:rPr>
          <w:rFonts w:ascii="Arial" w:eastAsia="MS Mincho" w:hAnsi="Arial" w:cs="Arial"/>
          <w:b/>
          <w:bCs/>
          <w:sz w:val="24"/>
          <w:szCs w:val="24"/>
          <w:vertAlign w:val="superscript"/>
          <w:lang w:eastAsia="ja-JP"/>
        </w:rPr>
        <w:t>th</w:t>
      </w:r>
      <w:r>
        <w:rPr>
          <w:rFonts w:ascii="Arial" w:eastAsia="MS Mincho" w:hAnsi="Arial" w:cs="Arial"/>
          <w:b/>
          <w:bCs/>
          <w:sz w:val="24"/>
          <w:szCs w:val="24"/>
          <w:lang w:eastAsia="ja-JP"/>
        </w:rPr>
        <w:t xml:space="preserve"> – 21</w:t>
      </w:r>
      <w:r w:rsidRPr="00836958">
        <w:rPr>
          <w:rFonts w:ascii="Arial" w:eastAsia="MS Mincho" w:hAnsi="Arial" w:cs="Arial"/>
          <w:b/>
          <w:bCs/>
          <w:sz w:val="24"/>
          <w:szCs w:val="24"/>
          <w:vertAlign w:val="superscript"/>
          <w:lang w:eastAsia="ja-JP"/>
        </w:rPr>
        <w:t>st</w:t>
      </w:r>
      <w:r w:rsidRPr="00022D29">
        <w:rPr>
          <w:rFonts w:ascii="Arial" w:eastAsia="MS Mincho" w:hAnsi="Arial" w:cs="Arial"/>
          <w:b/>
          <w:bCs/>
          <w:sz w:val="24"/>
          <w:szCs w:val="24"/>
          <w:lang w:eastAsia="ja-JP"/>
        </w:rPr>
        <w:t xml:space="preserve"> </w:t>
      </w:r>
      <w:r>
        <w:rPr>
          <w:rFonts w:ascii="Arial" w:eastAsia="MS Mincho" w:hAnsi="Arial" w:cs="Arial"/>
          <w:b/>
          <w:bCs/>
          <w:sz w:val="24"/>
          <w:szCs w:val="24"/>
          <w:lang w:eastAsia="ja-JP"/>
        </w:rPr>
        <w:t>Sep</w:t>
      </w:r>
      <w:r w:rsidRPr="00022D29">
        <w:rPr>
          <w:rFonts w:ascii="Arial" w:eastAsia="MS Mincho" w:hAnsi="Arial" w:cs="Arial"/>
          <w:b/>
          <w:bCs/>
          <w:sz w:val="24"/>
          <w:szCs w:val="24"/>
          <w:lang w:eastAsia="ja-JP"/>
        </w:rPr>
        <w:t xml:space="preserve"> 2017</w:t>
      </w:r>
      <w:r>
        <w:rPr>
          <w:rFonts w:ascii="Arial" w:eastAsia="MS Mincho" w:hAnsi="Arial" w:cs="Arial"/>
          <w:b/>
          <w:bCs/>
          <w:lang w:eastAsia="ja-JP"/>
        </w:rPr>
        <w:t xml:space="preserve"> </w:t>
      </w:r>
    </w:p>
    <w:p w:rsidR="00A97195" w:rsidRPr="009C718A" w:rsidRDefault="00A97195" w:rsidP="00A97195">
      <w:pPr>
        <w:tabs>
          <w:tab w:val="left" w:pos="1701"/>
          <w:tab w:val="right" w:pos="9072"/>
          <w:tab w:val="right" w:pos="10206"/>
        </w:tabs>
        <w:spacing w:after="80"/>
        <w:jc w:val="both"/>
        <w:rPr>
          <w:rFonts w:ascii="Arial" w:hAnsi="Arial"/>
          <w:b/>
          <w:sz w:val="24"/>
          <w:szCs w:val="24"/>
        </w:rPr>
      </w:pPr>
      <w:r>
        <w:rPr>
          <w:rFonts w:ascii="Arial" w:hAnsi="Arial"/>
          <w:b/>
          <w:sz w:val="24"/>
          <w:szCs w:val="24"/>
        </w:rPr>
        <w:t>Agenda Item:</w:t>
      </w:r>
      <w:r>
        <w:rPr>
          <w:rFonts w:ascii="Arial" w:hAnsi="Arial"/>
          <w:b/>
          <w:sz w:val="24"/>
          <w:szCs w:val="24"/>
        </w:rPr>
        <w:tab/>
      </w:r>
      <w:r w:rsidRPr="00F01ABB">
        <w:rPr>
          <w:rFonts w:ascii="Arial" w:hAnsi="Arial"/>
          <w:b/>
          <w:sz w:val="24"/>
          <w:szCs w:val="24"/>
        </w:rPr>
        <w:t>6.4.</w:t>
      </w:r>
      <w:r>
        <w:rPr>
          <w:rFonts w:ascii="Arial" w:hAnsi="Arial"/>
          <w:b/>
          <w:sz w:val="24"/>
          <w:szCs w:val="24"/>
        </w:rPr>
        <w:t>1.3</w:t>
      </w:r>
    </w:p>
    <w:p w:rsidR="00A97195" w:rsidRPr="009C718A" w:rsidRDefault="00A97195" w:rsidP="00A97195">
      <w:pPr>
        <w:tabs>
          <w:tab w:val="left" w:pos="1701"/>
          <w:tab w:val="right" w:pos="9072"/>
          <w:tab w:val="right" w:pos="10206"/>
        </w:tabs>
        <w:spacing w:after="80"/>
        <w:jc w:val="both"/>
        <w:rPr>
          <w:rFonts w:ascii="Arial" w:hAnsi="Arial"/>
          <w:b/>
          <w:sz w:val="24"/>
          <w:szCs w:val="24"/>
        </w:rPr>
      </w:pPr>
      <w:r w:rsidRPr="009C718A">
        <w:rPr>
          <w:rFonts w:ascii="Arial" w:hAnsi="Arial"/>
          <w:b/>
          <w:sz w:val="24"/>
          <w:szCs w:val="24"/>
        </w:rPr>
        <w:t xml:space="preserve">Source: </w:t>
      </w:r>
      <w:r w:rsidRPr="009C718A">
        <w:rPr>
          <w:rFonts w:ascii="Arial" w:hAnsi="Arial"/>
          <w:b/>
          <w:sz w:val="24"/>
          <w:szCs w:val="24"/>
        </w:rPr>
        <w:tab/>
        <w:t>Intel Corporation</w:t>
      </w:r>
    </w:p>
    <w:p w:rsidR="00A97195" w:rsidRPr="009C718A" w:rsidRDefault="00A97195" w:rsidP="00A97195">
      <w:pPr>
        <w:tabs>
          <w:tab w:val="left" w:pos="1701"/>
          <w:tab w:val="right" w:pos="9072"/>
          <w:tab w:val="right" w:pos="10206"/>
        </w:tabs>
        <w:spacing w:after="80"/>
        <w:jc w:val="both"/>
        <w:rPr>
          <w:rFonts w:ascii="Arial" w:hAnsi="Arial"/>
          <w:b/>
          <w:sz w:val="24"/>
          <w:szCs w:val="24"/>
        </w:rPr>
      </w:pPr>
      <w:r w:rsidRPr="009C718A">
        <w:rPr>
          <w:rFonts w:ascii="Arial" w:hAnsi="Arial"/>
          <w:b/>
          <w:sz w:val="24"/>
          <w:szCs w:val="24"/>
        </w:rPr>
        <w:t>Title:</w:t>
      </w:r>
      <w:bookmarkStart w:id="0" w:name="Title"/>
      <w:bookmarkEnd w:id="0"/>
      <w:r w:rsidRPr="009C718A">
        <w:rPr>
          <w:rFonts w:ascii="Arial" w:hAnsi="Arial"/>
          <w:b/>
          <w:sz w:val="24"/>
          <w:szCs w:val="24"/>
        </w:rPr>
        <w:tab/>
      </w:r>
      <w:r w:rsidRPr="0095729E">
        <w:rPr>
          <w:rFonts w:ascii="Arial" w:hAnsi="Arial"/>
          <w:b/>
          <w:sz w:val="24"/>
          <w:szCs w:val="24"/>
        </w:rPr>
        <w:t>Finalization of remaining aspects of LDPC segmentation</w:t>
      </w:r>
    </w:p>
    <w:p w:rsidR="00A97195" w:rsidRPr="009C718A" w:rsidRDefault="00A97195" w:rsidP="00A97195">
      <w:pPr>
        <w:tabs>
          <w:tab w:val="left" w:pos="1701"/>
          <w:tab w:val="right" w:pos="9072"/>
          <w:tab w:val="right" w:pos="10206"/>
        </w:tabs>
        <w:spacing w:after="80"/>
        <w:jc w:val="both"/>
        <w:rPr>
          <w:rFonts w:ascii="Arial" w:hAnsi="Arial"/>
          <w:b/>
          <w:sz w:val="24"/>
          <w:szCs w:val="24"/>
        </w:rPr>
      </w:pPr>
      <w:r w:rsidRPr="009C718A">
        <w:rPr>
          <w:rFonts w:ascii="Arial" w:hAnsi="Arial"/>
          <w:b/>
          <w:sz w:val="24"/>
          <w:szCs w:val="24"/>
        </w:rPr>
        <w:t>Document for:</w:t>
      </w:r>
      <w:r w:rsidRPr="009C718A">
        <w:rPr>
          <w:rFonts w:ascii="Arial" w:hAnsi="Arial"/>
          <w:b/>
          <w:sz w:val="24"/>
          <w:szCs w:val="24"/>
        </w:rPr>
        <w:tab/>
        <w:t>Discussion/Decision</w:t>
      </w:r>
    </w:p>
    <w:p w:rsidR="00A97195" w:rsidRPr="00D71F0D" w:rsidRDefault="00A97195" w:rsidP="00A97195">
      <w:pPr>
        <w:pStyle w:val="Heading1"/>
        <w:keepNext/>
        <w:keepLines/>
        <w:widowControl/>
        <w:numPr>
          <w:ilvl w:val="0"/>
          <w:numId w:val="1"/>
        </w:numPr>
        <w:pBdr>
          <w:top w:val="single" w:sz="12" w:space="3" w:color="auto"/>
        </w:pBdr>
        <w:overflowPunct w:val="0"/>
        <w:autoSpaceDE w:val="0"/>
        <w:autoSpaceDN w:val="0"/>
        <w:adjustRightInd w:val="0"/>
        <w:spacing w:after="180"/>
        <w:ind w:left="432" w:hanging="432"/>
        <w:textAlignment w:val="baseline"/>
        <w:rPr>
          <w:rFonts w:eastAsia="SimSun"/>
          <w:b w:val="0"/>
          <w:bCs w:val="0"/>
          <w:kern w:val="0"/>
          <w:sz w:val="36"/>
          <w:szCs w:val="20"/>
          <w:lang w:eastAsia="en-US"/>
        </w:rPr>
      </w:pPr>
      <w:r w:rsidRPr="00D71F0D">
        <w:rPr>
          <w:rFonts w:eastAsia="SimSun"/>
          <w:b w:val="0"/>
          <w:bCs w:val="0"/>
          <w:kern w:val="0"/>
          <w:sz w:val="36"/>
          <w:szCs w:val="20"/>
          <w:lang w:eastAsia="en-US"/>
        </w:rPr>
        <w:t>Introduction</w:t>
      </w:r>
    </w:p>
    <w:p w:rsidR="00A97195" w:rsidRDefault="00A97195" w:rsidP="00A97195">
      <w:pPr>
        <w:overflowPunct w:val="0"/>
        <w:autoSpaceDE w:val="0"/>
        <w:autoSpaceDN w:val="0"/>
        <w:adjustRightInd w:val="0"/>
        <w:spacing w:line="240" w:lineRule="auto"/>
        <w:contextualSpacing/>
        <w:jc w:val="both"/>
        <w:textAlignment w:val="baseline"/>
        <w:rPr>
          <w:rFonts w:ascii="Times New Roman" w:eastAsia="SimSun" w:hAnsi="Times New Roman" w:cs="Times New Roman"/>
          <w:sz w:val="20"/>
          <w:szCs w:val="20"/>
        </w:rPr>
      </w:pPr>
      <w:r>
        <w:rPr>
          <w:rFonts w:ascii="Times New Roman" w:eastAsia="SimSun" w:hAnsi="Times New Roman" w:cs="Times New Roman"/>
          <w:sz w:val="20"/>
          <w:szCs w:val="20"/>
        </w:rPr>
        <w:t xml:space="preserve">In this document, we discuss the following aspects related to LDPC code block segmentation. </w:t>
      </w:r>
    </w:p>
    <w:p w:rsidR="00A97195" w:rsidRDefault="00A97195" w:rsidP="00A97195">
      <w:pPr>
        <w:pStyle w:val="ListParagraph"/>
        <w:numPr>
          <w:ilvl w:val="0"/>
          <w:numId w:val="9"/>
        </w:numPr>
        <w:overflowPunct w:val="0"/>
        <w:autoSpaceDE w:val="0"/>
        <w:autoSpaceDN w:val="0"/>
        <w:adjustRightInd w:val="0"/>
        <w:spacing w:line="240" w:lineRule="auto"/>
        <w:jc w:val="both"/>
        <w:textAlignment w:val="baseline"/>
        <w:rPr>
          <w:rFonts w:ascii="Times New Roman" w:eastAsia="SimSun" w:hAnsi="Times New Roman" w:cs="Times New Roman"/>
          <w:sz w:val="20"/>
          <w:szCs w:val="20"/>
        </w:rPr>
      </w:pPr>
      <w:r>
        <w:rPr>
          <w:rFonts w:ascii="Times New Roman" w:eastAsia="SimSun" w:hAnsi="Times New Roman" w:cs="Times New Roman"/>
          <w:sz w:val="20"/>
          <w:szCs w:val="20"/>
        </w:rPr>
        <w:t xml:space="preserve">Code block size/ TBS </w:t>
      </w:r>
      <w:r w:rsidRPr="00CE4D41">
        <w:rPr>
          <w:rFonts w:ascii="Times New Roman" w:eastAsia="SimSun" w:hAnsi="Times New Roman" w:cs="Times New Roman"/>
          <w:sz w:val="20"/>
          <w:szCs w:val="20"/>
        </w:rPr>
        <w:t>support</w:t>
      </w:r>
    </w:p>
    <w:p w:rsidR="00A97195" w:rsidRPr="00BE5B05" w:rsidRDefault="00A97195" w:rsidP="00A97195">
      <w:pPr>
        <w:pStyle w:val="ListParagraph"/>
        <w:numPr>
          <w:ilvl w:val="0"/>
          <w:numId w:val="9"/>
        </w:numPr>
        <w:overflowPunct w:val="0"/>
        <w:autoSpaceDE w:val="0"/>
        <w:autoSpaceDN w:val="0"/>
        <w:adjustRightInd w:val="0"/>
        <w:spacing w:line="240" w:lineRule="auto"/>
        <w:jc w:val="both"/>
        <w:textAlignment w:val="baseline"/>
        <w:rPr>
          <w:rFonts w:ascii="Times New Roman" w:eastAsia="SimSun" w:hAnsi="Times New Roman" w:cs="Times New Roman"/>
          <w:sz w:val="20"/>
          <w:szCs w:val="20"/>
        </w:rPr>
      </w:pPr>
      <w:r>
        <w:rPr>
          <w:rFonts w:ascii="Times New Roman" w:eastAsia="SimSun" w:hAnsi="Times New Roman" w:cs="Times New Roman"/>
          <w:sz w:val="20"/>
          <w:szCs w:val="20"/>
        </w:rPr>
        <w:t>BG1/BG2 usage</w:t>
      </w:r>
    </w:p>
    <w:p w:rsidR="00A97195" w:rsidRDefault="00A97195" w:rsidP="00A97195">
      <w:pPr>
        <w:pStyle w:val="Heading1"/>
        <w:keepNext/>
        <w:keepLines/>
        <w:widowControl/>
        <w:numPr>
          <w:ilvl w:val="0"/>
          <w:numId w:val="1"/>
        </w:numPr>
        <w:pBdr>
          <w:top w:val="single" w:sz="12" w:space="3" w:color="auto"/>
        </w:pBdr>
        <w:overflowPunct w:val="0"/>
        <w:autoSpaceDE w:val="0"/>
        <w:autoSpaceDN w:val="0"/>
        <w:adjustRightInd w:val="0"/>
        <w:spacing w:after="180"/>
        <w:ind w:left="432" w:hanging="432"/>
        <w:textAlignment w:val="baseline"/>
        <w:rPr>
          <w:rFonts w:eastAsia="SimSun"/>
          <w:b w:val="0"/>
          <w:bCs w:val="0"/>
          <w:kern w:val="0"/>
          <w:sz w:val="36"/>
          <w:szCs w:val="20"/>
          <w:lang w:eastAsia="en-US"/>
        </w:rPr>
      </w:pPr>
      <w:r>
        <w:rPr>
          <w:rFonts w:eastAsia="SimSun"/>
          <w:b w:val="0"/>
          <w:bCs w:val="0"/>
          <w:kern w:val="0"/>
          <w:sz w:val="36"/>
          <w:szCs w:val="20"/>
          <w:lang w:eastAsia="en-US"/>
        </w:rPr>
        <w:t>Code Block Size/TBS support</w:t>
      </w:r>
    </w:p>
    <w:p w:rsidR="00A97195" w:rsidRDefault="00A97195" w:rsidP="00A97195">
      <w:pPr>
        <w:overflowPunct w:val="0"/>
        <w:autoSpaceDE w:val="0"/>
        <w:autoSpaceDN w:val="0"/>
        <w:adjustRightInd w:val="0"/>
        <w:spacing w:after="180" w:line="240" w:lineRule="auto"/>
        <w:jc w:val="both"/>
        <w:textAlignment w:val="baseline"/>
        <w:rPr>
          <w:rFonts w:ascii="Times New Roman" w:hAnsi="Times New Roman" w:cs="Times New Roman"/>
          <w:sz w:val="20"/>
          <w:szCs w:val="20"/>
          <w:lang w:val="en-GB"/>
        </w:rPr>
      </w:pPr>
      <w:r>
        <w:rPr>
          <w:rFonts w:ascii="Times New Roman" w:hAnsi="Times New Roman" w:cs="Times New Roman"/>
          <w:sz w:val="20"/>
          <w:szCs w:val="20"/>
          <w:lang w:val="en-GB"/>
        </w:rPr>
        <w:t xml:space="preserve">In last RAN1 meeting, it was agreed that for code block segmentation yields a single code block size for a transport block and a WA was made to that the TBS determination ensures the code block sizes are equal. In Figure 1, we show an illustration of this. </w:t>
      </w:r>
    </w:p>
    <w:p w:rsidR="00A97195" w:rsidRPr="00B0303A" w:rsidRDefault="00A97195" w:rsidP="00A97195">
      <w:pPr>
        <w:overflowPunct w:val="0"/>
        <w:autoSpaceDE w:val="0"/>
        <w:autoSpaceDN w:val="0"/>
        <w:adjustRightInd w:val="0"/>
        <w:spacing w:after="180" w:line="240" w:lineRule="auto"/>
        <w:jc w:val="center"/>
        <w:textAlignment w:val="baseline"/>
        <w:rPr>
          <w:rFonts w:ascii="Times New Roman" w:hAnsi="Times New Roman" w:cs="Times New Roman"/>
          <w:sz w:val="20"/>
          <w:szCs w:val="20"/>
          <w:lang w:val="en-GB"/>
        </w:rPr>
      </w:pPr>
      <w:r>
        <w:rPr>
          <w:rFonts w:ascii="Times New Roman" w:hAnsi="Times New Roman" w:cs="Times New Roman"/>
          <w:noProof/>
          <w:sz w:val="20"/>
          <w:szCs w:val="20"/>
        </w:rPr>
        <w:drawing>
          <wp:inline distT="0" distB="0" distL="0" distR="0" wp14:anchorId="269D5005" wp14:editId="7C1386E3">
            <wp:extent cx="2587752" cy="1563624"/>
            <wp:effectExtent l="0" t="0" r="3175"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2587752" cy="1563624"/>
                    </a:xfrm>
                    <a:prstGeom prst="rect">
                      <a:avLst/>
                    </a:prstGeom>
                    <a:noFill/>
                  </pic:spPr>
                </pic:pic>
              </a:graphicData>
            </a:graphic>
          </wp:inline>
        </w:drawing>
      </w:r>
    </w:p>
    <w:p w:rsidR="00A97195" w:rsidRDefault="00A97195" w:rsidP="00A97195">
      <w:pPr>
        <w:pStyle w:val="Caption"/>
        <w:jc w:val="center"/>
        <w:rPr>
          <w:rFonts w:ascii="Times New Roman" w:hAnsi="Times New Roman" w:cs="Times New Roman"/>
          <w:sz w:val="20"/>
          <w:szCs w:val="20"/>
          <w:lang w:val="en-GB"/>
        </w:rPr>
      </w:pPr>
      <w:r>
        <w:t xml:space="preserve">Figure </w:t>
      </w:r>
      <w:r>
        <w:fldChar w:fldCharType="begin"/>
      </w:r>
      <w:r>
        <w:instrText xml:space="preserve"> SEQ Figure \* ARABIC </w:instrText>
      </w:r>
      <w:r>
        <w:fldChar w:fldCharType="separate"/>
      </w:r>
      <w:r>
        <w:rPr>
          <w:noProof/>
        </w:rPr>
        <w:t>1</w:t>
      </w:r>
      <w:r>
        <w:fldChar w:fldCharType="end"/>
      </w:r>
      <w:r>
        <w:t>. Example illustrating a TB segmentation into code blocks of equal size.</w:t>
      </w:r>
    </w:p>
    <w:p w:rsidR="00A97195" w:rsidRDefault="00A97195" w:rsidP="00A97195">
      <w:pPr>
        <w:tabs>
          <w:tab w:val="left" w:pos="3264"/>
        </w:tabs>
        <w:overflowPunct w:val="0"/>
        <w:autoSpaceDE w:val="0"/>
        <w:autoSpaceDN w:val="0"/>
        <w:adjustRightInd w:val="0"/>
        <w:spacing w:after="180" w:line="240" w:lineRule="auto"/>
        <w:jc w:val="both"/>
        <w:textAlignment w:val="baseline"/>
        <w:rPr>
          <w:rFonts w:ascii="Times New Roman" w:hAnsi="Times New Roman" w:cs="Times New Roman"/>
          <w:sz w:val="20"/>
          <w:szCs w:val="20"/>
          <w:lang w:val="en-GB"/>
        </w:rPr>
      </w:pPr>
      <w:r>
        <w:rPr>
          <w:rFonts w:ascii="Times New Roman" w:hAnsi="Times New Roman" w:cs="Times New Roman"/>
          <w:sz w:val="20"/>
          <w:szCs w:val="20"/>
          <w:lang w:val="en-GB"/>
        </w:rPr>
        <w:t xml:space="preserve">The WA from last meeting regarding BG2 usage is as follows. </w:t>
      </w:r>
    </w:p>
    <w:p w:rsidR="00A97195" w:rsidRPr="002F1B97" w:rsidRDefault="00A97195" w:rsidP="00A97195">
      <w:pPr>
        <w:numPr>
          <w:ilvl w:val="0"/>
          <w:numId w:val="5"/>
        </w:numPr>
        <w:tabs>
          <w:tab w:val="left" w:pos="1440"/>
        </w:tabs>
        <w:spacing w:after="0" w:line="240" w:lineRule="auto"/>
        <w:rPr>
          <w:rFonts w:ascii="Times" w:eastAsia="MS Mincho" w:hAnsi="Times" w:cs="Times New Roman"/>
          <w:i/>
          <w:sz w:val="20"/>
          <w:szCs w:val="24"/>
          <w:lang w:val="en-GB" w:eastAsia="ja-JP"/>
        </w:rPr>
      </w:pPr>
      <w:r w:rsidRPr="0095729E">
        <w:rPr>
          <w:rFonts w:ascii="Times" w:eastAsia="MS Mincho" w:hAnsi="Times" w:cs="Times New Roman"/>
          <w:i/>
          <w:sz w:val="20"/>
          <w:szCs w:val="24"/>
          <w:lang w:eastAsia="ja-JP"/>
        </w:rPr>
        <w:t xml:space="preserve">BG2 is used for initial transmissions with code rate </w:t>
      </w:r>
      <w:r w:rsidRPr="0095729E">
        <w:rPr>
          <w:rFonts w:ascii="Times" w:eastAsia="MS Mincho" w:hAnsi="Times" w:cs="Times New Roman"/>
          <w:i/>
          <w:sz w:val="20"/>
          <w:szCs w:val="24"/>
          <w:lang w:val="en-GB" w:eastAsia="ja-JP"/>
        </w:rPr>
        <w:t>R</w:t>
      </w:r>
      <w:r w:rsidRPr="0095729E">
        <w:rPr>
          <w:rFonts w:ascii="Times" w:eastAsia="MS Mincho" w:hAnsi="Times" w:cs="Times New Roman"/>
          <w:i/>
          <w:sz w:val="20"/>
          <w:szCs w:val="24"/>
          <w:vertAlign w:val="subscript"/>
          <w:lang w:val="en-GB" w:eastAsia="ja-JP"/>
        </w:rPr>
        <w:t>init</w:t>
      </w:r>
      <w:r w:rsidRPr="0095729E">
        <w:rPr>
          <w:rFonts w:ascii="Times" w:eastAsia="MS Mincho" w:hAnsi="Times" w:cs="Times New Roman"/>
          <w:i/>
          <w:sz w:val="20"/>
          <w:szCs w:val="24"/>
          <w:lang w:eastAsia="ja-JP"/>
        </w:rPr>
        <w:t xml:space="preserve"> &lt;= ¼* for all TBS supported at that code rate</w:t>
      </w:r>
    </w:p>
    <w:p w:rsidR="00A97195" w:rsidRDefault="00A97195" w:rsidP="00A97195">
      <w:pPr>
        <w:tabs>
          <w:tab w:val="left" w:pos="3264"/>
        </w:tabs>
        <w:overflowPunct w:val="0"/>
        <w:autoSpaceDE w:val="0"/>
        <w:autoSpaceDN w:val="0"/>
        <w:adjustRightInd w:val="0"/>
        <w:spacing w:after="180" w:line="240" w:lineRule="auto"/>
        <w:jc w:val="both"/>
        <w:textAlignment w:val="baseline"/>
        <w:rPr>
          <w:rFonts w:ascii="Times New Roman" w:hAnsi="Times New Roman" w:cs="Times New Roman"/>
          <w:sz w:val="20"/>
          <w:szCs w:val="20"/>
          <w:lang w:val="en-GB"/>
        </w:rPr>
      </w:pPr>
    </w:p>
    <w:p w:rsidR="00A97195" w:rsidRDefault="00A97195" w:rsidP="00A97195">
      <w:pPr>
        <w:tabs>
          <w:tab w:val="left" w:pos="3264"/>
        </w:tabs>
        <w:overflowPunct w:val="0"/>
        <w:autoSpaceDE w:val="0"/>
        <w:autoSpaceDN w:val="0"/>
        <w:adjustRightInd w:val="0"/>
        <w:spacing w:after="180" w:line="240" w:lineRule="auto"/>
        <w:jc w:val="both"/>
        <w:textAlignment w:val="baseline"/>
        <w:rPr>
          <w:rFonts w:ascii="Times New Roman" w:hAnsi="Times New Roman" w:cs="Times New Roman"/>
          <w:sz w:val="20"/>
          <w:szCs w:val="20"/>
          <w:lang w:val="en-GB"/>
        </w:rPr>
      </w:pPr>
      <w:r>
        <w:rPr>
          <w:rFonts w:ascii="Times New Roman" w:hAnsi="Times New Roman" w:cs="Times New Roman"/>
          <w:sz w:val="20"/>
          <w:szCs w:val="20"/>
          <w:lang w:val="en-GB"/>
        </w:rPr>
        <w:t xml:space="preserve">BG2 is used for cases where a low MCS (e.g. less than max MCS= ¼ QPSK, etc) is scheduled, while for BG1, the highest MCS is roughly ~ 0.94, 256-QAM. Thus, the maximum transport block size supported by BG1 is ~ 15x bigger than that supported by BG2. Therefore, the range of TB sizes supported by BG1 would be a superset of range of TB sizes supported by BG2. While the ranges overlap, it is important to understand whether a given transport block size can be supported by both BG1 and BG2 (e.g. at least for the region where the TB sizes between BG1 and BG2 overlap). Since, the maximum CBS are different for BG1 and BG2 (8448 and 3840, respectively), a transport block size X that may yield equal code block sizes with BG1, but not BG2 or vice-versa. </w:t>
      </w:r>
    </w:p>
    <w:p w:rsidR="00A97195" w:rsidRDefault="00A97195" w:rsidP="00A97195">
      <w:pPr>
        <w:tabs>
          <w:tab w:val="left" w:pos="3264"/>
        </w:tabs>
        <w:overflowPunct w:val="0"/>
        <w:autoSpaceDE w:val="0"/>
        <w:autoSpaceDN w:val="0"/>
        <w:adjustRightInd w:val="0"/>
        <w:spacing w:after="180" w:line="240" w:lineRule="auto"/>
        <w:jc w:val="both"/>
        <w:textAlignment w:val="baseline"/>
        <w:rPr>
          <w:rFonts w:ascii="Times New Roman" w:hAnsi="Times New Roman" w:cs="Times New Roman"/>
          <w:sz w:val="20"/>
          <w:szCs w:val="20"/>
          <w:lang w:val="en-GB"/>
        </w:rPr>
      </w:pPr>
      <w:r>
        <w:rPr>
          <w:rFonts w:ascii="Times New Roman" w:hAnsi="Times New Roman" w:cs="Times New Roman"/>
          <w:sz w:val="20"/>
          <w:szCs w:val="20"/>
          <w:lang w:val="en-GB"/>
        </w:rPr>
        <w:t xml:space="preserve">Consider following examples: </w:t>
      </w:r>
    </w:p>
    <w:p w:rsidR="00A97195" w:rsidRDefault="00A97195" w:rsidP="00A97195">
      <w:pPr>
        <w:pStyle w:val="ListParagraph"/>
        <w:numPr>
          <w:ilvl w:val="0"/>
          <w:numId w:val="11"/>
        </w:numPr>
        <w:tabs>
          <w:tab w:val="left" w:pos="3264"/>
        </w:tabs>
        <w:overflowPunct w:val="0"/>
        <w:autoSpaceDE w:val="0"/>
        <w:autoSpaceDN w:val="0"/>
        <w:adjustRightInd w:val="0"/>
        <w:spacing w:after="180" w:line="240" w:lineRule="auto"/>
        <w:jc w:val="both"/>
        <w:textAlignment w:val="baseline"/>
        <w:rPr>
          <w:rFonts w:ascii="Times New Roman" w:hAnsi="Times New Roman" w:cs="Times New Roman"/>
          <w:sz w:val="20"/>
          <w:szCs w:val="20"/>
          <w:lang w:val="en-GB"/>
        </w:rPr>
      </w:pPr>
      <w:r w:rsidRPr="00D7454C">
        <w:rPr>
          <w:rFonts w:ascii="Times New Roman" w:hAnsi="Times New Roman" w:cs="Times New Roman"/>
          <w:sz w:val="20"/>
          <w:szCs w:val="20"/>
          <w:lang w:val="en-GB"/>
        </w:rPr>
        <w:t>TBS = 10008. With BG1, this TBS yields two equal code blocks of size K</w:t>
      </w:r>
      <w:r w:rsidRPr="00D7454C">
        <w:rPr>
          <w:rFonts w:ascii="Times New Roman" w:hAnsi="Times New Roman" w:cs="Times New Roman"/>
          <w:sz w:val="20"/>
          <w:szCs w:val="20"/>
          <w:vertAlign w:val="subscript"/>
          <w:lang w:val="en-GB"/>
        </w:rPr>
        <w:t>CB</w:t>
      </w:r>
      <w:r w:rsidRPr="00D7454C">
        <w:rPr>
          <w:rFonts w:ascii="Times New Roman" w:hAnsi="Times New Roman" w:cs="Times New Roman"/>
          <w:sz w:val="20"/>
          <w:szCs w:val="20"/>
          <w:lang w:val="en-GB"/>
        </w:rPr>
        <w:t xml:space="preserve"> =5016, while with BG2, it yields three code blocks of size K</w:t>
      </w:r>
      <w:r w:rsidRPr="00D7454C">
        <w:rPr>
          <w:rFonts w:ascii="Times New Roman" w:hAnsi="Times New Roman" w:cs="Times New Roman"/>
          <w:sz w:val="20"/>
          <w:szCs w:val="20"/>
          <w:vertAlign w:val="subscript"/>
          <w:lang w:val="en-GB"/>
        </w:rPr>
        <w:t>CB</w:t>
      </w:r>
      <w:r w:rsidRPr="00D7454C">
        <w:rPr>
          <w:rFonts w:ascii="Times New Roman" w:hAnsi="Times New Roman" w:cs="Times New Roman"/>
          <w:sz w:val="20"/>
          <w:szCs w:val="20"/>
          <w:lang w:val="en-GB"/>
        </w:rPr>
        <w:t xml:space="preserve"> = 3344. </w:t>
      </w:r>
    </w:p>
    <w:p w:rsidR="00A97195" w:rsidRPr="00241D14" w:rsidRDefault="00A97195" w:rsidP="00A97195">
      <w:pPr>
        <w:pStyle w:val="ListParagraph"/>
        <w:numPr>
          <w:ilvl w:val="0"/>
          <w:numId w:val="11"/>
        </w:numPr>
        <w:tabs>
          <w:tab w:val="left" w:pos="3264"/>
        </w:tabs>
        <w:overflowPunct w:val="0"/>
        <w:autoSpaceDE w:val="0"/>
        <w:autoSpaceDN w:val="0"/>
        <w:adjustRightInd w:val="0"/>
        <w:spacing w:after="180" w:line="240" w:lineRule="auto"/>
        <w:jc w:val="both"/>
        <w:textAlignment w:val="baseline"/>
        <w:rPr>
          <w:rFonts w:ascii="Times New Roman" w:hAnsi="Times New Roman" w:cs="Times New Roman"/>
          <w:sz w:val="20"/>
          <w:szCs w:val="20"/>
          <w:lang w:val="en-GB"/>
        </w:rPr>
      </w:pPr>
      <w:r>
        <w:rPr>
          <w:rFonts w:ascii="Times New Roman" w:hAnsi="Times New Roman" w:cs="Times New Roman"/>
          <w:sz w:val="20"/>
          <w:szCs w:val="20"/>
          <w:lang w:val="en-GB"/>
        </w:rPr>
        <w:t>TBS = 10000 yields C=2, K</w:t>
      </w:r>
      <w:r w:rsidRPr="00241D14">
        <w:rPr>
          <w:rFonts w:ascii="Times New Roman" w:hAnsi="Times New Roman" w:cs="Times New Roman"/>
          <w:sz w:val="20"/>
          <w:szCs w:val="20"/>
          <w:vertAlign w:val="subscript"/>
          <w:lang w:val="en-GB"/>
        </w:rPr>
        <w:t>C</w:t>
      </w:r>
      <w:r>
        <w:rPr>
          <w:rFonts w:ascii="Times New Roman" w:hAnsi="Times New Roman" w:cs="Times New Roman"/>
          <w:sz w:val="20"/>
          <w:szCs w:val="20"/>
          <w:vertAlign w:val="subscript"/>
          <w:lang w:val="en-GB"/>
        </w:rPr>
        <w:t>B</w:t>
      </w:r>
      <w:r w:rsidRPr="00241D14">
        <w:rPr>
          <w:rFonts w:ascii="Times New Roman" w:hAnsi="Times New Roman" w:cs="Times New Roman"/>
          <w:sz w:val="20"/>
          <w:szCs w:val="20"/>
          <w:lang w:val="en-GB"/>
        </w:rPr>
        <w:t>=</w:t>
      </w:r>
      <w:r>
        <w:rPr>
          <w:rFonts w:ascii="Times New Roman" w:hAnsi="Times New Roman" w:cs="Times New Roman"/>
          <w:sz w:val="20"/>
          <w:szCs w:val="20"/>
          <w:lang w:val="en-GB"/>
        </w:rPr>
        <w:t xml:space="preserve">5026, but it does not support BG2 segmentation with equal segment size. Thus, TBS=10000 can be supported only by BG1 but not by BG2 (unless zero-padding is further introduced). </w:t>
      </w:r>
    </w:p>
    <w:p w:rsidR="00A97195" w:rsidRDefault="00A97195" w:rsidP="00A97195">
      <w:pPr>
        <w:tabs>
          <w:tab w:val="left" w:pos="3264"/>
        </w:tabs>
        <w:overflowPunct w:val="0"/>
        <w:autoSpaceDE w:val="0"/>
        <w:autoSpaceDN w:val="0"/>
        <w:adjustRightInd w:val="0"/>
        <w:spacing w:after="180" w:line="240" w:lineRule="auto"/>
        <w:jc w:val="both"/>
        <w:textAlignment w:val="baseline"/>
        <w:rPr>
          <w:rFonts w:ascii="Times New Roman" w:hAnsi="Times New Roman" w:cs="Times New Roman"/>
          <w:sz w:val="20"/>
          <w:szCs w:val="20"/>
          <w:lang w:val="en-GB"/>
        </w:rPr>
      </w:pPr>
      <w:r>
        <w:rPr>
          <w:rFonts w:ascii="Times New Roman" w:hAnsi="Times New Roman" w:cs="Times New Roman"/>
          <w:sz w:val="20"/>
          <w:szCs w:val="20"/>
          <w:lang w:val="en-GB"/>
        </w:rPr>
        <w:lastRenderedPageBreak/>
        <w:t xml:space="preserve">Then, there are two options for TBS design. </w:t>
      </w:r>
    </w:p>
    <w:p w:rsidR="00A97195" w:rsidRPr="00D7454C" w:rsidRDefault="00A97195" w:rsidP="00A97195">
      <w:pPr>
        <w:pStyle w:val="ListParagraph"/>
        <w:numPr>
          <w:ilvl w:val="0"/>
          <w:numId w:val="10"/>
        </w:numPr>
        <w:tabs>
          <w:tab w:val="left" w:pos="3264"/>
        </w:tabs>
        <w:overflowPunct w:val="0"/>
        <w:autoSpaceDE w:val="0"/>
        <w:autoSpaceDN w:val="0"/>
        <w:adjustRightInd w:val="0"/>
        <w:spacing w:after="180" w:line="240" w:lineRule="auto"/>
        <w:jc w:val="both"/>
        <w:textAlignment w:val="baseline"/>
        <w:rPr>
          <w:rFonts w:ascii="Times New Roman" w:hAnsi="Times New Roman" w:cs="Times New Roman"/>
          <w:sz w:val="20"/>
          <w:szCs w:val="20"/>
          <w:lang w:val="en-GB"/>
        </w:rPr>
      </w:pPr>
      <w:r w:rsidRPr="00D7454C">
        <w:rPr>
          <w:rFonts w:ascii="Times New Roman" w:hAnsi="Times New Roman" w:cs="Times New Roman"/>
          <w:sz w:val="20"/>
          <w:szCs w:val="20"/>
          <w:lang w:val="en-GB"/>
        </w:rPr>
        <w:t>Option 1:TBS supported by BG1 and TBS support</w:t>
      </w:r>
      <w:r>
        <w:rPr>
          <w:rFonts w:ascii="Times New Roman" w:hAnsi="Times New Roman" w:cs="Times New Roman"/>
          <w:sz w:val="20"/>
          <w:szCs w:val="20"/>
          <w:lang w:val="en-GB"/>
        </w:rPr>
        <w:t>ed</w:t>
      </w:r>
      <w:r w:rsidRPr="00D7454C">
        <w:rPr>
          <w:rFonts w:ascii="Times New Roman" w:hAnsi="Times New Roman" w:cs="Times New Roman"/>
          <w:sz w:val="20"/>
          <w:szCs w:val="20"/>
          <w:lang w:val="en-GB"/>
        </w:rPr>
        <w:t xml:space="preserve"> by BG2 are separately designed. </w:t>
      </w:r>
    </w:p>
    <w:p w:rsidR="00A97195" w:rsidRPr="00D7454C" w:rsidRDefault="00A97195" w:rsidP="00A97195">
      <w:pPr>
        <w:pStyle w:val="ListParagraph"/>
        <w:numPr>
          <w:ilvl w:val="0"/>
          <w:numId w:val="10"/>
        </w:numPr>
        <w:tabs>
          <w:tab w:val="left" w:pos="3264"/>
        </w:tabs>
        <w:overflowPunct w:val="0"/>
        <w:autoSpaceDE w:val="0"/>
        <w:autoSpaceDN w:val="0"/>
        <w:adjustRightInd w:val="0"/>
        <w:spacing w:after="180" w:line="240" w:lineRule="auto"/>
        <w:jc w:val="both"/>
        <w:textAlignment w:val="baseline"/>
        <w:rPr>
          <w:rFonts w:ascii="Times New Roman" w:hAnsi="Times New Roman" w:cs="Times New Roman"/>
          <w:sz w:val="20"/>
          <w:szCs w:val="20"/>
          <w:lang w:val="en-GB"/>
        </w:rPr>
      </w:pPr>
      <w:r w:rsidRPr="00D7454C">
        <w:rPr>
          <w:rFonts w:ascii="Times New Roman" w:hAnsi="Times New Roman" w:cs="Times New Roman"/>
          <w:sz w:val="20"/>
          <w:szCs w:val="20"/>
          <w:lang w:val="en-GB"/>
        </w:rPr>
        <w:t>Option 2:TBS supported by BG2 are also supported by BG1</w:t>
      </w:r>
    </w:p>
    <w:p w:rsidR="00A97195" w:rsidRDefault="00A97195" w:rsidP="00A97195">
      <w:pPr>
        <w:tabs>
          <w:tab w:val="left" w:pos="3264"/>
        </w:tabs>
        <w:overflowPunct w:val="0"/>
        <w:autoSpaceDE w:val="0"/>
        <w:autoSpaceDN w:val="0"/>
        <w:adjustRightInd w:val="0"/>
        <w:spacing w:after="180" w:line="240" w:lineRule="auto"/>
        <w:jc w:val="both"/>
        <w:textAlignment w:val="baseline"/>
        <w:rPr>
          <w:rFonts w:ascii="Times New Roman" w:hAnsi="Times New Roman" w:cs="Times New Roman"/>
          <w:sz w:val="20"/>
          <w:szCs w:val="20"/>
          <w:lang w:val="en-GB"/>
        </w:rPr>
      </w:pPr>
      <w:r>
        <w:rPr>
          <w:rFonts w:ascii="Times New Roman" w:hAnsi="Times New Roman" w:cs="Times New Roman"/>
          <w:sz w:val="20"/>
          <w:szCs w:val="20"/>
          <w:lang w:val="en-GB"/>
        </w:rPr>
        <w:t xml:space="preserve">Our view is that the transport block size should be supportable by both BG1 and BG2, at least for the range where they overlap, as then the BG dependent-transport block sizes can be avoided – this can simplify TB size design and also make BG dependency transparent to upper layers (including e.g. potential max TBS/buffer size discussions). RAN1 should ensure same set of TBS across BG1 and BG2 (in overlapped regions) even if it requires introducing zero-padding, or place a limitation on BG2 usage (e.g. explicit upper limit on TB size supported by BG2). </w:t>
      </w:r>
    </w:p>
    <w:p w:rsidR="00A97195" w:rsidRDefault="00A97195" w:rsidP="00A97195">
      <w:pPr>
        <w:tabs>
          <w:tab w:val="left" w:pos="3264"/>
        </w:tabs>
        <w:overflowPunct w:val="0"/>
        <w:autoSpaceDE w:val="0"/>
        <w:autoSpaceDN w:val="0"/>
        <w:adjustRightInd w:val="0"/>
        <w:spacing w:after="180" w:line="240" w:lineRule="auto"/>
        <w:jc w:val="both"/>
        <w:textAlignment w:val="baseline"/>
        <w:rPr>
          <w:rFonts w:ascii="Times New Roman" w:hAnsi="Times New Roman" w:cs="Times New Roman"/>
          <w:b/>
          <w:sz w:val="20"/>
          <w:szCs w:val="20"/>
          <w:lang w:val="en-GB"/>
        </w:rPr>
      </w:pPr>
      <w:r w:rsidRPr="00E4323B">
        <w:rPr>
          <w:rFonts w:ascii="Times New Roman" w:hAnsi="Times New Roman" w:cs="Times New Roman"/>
          <w:b/>
          <w:sz w:val="20"/>
          <w:szCs w:val="20"/>
          <w:lang w:val="en-GB"/>
        </w:rPr>
        <w:t xml:space="preserve">Proposal 1: Transport block sizes </w:t>
      </w:r>
      <w:r>
        <w:rPr>
          <w:rFonts w:ascii="Times New Roman" w:hAnsi="Times New Roman" w:cs="Times New Roman"/>
          <w:b/>
          <w:sz w:val="20"/>
          <w:szCs w:val="20"/>
          <w:lang w:val="en-GB"/>
        </w:rPr>
        <w:t xml:space="preserve">that are supported </w:t>
      </w:r>
      <w:r w:rsidRPr="00E4323B">
        <w:rPr>
          <w:rFonts w:ascii="Times New Roman" w:hAnsi="Times New Roman" w:cs="Times New Roman"/>
          <w:b/>
          <w:sz w:val="20"/>
          <w:szCs w:val="20"/>
          <w:lang w:val="en-GB"/>
        </w:rPr>
        <w:t>by BG2 are also supported by BG1</w:t>
      </w:r>
      <w:r>
        <w:rPr>
          <w:rFonts w:ascii="Times New Roman" w:hAnsi="Times New Roman" w:cs="Times New Roman"/>
          <w:b/>
          <w:sz w:val="20"/>
          <w:szCs w:val="20"/>
          <w:lang w:val="en-GB"/>
        </w:rPr>
        <w:t xml:space="preserve">. </w:t>
      </w:r>
    </w:p>
    <w:p w:rsidR="00A97195" w:rsidRDefault="00A97195" w:rsidP="00A97195">
      <w:pPr>
        <w:tabs>
          <w:tab w:val="left" w:pos="3264"/>
        </w:tabs>
        <w:overflowPunct w:val="0"/>
        <w:autoSpaceDE w:val="0"/>
        <w:autoSpaceDN w:val="0"/>
        <w:adjustRightInd w:val="0"/>
        <w:spacing w:after="180" w:line="240" w:lineRule="auto"/>
        <w:jc w:val="both"/>
        <w:textAlignment w:val="baseline"/>
        <w:rPr>
          <w:rFonts w:ascii="Times New Roman" w:hAnsi="Times New Roman" w:cs="Times New Roman"/>
          <w:sz w:val="20"/>
          <w:szCs w:val="20"/>
          <w:lang w:val="en-GB"/>
        </w:rPr>
      </w:pPr>
      <w:r w:rsidRPr="00895EE7">
        <w:rPr>
          <w:rFonts w:ascii="Times New Roman" w:hAnsi="Times New Roman" w:cs="Times New Roman"/>
          <w:sz w:val="20"/>
          <w:szCs w:val="20"/>
          <w:lang w:val="en-GB"/>
        </w:rPr>
        <w:t xml:space="preserve">Coarse set of code block sizes </w:t>
      </w:r>
      <w:r>
        <w:rPr>
          <w:rFonts w:ascii="Times New Roman" w:hAnsi="Times New Roman" w:cs="Times New Roman"/>
          <w:sz w:val="20"/>
          <w:szCs w:val="20"/>
          <w:lang w:val="en-GB"/>
        </w:rPr>
        <w:t xml:space="preserve">[1] </w:t>
      </w:r>
      <w:r w:rsidRPr="00895EE7">
        <w:rPr>
          <w:rFonts w:ascii="Times New Roman" w:hAnsi="Times New Roman" w:cs="Times New Roman"/>
          <w:sz w:val="20"/>
          <w:szCs w:val="20"/>
          <w:lang w:val="en-GB"/>
        </w:rPr>
        <w:t xml:space="preserve">such as the following set used in LDPC BG evaluations can be considered to </w:t>
      </w:r>
      <w:r>
        <w:rPr>
          <w:rFonts w:ascii="Times New Roman" w:hAnsi="Times New Roman" w:cs="Times New Roman"/>
          <w:sz w:val="20"/>
          <w:szCs w:val="20"/>
          <w:lang w:val="en-GB"/>
        </w:rPr>
        <w:t xml:space="preserve">simplify TBS design. With such a set of code block sizes, the number of cases for supporting filler bits can be reduced, which can lead to simplified implementation/testing and eases TBS design. </w:t>
      </w:r>
    </w:p>
    <w:tbl>
      <w:tblPr>
        <w:tblW w:w="0" w:type="auto"/>
        <w:tblInd w:w="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23"/>
        <w:gridCol w:w="1357"/>
        <w:gridCol w:w="1324"/>
        <w:gridCol w:w="1324"/>
        <w:gridCol w:w="1324"/>
      </w:tblGrid>
      <w:tr w:rsidR="00A97195" w:rsidRPr="006C2282" w:rsidTr="00E669AB">
        <w:tc>
          <w:tcPr>
            <w:tcW w:w="1123" w:type="dxa"/>
            <w:shd w:val="clear" w:color="auto" w:fill="BDD6EE"/>
          </w:tcPr>
          <w:p w:rsidR="00A97195" w:rsidRPr="006C2282" w:rsidRDefault="00A97195" w:rsidP="00E669AB">
            <w:pPr>
              <w:pStyle w:val="ListParagraph"/>
              <w:spacing w:line="240" w:lineRule="atLeast"/>
              <w:ind w:left="0"/>
              <w:jc w:val="right"/>
              <w:rPr>
                <w:rFonts w:eastAsia="Malgun Gothic"/>
                <w:sz w:val="20"/>
                <w:szCs w:val="20"/>
                <w:lang w:eastAsia="ko-KR"/>
              </w:rPr>
            </w:pPr>
            <w:r w:rsidRPr="006C2282">
              <w:rPr>
                <w:rFonts w:eastAsia="Malgun Gothic"/>
                <w:sz w:val="20"/>
                <w:szCs w:val="20"/>
                <w:lang w:eastAsia="ko-KR"/>
              </w:rPr>
              <w:fldChar w:fldCharType="begin"/>
            </w:r>
            <w:r w:rsidRPr="006C2282">
              <w:rPr>
                <w:rFonts w:eastAsia="Malgun Gothic"/>
                <w:sz w:val="20"/>
                <w:szCs w:val="20"/>
                <w:lang w:eastAsia="ko-KR"/>
              </w:rPr>
              <w:instrText xml:space="preserve"> QUOTE </w:instrText>
            </w:r>
            <m:oMath>
              <m:sSub>
                <m:sSubPr>
                  <m:ctrlPr>
                    <w:rPr>
                      <w:rFonts w:ascii="Cambria Math" w:hAnsi="Cambria Math"/>
                      <w:sz w:val="20"/>
                      <w:szCs w:val="20"/>
                    </w:rPr>
                  </m:ctrlPr>
                </m:sSubPr>
                <m:e>
                  <m:r>
                    <m:rPr>
                      <m:sty m:val="p"/>
                    </m:rPr>
                    <w:rPr>
                      <w:rFonts w:ascii="Cambria Math" w:hAnsi="Cambria Math"/>
                      <w:sz w:val="20"/>
                      <w:szCs w:val="20"/>
                    </w:rPr>
                    <m:t>K</m:t>
                  </m:r>
                </m:e>
                <m:sub>
                  <m:r>
                    <m:rPr>
                      <m:sty m:val="p"/>
                    </m:rPr>
                    <w:rPr>
                      <w:rFonts w:ascii="Cambria Math" w:hAnsi="Cambria Math"/>
                      <w:sz w:val="20"/>
                      <w:szCs w:val="20"/>
                    </w:rPr>
                    <m:t>min</m:t>
                  </m:r>
                </m:sub>
              </m:sSub>
              <m:r>
                <m:rPr>
                  <m:sty m:val="p"/>
                </m:rPr>
                <w:rPr>
                  <w:rFonts w:ascii="Cambria Math" w:hAnsi="Cambria Math"/>
                  <w:noProof/>
                  <w:sz w:val="20"/>
                  <w:szCs w:val="20"/>
                </w:rPr>
                <m:t>≤K≤512</m:t>
              </m:r>
            </m:oMath>
            <w:r w:rsidRPr="006C2282">
              <w:rPr>
                <w:rFonts w:eastAsia="Malgun Gothic"/>
                <w:sz w:val="20"/>
                <w:szCs w:val="20"/>
                <w:lang w:eastAsia="ko-KR"/>
              </w:rPr>
              <w:instrText xml:space="preserve"> </w:instrText>
            </w:r>
            <w:r w:rsidRPr="006C2282">
              <w:rPr>
                <w:rFonts w:eastAsia="Malgun Gothic"/>
                <w:sz w:val="20"/>
                <w:szCs w:val="20"/>
                <w:lang w:eastAsia="ko-KR"/>
              </w:rPr>
              <w:fldChar w:fldCharType="separate"/>
            </w:r>
            <w:r w:rsidRPr="006C2282">
              <w:rPr>
                <w:position w:val="-5"/>
                <w:sz w:val="20"/>
                <w:szCs w:val="20"/>
              </w:rPr>
              <w:t>K</w:t>
            </w:r>
            <w:r w:rsidRPr="006C2282">
              <w:rPr>
                <w:position w:val="-5"/>
                <w:sz w:val="20"/>
                <w:szCs w:val="20"/>
                <w:vertAlign w:val="subscript"/>
              </w:rPr>
              <w:t>min</w:t>
            </w:r>
            <w:r w:rsidRPr="006C2282">
              <w:rPr>
                <w:position w:val="-5"/>
                <w:sz w:val="20"/>
                <w:szCs w:val="20"/>
              </w:rPr>
              <w:t>&lt;=K&lt;=512</w:t>
            </w:r>
            <w:r w:rsidRPr="006C2282">
              <w:rPr>
                <w:rFonts w:eastAsia="Malgun Gothic"/>
                <w:sz w:val="20"/>
                <w:szCs w:val="20"/>
                <w:lang w:eastAsia="ko-KR"/>
              </w:rPr>
              <w:fldChar w:fldCharType="end"/>
            </w:r>
            <w:r w:rsidRPr="006C2282">
              <w:rPr>
                <w:rFonts w:eastAsia="Malgun Gothic"/>
                <w:sz w:val="20"/>
                <w:szCs w:val="20"/>
                <w:lang w:eastAsia="ko-KR"/>
              </w:rPr>
              <w:t xml:space="preserve"> </w:t>
            </w:r>
          </w:p>
        </w:tc>
        <w:tc>
          <w:tcPr>
            <w:tcW w:w="1357" w:type="dxa"/>
            <w:shd w:val="clear" w:color="auto" w:fill="BDD6EE"/>
          </w:tcPr>
          <w:p w:rsidR="00A97195" w:rsidRPr="006C2282" w:rsidRDefault="00A97195" w:rsidP="00E669AB">
            <w:pPr>
              <w:pStyle w:val="ListParagraph"/>
              <w:spacing w:line="240" w:lineRule="atLeast"/>
              <w:ind w:left="0"/>
              <w:jc w:val="right"/>
              <w:rPr>
                <w:rFonts w:eastAsia="Malgun Gothic"/>
                <w:sz w:val="20"/>
                <w:szCs w:val="20"/>
                <w:lang w:eastAsia="ko-KR"/>
              </w:rPr>
            </w:pPr>
            <w:r w:rsidRPr="006C2282">
              <w:rPr>
                <w:rFonts w:eastAsia="Malgun Gothic"/>
                <w:sz w:val="20"/>
                <w:szCs w:val="20"/>
                <w:lang w:eastAsia="ko-KR"/>
              </w:rPr>
              <w:t>528&lt;=K&lt;=1024</w:t>
            </w:r>
            <w:r w:rsidRPr="006C2282">
              <w:rPr>
                <w:rFonts w:eastAsia="Malgun Gothic"/>
                <w:sz w:val="20"/>
                <w:szCs w:val="20"/>
                <w:lang w:eastAsia="ko-KR"/>
              </w:rPr>
              <w:fldChar w:fldCharType="begin"/>
            </w:r>
            <w:r w:rsidRPr="006C2282">
              <w:rPr>
                <w:rFonts w:eastAsia="Malgun Gothic"/>
                <w:sz w:val="20"/>
                <w:szCs w:val="20"/>
                <w:lang w:eastAsia="ko-KR"/>
              </w:rPr>
              <w:instrText xml:space="preserve"> QUOTE </w:instrText>
            </w:r>
            <m:oMath>
              <m:r>
                <m:rPr>
                  <m:sty m:val="p"/>
                </m:rPr>
                <w:rPr>
                  <w:rFonts w:ascii="Cambria Math" w:hAnsi="Cambria Math"/>
                  <w:sz w:val="20"/>
                  <w:szCs w:val="20"/>
                </w:rPr>
                <m:t>528</m:t>
              </m:r>
              <m:r>
                <m:rPr>
                  <m:sty m:val="p"/>
                </m:rPr>
                <w:rPr>
                  <w:rFonts w:ascii="Cambria Math" w:hAnsi="Cambria Math"/>
                  <w:noProof/>
                  <w:sz w:val="20"/>
                  <w:szCs w:val="20"/>
                </w:rPr>
                <m:t>≤K≤1024</m:t>
              </m:r>
            </m:oMath>
            <w:r w:rsidRPr="006C2282">
              <w:rPr>
                <w:rFonts w:eastAsia="Malgun Gothic"/>
                <w:sz w:val="20"/>
                <w:szCs w:val="20"/>
                <w:lang w:eastAsia="ko-KR"/>
              </w:rPr>
              <w:instrText xml:space="preserve"> </w:instrText>
            </w:r>
            <w:r w:rsidRPr="006C2282">
              <w:rPr>
                <w:rFonts w:eastAsia="Malgun Gothic"/>
                <w:sz w:val="20"/>
                <w:szCs w:val="20"/>
                <w:lang w:eastAsia="ko-KR"/>
              </w:rPr>
              <w:fldChar w:fldCharType="end"/>
            </w:r>
            <w:r w:rsidRPr="006C2282">
              <w:rPr>
                <w:rFonts w:eastAsia="Malgun Gothic"/>
                <w:sz w:val="20"/>
                <w:szCs w:val="20"/>
                <w:lang w:eastAsia="ko-KR"/>
              </w:rPr>
              <w:t xml:space="preserve"> </w:t>
            </w:r>
          </w:p>
        </w:tc>
        <w:tc>
          <w:tcPr>
            <w:tcW w:w="1324" w:type="dxa"/>
            <w:shd w:val="clear" w:color="auto" w:fill="BDD6EE"/>
          </w:tcPr>
          <w:p w:rsidR="00A97195" w:rsidRPr="006C2282" w:rsidRDefault="00A97195" w:rsidP="00E669AB">
            <w:pPr>
              <w:pStyle w:val="ListParagraph"/>
              <w:spacing w:line="240" w:lineRule="atLeast"/>
              <w:ind w:left="0"/>
              <w:jc w:val="right"/>
              <w:rPr>
                <w:rFonts w:eastAsia="Malgun Gothic"/>
                <w:sz w:val="20"/>
                <w:szCs w:val="20"/>
                <w:lang w:eastAsia="ko-KR"/>
              </w:rPr>
            </w:pPr>
            <w:r w:rsidRPr="006C2282">
              <w:rPr>
                <w:rFonts w:eastAsia="Malgun Gothic"/>
                <w:sz w:val="20"/>
                <w:szCs w:val="20"/>
                <w:lang w:eastAsia="ko-KR"/>
              </w:rPr>
              <w:t>1056&lt;=K&lt;=2048</w:t>
            </w:r>
            <w:r w:rsidRPr="006C2282">
              <w:rPr>
                <w:rFonts w:eastAsia="Malgun Gothic"/>
                <w:sz w:val="20"/>
                <w:szCs w:val="20"/>
                <w:lang w:eastAsia="ko-KR"/>
              </w:rPr>
              <w:fldChar w:fldCharType="begin"/>
            </w:r>
            <w:r w:rsidRPr="006C2282">
              <w:rPr>
                <w:rFonts w:eastAsia="Malgun Gothic"/>
                <w:sz w:val="20"/>
                <w:szCs w:val="20"/>
                <w:lang w:eastAsia="ko-KR"/>
              </w:rPr>
              <w:instrText xml:space="preserve"> QUOTE </w:instrText>
            </w:r>
            <m:oMath>
              <m:r>
                <m:rPr>
                  <m:sty m:val="p"/>
                </m:rPr>
                <w:rPr>
                  <w:rFonts w:ascii="Cambria Math" w:hAnsi="Cambria Math"/>
                  <w:sz w:val="20"/>
                  <w:szCs w:val="20"/>
                </w:rPr>
                <m:t>1056</m:t>
              </m:r>
              <m:r>
                <m:rPr>
                  <m:sty m:val="p"/>
                </m:rPr>
                <w:rPr>
                  <w:rFonts w:ascii="Cambria Math" w:hAnsi="Cambria Math"/>
                  <w:noProof/>
                  <w:sz w:val="20"/>
                  <w:szCs w:val="20"/>
                </w:rPr>
                <m:t>≤K≤2048</m:t>
              </m:r>
            </m:oMath>
            <w:r w:rsidRPr="006C2282">
              <w:rPr>
                <w:rFonts w:eastAsia="Malgun Gothic"/>
                <w:sz w:val="20"/>
                <w:szCs w:val="20"/>
                <w:lang w:eastAsia="ko-KR"/>
              </w:rPr>
              <w:instrText xml:space="preserve"> </w:instrText>
            </w:r>
            <w:r w:rsidRPr="006C2282">
              <w:rPr>
                <w:rFonts w:eastAsia="Malgun Gothic"/>
                <w:sz w:val="20"/>
                <w:szCs w:val="20"/>
                <w:lang w:eastAsia="ko-KR"/>
              </w:rPr>
              <w:fldChar w:fldCharType="end"/>
            </w:r>
            <w:r w:rsidRPr="006C2282">
              <w:rPr>
                <w:rFonts w:eastAsia="Malgun Gothic"/>
                <w:sz w:val="20"/>
                <w:szCs w:val="20"/>
                <w:lang w:eastAsia="ko-KR"/>
              </w:rPr>
              <w:t xml:space="preserve"> </w:t>
            </w:r>
          </w:p>
        </w:tc>
        <w:tc>
          <w:tcPr>
            <w:tcW w:w="1324" w:type="dxa"/>
            <w:shd w:val="clear" w:color="auto" w:fill="BDD6EE"/>
          </w:tcPr>
          <w:p w:rsidR="00A97195" w:rsidRPr="006C2282" w:rsidRDefault="00A97195" w:rsidP="00E669AB">
            <w:pPr>
              <w:pStyle w:val="ListParagraph"/>
              <w:spacing w:line="240" w:lineRule="atLeast"/>
              <w:ind w:left="0"/>
              <w:jc w:val="right"/>
              <w:rPr>
                <w:rFonts w:eastAsia="Malgun Gothic"/>
                <w:sz w:val="20"/>
                <w:szCs w:val="20"/>
                <w:lang w:eastAsia="ko-KR"/>
              </w:rPr>
            </w:pPr>
            <w:r w:rsidRPr="006C2282">
              <w:rPr>
                <w:rFonts w:eastAsia="Malgun Gothic"/>
                <w:sz w:val="20"/>
                <w:szCs w:val="20"/>
                <w:lang w:eastAsia="ko-KR"/>
              </w:rPr>
              <w:t>2048&lt;=K&lt;=6144</w:t>
            </w:r>
          </w:p>
        </w:tc>
        <w:tc>
          <w:tcPr>
            <w:tcW w:w="1324" w:type="dxa"/>
            <w:shd w:val="clear" w:color="auto" w:fill="BDD6EE"/>
          </w:tcPr>
          <w:p w:rsidR="00A97195" w:rsidRPr="006C2282" w:rsidRDefault="00A97195" w:rsidP="00E669AB">
            <w:pPr>
              <w:pStyle w:val="ListParagraph"/>
              <w:spacing w:line="240" w:lineRule="atLeast"/>
              <w:ind w:left="0"/>
              <w:jc w:val="right"/>
              <w:rPr>
                <w:rFonts w:eastAsia="Malgun Gothic"/>
                <w:sz w:val="20"/>
                <w:szCs w:val="20"/>
                <w:lang w:eastAsia="ko-KR"/>
              </w:rPr>
            </w:pPr>
            <w:r w:rsidRPr="006C2282">
              <w:rPr>
                <w:rFonts w:eastAsia="Malgun Gothic"/>
                <w:sz w:val="20"/>
                <w:szCs w:val="20"/>
                <w:lang w:eastAsia="ko-KR"/>
              </w:rPr>
              <w:t>6144&lt;=K&lt;=8192</w:t>
            </w:r>
          </w:p>
        </w:tc>
      </w:tr>
      <w:tr w:rsidR="00A97195" w:rsidRPr="006C2282" w:rsidTr="00E669AB">
        <w:tc>
          <w:tcPr>
            <w:tcW w:w="1123" w:type="dxa"/>
            <w:shd w:val="clear" w:color="auto" w:fill="auto"/>
          </w:tcPr>
          <w:p w:rsidR="00A97195" w:rsidRPr="006C2282" w:rsidRDefault="00A97195" w:rsidP="00E669AB">
            <w:pPr>
              <w:pStyle w:val="ListParagraph"/>
              <w:spacing w:line="240" w:lineRule="atLeast"/>
              <w:ind w:left="0"/>
              <w:jc w:val="right"/>
              <w:rPr>
                <w:rFonts w:eastAsia="Malgun Gothic"/>
                <w:sz w:val="20"/>
                <w:szCs w:val="20"/>
                <w:lang w:eastAsia="ko-KR"/>
              </w:rPr>
            </w:pPr>
            <w:r w:rsidRPr="006C2282">
              <w:rPr>
                <w:rFonts w:eastAsia="Malgun Gothic" w:hint="eastAsia"/>
                <w:sz w:val="20"/>
                <w:szCs w:val="20"/>
                <w:lang w:eastAsia="ko-KR"/>
              </w:rPr>
              <w:t>8</w:t>
            </w:r>
          </w:p>
        </w:tc>
        <w:tc>
          <w:tcPr>
            <w:tcW w:w="1357" w:type="dxa"/>
            <w:shd w:val="clear" w:color="auto" w:fill="auto"/>
          </w:tcPr>
          <w:p w:rsidR="00A97195" w:rsidRPr="006C2282" w:rsidRDefault="00A97195" w:rsidP="00E669AB">
            <w:pPr>
              <w:pStyle w:val="ListParagraph"/>
              <w:spacing w:line="240" w:lineRule="atLeast"/>
              <w:ind w:left="0"/>
              <w:jc w:val="right"/>
              <w:rPr>
                <w:rFonts w:eastAsia="Malgun Gothic"/>
                <w:sz w:val="20"/>
                <w:szCs w:val="20"/>
                <w:lang w:eastAsia="ko-KR"/>
              </w:rPr>
            </w:pPr>
            <w:r w:rsidRPr="006C2282">
              <w:rPr>
                <w:rFonts w:eastAsia="Malgun Gothic" w:hint="eastAsia"/>
                <w:sz w:val="20"/>
                <w:szCs w:val="20"/>
                <w:lang w:eastAsia="ko-KR"/>
              </w:rPr>
              <w:t>16</w:t>
            </w:r>
          </w:p>
        </w:tc>
        <w:tc>
          <w:tcPr>
            <w:tcW w:w="1324" w:type="dxa"/>
            <w:shd w:val="clear" w:color="auto" w:fill="auto"/>
          </w:tcPr>
          <w:p w:rsidR="00A97195" w:rsidRPr="006C2282" w:rsidRDefault="00A97195" w:rsidP="00E669AB">
            <w:pPr>
              <w:pStyle w:val="ListParagraph"/>
              <w:spacing w:line="240" w:lineRule="atLeast"/>
              <w:ind w:left="0"/>
              <w:jc w:val="right"/>
              <w:rPr>
                <w:rFonts w:eastAsia="Malgun Gothic"/>
                <w:sz w:val="20"/>
                <w:szCs w:val="20"/>
                <w:lang w:eastAsia="ko-KR"/>
              </w:rPr>
            </w:pPr>
            <w:r w:rsidRPr="006C2282">
              <w:rPr>
                <w:rFonts w:eastAsia="Malgun Gothic" w:hint="eastAsia"/>
                <w:sz w:val="20"/>
                <w:szCs w:val="20"/>
                <w:lang w:eastAsia="ko-KR"/>
              </w:rPr>
              <w:t>32</w:t>
            </w:r>
          </w:p>
        </w:tc>
        <w:tc>
          <w:tcPr>
            <w:tcW w:w="1324" w:type="dxa"/>
            <w:shd w:val="clear" w:color="auto" w:fill="auto"/>
          </w:tcPr>
          <w:p w:rsidR="00A97195" w:rsidRPr="006C2282" w:rsidRDefault="00A97195" w:rsidP="00E669AB">
            <w:pPr>
              <w:pStyle w:val="ListParagraph"/>
              <w:spacing w:line="240" w:lineRule="atLeast"/>
              <w:ind w:left="0"/>
              <w:jc w:val="right"/>
              <w:rPr>
                <w:rFonts w:eastAsia="Malgun Gothic"/>
                <w:sz w:val="20"/>
                <w:szCs w:val="20"/>
                <w:lang w:eastAsia="ko-KR"/>
              </w:rPr>
            </w:pPr>
            <w:r w:rsidRPr="006C2282">
              <w:rPr>
                <w:rFonts w:eastAsia="Malgun Gothic"/>
                <w:sz w:val="20"/>
                <w:szCs w:val="20"/>
                <w:lang w:eastAsia="ko-KR"/>
              </w:rPr>
              <w:t>64</w:t>
            </w:r>
          </w:p>
        </w:tc>
        <w:tc>
          <w:tcPr>
            <w:tcW w:w="1324" w:type="dxa"/>
            <w:shd w:val="clear" w:color="auto" w:fill="auto"/>
          </w:tcPr>
          <w:p w:rsidR="00A97195" w:rsidRPr="006C2282" w:rsidRDefault="00A97195" w:rsidP="00E669AB">
            <w:pPr>
              <w:pStyle w:val="ListParagraph"/>
              <w:spacing w:line="240" w:lineRule="atLeast"/>
              <w:ind w:left="0"/>
              <w:jc w:val="right"/>
              <w:rPr>
                <w:rFonts w:eastAsia="Malgun Gothic"/>
                <w:sz w:val="20"/>
                <w:szCs w:val="20"/>
                <w:lang w:eastAsia="ko-KR"/>
              </w:rPr>
            </w:pPr>
            <w:r w:rsidRPr="006C2282">
              <w:rPr>
                <w:rFonts w:eastAsia="Malgun Gothic"/>
                <w:sz w:val="20"/>
                <w:szCs w:val="20"/>
                <w:lang w:eastAsia="ko-KR"/>
              </w:rPr>
              <w:t>128</w:t>
            </w:r>
          </w:p>
        </w:tc>
      </w:tr>
    </w:tbl>
    <w:p w:rsidR="00A97195" w:rsidRPr="00895EE7" w:rsidRDefault="00A97195" w:rsidP="00A97195">
      <w:pPr>
        <w:tabs>
          <w:tab w:val="left" w:pos="3264"/>
        </w:tabs>
        <w:overflowPunct w:val="0"/>
        <w:autoSpaceDE w:val="0"/>
        <w:autoSpaceDN w:val="0"/>
        <w:adjustRightInd w:val="0"/>
        <w:spacing w:after="180" w:line="240" w:lineRule="auto"/>
        <w:jc w:val="both"/>
        <w:textAlignment w:val="baseline"/>
        <w:rPr>
          <w:rFonts w:ascii="Times New Roman" w:hAnsi="Times New Roman" w:cs="Times New Roman"/>
          <w:sz w:val="20"/>
          <w:szCs w:val="20"/>
          <w:lang w:val="en-GB"/>
        </w:rPr>
      </w:pPr>
    </w:p>
    <w:p w:rsidR="00A97195" w:rsidRDefault="00A97195" w:rsidP="00A97195">
      <w:pPr>
        <w:pStyle w:val="Heading1"/>
        <w:keepNext/>
        <w:keepLines/>
        <w:widowControl/>
        <w:numPr>
          <w:ilvl w:val="0"/>
          <w:numId w:val="1"/>
        </w:numPr>
        <w:pBdr>
          <w:top w:val="single" w:sz="12" w:space="3" w:color="auto"/>
        </w:pBdr>
        <w:overflowPunct w:val="0"/>
        <w:autoSpaceDE w:val="0"/>
        <w:autoSpaceDN w:val="0"/>
        <w:adjustRightInd w:val="0"/>
        <w:spacing w:after="180"/>
        <w:ind w:left="432" w:hanging="432"/>
        <w:textAlignment w:val="baseline"/>
        <w:rPr>
          <w:rFonts w:eastAsia="SimSun"/>
          <w:b w:val="0"/>
          <w:bCs w:val="0"/>
          <w:kern w:val="0"/>
          <w:sz w:val="36"/>
          <w:szCs w:val="20"/>
          <w:lang w:eastAsia="en-US"/>
        </w:rPr>
      </w:pPr>
      <w:r>
        <w:rPr>
          <w:rFonts w:eastAsia="SimSun"/>
          <w:b w:val="0"/>
          <w:bCs w:val="0"/>
          <w:kern w:val="0"/>
          <w:sz w:val="36"/>
          <w:szCs w:val="20"/>
          <w:lang w:eastAsia="en-US"/>
        </w:rPr>
        <w:t>BG usage and R</w:t>
      </w:r>
      <w:r w:rsidRPr="00CE4D41">
        <w:rPr>
          <w:rFonts w:eastAsia="SimSun"/>
          <w:b w:val="0"/>
          <w:bCs w:val="0"/>
          <w:kern w:val="0"/>
          <w:sz w:val="36"/>
          <w:szCs w:val="20"/>
          <w:vertAlign w:val="subscript"/>
          <w:lang w:eastAsia="en-US"/>
        </w:rPr>
        <w:t>init</w:t>
      </w:r>
      <w:r>
        <w:rPr>
          <w:rFonts w:eastAsia="SimSun"/>
          <w:b w:val="0"/>
          <w:bCs w:val="0"/>
          <w:kern w:val="0"/>
          <w:sz w:val="36"/>
          <w:szCs w:val="20"/>
          <w:lang w:eastAsia="en-US"/>
        </w:rPr>
        <w:t xml:space="preserve"> definition</w:t>
      </w:r>
    </w:p>
    <w:p w:rsidR="00A97195" w:rsidRDefault="00A97195" w:rsidP="00A97195">
      <w:pPr>
        <w:overflowPunct w:val="0"/>
        <w:autoSpaceDE w:val="0"/>
        <w:autoSpaceDN w:val="0"/>
        <w:adjustRightInd w:val="0"/>
        <w:spacing w:after="180" w:line="240" w:lineRule="auto"/>
        <w:jc w:val="both"/>
        <w:textAlignment w:val="baseline"/>
        <w:rPr>
          <w:rFonts w:ascii="Times New Roman" w:eastAsia="SimSun" w:hAnsi="Times New Roman" w:cs="Times New Roman"/>
          <w:sz w:val="20"/>
          <w:szCs w:val="20"/>
          <w:lang w:val="en-GB"/>
        </w:rPr>
      </w:pPr>
      <w:r>
        <w:rPr>
          <w:rFonts w:ascii="Times New Roman" w:eastAsia="SimSun" w:hAnsi="Times New Roman" w:cs="Times New Roman"/>
          <w:sz w:val="20"/>
          <w:szCs w:val="20"/>
          <w:lang w:val="en-GB"/>
        </w:rPr>
        <w:t xml:space="preserve">In the email discussion [90-28], the following was agreed with respect to BG2 usage. </w:t>
      </w:r>
    </w:p>
    <w:p w:rsidR="00A97195" w:rsidRPr="00606052" w:rsidRDefault="00A97195" w:rsidP="00A97195">
      <w:pPr>
        <w:numPr>
          <w:ilvl w:val="0"/>
          <w:numId w:val="6"/>
        </w:numPr>
        <w:spacing w:after="0" w:line="240" w:lineRule="auto"/>
        <w:rPr>
          <w:rFonts w:ascii="Times New Roman" w:eastAsia="Times New Roman" w:hAnsi="Times New Roman" w:cs="Times New Roman"/>
          <w:i/>
          <w:sz w:val="20"/>
          <w:szCs w:val="20"/>
        </w:rPr>
      </w:pPr>
      <w:r w:rsidRPr="00606052">
        <w:rPr>
          <w:rFonts w:ascii="Times New Roman" w:eastAsia="Times New Roman" w:hAnsi="Times New Roman" w:cs="Times New Roman"/>
          <w:i/>
          <w:sz w:val="20"/>
          <w:szCs w:val="20"/>
        </w:rPr>
        <w:t xml:space="preserve">Alt 2 (Modified): </w:t>
      </w:r>
      <w:r w:rsidRPr="00606052">
        <w:rPr>
          <w:rFonts w:ascii="Times New Roman" w:eastAsia="Times New Roman" w:hAnsi="Times New Roman" w:cs="Times New Roman"/>
          <w:i/>
          <w:sz w:val="20"/>
          <w:szCs w:val="20"/>
        </w:rPr>
        <w:br/>
        <w:t>–      R</w:t>
      </w:r>
      <w:r w:rsidRPr="00606052">
        <w:rPr>
          <w:rFonts w:ascii="Times New Roman" w:eastAsia="Times New Roman" w:hAnsi="Times New Roman" w:cs="Times New Roman"/>
          <w:i/>
          <w:sz w:val="20"/>
          <w:szCs w:val="20"/>
          <w:vertAlign w:val="subscript"/>
        </w:rPr>
        <w:t>init</w:t>
      </w:r>
      <w:r w:rsidRPr="00606052">
        <w:rPr>
          <w:rFonts w:ascii="Times New Roman" w:eastAsia="Times New Roman" w:hAnsi="Times New Roman" w:cs="Times New Roman"/>
          <w:i/>
          <w:sz w:val="20"/>
          <w:szCs w:val="20"/>
        </w:rPr>
        <w:t xml:space="preserve"> is the effective code rate at initial transmission of the transport block, taking into account: </w:t>
      </w:r>
    </w:p>
    <w:p w:rsidR="00A97195" w:rsidRPr="00606052" w:rsidRDefault="00A97195" w:rsidP="00A97195">
      <w:pPr>
        <w:spacing w:after="0" w:line="240" w:lineRule="auto"/>
        <w:ind w:left="1440" w:hanging="360"/>
        <w:rPr>
          <w:rFonts w:ascii="Times New Roman" w:eastAsia="Calibri" w:hAnsi="Times New Roman" w:cs="Times New Roman"/>
          <w:i/>
          <w:sz w:val="20"/>
          <w:szCs w:val="20"/>
        </w:rPr>
      </w:pPr>
      <w:r w:rsidRPr="00606052">
        <w:rPr>
          <w:rFonts w:ascii="Times New Roman" w:eastAsia="Calibri" w:hAnsi="Times New Roman" w:cs="Times New Roman"/>
          <w:i/>
          <w:sz w:val="20"/>
          <w:szCs w:val="20"/>
        </w:rPr>
        <w:t xml:space="preserve">(a)    the nominal code rate, as signaled in or derived based on control information, where the control information is used to schedule the initial transmission of the transport block; and </w:t>
      </w:r>
    </w:p>
    <w:p w:rsidR="00A97195" w:rsidRPr="00606052" w:rsidRDefault="00A97195" w:rsidP="00A97195">
      <w:pPr>
        <w:spacing w:after="0" w:line="240" w:lineRule="auto"/>
        <w:ind w:left="2160" w:hanging="360"/>
        <w:rPr>
          <w:rFonts w:ascii="Times New Roman" w:eastAsia="Calibri" w:hAnsi="Times New Roman" w:cs="Times New Roman"/>
          <w:i/>
          <w:sz w:val="20"/>
          <w:szCs w:val="20"/>
        </w:rPr>
      </w:pPr>
      <w:r w:rsidRPr="00606052">
        <w:rPr>
          <w:rFonts w:ascii="Times New Roman" w:eastAsia="Calibri" w:hAnsi="Times New Roman" w:cs="Times New Roman"/>
          <w:i/>
          <w:sz w:val="20"/>
          <w:szCs w:val="20"/>
        </w:rPr>
        <w:t xml:space="preserve">§  FFS: details of how the nominal code rate is obtained from the control information </w:t>
      </w:r>
    </w:p>
    <w:p w:rsidR="00A97195" w:rsidRPr="00606052" w:rsidRDefault="00A97195" w:rsidP="00A97195">
      <w:pPr>
        <w:spacing w:after="0" w:line="240" w:lineRule="auto"/>
        <w:ind w:left="1440" w:hanging="360"/>
        <w:rPr>
          <w:rFonts w:ascii="Times New Roman" w:eastAsia="Calibri" w:hAnsi="Times New Roman" w:cs="Times New Roman"/>
          <w:i/>
          <w:sz w:val="20"/>
          <w:szCs w:val="20"/>
        </w:rPr>
      </w:pPr>
      <w:r w:rsidRPr="00606052">
        <w:rPr>
          <w:rFonts w:ascii="Times New Roman" w:eastAsia="Calibri" w:hAnsi="Times New Roman" w:cs="Times New Roman"/>
          <w:i/>
          <w:sz w:val="20"/>
          <w:szCs w:val="20"/>
        </w:rPr>
        <w:t xml:space="preserve">(b)   LBRM (if applied) </w:t>
      </w:r>
    </w:p>
    <w:p w:rsidR="00A97195" w:rsidRPr="00606052" w:rsidRDefault="00A97195" w:rsidP="00A97195">
      <w:pPr>
        <w:numPr>
          <w:ilvl w:val="0"/>
          <w:numId w:val="7"/>
        </w:numPr>
        <w:spacing w:after="0" w:line="240" w:lineRule="auto"/>
        <w:rPr>
          <w:rFonts w:ascii="Times New Roman" w:eastAsia="Times New Roman" w:hAnsi="Times New Roman" w:cs="Times New Roman"/>
          <w:i/>
          <w:sz w:val="20"/>
          <w:szCs w:val="20"/>
        </w:rPr>
      </w:pPr>
      <w:r w:rsidRPr="00606052">
        <w:rPr>
          <w:rFonts w:ascii="Times New Roman" w:eastAsia="Times New Roman" w:hAnsi="Times New Roman" w:cs="Times New Roman"/>
          <w:i/>
          <w:sz w:val="20"/>
          <w:szCs w:val="20"/>
        </w:rPr>
        <w:t>R</w:t>
      </w:r>
      <w:r w:rsidRPr="00606052">
        <w:rPr>
          <w:rFonts w:ascii="Times New Roman" w:eastAsia="Times New Roman" w:hAnsi="Times New Roman" w:cs="Times New Roman"/>
          <w:i/>
          <w:sz w:val="20"/>
          <w:szCs w:val="20"/>
          <w:vertAlign w:val="subscript"/>
        </w:rPr>
        <w:t>init</w:t>
      </w:r>
      <w:r w:rsidRPr="00606052">
        <w:rPr>
          <w:rFonts w:ascii="Times New Roman" w:eastAsia="Times New Roman" w:hAnsi="Times New Roman" w:cs="Times New Roman"/>
          <w:i/>
          <w:sz w:val="20"/>
          <w:szCs w:val="20"/>
        </w:rPr>
        <w:t xml:space="preserve"> is applied to previous agreements on BG selection, and reflected in TS38.212.</w:t>
      </w:r>
    </w:p>
    <w:p w:rsidR="00A97195" w:rsidRPr="00606052" w:rsidRDefault="00A97195" w:rsidP="00A97195">
      <w:pPr>
        <w:overflowPunct w:val="0"/>
        <w:autoSpaceDE w:val="0"/>
        <w:autoSpaceDN w:val="0"/>
        <w:adjustRightInd w:val="0"/>
        <w:spacing w:after="0" w:line="240" w:lineRule="auto"/>
        <w:jc w:val="both"/>
        <w:textAlignment w:val="baseline"/>
        <w:rPr>
          <w:rFonts w:ascii="Times New Roman" w:eastAsia="SimSun" w:hAnsi="Times New Roman" w:cs="Times New Roman"/>
          <w:i/>
          <w:sz w:val="20"/>
          <w:szCs w:val="20"/>
          <w:lang w:val="en-GB"/>
        </w:rPr>
      </w:pPr>
    </w:p>
    <w:p w:rsidR="00A97195" w:rsidRDefault="00A97195" w:rsidP="00A97195">
      <w:pPr>
        <w:overflowPunct w:val="0"/>
        <w:autoSpaceDE w:val="0"/>
        <w:autoSpaceDN w:val="0"/>
        <w:adjustRightInd w:val="0"/>
        <w:spacing w:after="180" w:line="240" w:lineRule="auto"/>
        <w:jc w:val="both"/>
        <w:textAlignment w:val="baseline"/>
        <w:rPr>
          <w:rFonts w:ascii="Times New Roman" w:eastAsia="SimSun" w:hAnsi="Times New Roman" w:cs="Times New Roman"/>
          <w:sz w:val="20"/>
          <w:szCs w:val="20"/>
          <w:lang w:val="en-GB"/>
        </w:rPr>
      </w:pPr>
      <w:r>
        <w:rPr>
          <w:rFonts w:ascii="Times New Roman" w:eastAsia="SimSun" w:hAnsi="Times New Roman" w:cs="Times New Roman"/>
          <w:sz w:val="20"/>
          <w:szCs w:val="20"/>
          <w:lang w:val="en-GB"/>
        </w:rPr>
        <w:t xml:space="preserve">It is still an open question as to how the effective code rate at initial transmission is defined. Multiple options were discussed on the email reflector including the following: </w:t>
      </w:r>
    </w:p>
    <w:p w:rsidR="00A97195" w:rsidRPr="00CE4D41" w:rsidRDefault="00A97195" w:rsidP="00A97195">
      <w:pPr>
        <w:numPr>
          <w:ilvl w:val="0"/>
          <w:numId w:val="8"/>
        </w:numPr>
        <w:overflowPunct w:val="0"/>
        <w:autoSpaceDE w:val="0"/>
        <w:autoSpaceDN w:val="0"/>
        <w:adjustRightInd w:val="0"/>
        <w:spacing w:after="0" w:line="240" w:lineRule="auto"/>
        <w:jc w:val="both"/>
        <w:textAlignment w:val="baseline"/>
        <w:rPr>
          <w:rFonts w:ascii="Calibri" w:eastAsia="Calibri" w:hAnsi="Calibri" w:cs="Times New Roman"/>
          <w:lang w:val="en-GB"/>
        </w:rPr>
      </w:pPr>
      <w:r w:rsidRPr="00CE4D41">
        <w:rPr>
          <w:rFonts w:ascii="Times New Roman" w:eastAsia="Calibri" w:hAnsi="Times New Roman" w:cs="Times New Roman"/>
          <w:sz w:val="20"/>
          <w:szCs w:val="20"/>
          <w:lang w:val="en-GB"/>
        </w:rPr>
        <w:t xml:space="preserve">Directly inferred from a reference MCS (e.g. indicating the rate and modulation order) signalled in the corresponding DCI, or </w:t>
      </w:r>
    </w:p>
    <w:p w:rsidR="00A97195" w:rsidRDefault="00A97195" w:rsidP="00A97195">
      <w:pPr>
        <w:numPr>
          <w:ilvl w:val="0"/>
          <w:numId w:val="8"/>
        </w:numPr>
        <w:overflowPunct w:val="0"/>
        <w:autoSpaceDE w:val="0"/>
        <w:autoSpaceDN w:val="0"/>
        <w:adjustRightInd w:val="0"/>
        <w:spacing w:after="0" w:line="240" w:lineRule="auto"/>
        <w:jc w:val="both"/>
        <w:textAlignment w:val="baseline"/>
        <w:rPr>
          <w:rFonts w:ascii="Calibri" w:eastAsia="Calibri" w:hAnsi="Calibri" w:cs="Times New Roman"/>
          <w:lang w:val="en-GB"/>
        </w:rPr>
      </w:pPr>
      <w:r w:rsidRPr="00CE4D41">
        <w:rPr>
          <w:rFonts w:ascii="Times New Roman" w:eastAsia="Calibri" w:hAnsi="Times New Roman" w:cs="Times New Roman"/>
          <w:sz w:val="20"/>
          <w:szCs w:val="20"/>
          <w:lang w:val="en-GB"/>
        </w:rPr>
        <w:t>Calculated bas</w:t>
      </w:r>
      <w:r>
        <w:rPr>
          <w:rFonts w:ascii="Times New Roman" w:eastAsia="Calibri" w:hAnsi="Times New Roman" w:cs="Times New Roman"/>
          <w:sz w:val="20"/>
          <w:szCs w:val="20"/>
          <w:lang w:val="en-GB"/>
        </w:rPr>
        <w:t>ed on the transport block size</w:t>
      </w:r>
      <w:r w:rsidRPr="00CE4D41">
        <w:rPr>
          <w:rFonts w:ascii="Times New Roman" w:eastAsia="Calibri" w:hAnsi="Times New Roman" w:cs="Times New Roman"/>
          <w:sz w:val="20"/>
          <w:szCs w:val="20"/>
          <w:lang w:val="en-GB"/>
        </w:rPr>
        <w:t xml:space="preserve"> and the available number of REs determined by the UE</w:t>
      </w:r>
      <w:r>
        <w:rPr>
          <w:rFonts w:ascii="Times New Roman" w:eastAsia="Calibri" w:hAnsi="Times New Roman" w:cs="Times New Roman"/>
          <w:sz w:val="20"/>
          <w:szCs w:val="20"/>
          <w:lang w:val="en-GB"/>
        </w:rPr>
        <w:t xml:space="preserve"> (G)</w:t>
      </w:r>
      <w:r w:rsidRPr="00CE4D41">
        <w:rPr>
          <w:rFonts w:ascii="Times New Roman" w:eastAsia="Calibri" w:hAnsi="Times New Roman" w:cs="Times New Roman"/>
          <w:sz w:val="20"/>
          <w:szCs w:val="20"/>
          <w:lang w:val="en-GB"/>
        </w:rPr>
        <w:t xml:space="preserve">. </w:t>
      </w:r>
    </w:p>
    <w:p w:rsidR="00A97195" w:rsidRPr="001176C2" w:rsidRDefault="00A97195" w:rsidP="00A97195">
      <w:pPr>
        <w:overflowPunct w:val="0"/>
        <w:autoSpaceDE w:val="0"/>
        <w:autoSpaceDN w:val="0"/>
        <w:adjustRightInd w:val="0"/>
        <w:spacing w:after="0" w:line="240" w:lineRule="auto"/>
        <w:ind w:left="720"/>
        <w:jc w:val="both"/>
        <w:textAlignment w:val="baseline"/>
        <w:rPr>
          <w:rFonts w:ascii="Calibri" w:eastAsia="Calibri" w:hAnsi="Calibri" w:cs="Times New Roman"/>
          <w:lang w:val="en-GB"/>
        </w:rPr>
      </w:pPr>
    </w:p>
    <w:p w:rsidR="00A97195" w:rsidRDefault="00A97195" w:rsidP="00A97195">
      <w:pPr>
        <w:overflowPunct w:val="0"/>
        <w:autoSpaceDE w:val="0"/>
        <w:autoSpaceDN w:val="0"/>
        <w:adjustRightInd w:val="0"/>
        <w:spacing w:after="180" w:line="240" w:lineRule="auto"/>
        <w:jc w:val="both"/>
        <w:textAlignment w:val="baseline"/>
        <w:rPr>
          <w:rFonts w:ascii="Times New Roman" w:eastAsia="SimSun" w:hAnsi="Times New Roman" w:cs="Times New Roman"/>
          <w:sz w:val="20"/>
          <w:szCs w:val="20"/>
          <w:lang w:val="en-GB"/>
        </w:rPr>
      </w:pPr>
      <w:r>
        <w:rPr>
          <w:rFonts w:ascii="Times New Roman" w:eastAsia="SimSun" w:hAnsi="Times New Roman" w:cs="Times New Roman"/>
          <w:sz w:val="20"/>
          <w:szCs w:val="20"/>
          <w:lang w:val="en-GB"/>
        </w:rPr>
        <w:t>In our understanding, direct inferring from the reference MCS is a robust method as there is no ambiguity on the gNB or UE side with regards to which BG is used. While the calculation based on the available number of REs determined by the UE (G</w:t>
      </w:r>
      <w:r>
        <w:rPr>
          <w:rFonts w:ascii="Times New Roman" w:eastAsia="SimSun" w:hAnsi="Times New Roman" w:cs="Times New Roman"/>
          <w:sz w:val="20"/>
          <w:szCs w:val="20"/>
          <w:lang w:val="en-GB"/>
        </w:rPr>
        <w:softHyphen/>
      </w:r>
      <w:r w:rsidRPr="00606052">
        <w:rPr>
          <w:rFonts w:ascii="Times New Roman" w:eastAsia="SimSun" w:hAnsi="Times New Roman" w:cs="Times New Roman"/>
          <w:sz w:val="20"/>
          <w:szCs w:val="20"/>
          <w:vertAlign w:val="subscript"/>
          <w:lang w:val="en-GB"/>
        </w:rPr>
        <w:t>init</w:t>
      </w:r>
      <w:r>
        <w:rPr>
          <w:rFonts w:ascii="Times New Roman" w:eastAsia="SimSun" w:hAnsi="Times New Roman" w:cs="Times New Roman"/>
          <w:sz w:val="20"/>
          <w:szCs w:val="20"/>
          <w:lang w:val="en-GB"/>
        </w:rPr>
        <w:t xml:space="preserve">) is also feasible, it is desirable to allow gNB to use the same BG even if there are slight variations in value of G. In particular, if the UE is required to apply rate-matching (determine G) based on multiple grants (UE-specific UL grant, and a group-common DCI), then misdetection of group-common DCI could lead to mismatch in BG usage. </w:t>
      </w:r>
    </w:p>
    <w:p w:rsidR="00A97195" w:rsidRDefault="00A97195" w:rsidP="00A97195">
      <w:pPr>
        <w:overflowPunct w:val="0"/>
        <w:autoSpaceDE w:val="0"/>
        <w:autoSpaceDN w:val="0"/>
        <w:adjustRightInd w:val="0"/>
        <w:spacing w:after="180" w:line="240" w:lineRule="auto"/>
        <w:jc w:val="both"/>
        <w:textAlignment w:val="baseline"/>
        <w:rPr>
          <w:rFonts w:ascii="Times New Roman" w:eastAsia="SimSun" w:hAnsi="Times New Roman" w:cs="Times New Roman"/>
          <w:sz w:val="20"/>
          <w:szCs w:val="20"/>
          <w:lang w:val="en-GB"/>
        </w:rPr>
      </w:pPr>
      <w:r>
        <w:rPr>
          <w:rFonts w:ascii="Times New Roman" w:eastAsia="SimSun" w:hAnsi="Times New Roman" w:cs="Times New Roman"/>
          <w:sz w:val="20"/>
          <w:szCs w:val="20"/>
          <w:lang w:val="en-GB"/>
        </w:rPr>
        <w:t xml:space="preserve">Moreover, code rate is an input parameter to the TBS design as per the agreement on the TBS. Therefore, it seems reasonable to also use the same code rate to also identify the BG to use. Therefore, we propose the following. </w:t>
      </w:r>
    </w:p>
    <w:p w:rsidR="00A97195" w:rsidRPr="00CE4D41" w:rsidRDefault="00A97195" w:rsidP="00A97195">
      <w:pPr>
        <w:overflowPunct w:val="0"/>
        <w:autoSpaceDE w:val="0"/>
        <w:autoSpaceDN w:val="0"/>
        <w:adjustRightInd w:val="0"/>
        <w:spacing w:after="180" w:line="240" w:lineRule="auto"/>
        <w:jc w:val="both"/>
        <w:textAlignment w:val="baseline"/>
        <w:rPr>
          <w:rFonts w:ascii="Times New Roman" w:eastAsia="SimSun" w:hAnsi="Times New Roman" w:cs="Times New Roman"/>
          <w:b/>
          <w:sz w:val="20"/>
          <w:szCs w:val="20"/>
          <w:lang w:val="en-GB"/>
        </w:rPr>
      </w:pPr>
      <w:r w:rsidRPr="00CE4D41">
        <w:rPr>
          <w:rFonts w:ascii="Times New Roman" w:eastAsia="SimSun" w:hAnsi="Times New Roman" w:cs="Times New Roman"/>
          <w:b/>
          <w:sz w:val="20"/>
          <w:szCs w:val="20"/>
          <w:lang w:val="en-GB"/>
        </w:rPr>
        <w:t xml:space="preserve">Proposal </w:t>
      </w:r>
      <w:r>
        <w:rPr>
          <w:rFonts w:ascii="Times New Roman" w:eastAsia="SimSun" w:hAnsi="Times New Roman" w:cs="Times New Roman"/>
          <w:b/>
          <w:sz w:val="20"/>
          <w:szCs w:val="20"/>
          <w:lang w:val="en-GB"/>
        </w:rPr>
        <w:t>2</w:t>
      </w:r>
      <w:r w:rsidRPr="00CE4D41">
        <w:rPr>
          <w:rFonts w:ascii="Times New Roman" w:eastAsia="SimSun" w:hAnsi="Times New Roman" w:cs="Times New Roman"/>
          <w:b/>
          <w:sz w:val="20"/>
          <w:szCs w:val="20"/>
          <w:lang w:val="en-GB"/>
        </w:rPr>
        <w:t xml:space="preserve">: </w:t>
      </w:r>
      <w:r>
        <w:rPr>
          <w:rFonts w:ascii="Times New Roman" w:eastAsia="SimSun" w:hAnsi="Times New Roman" w:cs="Times New Roman"/>
          <w:b/>
          <w:sz w:val="20"/>
          <w:szCs w:val="20"/>
          <w:lang w:val="en-GB"/>
        </w:rPr>
        <w:t>Nominal c</w:t>
      </w:r>
      <w:r w:rsidRPr="00CE4D41">
        <w:rPr>
          <w:rFonts w:ascii="Times New Roman" w:eastAsia="SimSun" w:hAnsi="Times New Roman" w:cs="Times New Roman"/>
          <w:b/>
          <w:sz w:val="20"/>
          <w:szCs w:val="20"/>
          <w:lang w:val="en-GB"/>
        </w:rPr>
        <w:t>ode rate of initial transmission for BG selection is determined from the rate indicated by MCS field in the DCI.</w:t>
      </w:r>
    </w:p>
    <w:p w:rsidR="00A97195" w:rsidRPr="005355B7" w:rsidRDefault="00A97195" w:rsidP="00A97195">
      <w:pPr>
        <w:overflowPunct w:val="0"/>
        <w:autoSpaceDE w:val="0"/>
        <w:autoSpaceDN w:val="0"/>
        <w:adjustRightInd w:val="0"/>
        <w:spacing w:after="180" w:line="240" w:lineRule="auto"/>
        <w:jc w:val="both"/>
        <w:textAlignment w:val="baseline"/>
        <w:rPr>
          <w:rFonts w:ascii="Times New Roman" w:eastAsia="SimSun" w:hAnsi="Times New Roman" w:cs="Times New Roman"/>
          <w:sz w:val="20"/>
          <w:szCs w:val="20"/>
        </w:rPr>
      </w:pPr>
    </w:p>
    <w:p w:rsidR="00A97195" w:rsidRDefault="00A97195" w:rsidP="00A97195">
      <w:pPr>
        <w:pStyle w:val="Heading1"/>
        <w:keepNext/>
        <w:keepLines/>
        <w:widowControl/>
        <w:numPr>
          <w:ilvl w:val="0"/>
          <w:numId w:val="1"/>
        </w:numPr>
        <w:pBdr>
          <w:top w:val="single" w:sz="12" w:space="3" w:color="auto"/>
        </w:pBdr>
        <w:overflowPunct w:val="0"/>
        <w:autoSpaceDE w:val="0"/>
        <w:autoSpaceDN w:val="0"/>
        <w:adjustRightInd w:val="0"/>
        <w:spacing w:after="180"/>
        <w:ind w:left="432" w:hanging="432"/>
        <w:textAlignment w:val="baseline"/>
        <w:rPr>
          <w:rFonts w:eastAsia="SimSun"/>
          <w:b w:val="0"/>
          <w:sz w:val="36"/>
          <w:szCs w:val="20"/>
        </w:rPr>
      </w:pPr>
      <w:r>
        <w:rPr>
          <w:rFonts w:eastAsia="SimSun"/>
          <w:b w:val="0"/>
          <w:sz w:val="36"/>
          <w:szCs w:val="20"/>
        </w:rPr>
        <w:lastRenderedPageBreak/>
        <w:t>Conclusions</w:t>
      </w:r>
    </w:p>
    <w:p w:rsidR="00A97195" w:rsidRDefault="00A97195" w:rsidP="00A97195">
      <w:pPr>
        <w:overflowPunct w:val="0"/>
        <w:autoSpaceDE w:val="0"/>
        <w:autoSpaceDN w:val="0"/>
        <w:adjustRightInd w:val="0"/>
        <w:spacing w:after="180" w:line="240" w:lineRule="auto"/>
        <w:jc w:val="both"/>
        <w:textAlignment w:val="baseline"/>
        <w:rPr>
          <w:rFonts w:ascii="Times New Roman" w:hAnsi="Times New Roman" w:cs="Times New Roman"/>
          <w:sz w:val="20"/>
          <w:szCs w:val="20"/>
        </w:rPr>
      </w:pPr>
      <w:r w:rsidRPr="000F017B">
        <w:rPr>
          <w:rFonts w:ascii="Times New Roman" w:hAnsi="Times New Roman" w:cs="Times New Roman"/>
          <w:sz w:val="20"/>
          <w:szCs w:val="20"/>
        </w:rPr>
        <w:t xml:space="preserve">In this contribution, </w:t>
      </w:r>
      <w:r>
        <w:rPr>
          <w:rFonts w:ascii="Times New Roman" w:hAnsi="Times New Roman" w:cs="Times New Roman"/>
          <w:sz w:val="20"/>
          <w:szCs w:val="20"/>
        </w:rPr>
        <w:t xml:space="preserve">we discussed LDPC code block segmentation and BG usage and make following proposals. </w:t>
      </w:r>
    </w:p>
    <w:p w:rsidR="00A97195" w:rsidRDefault="00A97195" w:rsidP="00A97195">
      <w:pPr>
        <w:tabs>
          <w:tab w:val="left" w:pos="3264"/>
        </w:tabs>
        <w:overflowPunct w:val="0"/>
        <w:autoSpaceDE w:val="0"/>
        <w:autoSpaceDN w:val="0"/>
        <w:adjustRightInd w:val="0"/>
        <w:spacing w:after="180" w:line="240" w:lineRule="auto"/>
        <w:jc w:val="both"/>
        <w:textAlignment w:val="baseline"/>
        <w:rPr>
          <w:rFonts w:ascii="Times New Roman" w:hAnsi="Times New Roman" w:cs="Times New Roman"/>
          <w:b/>
          <w:sz w:val="20"/>
          <w:szCs w:val="20"/>
          <w:lang w:val="en-GB"/>
        </w:rPr>
      </w:pPr>
      <w:r w:rsidRPr="00E4323B">
        <w:rPr>
          <w:rFonts w:ascii="Times New Roman" w:hAnsi="Times New Roman" w:cs="Times New Roman"/>
          <w:b/>
          <w:sz w:val="20"/>
          <w:szCs w:val="20"/>
          <w:lang w:val="en-GB"/>
        </w:rPr>
        <w:t xml:space="preserve">Proposal 1: Transport block sizes </w:t>
      </w:r>
      <w:r>
        <w:rPr>
          <w:rFonts w:ascii="Times New Roman" w:hAnsi="Times New Roman" w:cs="Times New Roman"/>
          <w:b/>
          <w:sz w:val="20"/>
          <w:szCs w:val="20"/>
          <w:lang w:val="en-GB"/>
        </w:rPr>
        <w:t xml:space="preserve">that are supported </w:t>
      </w:r>
      <w:r w:rsidRPr="00E4323B">
        <w:rPr>
          <w:rFonts w:ascii="Times New Roman" w:hAnsi="Times New Roman" w:cs="Times New Roman"/>
          <w:b/>
          <w:sz w:val="20"/>
          <w:szCs w:val="20"/>
          <w:lang w:val="en-GB"/>
        </w:rPr>
        <w:t>by BG2 are also supported by BG1</w:t>
      </w:r>
      <w:r>
        <w:rPr>
          <w:rFonts w:ascii="Times New Roman" w:hAnsi="Times New Roman" w:cs="Times New Roman"/>
          <w:b/>
          <w:sz w:val="20"/>
          <w:szCs w:val="20"/>
          <w:lang w:val="en-GB"/>
        </w:rPr>
        <w:t xml:space="preserve">. </w:t>
      </w:r>
    </w:p>
    <w:p w:rsidR="00A97195" w:rsidRPr="00ED6FE6" w:rsidRDefault="00A97195" w:rsidP="00A97195">
      <w:pPr>
        <w:overflowPunct w:val="0"/>
        <w:autoSpaceDE w:val="0"/>
        <w:autoSpaceDN w:val="0"/>
        <w:adjustRightInd w:val="0"/>
        <w:spacing w:after="180" w:line="240" w:lineRule="auto"/>
        <w:jc w:val="both"/>
        <w:textAlignment w:val="baseline"/>
        <w:rPr>
          <w:rFonts w:ascii="Times New Roman" w:eastAsia="SimSun" w:hAnsi="Times New Roman" w:cs="Times New Roman"/>
          <w:b/>
          <w:sz w:val="20"/>
          <w:szCs w:val="20"/>
          <w:lang w:val="en-GB"/>
        </w:rPr>
      </w:pPr>
      <w:r w:rsidRPr="00CE4D41">
        <w:rPr>
          <w:rFonts w:ascii="Times New Roman" w:eastAsia="SimSun" w:hAnsi="Times New Roman" w:cs="Times New Roman"/>
          <w:b/>
          <w:sz w:val="20"/>
          <w:szCs w:val="20"/>
          <w:lang w:val="en-GB"/>
        </w:rPr>
        <w:t xml:space="preserve">Proposal </w:t>
      </w:r>
      <w:r>
        <w:rPr>
          <w:rFonts w:ascii="Times New Roman" w:eastAsia="SimSun" w:hAnsi="Times New Roman" w:cs="Times New Roman"/>
          <w:b/>
          <w:sz w:val="20"/>
          <w:szCs w:val="20"/>
          <w:lang w:val="en-GB"/>
        </w:rPr>
        <w:t>2</w:t>
      </w:r>
      <w:r w:rsidRPr="00CE4D41">
        <w:rPr>
          <w:rFonts w:ascii="Times New Roman" w:eastAsia="SimSun" w:hAnsi="Times New Roman" w:cs="Times New Roman"/>
          <w:b/>
          <w:sz w:val="20"/>
          <w:szCs w:val="20"/>
          <w:lang w:val="en-GB"/>
        </w:rPr>
        <w:t xml:space="preserve">: </w:t>
      </w:r>
      <w:r>
        <w:rPr>
          <w:rFonts w:ascii="Times New Roman" w:eastAsia="SimSun" w:hAnsi="Times New Roman" w:cs="Times New Roman"/>
          <w:b/>
          <w:sz w:val="20"/>
          <w:szCs w:val="20"/>
          <w:lang w:val="en-GB"/>
        </w:rPr>
        <w:t>Nominal c</w:t>
      </w:r>
      <w:r w:rsidRPr="00CE4D41">
        <w:rPr>
          <w:rFonts w:ascii="Times New Roman" w:eastAsia="SimSun" w:hAnsi="Times New Roman" w:cs="Times New Roman"/>
          <w:b/>
          <w:sz w:val="20"/>
          <w:szCs w:val="20"/>
          <w:lang w:val="en-GB"/>
        </w:rPr>
        <w:t>ode rate of initial transmission for BG selection is determined from the rate ind</w:t>
      </w:r>
      <w:r>
        <w:rPr>
          <w:rFonts w:ascii="Times New Roman" w:eastAsia="SimSun" w:hAnsi="Times New Roman" w:cs="Times New Roman"/>
          <w:b/>
          <w:sz w:val="20"/>
          <w:szCs w:val="20"/>
          <w:lang w:val="en-GB"/>
        </w:rPr>
        <w:t>icated by MCS field in the DCI.</w:t>
      </w:r>
    </w:p>
    <w:p w:rsidR="00A97195" w:rsidRPr="007019B4" w:rsidRDefault="00A97195" w:rsidP="00A97195">
      <w:pPr>
        <w:pStyle w:val="Heading1"/>
        <w:keepNext/>
        <w:keepLines/>
        <w:widowControl/>
        <w:numPr>
          <w:ilvl w:val="0"/>
          <w:numId w:val="1"/>
        </w:numPr>
        <w:pBdr>
          <w:top w:val="single" w:sz="12" w:space="3" w:color="auto"/>
        </w:pBdr>
        <w:overflowPunct w:val="0"/>
        <w:autoSpaceDE w:val="0"/>
        <w:autoSpaceDN w:val="0"/>
        <w:adjustRightInd w:val="0"/>
        <w:spacing w:after="180"/>
        <w:ind w:left="432" w:hanging="432"/>
        <w:textAlignment w:val="baseline"/>
        <w:rPr>
          <w:rFonts w:eastAsia="SimSun"/>
          <w:b w:val="0"/>
          <w:bCs w:val="0"/>
          <w:kern w:val="0"/>
          <w:sz w:val="36"/>
          <w:szCs w:val="20"/>
          <w:lang w:eastAsia="en-US"/>
        </w:rPr>
      </w:pPr>
      <w:r w:rsidRPr="007019B4">
        <w:rPr>
          <w:rFonts w:eastAsia="SimSun"/>
          <w:b w:val="0"/>
          <w:bCs w:val="0"/>
          <w:kern w:val="0"/>
          <w:sz w:val="36"/>
          <w:szCs w:val="20"/>
          <w:lang w:eastAsia="en-US"/>
        </w:rPr>
        <w:t>References</w:t>
      </w:r>
    </w:p>
    <w:p w:rsidR="00A97195" w:rsidRPr="00F373EE" w:rsidRDefault="00A97195" w:rsidP="00A97195">
      <w:pPr>
        <w:pStyle w:val="NumberedList"/>
        <w:numPr>
          <w:ilvl w:val="0"/>
          <w:numId w:val="2"/>
        </w:numPr>
        <w:contextualSpacing/>
      </w:pPr>
      <w:r>
        <w:rPr>
          <w:sz w:val="22"/>
          <w:szCs w:val="22"/>
        </w:rPr>
        <w:t xml:space="preserve">R1-1712412, CATT, </w:t>
      </w:r>
      <w:r w:rsidRPr="00FB4F37">
        <w:rPr>
          <w:sz w:val="22"/>
          <w:szCs w:val="22"/>
        </w:rPr>
        <w:t xml:space="preserve">NR </w:t>
      </w:r>
      <w:r>
        <w:rPr>
          <w:rFonts w:eastAsiaTheme="minorEastAsia" w:hint="eastAsia"/>
          <w:sz w:val="22"/>
          <w:szCs w:val="22"/>
          <w:lang w:eastAsia="zh-CN"/>
        </w:rPr>
        <w:t>TB Size determination</w:t>
      </w:r>
      <w:r>
        <w:rPr>
          <w:rFonts w:eastAsiaTheme="minorEastAsia"/>
          <w:sz w:val="22"/>
          <w:szCs w:val="22"/>
          <w:lang w:eastAsia="zh-CN"/>
        </w:rPr>
        <w:t>, RAN1#90, Aug 2017</w:t>
      </w:r>
    </w:p>
    <w:p w:rsidR="00A97195" w:rsidRDefault="00A97195" w:rsidP="00A97195">
      <w:pPr>
        <w:pStyle w:val="NumberedList"/>
        <w:numPr>
          <w:ilvl w:val="0"/>
          <w:numId w:val="2"/>
        </w:numPr>
        <w:contextualSpacing/>
      </w:pPr>
      <w:r>
        <w:t xml:space="preserve">R1-1711344, Intel , </w:t>
      </w:r>
      <w:r w:rsidRPr="00ED6FE6">
        <w:t>LDPC Coding chain</w:t>
      </w:r>
      <w:r>
        <w:t>, NH#AH2, June 2017</w:t>
      </w:r>
    </w:p>
    <w:p w:rsidR="00A97195" w:rsidRDefault="00A97195" w:rsidP="00A97195">
      <w:pPr>
        <w:pStyle w:val="NumberedList"/>
        <w:numPr>
          <w:ilvl w:val="0"/>
          <w:numId w:val="0"/>
        </w:numPr>
        <w:contextualSpacing/>
      </w:pPr>
    </w:p>
    <w:p w:rsidR="00A97195" w:rsidRDefault="00A97195" w:rsidP="00A97195"/>
    <w:p w:rsidR="00A97195" w:rsidRPr="00545BCC" w:rsidRDefault="00A97195" w:rsidP="00A97195">
      <w:pPr>
        <w:jc w:val="center"/>
        <w:rPr>
          <w:b/>
        </w:rPr>
      </w:pPr>
      <w:r w:rsidRPr="00545BCC">
        <w:rPr>
          <w:b/>
        </w:rPr>
        <w:t>Annex A</w:t>
      </w:r>
      <w:r>
        <w:rPr>
          <w:b/>
        </w:rPr>
        <w:t xml:space="preserve"> (Agreements from RAN1#90 related to LDPC code block segmentation)</w:t>
      </w:r>
    </w:p>
    <w:p w:rsidR="00A97195" w:rsidRDefault="00A97195" w:rsidP="00A97195"/>
    <w:p w:rsidR="00A97195" w:rsidRPr="0095729E" w:rsidRDefault="00A97195" w:rsidP="00A97195">
      <w:pPr>
        <w:tabs>
          <w:tab w:val="left" w:pos="1440"/>
        </w:tabs>
        <w:spacing w:after="0" w:line="240" w:lineRule="auto"/>
        <w:ind w:left="1440" w:hanging="1440"/>
        <w:rPr>
          <w:rFonts w:ascii="Times" w:eastAsia="MS Mincho" w:hAnsi="Times" w:cs="Times New Roman"/>
          <w:b/>
          <w:sz w:val="20"/>
          <w:szCs w:val="24"/>
          <w:highlight w:val="green"/>
          <w:u w:val="single"/>
          <w:lang w:val="en-GB" w:eastAsia="ja-JP"/>
        </w:rPr>
      </w:pPr>
      <w:r w:rsidRPr="0095729E">
        <w:rPr>
          <w:rFonts w:ascii="Times" w:eastAsia="MS Mincho" w:hAnsi="Times" w:cs="Times New Roman"/>
          <w:b/>
          <w:sz w:val="20"/>
          <w:szCs w:val="24"/>
          <w:highlight w:val="green"/>
          <w:u w:val="single"/>
          <w:lang w:val="en-GB" w:eastAsia="ja-JP"/>
        </w:rPr>
        <w:t>Agreement:</w:t>
      </w:r>
    </w:p>
    <w:p w:rsidR="00A97195" w:rsidRPr="0095729E" w:rsidRDefault="00A97195" w:rsidP="00A97195">
      <w:pPr>
        <w:numPr>
          <w:ilvl w:val="0"/>
          <w:numId w:val="4"/>
        </w:numPr>
        <w:tabs>
          <w:tab w:val="left" w:pos="1440"/>
        </w:tabs>
        <w:spacing w:after="0" w:line="240" w:lineRule="auto"/>
        <w:rPr>
          <w:rFonts w:ascii="Times" w:eastAsia="MS Mincho" w:hAnsi="Times" w:cs="Times New Roman"/>
          <w:sz w:val="20"/>
          <w:szCs w:val="24"/>
          <w:lang w:val="en-GB" w:eastAsia="ja-JP"/>
        </w:rPr>
      </w:pPr>
      <w:r w:rsidRPr="0095729E">
        <w:rPr>
          <w:rFonts w:ascii="Times" w:eastAsia="MS Mincho" w:hAnsi="Times" w:cs="Times New Roman"/>
          <w:sz w:val="20"/>
          <w:szCs w:val="24"/>
          <w:lang w:val="en-GB" w:eastAsia="ja-JP"/>
        </w:rPr>
        <w:t>Equal code block size after segmentation</w:t>
      </w:r>
    </w:p>
    <w:p w:rsidR="00A97195" w:rsidRPr="0095729E" w:rsidRDefault="00A97195" w:rsidP="00A97195">
      <w:pPr>
        <w:numPr>
          <w:ilvl w:val="0"/>
          <w:numId w:val="4"/>
        </w:numPr>
        <w:tabs>
          <w:tab w:val="left" w:pos="1440"/>
        </w:tabs>
        <w:spacing w:after="0" w:line="240" w:lineRule="auto"/>
        <w:rPr>
          <w:rFonts w:ascii="Times" w:eastAsia="MS Mincho" w:hAnsi="Times" w:cs="Times New Roman"/>
          <w:sz w:val="20"/>
          <w:szCs w:val="24"/>
          <w:lang w:val="en-GB" w:eastAsia="ja-JP"/>
        </w:rPr>
      </w:pPr>
      <w:r w:rsidRPr="0095729E">
        <w:rPr>
          <w:rFonts w:ascii="Times" w:eastAsia="MS Mincho" w:hAnsi="Times" w:cs="Times New Roman"/>
          <w:sz w:val="20"/>
          <w:szCs w:val="24"/>
          <w:highlight w:val="darkYellow"/>
          <w:lang w:val="en-GB" w:eastAsia="ja-JP"/>
        </w:rPr>
        <w:t xml:space="preserve">Working Assumption: </w:t>
      </w:r>
      <w:r w:rsidRPr="0095729E">
        <w:rPr>
          <w:rFonts w:ascii="Times" w:eastAsia="MS Mincho" w:hAnsi="Times" w:cs="Times New Roman"/>
          <w:sz w:val="20"/>
          <w:szCs w:val="24"/>
          <w:lang w:val="en-GB" w:eastAsia="ja-JP"/>
        </w:rPr>
        <w:t>TBS determination procedure ensures that TBS plus TB-CRC can be factored into the number of CBs multiplied by the CBS (before addition of LDPC encoding filler bits).</w:t>
      </w:r>
    </w:p>
    <w:p w:rsidR="00A97195" w:rsidRPr="0095729E" w:rsidRDefault="00A97195" w:rsidP="00A97195">
      <w:pPr>
        <w:numPr>
          <w:ilvl w:val="1"/>
          <w:numId w:val="4"/>
        </w:numPr>
        <w:tabs>
          <w:tab w:val="left" w:pos="1440"/>
        </w:tabs>
        <w:spacing w:after="0" w:line="240" w:lineRule="auto"/>
        <w:rPr>
          <w:rFonts w:ascii="Times" w:eastAsia="MS Mincho" w:hAnsi="Times" w:cs="Times New Roman"/>
          <w:sz w:val="20"/>
          <w:szCs w:val="24"/>
          <w:lang w:val="en-GB" w:eastAsia="ja-JP"/>
        </w:rPr>
      </w:pPr>
      <w:r w:rsidRPr="0095729E">
        <w:rPr>
          <w:rFonts w:ascii="Times" w:eastAsia="MS Mincho" w:hAnsi="Times" w:cs="Times New Roman"/>
          <w:sz w:val="20"/>
          <w:szCs w:val="24"/>
          <w:lang w:val="en-GB" w:eastAsia="ja-JP"/>
        </w:rPr>
        <w:t>(If a special case emerges where the TBS determination procedure cannot achieve the above criterion, equal CBS would be achieved by zero-padding.)</w:t>
      </w:r>
    </w:p>
    <w:p w:rsidR="00A97195" w:rsidRDefault="00A97195" w:rsidP="00A97195"/>
    <w:p w:rsidR="00A97195" w:rsidRPr="0095729E" w:rsidRDefault="00A97195" w:rsidP="00A97195">
      <w:pPr>
        <w:tabs>
          <w:tab w:val="left" w:pos="1440"/>
        </w:tabs>
        <w:spacing w:after="0" w:line="240" w:lineRule="auto"/>
        <w:ind w:left="1440" w:hanging="1440"/>
        <w:rPr>
          <w:rFonts w:ascii="Times" w:eastAsia="MS Mincho" w:hAnsi="Times" w:cs="Times New Roman"/>
          <w:b/>
          <w:sz w:val="20"/>
          <w:szCs w:val="24"/>
          <w:highlight w:val="yellow"/>
          <w:u w:val="single"/>
          <w:lang w:val="en-GB" w:eastAsia="ja-JP"/>
        </w:rPr>
      </w:pPr>
      <w:r w:rsidRPr="0095729E">
        <w:rPr>
          <w:rFonts w:ascii="Times" w:eastAsia="MS Mincho" w:hAnsi="Times" w:cs="Times New Roman"/>
          <w:b/>
          <w:sz w:val="20"/>
          <w:szCs w:val="24"/>
          <w:highlight w:val="darkYellow"/>
          <w:u w:val="single"/>
          <w:lang w:val="en-GB" w:eastAsia="ja-JP"/>
        </w:rPr>
        <w:t>Working Assumption</w:t>
      </w:r>
      <w:r w:rsidRPr="0095729E">
        <w:rPr>
          <w:rFonts w:ascii="Times" w:eastAsia="MS Mincho" w:hAnsi="Times" w:cs="Times New Roman"/>
          <w:sz w:val="20"/>
          <w:szCs w:val="24"/>
          <w:u w:val="single"/>
          <w:lang w:val="en-GB" w:eastAsia="ja-JP"/>
        </w:rPr>
        <w:t>, to be checked after finalisation of the TBS table and confirmed if TBSs exist for which the following is meaningfully beneficial and does not cause meaningful degradation:</w:t>
      </w:r>
      <w:r w:rsidRPr="0095729E">
        <w:rPr>
          <w:rFonts w:ascii="Times" w:eastAsia="MS Mincho" w:hAnsi="Times" w:cs="Times New Roman"/>
          <w:b/>
          <w:sz w:val="20"/>
          <w:szCs w:val="24"/>
          <w:u w:val="single"/>
          <w:lang w:val="en-GB" w:eastAsia="ja-JP"/>
        </w:rPr>
        <w:t xml:space="preserve"> </w:t>
      </w:r>
    </w:p>
    <w:p w:rsidR="00A97195" w:rsidRPr="0095729E" w:rsidRDefault="00A97195" w:rsidP="00A97195">
      <w:pPr>
        <w:numPr>
          <w:ilvl w:val="0"/>
          <w:numId w:val="5"/>
        </w:numPr>
        <w:tabs>
          <w:tab w:val="left" w:pos="1440"/>
        </w:tabs>
        <w:spacing w:after="0" w:line="240" w:lineRule="auto"/>
        <w:rPr>
          <w:rFonts w:ascii="Times" w:eastAsia="MS Mincho" w:hAnsi="Times" w:cs="Times New Roman"/>
          <w:sz w:val="20"/>
          <w:szCs w:val="24"/>
          <w:lang w:val="en-GB" w:eastAsia="ja-JP"/>
        </w:rPr>
      </w:pPr>
      <w:r w:rsidRPr="0095729E">
        <w:rPr>
          <w:rFonts w:ascii="Times" w:eastAsia="MS Mincho" w:hAnsi="Times" w:cs="Times New Roman"/>
          <w:sz w:val="20"/>
          <w:szCs w:val="24"/>
          <w:lang w:val="en-GB" w:eastAsia="ja-JP"/>
        </w:rPr>
        <w:t>For initial transmissions with code rate R</w:t>
      </w:r>
      <w:r w:rsidRPr="0095729E">
        <w:rPr>
          <w:rFonts w:ascii="Times" w:eastAsia="MS Mincho" w:hAnsi="Times" w:cs="Times New Roman"/>
          <w:sz w:val="20"/>
          <w:szCs w:val="24"/>
          <w:vertAlign w:val="subscript"/>
          <w:lang w:val="en-GB" w:eastAsia="ja-JP"/>
        </w:rPr>
        <w:t>init</w:t>
      </w:r>
      <w:r w:rsidRPr="0095729E">
        <w:rPr>
          <w:rFonts w:ascii="Times" w:eastAsia="MS Mincho" w:hAnsi="Times" w:cs="Times New Roman"/>
          <w:sz w:val="20"/>
          <w:szCs w:val="24"/>
          <w:lang w:val="en-GB" w:eastAsia="ja-JP"/>
        </w:rPr>
        <w:t xml:space="preserve"> &gt; 1/4*, BG2 is not used when TBS&gt;3824 </w:t>
      </w:r>
    </w:p>
    <w:p w:rsidR="00A97195" w:rsidRPr="0095729E" w:rsidRDefault="00A97195" w:rsidP="00A97195">
      <w:pPr>
        <w:numPr>
          <w:ilvl w:val="1"/>
          <w:numId w:val="5"/>
        </w:numPr>
        <w:spacing w:after="0" w:line="240" w:lineRule="auto"/>
        <w:rPr>
          <w:rFonts w:ascii="Times" w:eastAsia="MS Mincho" w:hAnsi="Times" w:cs="Times New Roman"/>
          <w:sz w:val="20"/>
          <w:szCs w:val="24"/>
          <w:lang w:val="en-GB" w:eastAsia="ja-JP"/>
        </w:rPr>
      </w:pPr>
      <w:r w:rsidRPr="0095729E">
        <w:rPr>
          <w:rFonts w:ascii="Times" w:eastAsia="MS Mincho" w:hAnsi="Times" w:cs="Times New Roman"/>
          <w:sz w:val="20"/>
          <w:szCs w:val="24"/>
          <w:lang w:val="en-GB" w:eastAsia="ja-JP"/>
        </w:rPr>
        <w:t xml:space="preserve">If the FFS on UE capabilities w.r.t. support of both BGs is resolved such that it is possible that a UE does not support BG1, then the above bullet only applies if the UE supports BG1. </w:t>
      </w:r>
    </w:p>
    <w:p w:rsidR="00A97195" w:rsidRPr="0095729E" w:rsidRDefault="00A97195" w:rsidP="00A97195">
      <w:pPr>
        <w:numPr>
          <w:ilvl w:val="0"/>
          <w:numId w:val="5"/>
        </w:numPr>
        <w:tabs>
          <w:tab w:val="left" w:pos="1440"/>
        </w:tabs>
        <w:spacing w:after="0" w:line="240" w:lineRule="auto"/>
        <w:rPr>
          <w:rFonts w:ascii="Times" w:eastAsia="MS Mincho" w:hAnsi="Times" w:cs="Times New Roman"/>
          <w:sz w:val="20"/>
          <w:szCs w:val="24"/>
          <w:lang w:val="en-GB" w:eastAsia="ja-JP"/>
        </w:rPr>
      </w:pPr>
      <w:r w:rsidRPr="0095729E">
        <w:rPr>
          <w:rFonts w:ascii="Times" w:eastAsia="MS Mincho" w:hAnsi="Times" w:cs="Times New Roman"/>
          <w:sz w:val="20"/>
          <w:szCs w:val="24"/>
          <w:lang w:eastAsia="ja-JP"/>
        </w:rPr>
        <w:t xml:space="preserve">BG2 is used for initial transmissions with code rate </w:t>
      </w:r>
      <w:r w:rsidRPr="0095729E">
        <w:rPr>
          <w:rFonts w:ascii="Times" w:eastAsia="MS Mincho" w:hAnsi="Times" w:cs="Times New Roman"/>
          <w:sz w:val="20"/>
          <w:szCs w:val="24"/>
          <w:lang w:val="en-GB" w:eastAsia="ja-JP"/>
        </w:rPr>
        <w:t>R</w:t>
      </w:r>
      <w:r w:rsidRPr="0095729E">
        <w:rPr>
          <w:rFonts w:ascii="Times" w:eastAsia="MS Mincho" w:hAnsi="Times" w:cs="Times New Roman"/>
          <w:sz w:val="20"/>
          <w:szCs w:val="24"/>
          <w:vertAlign w:val="subscript"/>
          <w:lang w:val="en-GB" w:eastAsia="ja-JP"/>
        </w:rPr>
        <w:t>init</w:t>
      </w:r>
      <w:r w:rsidRPr="0095729E">
        <w:rPr>
          <w:rFonts w:ascii="Times" w:eastAsia="MS Mincho" w:hAnsi="Times" w:cs="Times New Roman"/>
          <w:sz w:val="20"/>
          <w:szCs w:val="24"/>
          <w:lang w:eastAsia="ja-JP"/>
        </w:rPr>
        <w:t xml:space="preserve"> &lt;= ¼* for all TBS supported at that code rate</w:t>
      </w:r>
    </w:p>
    <w:p w:rsidR="00A97195" w:rsidRPr="0095729E" w:rsidRDefault="00A97195" w:rsidP="00A97195">
      <w:pPr>
        <w:numPr>
          <w:ilvl w:val="1"/>
          <w:numId w:val="5"/>
        </w:numPr>
        <w:spacing w:after="0" w:line="240" w:lineRule="auto"/>
        <w:rPr>
          <w:rFonts w:ascii="Times" w:eastAsia="MS Mincho" w:hAnsi="Times" w:cs="Times New Roman"/>
          <w:sz w:val="20"/>
          <w:szCs w:val="24"/>
          <w:lang w:val="en-GB" w:eastAsia="ja-JP"/>
        </w:rPr>
      </w:pPr>
      <w:r w:rsidRPr="0095729E">
        <w:rPr>
          <w:rFonts w:ascii="Times" w:eastAsia="MS Mincho" w:hAnsi="Times" w:cs="Times New Roman"/>
          <w:sz w:val="20"/>
          <w:szCs w:val="24"/>
          <w:lang w:val="en-GB" w:eastAsia="ja-JP"/>
        </w:rPr>
        <w:t>For BG2 with TBSs larger than 3824, the TB is segmented into CBs no larger than 3840</w:t>
      </w:r>
    </w:p>
    <w:p w:rsidR="00A97195" w:rsidRPr="0095729E" w:rsidRDefault="00A97195" w:rsidP="00A97195">
      <w:pPr>
        <w:numPr>
          <w:ilvl w:val="0"/>
          <w:numId w:val="5"/>
        </w:numPr>
        <w:tabs>
          <w:tab w:val="left" w:pos="1440"/>
        </w:tabs>
        <w:spacing w:after="0" w:line="240" w:lineRule="auto"/>
        <w:rPr>
          <w:rFonts w:ascii="Times" w:eastAsia="MS Mincho" w:hAnsi="Times" w:cs="Times New Roman"/>
          <w:sz w:val="20"/>
          <w:szCs w:val="24"/>
          <w:lang w:val="en-GB" w:eastAsia="ja-JP"/>
        </w:rPr>
      </w:pPr>
      <w:r w:rsidRPr="0095729E">
        <w:rPr>
          <w:rFonts w:ascii="Times" w:eastAsia="MS Mincho" w:hAnsi="Times" w:cs="Times New Roman"/>
          <w:sz w:val="20"/>
          <w:szCs w:val="24"/>
          <w:lang w:val="en-GB" w:eastAsia="ja-JP"/>
        </w:rPr>
        <w:t>* ¼ is TBC at NR AH#3</w:t>
      </w:r>
    </w:p>
    <w:p w:rsidR="00A97195" w:rsidRDefault="00A97195" w:rsidP="00A97195"/>
    <w:p w:rsidR="00A97195" w:rsidRDefault="00A97195" w:rsidP="00A97195">
      <w:r>
        <w:t>Following was agreed in email discussion [90-28]</w:t>
      </w:r>
    </w:p>
    <w:p w:rsidR="00A97195" w:rsidRPr="00606052" w:rsidRDefault="00A97195" w:rsidP="00A97195">
      <w:pPr>
        <w:numPr>
          <w:ilvl w:val="0"/>
          <w:numId w:val="6"/>
        </w:numPr>
        <w:spacing w:after="0" w:line="240" w:lineRule="auto"/>
        <w:rPr>
          <w:rFonts w:ascii="Times New Roman" w:eastAsia="Times New Roman" w:hAnsi="Times New Roman" w:cs="Times New Roman"/>
          <w:i/>
          <w:sz w:val="20"/>
          <w:szCs w:val="20"/>
        </w:rPr>
      </w:pPr>
      <w:r w:rsidRPr="00606052">
        <w:rPr>
          <w:rFonts w:ascii="Times New Roman" w:eastAsia="Times New Roman" w:hAnsi="Times New Roman" w:cs="Times New Roman"/>
          <w:i/>
          <w:sz w:val="20"/>
          <w:szCs w:val="20"/>
        </w:rPr>
        <w:t xml:space="preserve">Alt 2 (Modified): </w:t>
      </w:r>
      <w:r w:rsidRPr="00606052">
        <w:rPr>
          <w:rFonts w:ascii="Times New Roman" w:eastAsia="Times New Roman" w:hAnsi="Times New Roman" w:cs="Times New Roman"/>
          <w:i/>
          <w:sz w:val="20"/>
          <w:szCs w:val="20"/>
        </w:rPr>
        <w:br/>
        <w:t>–      R</w:t>
      </w:r>
      <w:r w:rsidRPr="00606052">
        <w:rPr>
          <w:rFonts w:ascii="Times New Roman" w:eastAsia="Times New Roman" w:hAnsi="Times New Roman" w:cs="Times New Roman"/>
          <w:i/>
          <w:sz w:val="20"/>
          <w:szCs w:val="20"/>
          <w:vertAlign w:val="subscript"/>
        </w:rPr>
        <w:t>init</w:t>
      </w:r>
      <w:r w:rsidRPr="00606052">
        <w:rPr>
          <w:rFonts w:ascii="Times New Roman" w:eastAsia="Times New Roman" w:hAnsi="Times New Roman" w:cs="Times New Roman"/>
          <w:i/>
          <w:sz w:val="20"/>
          <w:szCs w:val="20"/>
        </w:rPr>
        <w:t xml:space="preserve"> is the effective code rate at initial transmission of the transport block, taking into account: </w:t>
      </w:r>
    </w:p>
    <w:p w:rsidR="00A97195" w:rsidRPr="00606052" w:rsidRDefault="00A97195" w:rsidP="00A97195">
      <w:pPr>
        <w:spacing w:after="0" w:line="240" w:lineRule="auto"/>
        <w:ind w:left="1440" w:hanging="360"/>
        <w:rPr>
          <w:rFonts w:ascii="Times New Roman" w:eastAsia="Calibri" w:hAnsi="Times New Roman" w:cs="Times New Roman"/>
          <w:i/>
          <w:sz w:val="20"/>
          <w:szCs w:val="20"/>
        </w:rPr>
      </w:pPr>
      <w:r w:rsidRPr="00606052">
        <w:rPr>
          <w:rFonts w:ascii="Times New Roman" w:eastAsia="Calibri" w:hAnsi="Times New Roman" w:cs="Times New Roman"/>
          <w:i/>
          <w:sz w:val="20"/>
          <w:szCs w:val="20"/>
        </w:rPr>
        <w:t xml:space="preserve">(a)    the nominal code rate, as signaled in or derived based on control information, where the control information is used to schedule the initial transmission of the transport block; and </w:t>
      </w:r>
    </w:p>
    <w:p w:rsidR="00A97195" w:rsidRPr="00606052" w:rsidRDefault="00A97195" w:rsidP="00A97195">
      <w:pPr>
        <w:spacing w:after="0" w:line="240" w:lineRule="auto"/>
        <w:ind w:left="2160" w:hanging="360"/>
        <w:rPr>
          <w:rFonts w:ascii="Times New Roman" w:eastAsia="Calibri" w:hAnsi="Times New Roman" w:cs="Times New Roman"/>
          <w:i/>
          <w:sz w:val="20"/>
          <w:szCs w:val="20"/>
        </w:rPr>
      </w:pPr>
      <w:r w:rsidRPr="00606052">
        <w:rPr>
          <w:rFonts w:ascii="Times New Roman" w:eastAsia="Calibri" w:hAnsi="Times New Roman" w:cs="Times New Roman"/>
          <w:i/>
          <w:sz w:val="20"/>
          <w:szCs w:val="20"/>
        </w:rPr>
        <w:t xml:space="preserve">§  FFS: details of how the nominal code rate is obtained from the control information </w:t>
      </w:r>
    </w:p>
    <w:p w:rsidR="00A97195" w:rsidRPr="00606052" w:rsidRDefault="00A97195" w:rsidP="00A97195">
      <w:pPr>
        <w:spacing w:after="0" w:line="240" w:lineRule="auto"/>
        <w:ind w:left="1440" w:hanging="360"/>
        <w:rPr>
          <w:rFonts w:ascii="Times New Roman" w:eastAsia="Calibri" w:hAnsi="Times New Roman" w:cs="Times New Roman"/>
          <w:i/>
          <w:sz w:val="20"/>
          <w:szCs w:val="20"/>
        </w:rPr>
      </w:pPr>
      <w:r w:rsidRPr="00606052">
        <w:rPr>
          <w:rFonts w:ascii="Times New Roman" w:eastAsia="Calibri" w:hAnsi="Times New Roman" w:cs="Times New Roman"/>
          <w:i/>
          <w:sz w:val="20"/>
          <w:szCs w:val="20"/>
        </w:rPr>
        <w:t xml:space="preserve">(b)   LBRM (if applied) </w:t>
      </w:r>
    </w:p>
    <w:p w:rsidR="00A97195" w:rsidRPr="00606052" w:rsidRDefault="00A97195" w:rsidP="00A97195">
      <w:pPr>
        <w:numPr>
          <w:ilvl w:val="0"/>
          <w:numId w:val="7"/>
        </w:numPr>
        <w:spacing w:after="0" w:line="240" w:lineRule="auto"/>
        <w:rPr>
          <w:rFonts w:ascii="Times New Roman" w:eastAsia="Times New Roman" w:hAnsi="Times New Roman" w:cs="Times New Roman"/>
          <w:i/>
          <w:sz w:val="20"/>
          <w:szCs w:val="20"/>
        </w:rPr>
      </w:pPr>
      <w:r w:rsidRPr="00606052">
        <w:rPr>
          <w:rFonts w:ascii="Times New Roman" w:eastAsia="Times New Roman" w:hAnsi="Times New Roman" w:cs="Times New Roman"/>
          <w:i/>
          <w:sz w:val="20"/>
          <w:szCs w:val="20"/>
        </w:rPr>
        <w:t>R</w:t>
      </w:r>
      <w:r w:rsidRPr="00606052">
        <w:rPr>
          <w:rFonts w:ascii="Times New Roman" w:eastAsia="Times New Roman" w:hAnsi="Times New Roman" w:cs="Times New Roman"/>
          <w:i/>
          <w:sz w:val="20"/>
          <w:szCs w:val="20"/>
          <w:vertAlign w:val="subscript"/>
        </w:rPr>
        <w:t>init</w:t>
      </w:r>
      <w:r w:rsidRPr="00606052">
        <w:rPr>
          <w:rFonts w:ascii="Times New Roman" w:eastAsia="Times New Roman" w:hAnsi="Times New Roman" w:cs="Times New Roman"/>
          <w:i/>
          <w:sz w:val="20"/>
          <w:szCs w:val="20"/>
        </w:rPr>
        <w:t xml:space="preserve"> is applied to previous agreements on BG selection, and reflected in TS38.212.</w:t>
      </w:r>
    </w:p>
    <w:p w:rsidR="00A97195" w:rsidRDefault="00A97195" w:rsidP="00A97195"/>
    <w:p w:rsidR="002F3778" w:rsidRDefault="002F3778">
      <w:bookmarkStart w:id="1" w:name="_GoBack"/>
      <w:bookmarkEnd w:id="1"/>
    </w:p>
    <w:sectPr w:rsidR="002F3778" w:rsidSect="00F546BE">
      <w:footerReference w:type="default" r:id="rId6"/>
      <w:pgSz w:w="12240" w:h="15840" w:code="1"/>
      <w:pgMar w:top="1411" w:right="1138" w:bottom="1138" w:left="1138" w:header="677" w:footer="562" w:gutter="0"/>
      <w:cols w:space="720"/>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05322949"/>
      <w:docPartObj>
        <w:docPartGallery w:val="Page Numbers (Bottom of Page)"/>
        <w:docPartUnique/>
      </w:docPartObj>
    </w:sdtPr>
    <w:sdtEndPr>
      <w:rPr>
        <w:noProof/>
      </w:rPr>
    </w:sdtEndPr>
    <w:sdtContent>
      <w:p w:rsidR="00F373EE" w:rsidRDefault="00A97195">
        <w:pPr>
          <w:pStyle w:val="Footer"/>
          <w:jc w:val="center"/>
        </w:pPr>
        <w:r>
          <w:fldChar w:fldCharType="begin"/>
        </w:r>
        <w:r>
          <w:instrText xml:space="preserve"> PAGE   \* MERGEFORMAT </w:instrText>
        </w:r>
        <w:r>
          <w:fldChar w:fldCharType="separate"/>
        </w:r>
        <w:r>
          <w:rPr>
            <w:noProof/>
          </w:rPr>
          <w:t>3</w:t>
        </w:r>
        <w:r>
          <w:rPr>
            <w:noProof/>
          </w:rPr>
          <w:fldChar w:fldCharType="end"/>
        </w:r>
      </w:p>
    </w:sdtContent>
  </w:sdt>
  <w:p w:rsidR="00F373EE" w:rsidRDefault="00A97195">
    <w:pPr>
      <w:pStyle w:val="Foote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041779"/>
    <w:multiLevelType w:val="hybridMultilevel"/>
    <w:tmpl w:val="77AA310E"/>
    <w:lvl w:ilvl="0" w:tplc="33A4785C">
      <w:start w:val="1"/>
      <w:numFmt w:val="bullet"/>
      <w:lvlText w:val="•"/>
      <w:lvlJc w:val="left"/>
      <w:pPr>
        <w:tabs>
          <w:tab w:val="num" w:pos="720"/>
        </w:tabs>
        <w:ind w:left="720" w:hanging="360"/>
      </w:pPr>
      <w:rPr>
        <w:rFonts w:ascii="Arial" w:hAnsi="Arial" w:hint="default"/>
      </w:rPr>
    </w:lvl>
    <w:lvl w:ilvl="1" w:tplc="037CEA1E">
      <w:start w:val="1"/>
      <w:numFmt w:val="bullet"/>
      <w:lvlText w:val="•"/>
      <w:lvlJc w:val="left"/>
      <w:pPr>
        <w:tabs>
          <w:tab w:val="num" w:pos="1440"/>
        </w:tabs>
        <w:ind w:left="1440" w:hanging="360"/>
      </w:pPr>
      <w:rPr>
        <w:rFonts w:ascii="Arial" w:hAnsi="Arial" w:hint="default"/>
      </w:rPr>
    </w:lvl>
    <w:lvl w:ilvl="2" w:tplc="3F7E49AC">
      <w:numFmt w:val="bullet"/>
      <w:lvlText w:val="•"/>
      <w:lvlJc w:val="left"/>
      <w:pPr>
        <w:tabs>
          <w:tab w:val="num" w:pos="2160"/>
        </w:tabs>
        <w:ind w:left="2160" w:hanging="360"/>
      </w:pPr>
      <w:rPr>
        <w:rFonts w:ascii="Arial" w:hAnsi="Arial" w:hint="default"/>
      </w:rPr>
    </w:lvl>
    <w:lvl w:ilvl="3" w:tplc="B69C1710" w:tentative="1">
      <w:start w:val="1"/>
      <w:numFmt w:val="bullet"/>
      <w:lvlText w:val="•"/>
      <w:lvlJc w:val="left"/>
      <w:pPr>
        <w:tabs>
          <w:tab w:val="num" w:pos="2880"/>
        </w:tabs>
        <w:ind w:left="2880" w:hanging="360"/>
      </w:pPr>
      <w:rPr>
        <w:rFonts w:ascii="Arial" w:hAnsi="Arial" w:hint="default"/>
      </w:rPr>
    </w:lvl>
    <w:lvl w:ilvl="4" w:tplc="3F868C52" w:tentative="1">
      <w:start w:val="1"/>
      <w:numFmt w:val="bullet"/>
      <w:lvlText w:val="•"/>
      <w:lvlJc w:val="left"/>
      <w:pPr>
        <w:tabs>
          <w:tab w:val="num" w:pos="3600"/>
        </w:tabs>
        <w:ind w:left="3600" w:hanging="360"/>
      </w:pPr>
      <w:rPr>
        <w:rFonts w:ascii="Arial" w:hAnsi="Arial" w:hint="default"/>
      </w:rPr>
    </w:lvl>
    <w:lvl w:ilvl="5" w:tplc="92681868" w:tentative="1">
      <w:start w:val="1"/>
      <w:numFmt w:val="bullet"/>
      <w:lvlText w:val="•"/>
      <w:lvlJc w:val="left"/>
      <w:pPr>
        <w:tabs>
          <w:tab w:val="num" w:pos="4320"/>
        </w:tabs>
        <w:ind w:left="4320" w:hanging="360"/>
      </w:pPr>
      <w:rPr>
        <w:rFonts w:ascii="Arial" w:hAnsi="Arial" w:hint="default"/>
      </w:rPr>
    </w:lvl>
    <w:lvl w:ilvl="6" w:tplc="A9EEB17C" w:tentative="1">
      <w:start w:val="1"/>
      <w:numFmt w:val="bullet"/>
      <w:lvlText w:val="•"/>
      <w:lvlJc w:val="left"/>
      <w:pPr>
        <w:tabs>
          <w:tab w:val="num" w:pos="5040"/>
        </w:tabs>
        <w:ind w:left="5040" w:hanging="360"/>
      </w:pPr>
      <w:rPr>
        <w:rFonts w:ascii="Arial" w:hAnsi="Arial" w:hint="default"/>
      </w:rPr>
    </w:lvl>
    <w:lvl w:ilvl="7" w:tplc="4ED6D618" w:tentative="1">
      <w:start w:val="1"/>
      <w:numFmt w:val="bullet"/>
      <w:lvlText w:val="•"/>
      <w:lvlJc w:val="left"/>
      <w:pPr>
        <w:tabs>
          <w:tab w:val="num" w:pos="5760"/>
        </w:tabs>
        <w:ind w:left="5760" w:hanging="360"/>
      </w:pPr>
      <w:rPr>
        <w:rFonts w:ascii="Arial" w:hAnsi="Arial" w:hint="default"/>
      </w:rPr>
    </w:lvl>
    <w:lvl w:ilvl="8" w:tplc="ED1CE38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5DF4249"/>
    <w:multiLevelType w:val="hybridMultilevel"/>
    <w:tmpl w:val="66D20F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543B76"/>
    <w:multiLevelType w:val="hybridMultilevel"/>
    <w:tmpl w:val="192C33B6"/>
    <w:lvl w:ilvl="0" w:tplc="1EA0313C">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B1F2A57"/>
    <w:multiLevelType w:val="hybridMultilevel"/>
    <w:tmpl w:val="03F2A210"/>
    <w:lvl w:ilvl="0" w:tplc="F0E419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05F15AB"/>
    <w:multiLevelType w:val="multilevel"/>
    <w:tmpl w:val="F108668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22B3586A"/>
    <w:multiLevelType w:val="hybridMultilevel"/>
    <w:tmpl w:val="4934DC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2836F6F"/>
    <w:multiLevelType w:val="hybridMultilevel"/>
    <w:tmpl w:val="7AF0AC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5E05BD5"/>
    <w:multiLevelType w:val="hybridMultilevel"/>
    <w:tmpl w:val="42BEF742"/>
    <w:lvl w:ilvl="0" w:tplc="D26E769E">
      <w:start w:val="1"/>
      <w:numFmt w:val="decimal"/>
      <w:pStyle w:val="NumberedList"/>
      <w:lvlText w:val="[%1]."/>
      <w:lvlJc w:val="left"/>
      <w:pPr>
        <w:tabs>
          <w:tab w:val="num" w:pos="432"/>
        </w:tabs>
        <w:ind w:left="432" w:hanging="432"/>
      </w:p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9881A1D"/>
    <w:multiLevelType w:val="multilevel"/>
    <w:tmpl w:val="F78A260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52623D6D"/>
    <w:multiLevelType w:val="multilevel"/>
    <w:tmpl w:val="8870973A"/>
    <w:lvl w:ilvl="0">
      <w:start w:val="1"/>
      <w:numFmt w:val="decimal"/>
      <w:lvlText w:val="%1."/>
      <w:lvlJc w:val="left"/>
      <w:pPr>
        <w:ind w:left="540" w:hanging="360"/>
      </w:pPr>
      <w:rPr>
        <w:rFonts w:ascii="Arial" w:hAnsi="Arial" w:cs="Arial" w:hint="default"/>
        <w:b w:val="0"/>
        <w:sz w:val="36"/>
        <w:szCs w:val="36"/>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73E60177"/>
    <w:multiLevelType w:val="hybridMultilevel"/>
    <w:tmpl w:val="B300B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3"/>
  </w:num>
  <w:num w:numId="3">
    <w:abstractNumId w:val="7"/>
    <w:lvlOverride w:ilvl="0">
      <w:startOverride w:val="1"/>
    </w:lvlOverride>
    <w:lvlOverride w:ilvl="1"/>
    <w:lvlOverride w:ilvl="2"/>
    <w:lvlOverride w:ilvl="3"/>
    <w:lvlOverride w:ilvl="4"/>
    <w:lvlOverride w:ilvl="5"/>
    <w:lvlOverride w:ilvl="6"/>
    <w:lvlOverride w:ilvl="7"/>
    <w:lvlOverride w:ilvl="8"/>
  </w:num>
  <w:num w:numId="4">
    <w:abstractNumId w:val="2"/>
  </w:num>
  <w:num w:numId="5">
    <w:abstractNumId w:val="0"/>
  </w:num>
  <w:num w:numId="6">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num>
  <w:num w:numId="9">
    <w:abstractNumId w:val="10"/>
  </w:num>
  <w:num w:numId="10">
    <w:abstractNumId w:val="6"/>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20"/>
  <w:drawingGridHorizontalSpacing w:val="100"/>
  <w:drawingGridVerticalSpacing w:val="136"/>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7195"/>
    <w:rsid w:val="002F3778"/>
    <w:rsid w:val="00A97195"/>
    <w:rsid w:val="00CF1D54"/>
    <w:rsid w:val="00F546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8D145D4-5452-4D30-95F1-8F4C3E54C6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7195"/>
  </w:style>
  <w:style w:type="paragraph" w:styleId="Heading1">
    <w:name w:val="heading 1"/>
    <w:aliases w:val="NMP Heading 1,H1,h11,h12,h13,h14,h15,h16,app heading 1,l1,Memo Heading 1,Heading 1_a,heading 1,h17,h111,h121,h131,h141,h151,h161,h18,h112,h122,h132,h142,h152,h162,h19,h113,h123,h133,h143,h153,h163,标题 1,Alt+1,Alt+11,Alt+12,Alt+13"/>
    <w:basedOn w:val="Normal"/>
    <w:next w:val="Normal"/>
    <w:link w:val="Heading1Char1"/>
    <w:qFormat/>
    <w:rsid w:val="00A97195"/>
    <w:pPr>
      <w:widowControl w:val="0"/>
      <w:spacing w:before="240" w:after="60" w:line="240" w:lineRule="auto"/>
      <w:outlineLvl w:val="0"/>
    </w:pPr>
    <w:rPr>
      <w:rFonts w:ascii="Arial" w:eastAsia="Batang" w:hAnsi="Arial" w:cs="Times New Roman"/>
      <w:b/>
      <w:bCs/>
      <w:kern w:val="32"/>
      <w:sz w:val="32"/>
      <w:szCs w:val="32"/>
      <w:lang w:val="en-GB"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A97195"/>
    <w:rPr>
      <w:rFonts w:asciiTheme="majorHAnsi" w:eastAsiaTheme="majorEastAsia" w:hAnsiTheme="majorHAnsi" w:cstheme="majorBidi"/>
      <w:color w:val="2E74B5" w:themeColor="accent1" w:themeShade="BF"/>
      <w:sz w:val="32"/>
      <w:szCs w:val="32"/>
    </w:rPr>
  </w:style>
  <w:style w:type="paragraph" w:styleId="Caption">
    <w:name w:val="caption"/>
    <w:basedOn w:val="Normal"/>
    <w:next w:val="Normal"/>
    <w:uiPriority w:val="35"/>
    <w:unhideWhenUsed/>
    <w:qFormat/>
    <w:rsid w:val="00A97195"/>
    <w:pPr>
      <w:spacing w:after="200" w:line="240" w:lineRule="auto"/>
    </w:pPr>
    <w:rPr>
      <w:i/>
      <w:iCs/>
      <w:color w:val="44546A" w:themeColor="text2"/>
      <w:sz w:val="18"/>
      <w:szCs w:val="18"/>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rsid w:val="00A97195"/>
    <w:rPr>
      <w:rFonts w:ascii="Arial" w:eastAsia="Batang" w:hAnsi="Arial" w:cs="Times New Roman"/>
      <w:b/>
      <w:bCs/>
      <w:kern w:val="32"/>
      <w:sz w:val="32"/>
      <w:szCs w:val="32"/>
      <w:lang w:val="en-GB" w:eastAsia="x-none"/>
    </w:rPr>
  </w:style>
  <w:style w:type="paragraph" w:customStyle="1" w:styleId="NumberedList">
    <w:name w:val="Numbered List"/>
    <w:basedOn w:val="Normal"/>
    <w:rsid w:val="00A97195"/>
    <w:pPr>
      <w:numPr>
        <w:numId w:val="3"/>
      </w:numPr>
      <w:spacing w:after="0" w:line="240" w:lineRule="auto"/>
      <w:jc w:val="both"/>
    </w:pPr>
    <w:rPr>
      <w:rFonts w:ascii="Times New Roman" w:eastAsia="MS Mincho" w:hAnsi="Times New Roman" w:cs="Times New Roman"/>
      <w:sz w:val="20"/>
      <w:szCs w:val="20"/>
      <w:lang w:val="en-GB"/>
    </w:rPr>
  </w:style>
  <w:style w:type="paragraph" w:styleId="Footer">
    <w:name w:val="footer"/>
    <w:basedOn w:val="Normal"/>
    <w:link w:val="FooterChar"/>
    <w:uiPriority w:val="99"/>
    <w:unhideWhenUsed/>
    <w:rsid w:val="00A97195"/>
    <w:pPr>
      <w:tabs>
        <w:tab w:val="center" w:pos="4677"/>
        <w:tab w:val="right" w:pos="9355"/>
      </w:tabs>
      <w:spacing w:after="0" w:line="240" w:lineRule="auto"/>
    </w:pPr>
  </w:style>
  <w:style w:type="character" w:customStyle="1" w:styleId="FooterChar">
    <w:name w:val="Footer Char"/>
    <w:basedOn w:val="DefaultParagraphFont"/>
    <w:link w:val="Footer"/>
    <w:uiPriority w:val="99"/>
    <w:rsid w:val="00A97195"/>
  </w:style>
  <w:style w:type="paragraph" w:styleId="ListParagraph">
    <w:name w:val="List Paragraph"/>
    <w:basedOn w:val="Normal"/>
    <w:link w:val="ListParagraphChar"/>
    <w:uiPriority w:val="34"/>
    <w:qFormat/>
    <w:rsid w:val="00A97195"/>
    <w:pPr>
      <w:ind w:left="720"/>
      <w:contextualSpacing/>
    </w:pPr>
  </w:style>
  <w:style w:type="character" w:customStyle="1" w:styleId="ListParagraphChar">
    <w:name w:val="List Paragraph Char"/>
    <w:link w:val="ListParagraph"/>
    <w:uiPriority w:val="34"/>
    <w:locked/>
    <w:rsid w:val="00A9719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1.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1125</Words>
  <Characters>6418</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7528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Ajit</dc:creator>
  <cp:keywords/>
  <dc:description/>
  <cp:lastModifiedBy>Ajit</cp:lastModifiedBy>
  <cp:revision>1</cp:revision>
  <dcterms:created xsi:type="dcterms:W3CDTF">2017-09-12T03:28:00Z</dcterms:created>
  <dcterms:modified xsi:type="dcterms:W3CDTF">2017-09-12T03:29:00Z</dcterms:modified>
</cp:coreProperties>
</file>