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A08A9" w14:textId="0FC4D714" w:rsidR="00D94F32" w:rsidRPr="006B0F3C" w:rsidRDefault="0045740A" w:rsidP="00D94F32">
      <w:pPr>
        <w:pStyle w:val="Header"/>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t>
      </w:r>
      <w:r w:rsidR="009E2C01" w:rsidRPr="00CB0204">
        <w:rPr>
          <w:rFonts w:cs="Arial"/>
          <w:bCs/>
          <w:sz w:val="20"/>
          <w:lang w:eastAsia="ja-JP"/>
        </w:rPr>
        <w:t xml:space="preserve">WG1 Meeting </w:t>
      </w:r>
      <w:r w:rsidR="006B0F3C" w:rsidRPr="00B85D54">
        <w:rPr>
          <w:rFonts w:cs="Arial"/>
          <w:bCs/>
          <w:sz w:val="20"/>
          <w:lang w:eastAsia="ja-JP"/>
        </w:rPr>
        <w:t>NR#3</w:t>
      </w:r>
      <w:r w:rsidR="006B0F3C" w:rsidRPr="00D94F32">
        <w:rPr>
          <w:rFonts w:cs="Arial"/>
          <w:bCs/>
          <w:sz w:val="20"/>
          <w:lang w:eastAsia="ja-JP"/>
        </w:rPr>
        <w:t xml:space="preserve"> </w:t>
      </w:r>
      <w:r w:rsidR="00D94F32" w:rsidRPr="00D94F32">
        <w:rPr>
          <w:rFonts w:cs="Arial"/>
          <w:bCs/>
          <w:sz w:val="20"/>
          <w:lang w:eastAsia="ja-JP"/>
        </w:rPr>
        <w:t xml:space="preserve">               </w:t>
      </w:r>
      <w:r w:rsidR="00D94F32" w:rsidRPr="00D94F32">
        <w:rPr>
          <w:rFonts w:cs="Arial"/>
          <w:bCs/>
          <w:sz w:val="20"/>
          <w:lang w:eastAsia="ja-JP"/>
        </w:rPr>
        <w:tab/>
      </w:r>
      <w:r w:rsidR="00005EA8">
        <w:rPr>
          <w:rFonts w:eastAsia="SimSun" w:cs="Arial" w:hint="eastAsia"/>
          <w:bCs/>
          <w:sz w:val="20"/>
          <w:lang w:eastAsia="zh-CN"/>
        </w:rPr>
        <w:t xml:space="preserve">     </w:t>
      </w:r>
      <w:r w:rsidR="00005EA8" w:rsidRPr="00062398">
        <w:rPr>
          <w:rFonts w:cs="Arial"/>
          <w:bCs/>
          <w:sz w:val="20"/>
          <w:lang w:eastAsia="ja-JP"/>
        </w:rPr>
        <w:t xml:space="preserve">  </w:t>
      </w:r>
      <w:r w:rsidR="00A40D59" w:rsidRPr="00A40D59">
        <w:rPr>
          <w:rFonts w:cs="Arial"/>
          <w:bCs/>
          <w:sz w:val="20"/>
          <w:lang w:eastAsia="ja-JP"/>
        </w:rPr>
        <w:t>R1-1716</w:t>
      </w:r>
      <w:r w:rsidR="004823C9">
        <w:rPr>
          <w:rFonts w:cs="Arial"/>
          <w:bCs/>
          <w:sz w:val="20"/>
          <w:lang w:eastAsia="ja-JP"/>
        </w:rPr>
        <w:t>125</w:t>
      </w:r>
    </w:p>
    <w:p w14:paraId="0F39327A" w14:textId="77777777" w:rsidR="006B0F3C" w:rsidRPr="00B85D54" w:rsidRDefault="006B0F3C" w:rsidP="006B0F3C">
      <w:pPr>
        <w:tabs>
          <w:tab w:val="center" w:pos="4536"/>
          <w:tab w:val="right" w:pos="9072"/>
        </w:tabs>
        <w:rPr>
          <w:rFonts w:ascii="Arial" w:hAnsi="Arial" w:cs="Arial"/>
          <w:b/>
          <w:bCs/>
          <w:noProof/>
          <w:lang w:eastAsia="ja-JP"/>
        </w:rPr>
      </w:pPr>
      <w:r w:rsidRPr="00B85D54">
        <w:rPr>
          <w:rFonts w:ascii="Arial" w:hAnsi="Arial" w:cs="Arial"/>
          <w:b/>
          <w:bCs/>
          <w:noProof/>
          <w:lang w:eastAsia="ja-JP"/>
        </w:rPr>
        <w:t>Nagoya, Japan, 18th – 21st, September 2017</w:t>
      </w:r>
    </w:p>
    <w:p w14:paraId="118B1DEE" w14:textId="449F2B57" w:rsidR="00DF5B49" w:rsidRPr="008D0B7E" w:rsidRDefault="00DF5B49" w:rsidP="00DF5B49">
      <w:pPr>
        <w:tabs>
          <w:tab w:val="center" w:pos="4536"/>
          <w:tab w:val="right" w:pos="9072"/>
        </w:tabs>
        <w:rPr>
          <w:rFonts w:ascii="Arial" w:eastAsia="SimSun" w:hAnsi="Arial" w:cs="Arial"/>
          <w:b/>
          <w:bCs/>
          <w:noProof/>
          <w:lang w:eastAsia="zh-CN"/>
        </w:rPr>
      </w:pPr>
    </w:p>
    <w:p w14:paraId="2107E178" w14:textId="77777777" w:rsidR="0045740A" w:rsidRPr="003B3942" w:rsidRDefault="0045740A" w:rsidP="001D6395">
      <w:pPr>
        <w:pStyle w:val="Header"/>
        <w:tabs>
          <w:tab w:val="right" w:pos="8280"/>
          <w:tab w:val="right" w:pos="9781"/>
        </w:tabs>
        <w:ind w:right="-58"/>
        <w:rPr>
          <w:lang w:val="en-US" w:eastAsia="ja-JP"/>
        </w:rPr>
      </w:pPr>
    </w:p>
    <w:p w14:paraId="4661804D" w14:textId="3CE3A8F6"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004823C9">
        <w:rPr>
          <w:b w:val="0"/>
          <w:sz w:val="20"/>
        </w:rPr>
        <w:t>TCL Communication</w:t>
      </w:r>
    </w:p>
    <w:p w14:paraId="2583DD4B" w14:textId="47CF7EDE" w:rsidR="0045740A" w:rsidRPr="00FD6EC8" w:rsidRDefault="0045740A" w:rsidP="0045740A">
      <w:pPr>
        <w:pStyle w:val="TdocHeader2"/>
        <w:spacing w:after="60"/>
        <w:jc w:val="left"/>
        <w:rPr>
          <w:rFonts w:eastAsia="SimSun"/>
          <w:b w:val="0"/>
          <w:sz w:val="20"/>
          <w:lang w:val="en-US" w:eastAsia="zh-CN"/>
        </w:rPr>
      </w:pPr>
      <w:r w:rsidRPr="00183562">
        <w:rPr>
          <w:sz w:val="20"/>
        </w:rPr>
        <w:t xml:space="preserve">Title: </w:t>
      </w:r>
      <w:r w:rsidRPr="00183562">
        <w:rPr>
          <w:sz w:val="20"/>
        </w:rPr>
        <w:tab/>
      </w:r>
      <w:r w:rsidR="004823C9">
        <w:rPr>
          <w:b w:val="0"/>
          <w:sz w:val="20"/>
        </w:rPr>
        <w:t>Additional DMRS in the control region</w:t>
      </w:r>
    </w:p>
    <w:p w14:paraId="4ECD5F7C" w14:textId="10F5F7AE"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D7337E" w:rsidRPr="00D7337E">
        <w:rPr>
          <w:rFonts w:ascii="Arial" w:eastAsia="Batang" w:hAnsi="Arial"/>
        </w:rPr>
        <w:t>6.2</w:t>
      </w:r>
      <w:r w:rsidR="004823C9">
        <w:rPr>
          <w:rFonts w:ascii="Arial" w:eastAsia="Batang" w:hAnsi="Arial"/>
        </w:rPr>
        <w:t>.3.3 – Remaining Details on DMRS</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Heading1"/>
        <w:tabs>
          <w:tab w:val="num" w:pos="426"/>
        </w:tabs>
        <w:ind w:left="426" w:hanging="426"/>
        <w:rPr>
          <w:rFonts w:eastAsia="SimSun"/>
          <w:lang w:val="en-US" w:eastAsia="zh-CN"/>
        </w:rPr>
      </w:pPr>
      <w:r>
        <w:rPr>
          <w:rFonts w:hint="eastAsia"/>
          <w:szCs w:val="36"/>
          <w:lang w:eastAsia="ja-JP"/>
        </w:rPr>
        <w:t>Introduction</w:t>
      </w:r>
    </w:p>
    <w:p w14:paraId="56C073FD" w14:textId="5101F65C" w:rsidR="004938B2" w:rsidRDefault="004938B2" w:rsidP="00864406">
      <w:pPr>
        <w:rPr>
          <w:rFonts w:eastAsia="SimSun" w:cs="Arial"/>
          <w:lang w:eastAsia="zh-CN"/>
        </w:rPr>
      </w:pPr>
      <w:r>
        <w:rPr>
          <w:rFonts w:eastAsia="SimSun" w:cs="Arial"/>
          <w:lang w:eastAsia="zh-CN"/>
        </w:rPr>
        <w:t xml:space="preserve">3GPP has made very good progress in enabling resource elements utilization in the control region for data. Similarly, there has been very fast progress in the detailed design of DMRS for data, both for front loaded and additional DMRS symbols. </w:t>
      </w:r>
    </w:p>
    <w:p w14:paraId="70385EE8" w14:textId="529B4B31" w:rsidR="004938B2" w:rsidRDefault="004938B2" w:rsidP="00864406">
      <w:pPr>
        <w:rPr>
          <w:rFonts w:eastAsia="SimSun" w:cs="Arial"/>
          <w:lang w:eastAsia="zh-CN"/>
        </w:rPr>
      </w:pPr>
      <w:r>
        <w:rPr>
          <w:rFonts w:eastAsia="SimSun" w:cs="Arial"/>
          <w:lang w:eastAsia="zh-CN"/>
        </w:rPr>
        <w:t xml:space="preserve">With respect to the latest agreements made for data multiplexing in the control region, certain resource blocks (elements) within the control region can be used for data multiplexing. The data demodulation and decoding in these symbols would require channel </w:t>
      </w:r>
      <w:r w:rsidR="00A13DEC">
        <w:rPr>
          <w:rFonts w:eastAsia="SimSun" w:cs="Arial"/>
          <w:lang w:eastAsia="zh-CN"/>
        </w:rPr>
        <w:t>estimates obtained by</w:t>
      </w:r>
      <w:r>
        <w:rPr>
          <w:rFonts w:eastAsia="SimSun" w:cs="Arial"/>
          <w:lang w:eastAsia="zh-CN"/>
        </w:rPr>
        <w:t xml:space="preserve"> making use of </w:t>
      </w:r>
      <w:r w:rsidR="00167B49">
        <w:rPr>
          <w:rFonts w:eastAsia="SimSun" w:cs="Arial"/>
          <w:lang w:eastAsia="zh-CN"/>
        </w:rPr>
        <w:t xml:space="preserve">the </w:t>
      </w:r>
      <w:r>
        <w:rPr>
          <w:rFonts w:eastAsia="SimSun" w:cs="Arial"/>
          <w:lang w:eastAsia="zh-CN"/>
        </w:rPr>
        <w:t>front-loaded DMRS symbol (3</w:t>
      </w:r>
      <w:r w:rsidRPr="004938B2">
        <w:rPr>
          <w:rFonts w:eastAsia="SimSun" w:cs="Arial"/>
          <w:vertAlign w:val="superscript"/>
          <w:lang w:eastAsia="zh-CN"/>
        </w:rPr>
        <w:t>rd</w:t>
      </w:r>
      <w:r>
        <w:rPr>
          <w:rFonts w:eastAsia="SimSun" w:cs="Arial"/>
          <w:lang w:eastAsia="zh-CN"/>
        </w:rPr>
        <w:t xml:space="preserve"> or 4</w:t>
      </w:r>
      <w:r w:rsidRPr="004938B2">
        <w:rPr>
          <w:rFonts w:eastAsia="SimSun" w:cs="Arial"/>
          <w:vertAlign w:val="superscript"/>
          <w:lang w:eastAsia="zh-CN"/>
        </w:rPr>
        <w:t>th</w:t>
      </w:r>
      <w:r>
        <w:rPr>
          <w:rFonts w:eastAsia="SimSun" w:cs="Arial"/>
          <w:lang w:eastAsia="zh-CN"/>
        </w:rPr>
        <w:t xml:space="preserve"> OFDM symbol of the slot). This would require channel estimation extrapolation over up to 3 OFDM symbols which can significantly degrade the throughput for medium to high Doppler scenarios. The present contribution discusses this issue and proposes to add an additional DMRS symbol in the control region for data demodulation </w:t>
      </w:r>
      <w:r w:rsidR="00164386">
        <w:rPr>
          <w:rFonts w:eastAsia="SimSun" w:cs="Arial"/>
          <w:lang w:eastAsia="zh-CN"/>
        </w:rPr>
        <w:t xml:space="preserve">to </w:t>
      </w:r>
      <w:r>
        <w:rPr>
          <w:rFonts w:eastAsia="SimSun" w:cs="Arial"/>
          <w:lang w:eastAsia="zh-CN"/>
        </w:rPr>
        <w:t>combat such scenarios.</w:t>
      </w:r>
    </w:p>
    <w:p w14:paraId="413622FA" w14:textId="54220DB3" w:rsidR="00DD22E8" w:rsidRDefault="00DD22E8" w:rsidP="00DD22E8">
      <w:pPr>
        <w:pStyle w:val="Heading2"/>
        <w:rPr>
          <w:lang w:eastAsia="zh-CN"/>
        </w:rPr>
      </w:pPr>
      <w:r>
        <w:rPr>
          <w:lang w:eastAsia="zh-CN"/>
        </w:rPr>
        <w:t>Agreements for Data Multiplexing in the Control Region</w:t>
      </w:r>
    </w:p>
    <w:p w14:paraId="317FFB43" w14:textId="77777777" w:rsidR="00DD22E8" w:rsidRPr="001E2B47" w:rsidRDefault="00DD22E8" w:rsidP="00DD22E8">
      <w:pPr>
        <w:rPr>
          <w:rFonts w:hint="eastAsia"/>
          <w:b/>
          <w:u w:val="single"/>
          <w:lang w:val="en-US" w:eastAsia="ja-JP"/>
        </w:rPr>
      </w:pPr>
      <w:r w:rsidRPr="00FB0904">
        <w:rPr>
          <w:rFonts w:hint="eastAsia"/>
          <w:b/>
          <w:highlight w:val="green"/>
          <w:u w:val="single"/>
          <w:lang w:eastAsia="ja-JP"/>
        </w:rPr>
        <w:t>Agreements</w:t>
      </w:r>
      <w:r>
        <w:rPr>
          <w:b/>
          <w:highlight w:val="green"/>
          <w:u w:val="single"/>
          <w:lang w:eastAsia="ja-JP"/>
        </w:rPr>
        <w:t xml:space="preserve"> </w:t>
      </w:r>
      <w:r w:rsidRPr="00D16E32">
        <w:rPr>
          <w:b/>
          <w:highlight w:val="green"/>
          <w:u w:val="single"/>
          <w:lang w:eastAsia="ja-JP"/>
        </w:rPr>
        <w:t>(</w:t>
      </w:r>
      <w:r>
        <w:rPr>
          <w:b/>
          <w:highlight w:val="green"/>
          <w:u w:val="single"/>
          <w:lang w:eastAsia="ja-JP"/>
        </w:rPr>
        <w:t>RAN1#90</w:t>
      </w:r>
      <w:r w:rsidRPr="00D16E32">
        <w:rPr>
          <w:b/>
          <w:highlight w:val="green"/>
          <w:u w:val="single"/>
          <w:lang w:eastAsia="ja-JP"/>
        </w:rPr>
        <w:t>)</w:t>
      </w:r>
      <w:r w:rsidRPr="00D16E32">
        <w:rPr>
          <w:rFonts w:hint="eastAsia"/>
          <w:b/>
          <w:highlight w:val="green"/>
          <w:u w:val="single"/>
          <w:lang w:eastAsia="ja-JP"/>
        </w:rPr>
        <w:t>:</w:t>
      </w:r>
    </w:p>
    <w:p w14:paraId="15D6F49C" w14:textId="77777777" w:rsidR="00DD22E8" w:rsidRPr="003A4AB5" w:rsidRDefault="00DD22E8" w:rsidP="00DD22E8">
      <w:pPr>
        <w:numPr>
          <w:ilvl w:val="0"/>
          <w:numId w:val="12"/>
        </w:numPr>
        <w:tabs>
          <w:tab w:val="left" w:pos="1440"/>
        </w:tabs>
        <w:spacing w:after="0"/>
        <w:rPr>
          <w:lang w:val="en-US" w:eastAsia="ja-JP"/>
        </w:rPr>
      </w:pPr>
      <w:r w:rsidRPr="003A4AB5">
        <w:rPr>
          <w:lang w:val="en-US" w:eastAsia="ja-JP"/>
        </w:rPr>
        <w:t xml:space="preserve">A UE can be configured by RRC signaling with </w:t>
      </w:r>
      <w:r>
        <w:rPr>
          <w:rFonts w:hint="eastAsia"/>
          <w:lang w:val="en-US" w:eastAsia="ja-JP"/>
        </w:rPr>
        <w:t xml:space="preserve">one or more </w:t>
      </w:r>
      <w:r w:rsidRPr="003A4AB5">
        <w:rPr>
          <w:lang w:val="en-US" w:eastAsia="ja-JP"/>
        </w:rPr>
        <w:t>r</w:t>
      </w:r>
      <w:r>
        <w:rPr>
          <w:lang w:val="en-US" w:eastAsia="ja-JP"/>
        </w:rPr>
        <w:t>esource set</w:t>
      </w:r>
      <w:r>
        <w:rPr>
          <w:rFonts w:hint="eastAsia"/>
          <w:lang w:val="en-US" w:eastAsia="ja-JP"/>
        </w:rPr>
        <w:t>(s)</w:t>
      </w:r>
    </w:p>
    <w:p w14:paraId="7272D225" w14:textId="77777777" w:rsidR="00DD22E8" w:rsidRPr="003A4AB5" w:rsidRDefault="00DD22E8" w:rsidP="00DD22E8">
      <w:pPr>
        <w:numPr>
          <w:ilvl w:val="1"/>
          <w:numId w:val="12"/>
        </w:numPr>
        <w:tabs>
          <w:tab w:val="left" w:pos="1440"/>
        </w:tabs>
        <w:spacing w:after="0"/>
        <w:rPr>
          <w:lang w:val="en-US" w:eastAsia="ja-JP"/>
        </w:rPr>
      </w:pPr>
      <w:r w:rsidRPr="003A4AB5">
        <w:rPr>
          <w:lang w:val="en-US" w:eastAsia="ja-JP"/>
        </w:rPr>
        <w:t xml:space="preserve">The UE shall assume that the scheduled PDSCH is rate-matched around the resource set(s) when the scheduled PDSCH overlaps </w:t>
      </w:r>
    </w:p>
    <w:p w14:paraId="39F4CE9A" w14:textId="77777777" w:rsidR="00DD22E8" w:rsidRPr="003A4AB5" w:rsidRDefault="00DD22E8" w:rsidP="00DD22E8">
      <w:pPr>
        <w:numPr>
          <w:ilvl w:val="1"/>
          <w:numId w:val="12"/>
        </w:numPr>
        <w:tabs>
          <w:tab w:val="left" w:pos="1440"/>
        </w:tabs>
        <w:spacing w:after="0"/>
        <w:rPr>
          <w:lang w:val="en-US" w:eastAsia="ja-JP"/>
        </w:rPr>
      </w:pPr>
      <w:r w:rsidRPr="003A4AB5">
        <w:rPr>
          <w:lang w:val="en-US" w:eastAsia="ja-JP"/>
        </w:rPr>
        <w:t>FFS: exact configuration of a resource set including granularity.</w:t>
      </w:r>
    </w:p>
    <w:p w14:paraId="7FA6B8D7" w14:textId="77777777" w:rsidR="00DD22E8" w:rsidRDefault="00DD22E8" w:rsidP="00DD22E8">
      <w:pPr>
        <w:rPr>
          <w:rFonts w:hint="eastAsia"/>
          <w:b/>
          <w:u w:val="single"/>
          <w:lang w:eastAsia="ja-JP"/>
        </w:rPr>
      </w:pPr>
    </w:p>
    <w:p w14:paraId="3A0E1A93" w14:textId="77777777" w:rsidR="00DD22E8" w:rsidRPr="003A4AB5" w:rsidRDefault="00DD22E8" w:rsidP="00DD22E8">
      <w:pPr>
        <w:rPr>
          <w:rFonts w:hint="eastAsia"/>
          <w:b/>
          <w:u w:val="single"/>
          <w:lang w:val="en-US" w:eastAsia="ja-JP"/>
        </w:rPr>
      </w:pPr>
      <w:r w:rsidRPr="000662F8">
        <w:rPr>
          <w:rFonts w:hint="eastAsia"/>
          <w:b/>
          <w:highlight w:val="green"/>
          <w:u w:val="single"/>
          <w:lang w:eastAsia="ja-JP"/>
        </w:rPr>
        <w:t>Agreements</w:t>
      </w:r>
      <w:r>
        <w:rPr>
          <w:b/>
          <w:highlight w:val="green"/>
          <w:u w:val="single"/>
          <w:lang w:eastAsia="ja-JP"/>
        </w:rPr>
        <w:t xml:space="preserve"> </w:t>
      </w:r>
      <w:r w:rsidRPr="00D16E32">
        <w:rPr>
          <w:b/>
          <w:highlight w:val="green"/>
          <w:u w:val="single"/>
          <w:lang w:eastAsia="ja-JP"/>
        </w:rPr>
        <w:t>(</w:t>
      </w:r>
      <w:r>
        <w:rPr>
          <w:b/>
          <w:highlight w:val="green"/>
          <w:u w:val="single"/>
          <w:lang w:eastAsia="ja-JP"/>
        </w:rPr>
        <w:t>RAN1#90</w:t>
      </w:r>
      <w:r w:rsidRPr="00D16E32">
        <w:rPr>
          <w:b/>
          <w:highlight w:val="green"/>
          <w:u w:val="single"/>
          <w:lang w:eastAsia="ja-JP"/>
        </w:rPr>
        <w:t>)</w:t>
      </w:r>
      <w:r w:rsidRPr="00D16E32">
        <w:rPr>
          <w:rFonts w:hint="eastAsia"/>
          <w:b/>
          <w:highlight w:val="green"/>
          <w:u w:val="single"/>
          <w:lang w:eastAsia="ja-JP"/>
        </w:rPr>
        <w:t>:</w:t>
      </w:r>
    </w:p>
    <w:p w14:paraId="4A1E46A7" w14:textId="77777777" w:rsidR="00DD22E8" w:rsidRPr="003A4AB5" w:rsidRDefault="00DD22E8" w:rsidP="00DD22E8">
      <w:pPr>
        <w:numPr>
          <w:ilvl w:val="0"/>
          <w:numId w:val="12"/>
        </w:numPr>
        <w:tabs>
          <w:tab w:val="left" w:pos="1440"/>
        </w:tabs>
        <w:spacing w:after="0"/>
        <w:rPr>
          <w:rFonts w:hint="eastAsia"/>
          <w:lang w:val="en-US" w:eastAsia="ja-JP"/>
        </w:rPr>
      </w:pPr>
      <w:r w:rsidRPr="003A4AB5">
        <w:rPr>
          <w:lang w:val="en-US" w:eastAsia="ja-JP"/>
        </w:rPr>
        <w:t>A UE can be configured by UE-specific RRC signaling to identify resource set(s) for which the PDSCH may or may not be mapped based on the L1 signaling.</w:t>
      </w:r>
    </w:p>
    <w:p w14:paraId="068958ED" w14:textId="77777777" w:rsidR="00DD22E8" w:rsidRPr="003A4AB5" w:rsidRDefault="00DD22E8" w:rsidP="00DD22E8">
      <w:pPr>
        <w:numPr>
          <w:ilvl w:val="1"/>
          <w:numId w:val="12"/>
        </w:numPr>
        <w:tabs>
          <w:tab w:val="left" w:pos="1440"/>
        </w:tabs>
        <w:spacing w:after="0"/>
        <w:rPr>
          <w:lang w:val="en-US" w:eastAsia="ja-JP"/>
        </w:rPr>
      </w:pPr>
      <w:r w:rsidRPr="003A4AB5">
        <w:rPr>
          <w:rFonts w:hint="eastAsia"/>
          <w:lang w:val="en-US" w:eastAsia="ja-JP"/>
        </w:rPr>
        <w:t>For a scheduled PDSCH overlapping with given resource set</w:t>
      </w:r>
      <w:r w:rsidRPr="003A4AB5">
        <w:rPr>
          <w:lang w:val="en-US" w:eastAsia="ja-JP"/>
        </w:rPr>
        <w:t>(s)</w:t>
      </w:r>
      <w:r w:rsidRPr="003A4AB5">
        <w:rPr>
          <w:rFonts w:hint="eastAsia"/>
          <w:lang w:val="en-US" w:eastAsia="ja-JP"/>
        </w:rPr>
        <w:t>,</w:t>
      </w:r>
      <w:r w:rsidRPr="003A4AB5">
        <w:rPr>
          <w:lang w:val="en-US" w:eastAsia="ja-JP"/>
        </w:rPr>
        <w:t xml:space="preserve"> L1 signalling indicates whether the scheduled PDSCH is rate-matched around the resource set(s) or is mapped to the resources in the resource set(s).</w:t>
      </w:r>
    </w:p>
    <w:p w14:paraId="5E2530EC" w14:textId="77777777" w:rsidR="00DD22E8" w:rsidRPr="003A4AB5" w:rsidRDefault="00DD22E8" w:rsidP="00DD22E8">
      <w:pPr>
        <w:numPr>
          <w:ilvl w:val="1"/>
          <w:numId w:val="12"/>
        </w:numPr>
        <w:tabs>
          <w:tab w:val="left" w:pos="1440"/>
        </w:tabs>
        <w:spacing w:after="0"/>
        <w:rPr>
          <w:lang w:val="en-US" w:eastAsia="ja-JP"/>
        </w:rPr>
      </w:pPr>
      <w:r w:rsidRPr="003A4AB5">
        <w:rPr>
          <w:lang w:val="en-US" w:eastAsia="ja-JP"/>
        </w:rPr>
        <w:t xml:space="preserve">FFS: details of the L1 signaling </w:t>
      </w:r>
    </w:p>
    <w:p w14:paraId="53D2A9BF" w14:textId="77777777" w:rsidR="00DD22E8" w:rsidRPr="003A4AB5" w:rsidRDefault="00DD22E8" w:rsidP="00DD22E8">
      <w:pPr>
        <w:numPr>
          <w:ilvl w:val="1"/>
          <w:numId w:val="12"/>
        </w:numPr>
        <w:tabs>
          <w:tab w:val="left" w:pos="1440"/>
        </w:tabs>
        <w:spacing w:after="0"/>
        <w:rPr>
          <w:lang w:val="en-US" w:eastAsia="ja-JP"/>
        </w:rPr>
      </w:pPr>
      <w:r w:rsidRPr="003A4AB5">
        <w:rPr>
          <w:lang w:val="en-US" w:eastAsia="ja-JP"/>
        </w:rPr>
        <w:t>FFS: exact configuration of a resource set incl</w:t>
      </w:r>
      <w:r>
        <w:rPr>
          <w:lang w:val="en-US" w:eastAsia="ja-JP"/>
        </w:rPr>
        <w:t>uding granularity</w:t>
      </w:r>
    </w:p>
    <w:p w14:paraId="53C6E053" w14:textId="77777777" w:rsidR="00DD22E8" w:rsidRDefault="00DD22E8" w:rsidP="00DD22E8">
      <w:pPr>
        <w:rPr>
          <w:rFonts w:hint="eastAsia"/>
          <w:lang w:eastAsia="ja-JP"/>
        </w:rPr>
      </w:pPr>
    </w:p>
    <w:p w14:paraId="0F98A520" w14:textId="77777777" w:rsidR="00DD22E8" w:rsidRPr="008418BF" w:rsidRDefault="00DD22E8" w:rsidP="00DD22E8">
      <w:pPr>
        <w:rPr>
          <w:b/>
          <w:u w:val="single"/>
          <w:lang w:eastAsia="ja-JP"/>
        </w:rPr>
      </w:pPr>
      <w:r w:rsidRPr="00CB64F1">
        <w:rPr>
          <w:rFonts w:hint="eastAsia"/>
          <w:b/>
          <w:highlight w:val="green"/>
          <w:u w:val="single"/>
          <w:lang w:eastAsia="ja-JP"/>
        </w:rPr>
        <w:t>Agreements</w:t>
      </w:r>
      <w:r>
        <w:rPr>
          <w:b/>
          <w:highlight w:val="green"/>
          <w:u w:val="single"/>
          <w:lang w:eastAsia="ja-JP"/>
        </w:rPr>
        <w:t xml:space="preserve"> </w:t>
      </w:r>
      <w:r w:rsidRPr="00D16E32">
        <w:rPr>
          <w:b/>
          <w:highlight w:val="green"/>
          <w:u w:val="single"/>
          <w:lang w:eastAsia="ja-JP"/>
        </w:rPr>
        <w:t>(</w:t>
      </w:r>
      <w:r>
        <w:rPr>
          <w:b/>
          <w:highlight w:val="green"/>
          <w:u w:val="single"/>
          <w:lang w:eastAsia="ja-JP"/>
        </w:rPr>
        <w:t>RAN1#90</w:t>
      </w:r>
      <w:r w:rsidRPr="00D16E32">
        <w:rPr>
          <w:b/>
          <w:highlight w:val="green"/>
          <w:u w:val="single"/>
          <w:lang w:eastAsia="ja-JP"/>
        </w:rPr>
        <w:t>)</w:t>
      </w:r>
      <w:r w:rsidRPr="00D16E32">
        <w:rPr>
          <w:rFonts w:hint="eastAsia"/>
          <w:b/>
          <w:highlight w:val="green"/>
          <w:u w:val="single"/>
          <w:lang w:eastAsia="ja-JP"/>
        </w:rPr>
        <w:t>:</w:t>
      </w:r>
    </w:p>
    <w:p w14:paraId="6E036F59" w14:textId="77777777" w:rsidR="00DD22E8" w:rsidRPr="008418BF" w:rsidRDefault="00DD22E8" w:rsidP="00DD22E8">
      <w:pPr>
        <w:numPr>
          <w:ilvl w:val="0"/>
          <w:numId w:val="13"/>
        </w:numPr>
        <w:tabs>
          <w:tab w:val="left" w:pos="1440"/>
        </w:tabs>
        <w:spacing w:after="0"/>
        <w:rPr>
          <w:lang w:val="en-US" w:eastAsia="ja-JP"/>
        </w:rPr>
      </w:pPr>
      <w:r w:rsidRPr="008418BF">
        <w:rPr>
          <w:iCs/>
          <w:lang w:val="en-US" w:eastAsia="ja-JP"/>
        </w:rPr>
        <w:t>At least the following is supported</w:t>
      </w:r>
    </w:p>
    <w:p w14:paraId="14D3A86A" w14:textId="77777777" w:rsidR="00DD22E8" w:rsidRPr="008418BF" w:rsidRDefault="00DD22E8" w:rsidP="00DD22E8">
      <w:pPr>
        <w:numPr>
          <w:ilvl w:val="1"/>
          <w:numId w:val="13"/>
        </w:numPr>
        <w:tabs>
          <w:tab w:val="left" w:pos="1440"/>
        </w:tabs>
        <w:spacing w:after="0"/>
        <w:rPr>
          <w:lang w:val="en-US" w:eastAsia="ja-JP"/>
        </w:rPr>
      </w:pPr>
      <w:r w:rsidRPr="008418BF">
        <w:rPr>
          <w:iCs/>
          <w:lang w:val="en-US" w:eastAsia="ja-JP"/>
        </w:rPr>
        <w:t>When the scheduled PDSCH overlaps with the PDCCH scheduling the PDSCH, the UE shall assume that the scheduled PDSCH is rate-matched around the PDCCH scheduling the PDSCH</w:t>
      </w:r>
    </w:p>
    <w:p w14:paraId="16F0A062" w14:textId="77777777" w:rsidR="00DD22E8" w:rsidRPr="00AF33B4" w:rsidRDefault="00DD22E8" w:rsidP="00DD22E8">
      <w:pPr>
        <w:numPr>
          <w:ilvl w:val="2"/>
          <w:numId w:val="13"/>
        </w:numPr>
        <w:tabs>
          <w:tab w:val="left" w:pos="1440"/>
        </w:tabs>
        <w:spacing w:after="0"/>
        <w:rPr>
          <w:lang w:val="en-US" w:eastAsia="ja-JP"/>
        </w:rPr>
      </w:pPr>
      <w:r w:rsidRPr="008418BF">
        <w:rPr>
          <w:iCs/>
          <w:lang w:val="en-US" w:eastAsia="ja-JP"/>
        </w:rPr>
        <w:t>Other forms of resource sharing between PDCCH and PDSCH are not precluded</w:t>
      </w:r>
    </w:p>
    <w:p w14:paraId="3386F3E1" w14:textId="14CFADDD" w:rsidR="00DD22E8" w:rsidRDefault="00DD22E8" w:rsidP="00DD22E8">
      <w:pPr>
        <w:pStyle w:val="Heading2"/>
        <w:rPr>
          <w:lang w:val="en-US" w:eastAsia="zh-CN"/>
        </w:rPr>
      </w:pPr>
      <w:r>
        <w:rPr>
          <w:lang w:val="en-US" w:eastAsia="zh-CN"/>
        </w:rPr>
        <w:t>Agreements for Additional data DMRS</w:t>
      </w:r>
    </w:p>
    <w:p w14:paraId="1F7C4183" w14:textId="77777777" w:rsidR="00676A90" w:rsidRDefault="00676A90" w:rsidP="00676A90">
      <w:pPr>
        <w:rPr>
          <w:lang w:eastAsia="ja-JP"/>
        </w:rPr>
      </w:pPr>
      <w:r w:rsidRPr="004D673A">
        <w:rPr>
          <w:highlight w:val="green"/>
          <w:lang w:eastAsia="ja-JP"/>
        </w:rPr>
        <w:t>Agreements:</w:t>
      </w:r>
    </w:p>
    <w:p w14:paraId="7CEA1102" w14:textId="77777777" w:rsidR="00676A90" w:rsidRPr="004D673A" w:rsidRDefault="00676A90" w:rsidP="00676A90">
      <w:pPr>
        <w:numPr>
          <w:ilvl w:val="0"/>
          <w:numId w:val="14"/>
        </w:numPr>
        <w:tabs>
          <w:tab w:val="left" w:pos="720"/>
        </w:tabs>
        <w:spacing w:after="0"/>
      </w:pPr>
      <w:r>
        <w:t>For PDSCH, w</w:t>
      </w:r>
      <w:r w:rsidRPr="004D673A">
        <w:t xml:space="preserve">hen one additional DMRS symbol is configured for the 1-symbol front-load DMRS in a 14-symbol slot with front-load DMRS on the 3rd or 4th symbol, the additional DMRS symbol can be configured in the 12th, 10th, 8th symbol, </w:t>
      </w:r>
    </w:p>
    <w:p w14:paraId="3A9B7270" w14:textId="77777777" w:rsidR="00676A90" w:rsidRPr="004D673A" w:rsidRDefault="00676A90" w:rsidP="00676A90">
      <w:pPr>
        <w:numPr>
          <w:ilvl w:val="1"/>
          <w:numId w:val="14"/>
        </w:numPr>
        <w:tabs>
          <w:tab w:val="left" w:pos="720"/>
          <w:tab w:val="left" w:pos="1170"/>
        </w:tabs>
        <w:spacing w:after="0"/>
      </w:pPr>
      <w:r w:rsidRPr="004D673A">
        <w:lastRenderedPageBreak/>
        <w:t xml:space="preserve">FFS the applicability of each additional DMRS location depending on slot format or last PDSCH symbol, etc. </w:t>
      </w:r>
    </w:p>
    <w:p w14:paraId="7881FE23" w14:textId="77777777" w:rsidR="00676A90" w:rsidRPr="004D673A" w:rsidRDefault="00676A90" w:rsidP="00676A90">
      <w:pPr>
        <w:numPr>
          <w:ilvl w:val="1"/>
          <w:numId w:val="14"/>
        </w:numPr>
        <w:tabs>
          <w:tab w:val="left" w:pos="720"/>
          <w:tab w:val="left" w:pos="1170"/>
        </w:tabs>
        <w:spacing w:after="0"/>
      </w:pPr>
      <w:r w:rsidRPr="004D673A">
        <w:t xml:space="preserve">Note: See the agreed positions in the figure. </w:t>
      </w:r>
    </w:p>
    <w:p w14:paraId="2DFF818C" w14:textId="77777777" w:rsidR="00676A90" w:rsidRDefault="00676A90" w:rsidP="00676A90">
      <w:pPr>
        <w:numPr>
          <w:ilvl w:val="2"/>
          <w:numId w:val="14"/>
        </w:numPr>
        <w:tabs>
          <w:tab w:val="left" w:pos="720"/>
          <w:tab w:val="left" w:pos="1170"/>
        </w:tabs>
        <w:spacing w:after="0"/>
      </w:pPr>
      <w:r w:rsidRPr="004D673A">
        <w:t>The yellow region in the figure below does not contain PDSCH.</w:t>
      </w:r>
    </w:p>
    <w:p w14:paraId="3E19A303" w14:textId="77777777" w:rsidR="00676A90" w:rsidRPr="004D673A" w:rsidRDefault="00676A90" w:rsidP="00676A90">
      <w:pPr>
        <w:tabs>
          <w:tab w:val="left" w:pos="720"/>
          <w:tab w:val="left" w:pos="1170"/>
        </w:tabs>
        <w:jc w:val="center"/>
      </w:pPr>
      <w:r w:rsidRPr="004D673A">
        <w:rPr>
          <w:noProof/>
          <w:lang w:eastAsia="en-GB"/>
        </w:rPr>
        <w:drawing>
          <wp:inline distT="0" distB="0" distL="0" distR="0" wp14:anchorId="510A2D0A" wp14:editId="0E6ECB94">
            <wp:extent cx="4352925" cy="49244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2925" cy="4924425"/>
                    </a:xfrm>
                    <a:prstGeom prst="rect">
                      <a:avLst/>
                    </a:prstGeom>
                    <a:noFill/>
                    <a:ln>
                      <a:noFill/>
                    </a:ln>
                  </pic:spPr>
                </pic:pic>
              </a:graphicData>
            </a:graphic>
          </wp:inline>
        </w:drawing>
      </w:r>
    </w:p>
    <w:p w14:paraId="788F8B0B" w14:textId="77777777" w:rsidR="00676A90" w:rsidRDefault="00676A90" w:rsidP="00676A90">
      <w:pPr>
        <w:rPr>
          <w:lang w:eastAsia="ja-JP"/>
        </w:rPr>
      </w:pPr>
    </w:p>
    <w:p w14:paraId="35D626D9" w14:textId="77777777" w:rsidR="00676A90" w:rsidRPr="00877734" w:rsidRDefault="00676A90" w:rsidP="00676A90">
      <w:pPr>
        <w:rPr>
          <w:highlight w:val="darkYellow"/>
          <w:lang w:eastAsia="ja-JP"/>
        </w:rPr>
      </w:pPr>
      <w:r w:rsidRPr="00877734">
        <w:rPr>
          <w:highlight w:val="darkYellow"/>
          <w:lang w:eastAsia="ja-JP"/>
        </w:rPr>
        <w:t>Working assumption:</w:t>
      </w:r>
    </w:p>
    <w:p w14:paraId="739D246D" w14:textId="77777777" w:rsidR="00676A90" w:rsidRPr="00877734" w:rsidRDefault="00676A90" w:rsidP="00676A90">
      <w:pPr>
        <w:numPr>
          <w:ilvl w:val="0"/>
          <w:numId w:val="14"/>
        </w:numPr>
        <w:tabs>
          <w:tab w:val="left" w:pos="720"/>
        </w:tabs>
        <w:spacing w:after="0"/>
      </w:pPr>
      <w:r w:rsidRPr="00877734">
        <w:t>For 14-symbol slot and 2-symbol front-load DMRS</w:t>
      </w:r>
    </w:p>
    <w:p w14:paraId="6E8B6261" w14:textId="77777777" w:rsidR="00676A90" w:rsidRPr="00877734" w:rsidRDefault="00676A90" w:rsidP="00676A90">
      <w:pPr>
        <w:numPr>
          <w:ilvl w:val="1"/>
          <w:numId w:val="14"/>
        </w:numPr>
        <w:tabs>
          <w:tab w:val="left" w:pos="1440"/>
        </w:tabs>
        <w:spacing w:after="0"/>
      </w:pPr>
      <w:r w:rsidRPr="00877734">
        <w:t>One 2-symbol additional DMRS can be configured</w:t>
      </w:r>
    </w:p>
    <w:p w14:paraId="744A1BF2" w14:textId="77777777" w:rsidR="00676A90" w:rsidRPr="00877734" w:rsidRDefault="00676A90" w:rsidP="00676A90">
      <w:pPr>
        <w:numPr>
          <w:ilvl w:val="1"/>
          <w:numId w:val="14"/>
        </w:numPr>
        <w:tabs>
          <w:tab w:val="left" w:pos="1440"/>
        </w:tabs>
        <w:spacing w:after="0"/>
      </w:pPr>
      <w:r w:rsidRPr="00877734">
        <w:t>Companies are encouraged to perform additional evaluations and design analysis, also taking into account 1-symbol front-load DM-RS</w:t>
      </w:r>
    </w:p>
    <w:p w14:paraId="5A1F04BB" w14:textId="77777777" w:rsidR="00676A90" w:rsidRPr="00877734" w:rsidRDefault="00676A90" w:rsidP="00676A90">
      <w:r w:rsidRPr="00877734">
        <w:rPr>
          <w:highlight w:val="green"/>
        </w:rPr>
        <w:t>Agreements</w:t>
      </w:r>
      <w:r w:rsidRPr="00877734">
        <w:t>:</w:t>
      </w:r>
    </w:p>
    <w:p w14:paraId="73055079" w14:textId="77777777" w:rsidR="00676A90" w:rsidRPr="00877734" w:rsidRDefault="00676A90" w:rsidP="00676A90">
      <w:pPr>
        <w:numPr>
          <w:ilvl w:val="0"/>
          <w:numId w:val="14"/>
        </w:numPr>
        <w:tabs>
          <w:tab w:val="left" w:pos="720"/>
        </w:tabs>
        <w:spacing w:after="0"/>
      </w:pPr>
      <w:r w:rsidRPr="00877734">
        <w:t>For 14-symbol slot and 1-symbol front-load DMRS</w:t>
      </w:r>
    </w:p>
    <w:p w14:paraId="2DED2A4B" w14:textId="77777777" w:rsidR="00676A90" w:rsidRPr="00877734" w:rsidRDefault="00676A90" w:rsidP="00676A90">
      <w:pPr>
        <w:numPr>
          <w:ilvl w:val="1"/>
          <w:numId w:val="14"/>
        </w:numPr>
        <w:tabs>
          <w:tab w:val="left" w:pos="720"/>
        </w:tabs>
        <w:spacing w:after="0"/>
      </w:pPr>
      <w:r w:rsidRPr="00877734">
        <w:t>At least two 1-symbol additional DMRS may be configured</w:t>
      </w:r>
    </w:p>
    <w:p w14:paraId="7E7C4E4B" w14:textId="77777777" w:rsidR="00676A90" w:rsidRPr="00877734" w:rsidRDefault="00676A90" w:rsidP="00676A90">
      <w:pPr>
        <w:numPr>
          <w:ilvl w:val="1"/>
          <w:numId w:val="14"/>
        </w:numPr>
        <w:tabs>
          <w:tab w:val="left" w:pos="720"/>
        </w:tabs>
        <w:spacing w:after="0"/>
      </w:pPr>
      <w:r w:rsidRPr="00877734">
        <w:t>FFS whether or not to additionally support three 1-symbol additional DMRS may be configured</w:t>
      </w:r>
    </w:p>
    <w:p w14:paraId="01D4854B" w14:textId="17952EE8" w:rsidR="00676A90" w:rsidRDefault="00676A90" w:rsidP="00676A90">
      <w:pPr>
        <w:numPr>
          <w:ilvl w:val="2"/>
          <w:numId w:val="14"/>
        </w:numPr>
        <w:tabs>
          <w:tab w:val="left" w:pos="720"/>
        </w:tabs>
        <w:spacing w:after="0"/>
      </w:pPr>
      <w:r w:rsidRPr="00877734">
        <w:t>Companies are encouraged to perform additional evaluations and design analysis</w:t>
      </w:r>
    </w:p>
    <w:p w14:paraId="5EFC0086" w14:textId="77777777" w:rsidR="00676A90" w:rsidRPr="00877734" w:rsidRDefault="00676A90" w:rsidP="00676A90">
      <w:pPr>
        <w:tabs>
          <w:tab w:val="left" w:pos="720"/>
        </w:tabs>
        <w:spacing w:after="0"/>
        <w:ind w:left="2160"/>
      </w:pPr>
    </w:p>
    <w:p w14:paraId="565DFC8A" w14:textId="3EDA0803" w:rsidR="00DD22E8" w:rsidRDefault="00DD22E8" w:rsidP="00DD22E8">
      <w:r>
        <w:t>In normal scheduling operation, whether it is slot based or non-slot based, 3GPP has agreed for front-loaded DMRS for data. Moreover, to cover the case of fast varying channels, the network can configure DMRS symbols additional to the front-loaded DMRS symbol(s). 3GPP has also agreed if there is one additional DMRS symbol after the front-loaded symbol, it would be configured close to the end of the slot such that there are no more than 2 data symbols after this additional DMRS symbol over which extrapolation would be required. The main reason for such a design is that channel estimation extrapolation is much less precise compared to interpolation and may seriously degrade the performance if done for more than 2 consecutive symbols.</w:t>
      </w:r>
    </w:p>
    <w:p w14:paraId="6EAE232E" w14:textId="77777777" w:rsidR="00DD22E8" w:rsidRDefault="00DD22E8" w:rsidP="00DD22E8">
      <w:pPr>
        <w:rPr>
          <w:noProof/>
          <w:lang w:val="en-US"/>
        </w:rPr>
      </w:pPr>
      <w:r>
        <w:rPr>
          <w:noProof/>
          <w:lang w:val="en-US"/>
        </w:rPr>
        <w:t xml:space="preserve"> </w:t>
      </w:r>
    </w:p>
    <w:p w14:paraId="09ECFDC9" w14:textId="786EEFC4" w:rsidR="00DD22E8" w:rsidRDefault="00DD22E8" w:rsidP="00DD22E8">
      <w:r>
        <w:lastRenderedPageBreak/>
        <w:t>When data is multiplexed in the control region, rate-matched around the CORESETs or mapped inside the CORESET resources, the UE</w:t>
      </w:r>
      <w:r w:rsidR="00E43C9C">
        <w:t>s</w:t>
      </w:r>
      <w:r>
        <w:t xml:space="preserve"> would need to do extrapolation over these symbols for channel estimation with the help of front-loaded data DMRS which are located on 3</w:t>
      </w:r>
      <w:r w:rsidRPr="005D118C">
        <w:rPr>
          <w:vertAlign w:val="superscript"/>
        </w:rPr>
        <w:t>rd</w:t>
      </w:r>
      <w:r>
        <w:t xml:space="preserve"> or 4</w:t>
      </w:r>
      <w:r w:rsidRPr="005D118C">
        <w:rPr>
          <w:vertAlign w:val="superscript"/>
        </w:rPr>
        <w:t>th</w:t>
      </w:r>
      <w:r>
        <w:t xml:space="preserve"> OFDM symbol of the slot. It will also introduce a significant delay before the UE can process the PDSCH symbols in the control region because it has to wait until the first front-loaded DMRS arrives for channel estimation.  If the UE has to count only on the front-loaded DMRS, this extrapolation may compromise severely user throughput and the gNB would either need to use a lower MCS or the link would have an increased BLER. </w:t>
      </w:r>
    </w:p>
    <w:p w14:paraId="7E4DB519" w14:textId="77777777" w:rsidR="00DD22E8" w:rsidRPr="00DD22E8" w:rsidRDefault="00DD22E8" w:rsidP="00DD22E8">
      <w:pPr>
        <w:rPr>
          <w:lang w:eastAsia="zh-CN"/>
        </w:rPr>
      </w:pPr>
    </w:p>
    <w:p w14:paraId="45D005BC" w14:textId="77777777" w:rsidR="00F018D7" w:rsidRDefault="00D673C2" w:rsidP="00F018D7">
      <w:pPr>
        <w:pStyle w:val="Heading1"/>
        <w:tabs>
          <w:tab w:val="num" w:pos="426"/>
        </w:tabs>
        <w:ind w:left="426" w:hanging="426"/>
        <w:rPr>
          <w:rFonts w:eastAsia="SimSun"/>
          <w:szCs w:val="36"/>
          <w:lang w:eastAsia="zh-CN"/>
        </w:rPr>
      </w:pPr>
      <w:r>
        <w:rPr>
          <w:rFonts w:hint="eastAsia"/>
          <w:szCs w:val="36"/>
          <w:lang w:eastAsia="ja-JP"/>
        </w:rPr>
        <w:t>Discussion</w:t>
      </w:r>
    </w:p>
    <w:p w14:paraId="77859766" w14:textId="77777777" w:rsidR="001B2C1F" w:rsidRDefault="001B2C1F" w:rsidP="001B2C1F">
      <w:r>
        <w:t xml:space="preserve">There are use cases where the data region of the UE can be extended into the control region without interfering with any CORESET or only interfering with CORESETs known to the UE. To coherently demodulate the PDSCH in the control region, the UE has to extrapolate its channel estimate from the PDSCH region to the control region, i.e. an extrapolation of 1,2 or 3 symbols if control and data region use the same numerology. In case, data is configured with a different numerology with higher sub-carrier spacing, the extrapolation may need to be done over larger number of symbols. </w:t>
      </w:r>
    </w:p>
    <w:p w14:paraId="5B0E13FF" w14:textId="77777777" w:rsidR="001B2C1F" w:rsidRDefault="001B2C1F" w:rsidP="001B2C1F"/>
    <w:p w14:paraId="462205DD" w14:textId="7EB1845D" w:rsidR="001B2C1F" w:rsidRDefault="001B2C1F" w:rsidP="001B2C1F">
      <w:pPr>
        <w:keepNext/>
      </w:pPr>
      <w:r w:rsidRPr="005D5755">
        <w:rPr>
          <w:noProof/>
        </w:rPr>
        <w:drawing>
          <wp:inline distT="0" distB="0" distL="0" distR="0" wp14:anchorId="311115FF" wp14:editId="07BD27EE">
            <wp:extent cx="6400800" cy="32442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0" cy="3244215"/>
                    </a:xfrm>
                    <a:prstGeom prst="rect">
                      <a:avLst/>
                    </a:prstGeom>
                    <a:noFill/>
                    <a:ln>
                      <a:noFill/>
                    </a:ln>
                  </pic:spPr>
                </pic:pic>
              </a:graphicData>
            </a:graphic>
          </wp:inline>
        </w:drawing>
      </w:r>
    </w:p>
    <w:p w14:paraId="2247BC2A" w14:textId="0406E812" w:rsidR="001B2C1F" w:rsidRDefault="001B2C1F" w:rsidP="001B2C1F">
      <w:pPr>
        <w:pStyle w:val="Caption"/>
        <w:jc w:val="center"/>
      </w:pPr>
      <w:bookmarkStart w:id="0" w:name="_Ref492300857"/>
      <w:r>
        <w:t xml:space="preserve">Figure </w:t>
      </w:r>
      <w:r>
        <w:fldChar w:fldCharType="begin"/>
      </w:r>
      <w:r>
        <w:instrText xml:space="preserve"> SEQ Figure \* ARABIC </w:instrText>
      </w:r>
      <w:r>
        <w:fldChar w:fldCharType="separate"/>
      </w:r>
      <w:r>
        <w:rPr>
          <w:noProof/>
        </w:rPr>
        <w:t>1</w:t>
      </w:r>
      <w:r>
        <w:fldChar w:fldCharType="end"/>
      </w:r>
      <w:r>
        <w:t>: Proposal for one additional Data DMRS in the control region</w:t>
      </w:r>
      <w:bookmarkEnd w:id="0"/>
    </w:p>
    <w:p w14:paraId="350A58AC" w14:textId="77777777" w:rsidR="001B2C1F" w:rsidRDefault="001B2C1F" w:rsidP="001B2C1F"/>
    <w:p w14:paraId="3B0B737B" w14:textId="77777777" w:rsidR="00711856" w:rsidRDefault="001B2C1F" w:rsidP="001B2C1F">
      <w:r>
        <w:fldChar w:fldCharType="begin"/>
      </w:r>
      <w:r>
        <w:instrText xml:space="preserve"> REF _Ref492300857 \h </w:instrText>
      </w:r>
      <w:r>
        <w:fldChar w:fldCharType="separate"/>
      </w:r>
      <w:r>
        <w:t xml:space="preserve">Figure </w:t>
      </w:r>
      <w:r>
        <w:rPr>
          <w:noProof/>
        </w:rPr>
        <w:t>1</w:t>
      </w:r>
      <w:r>
        <w:fldChar w:fldCharType="end"/>
      </w:r>
      <w:r>
        <w:t xml:space="preserve"> shows a reference slot of 14 symbols. </w:t>
      </w:r>
      <w:r w:rsidR="004F2743">
        <w:fldChar w:fldCharType="begin"/>
      </w:r>
      <w:r w:rsidR="004F2743">
        <w:instrText xml:space="preserve"> REF _Ref492300857 \h </w:instrText>
      </w:r>
      <w:r w:rsidR="004F2743">
        <w:fldChar w:fldCharType="separate"/>
      </w:r>
      <w:r w:rsidR="004F2743">
        <w:t xml:space="preserve">Figure </w:t>
      </w:r>
      <w:r w:rsidR="004F2743">
        <w:rPr>
          <w:noProof/>
        </w:rPr>
        <w:t>1</w:t>
      </w:r>
      <w:r w:rsidR="004F2743">
        <w:fldChar w:fldCharType="end"/>
      </w:r>
      <w:r w:rsidR="004F2743">
        <w:t xml:space="preserve"> </w:t>
      </w:r>
      <w:r>
        <w:t>(a) shows the slot structure where there are 2 CORESETs shown and one user (UE1) is configured for data starting from 4</w:t>
      </w:r>
      <w:r w:rsidRPr="00362F29">
        <w:rPr>
          <w:vertAlign w:val="superscript"/>
        </w:rPr>
        <w:t>th</w:t>
      </w:r>
      <w:r>
        <w:t xml:space="preserve"> OFDM symbol. This user has been configured with one DMRS symbol additional to the front loaded DMRS symbol. The additional DMRS symbol is configured at the end of the slot, as per the 3GPP agreement. Please note that the discussion is general and is independent of the number of additional DMRS and their configuration types. </w:t>
      </w:r>
      <w:r w:rsidR="004F2743">
        <w:fldChar w:fldCharType="begin"/>
      </w:r>
      <w:r w:rsidR="004F2743">
        <w:instrText xml:space="preserve"> REF _Ref492300857 \h </w:instrText>
      </w:r>
      <w:r w:rsidR="004F2743">
        <w:fldChar w:fldCharType="separate"/>
      </w:r>
      <w:r w:rsidR="004F2743">
        <w:t xml:space="preserve">Figure </w:t>
      </w:r>
      <w:r w:rsidR="004F2743">
        <w:rPr>
          <w:noProof/>
        </w:rPr>
        <w:t>1</w:t>
      </w:r>
      <w:r w:rsidR="004F2743">
        <w:fldChar w:fldCharType="end"/>
      </w:r>
      <w:r w:rsidR="004F2743">
        <w:t xml:space="preserve"> </w:t>
      </w:r>
      <w:r>
        <w:t xml:space="preserve">(b) shows the case when the gNB configures the PDSCH for this user in the control resource starting from the first symbol of the slot. Now the UE needs to do extrapolation of the channel estimates over the first 3 OFDM symbols </w:t>
      </w:r>
      <w:r>
        <w:fldChar w:fldCharType="begin"/>
      </w:r>
      <w:r>
        <w:instrText xml:space="preserve"> REF _Ref492300857 \h </w:instrText>
      </w:r>
      <w:r>
        <w:fldChar w:fldCharType="separate"/>
      </w:r>
      <w:r w:rsidR="00533F1F">
        <w:fldChar w:fldCharType="begin"/>
      </w:r>
      <w:r w:rsidR="00533F1F">
        <w:instrText xml:space="preserve"> REF _Ref492300857 \h </w:instrText>
      </w:r>
      <w:r w:rsidR="00533F1F">
        <w:fldChar w:fldCharType="separate"/>
      </w:r>
      <w:r w:rsidR="00533F1F">
        <w:t xml:space="preserve">Figure </w:t>
      </w:r>
      <w:r w:rsidR="00533F1F">
        <w:rPr>
          <w:noProof/>
        </w:rPr>
        <w:t>1</w:t>
      </w:r>
      <w:r w:rsidR="00533F1F">
        <w:fldChar w:fldCharType="end"/>
      </w:r>
      <w:r>
        <w:fldChar w:fldCharType="end"/>
      </w:r>
      <w:r>
        <w:t xml:space="preserve"> (b). For medium to high Doppler scenarios, this channel extrapolation could be quite challenging and the channel estimation error may limit the MCS allocated to this user, or otherwise there will be high BLER for this user. </w:t>
      </w:r>
    </w:p>
    <w:p w14:paraId="4F5CA75B" w14:textId="1DA09141" w:rsidR="00711856" w:rsidRDefault="00711856" w:rsidP="001B2C1F">
      <w:r w:rsidRPr="00711856">
        <w:rPr>
          <w:b/>
          <w:u w:val="single"/>
        </w:rPr>
        <w:t>Observation 1:</w:t>
      </w:r>
      <w:r>
        <w:t xml:space="preserve"> When the gNB schedules the PDSCH of a user in the control region, the UE might need to do extrapolation based channel estimation using the front-loaded DMRS in the control region, spanning up to 3 symbols. These </w:t>
      </w:r>
      <w:r w:rsidR="00846309">
        <w:t>3-symbol</w:t>
      </w:r>
      <w:r>
        <w:t xml:space="preserve"> extrapolation based channel estimates may degrade the user throughput in medium to high Doppler scenarios.</w:t>
      </w:r>
    </w:p>
    <w:p w14:paraId="68F887E9" w14:textId="32FA8211" w:rsidR="001B2C1F" w:rsidRDefault="001B2C1F" w:rsidP="001B2C1F">
      <w:r>
        <w:lastRenderedPageBreak/>
        <w:t xml:space="preserve">To overcome this issue, </w:t>
      </w:r>
      <w:r w:rsidR="00937DC8">
        <w:fldChar w:fldCharType="begin"/>
      </w:r>
      <w:r w:rsidR="00937DC8">
        <w:instrText xml:space="preserve"> REF _Ref492300857 \h </w:instrText>
      </w:r>
      <w:r w:rsidR="00937DC8">
        <w:fldChar w:fldCharType="separate"/>
      </w:r>
      <w:r w:rsidR="00937DC8">
        <w:t xml:space="preserve">Figure </w:t>
      </w:r>
      <w:r w:rsidR="00937DC8">
        <w:rPr>
          <w:noProof/>
        </w:rPr>
        <w:t>1</w:t>
      </w:r>
      <w:r w:rsidR="00937DC8">
        <w:fldChar w:fldCharType="end"/>
      </w:r>
      <w:r>
        <w:t xml:space="preserve"> (c) shows the proposed design where the gNB has configured an additional DMRS in the control region for this user, in the first OFDM symbol of the slot. Thanks to this additional DMRS in the control region, the user can obtain high quality channel estimates through interpolation in the control region. One additional benefit of this DMRS symbol in the control region is the improved receiver processing latency. The user does not need to wait for the front-loaded data DMRS (3</w:t>
      </w:r>
      <w:r w:rsidRPr="00362F29">
        <w:rPr>
          <w:vertAlign w:val="superscript"/>
        </w:rPr>
        <w:t>rd</w:t>
      </w:r>
      <w:r>
        <w:t xml:space="preserve"> or 4</w:t>
      </w:r>
      <w:r w:rsidRPr="00362F29">
        <w:rPr>
          <w:vertAlign w:val="superscript"/>
        </w:rPr>
        <w:t>th</w:t>
      </w:r>
      <w:r>
        <w:t xml:space="preserve"> OFDM symbol) to start its receiver chain. Moreover, if there are multiple code words and mapped in frequency first fashion, the user can continue demodulation and channel decoding without waiting for front loaded DMRS symbols.</w:t>
      </w:r>
    </w:p>
    <w:p w14:paraId="643BF686" w14:textId="7E6EFC0B" w:rsidR="001B2C1F" w:rsidRDefault="001B2C1F" w:rsidP="001B2C1F">
      <w:bookmarkStart w:id="1" w:name="_Hlk492653663"/>
      <w:r w:rsidRPr="00EC421E">
        <w:rPr>
          <w:b/>
          <w:u w:val="single"/>
        </w:rPr>
        <w:t>Proposal</w:t>
      </w:r>
      <w:r w:rsidR="005611CB">
        <w:rPr>
          <w:b/>
          <w:u w:val="single"/>
        </w:rPr>
        <w:t xml:space="preserve"> 1</w:t>
      </w:r>
      <w:r w:rsidRPr="00EC421E">
        <w:rPr>
          <w:b/>
          <w:u w:val="single"/>
        </w:rPr>
        <w:t>:</w:t>
      </w:r>
      <w:r w:rsidR="005611CB">
        <w:rPr>
          <w:b/>
          <w:u w:val="single"/>
        </w:rPr>
        <w:t xml:space="preserve"> </w:t>
      </w:r>
      <w:r w:rsidR="002C7300">
        <w:t xml:space="preserve">When the gNB schedules PDSCH of a certain UE in the control region, it </w:t>
      </w:r>
      <w:r>
        <w:t xml:space="preserve">can configure </w:t>
      </w:r>
      <w:r w:rsidR="002C7300">
        <w:t xml:space="preserve">an </w:t>
      </w:r>
      <w:r>
        <w:t>additional PDSCH DMRS symbol(s) even before the front-loaded data DMRS (3</w:t>
      </w:r>
      <w:r w:rsidRPr="00EC421E">
        <w:rPr>
          <w:vertAlign w:val="superscript"/>
        </w:rPr>
        <w:t>rd</w:t>
      </w:r>
      <w:r>
        <w:t xml:space="preserve"> or 4</w:t>
      </w:r>
      <w:r w:rsidRPr="00EC421E">
        <w:rPr>
          <w:vertAlign w:val="superscript"/>
        </w:rPr>
        <w:t>th</w:t>
      </w:r>
      <w:r>
        <w:t xml:space="preserve"> OFDM) symbol in the control region </w:t>
      </w:r>
      <w:r w:rsidR="002332E2">
        <w:t>starting from</w:t>
      </w:r>
      <w:r>
        <w:t xml:space="preserve"> the </w:t>
      </w:r>
      <w:r w:rsidR="002C7300">
        <w:t xml:space="preserve">first symbol in the slot carrying PDSCH for the user. </w:t>
      </w:r>
    </w:p>
    <w:p w14:paraId="1F5C7FDE" w14:textId="17A22635" w:rsidR="001B2C1F" w:rsidRDefault="001B2C1F" w:rsidP="001B2C1F">
      <w:r w:rsidRPr="00B173E1">
        <w:rPr>
          <w:b/>
          <w:u w:val="single"/>
        </w:rPr>
        <w:t>Proposal</w:t>
      </w:r>
      <w:r w:rsidR="005611CB">
        <w:rPr>
          <w:b/>
          <w:u w:val="single"/>
        </w:rPr>
        <w:t xml:space="preserve"> 2</w:t>
      </w:r>
      <w:r w:rsidRPr="00B173E1">
        <w:rPr>
          <w:b/>
          <w:u w:val="single"/>
        </w:rPr>
        <w:t>:</w:t>
      </w:r>
      <w:r w:rsidR="005611CB">
        <w:rPr>
          <w:b/>
          <w:u w:val="single"/>
        </w:rPr>
        <w:t xml:space="preserve"> </w:t>
      </w:r>
      <w:r w:rsidR="002C7300">
        <w:t>W</w:t>
      </w:r>
      <w:r>
        <w:t xml:space="preserve">hen the </w:t>
      </w:r>
      <w:r w:rsidR="002C7300">
        <w:t>gNB</w:t>
      </w:r>
      <w:r>
        <w:t xml:space="preserve"> configures an additional PDSCH DMRS in the control region</w:t>
      </w:r>
      <w:r w:rsidR="002C7300">
        <w:t xml:space="preserve"> for a user before its front-loaded DMRS</w:t>
      </w:r>
      <w:r>
        <w:t xml:space="preserve">, </w:t>
      </w:r>
      <w:r w:rsidR="002C7300">
        <w:t xml:space="preserve">the additional DMRS </w:t>
      </w:r>
      <w:r>
        <w:t>follows the same configuration type as of the front-loaded PDSCH DMRS.</w:t>
      </w:r>
    </w:p>
    <w:bookmarkEnd w:id="1"/>
    <w:p w14:paraId="7CFFDBD4" w14:textId="77777777" w:rsidR="00411953" w:rsidRDefault="00411953" w:rsidP="00411953">
      <w:pPr>
        <w:pStyle w:val="Heading1"/>
        <w:tabs>
          <w:tab w:val="num" w:pos="426"/>
        </w:tabs>
        <w:ind w:left="426" w:hanging="426"/>
        <w:rPr>
          <w:szCs w:val="36"/>
          <w:lang w:eastAsia="ja-JP"/>
        </w:rPr>
      </w:pPr>
      <w:r>
        <w:rPr>
          <w:rFonts w:hint="eastAsia"/>
          <w:szCs w:val="36"/>
          <w:lang w:eastAsia="ja-JP"/>
        </w:rPr>
        <w:t>Conclusion</w:t>
      </w:r>
    </w:p>
    <w:p w14:paraId="0F50D243" w14:textId="77777777" w:rsidR="00D11482" w:rsidRDefault="00E432E9" w:rsidP="00CB0204">
      <w:pPr>
        <w:widowControl w:val="0"/>
        <w:tabs>
          <w:tab w:val="left" w:pos="1701"/>
          <w:tab w:val="right" w:pos="9072"/>
          <w:tab w:val="right" w:pos="10206"/>
        </w:tabs>
        <w:spacing w:after="60"/>
        <w:rPr>
          <w:rFonts w:eastAsia="SimSun"/>
          <w:lang w:eastAsia="zh-CN"/>
        </w:rPr>
      </w:pPr>
      <w:r w:rsidRPr="00EF18F1">
        <w:rPr>
          <w:rFonts w:eastAsia="SimSun" w:hint="eastAsia"/>
          <w:lang w:eastAsia="zh-CN"/>
        </w:rPr>
        <w:t xml:space="preserve">In this </w:t>
      </w:r>
      <w:r w:rsidR="005611CB" w:rsidRPr="00EF18F1">
        <w:rPr>
          <w:rFonts w:eastAsia="SimSun"/>
          <w:lang w:eastAsia="zh-CN"/>
        </w:rPr>
        <w:t>contribution,</w:t>
      </w:r>
      <w:r w:rsidRPr="00EF18F1">
        <w:rPr>
          <w:rFonts w:eastAsia="SimSun" w:hint="eastAsia"/>
          <w:lang w:eastAsia="zh-CN"/>
        </w:rPr>
        <w:t xml:space="preserve"> we discussed</w:t>
      </w:r>
      <w:r w:rsidR="00F97C7F" w:rsidRPr="00EF18F1">
        <w:rPr>
          <w:rFonts w:eastAsia="SimSun" w:hint="eastAsia"/>
          <w:lang w:eastAsia="zh-CN"/>
        </w:rPr>
        <w:t xml:space="preserve"> </w:t>
      </w:r>
      <w:r w:rsidR="002C7300">
        <w:rPr>
          <w:rFonts w:eastAsia="SimSun"/>
          <w:lang w:eastAsia="zh-CN"/>
        </w:rPr>
        <w:t xml:space="preserve">the setting when user’s data is scheduled in the control region. </w:t>
      </w:r>
      <w:r w:rsidR="00D11482">
        <w:rPr>
          <w:rFonts w:eastAsia="SimSun"/>
          <w:lang w:eastAsia="zh-CN"/>
        </w:rPr>
        <w:t xml:space="preserve">Following observation </w:t>
      </w:r>
      <w:bookmarkStart w:id="2" w:name="_GoBack"/>
      <w:bookmarkEnd w:id="2"/>
      <w:r w:rsidR="00D11482">
        <w:rPr>
          <w:rFonts w:eastAsia="SimSun"/>
          <w:lang w:eastAsia="zh-CN"/>
        </w:rPr>
        <w:t>is made:</w:t>
      </w:r>
    </w:p>
    <w:p w14:paraId="71B12D1C" w14:textId="77777777" w:rsidR="00D11482" w:rsidRDefault="00D11482" w:rsidP="00D11482">
      <w:r w:rsidRPr="00711856">
        <w:rPr>
          <w:b/>
          <w:u w:val="single"/>
        </w:rPr>
        <w:t>Observation 1:</w:t>
      </w:r>
      <w:r>
        <w:t xml:space="preserve"> When the gNB schedules the PDSCH of a user in the control region, the UE might need to do extrapolation based channel estimation using the front-loaded DMRS in the control region, spanning up to 3 symbols. These 3-symbol extrapolation based channel estimates may degrade the user throughput in medium to high Doppler scenarios.</w:t>
      </w:r>
    </w:p>
    <w:p w14:paraId="61411F86" w14:textId="57316C93" w:rsidR="00864406" w:rsidRDefault="002C7300" w:rsidP="00CB0204">
      <w:pPr>
        <w:widowControl w:val="0"/>
        <w:tabs>
          <w:tab w:val="left" w:pos="1701"/>
          <w:tab w:val="right" w:pos="9072"/>
          <w:tab w:val="right" w:pos="10206"/>
        </w:tabs>
        <w:spacing w:after="60"/>
        <w:rPr>
          <w:rFonts w:eastAsia="SimSun"/>
          <w:lang w:eastAsia="zh-CN"/>
        </w:rPr>
      </w:pPr>
      <w:r>
        <w:rPr>
          <w:rFonts w:eastAsia="SimSun"/>
          <w:lang w:eastAsia="zh-CN"/>
        </w:rPr>
        <w:t xml:space="preserve">For </w:t>
      </w:r>
      <w:r w:rsidR="00D11482">
        <w:rPr>
          <w:rFonts w:eastAsia="SimSun"/>
          <w:lang w:eastAsia="zh-CN"/>
        </w:rPr>
        <w:t xml:space="preserve">medium to </w:t>
      </w:r>
      <w:r>
        <w:rPr>
          <w:rFonts w:eastAsia="SimSun"/>
          <w:lang w:eastAsia="zh-CN"/>
        </w:rPr>
        <w:t>high Doppler settings, following proposals are made in this contribution:</w:t>
      </w:r>
      <w:r w:rsidR="004853D7" w:rsidRPr="004853D7">
        <w:rPr>
          <w:rFonts w:eastAsia="SimSun" w:hint="eastAsia"/>
          <w:lang w:eastAsia="zh-CN"/>
        </w:rPr>
        <w:t xml:space="preserve"> </w:t>
      </w:r>
    </w:p>
    <w:p w14:paraId="7DACFC45" w14:textId="77777777" w:rsidR="004F212F" w:rsidRDefault="004F212F" w:rsidP="004F212F">
      <w:r w:rsidRPr="00EC421E">
        <w:rPr>
          <w:b/>
          <w:u w:val="single"/>
        </w:rPr>
        <w:t>Proposal</w:t>
      </w:r>
      <w:r>
        <w:rPr>
          <w:b/>
          <w:u w:val="single"/>
        </w:rPr>
        <w:t xml:space="preserve"> 1</w:t>
      </w:r>
      <w:r w:rsidRPr="00EC421E">
        <w:rPr>
          <w:b/>
          <w:u w:val="single"/>
        </w:rPr>
        <w:t>:</w:t>
      </w:r>
      <w:r>
        <w:rPr>
          <w:b/>
          <w:u w:val="single"/>
        </w:rPr>
        <w:t xml:space="preserve"> </w:t>
      </w:r>
      <w:r>
        <w:t>When the gNB schedules PDSCH of a certain UE in the control region, it can configure an additional PDSCH DMRS symbol(s) even before the front-loaded data DMRS (3</w:t>
      </w:r>
      <w:r w:rsidRPr="00EC421E">
        <w:rPr>
          <w:vertAlign w:val="superscript"/>
        </w:rPr>
        <w:t>rd</w:t>
      </w:r>
      <w:r>
        <w:t xml:space="preserve"> or 4</w:t>
      </w:r>
      <w:r w:rsidRPr="00EC421E">
        <w:rPr>
          <w:vertAlign w:val="superscript"/>
        </w:rPr>
        <w:t>th</w:t>
      </w:r>
      <w:r>
        <w:t xml:space="preserve"> OFDM) symbol in the control region starting from the first symbol in the slot carrying PDSCH for the user. </w:t>
      </w:r>
    </w:p>
    <w:p w14:paraId="45364D9A" w14:textId="7056EBCF" w:rsidR="005611CB" w:rsidRDefault="004F212F" w:rsidP="004F212F">
      <w:r w:rsidRPr="00B173E1">
        <w:rPr>
          <w:b/>
          <w:u w:val="single"/>
        </w:rPr>
        <w:t>Proposal</w:t>
      </w:r>
      <w:r>
        <w:rPr>
          <w:b/>
          <w:u w:val="single"/>
        </w:rPr>
        <w:t xml:space="preserve"> 2</w:t>
      </w:r>
      <w:r w:rsidRPr="00B173E1">
        <w:rPr>
          <w:b/>
          <w:u w:val="single"/>
        </w:rPr>
        <w:t>:</w:t>
      </w:r>
      <w:r>
        <w:rPr>
          <w:b/>
          <w:u w:val="single"/>
        </w:rPr>
        <w:t xml:space="preserve"> </w:t>
      </w:r>
      <w:r>
        <w:t>When the gNB configures an additional PDSCH DMRS in the control region for a user before its front-loaded DMRS, the additional DMRS follows the same configuration type as of the front-loaded PDSCH DMRS.</w:t>
      </w:r>
    </w:p>
    <w:p w14:paraId="11CC370B" w14:textId="0EA37571" w:rsidR="0085601F" w:rsidRPr="004853D7" w:rsidRDefault="0085601F" w:rsidP="004853D7">
      <w:pPr>
        <w:tabs>
          <w:tab w:val="num" w:pos="1440"/>
          <w:tab w:val="num" w:pos="2880"/>
        </w:tabs>
        <w:rPr>
          <w:rFonts w:eastAsia="SimSun"/>
          <w:lang w:eastAsia="zh-CN"/>
        </w:rPr>
      </w:pPr>
    </w:p>
    <w:p w14:paraId="0BA86324" w14:textId="2E3B9824" w:rsidR="00FF01F5" w:rsidRDefault="00FF01F5" w:rsidP="00FF01F5">
      <w:pPr>
        <w:pStyle w:val="Heading1"/>
        <w:tabs>
          <w:tab w:val="num" w:pos="426"/>
        </w:tabs>
        <w:ind w:left="426" w:hanging="426"/>
        <w:rPr>
          <w:rFonts w:eastAsia="SimSun"/>
          <w:szCs w:val="36"/>
          <w:lang w:eastAsia="zh-CN"/>
        </w:rPr>
      </w:pPr>
      <w:r>
        <w:rPr>
          <w:rFonts w:eastAsia="SimSun" w:hint="eastAsia"/>
          <w:szCs w:val="36"/>
          <w:lang w:eastAsia="zh-CN"/>
        </w:rPr>
        <w:t xml:space="preserve">Reference </w:t>
      </w:r>
    </w:p>
    <w:p w14:paraId="0B7BD725" w14:textId="0E9FBC95" w:rsidR="00324FA4" w:rsidRPr="00E23DF0" w:rsidRDefault="00FF01F5" w:rsidP="00324FA4">
      <w:pPr>
        <w:widowControl w:val="0"/>
        <w:numPr>
          <w:ilvl w:val="0"/>
          <w:numId w:val="15"/>
        </w:numPr>
        <w:spacing w:after="120"/>
        <w:jc w:val="both"/>
        <w:rPr>
          <w:sz w:val="22"/>
        </w:rPr>
      </w:pPr>
      <w:r>
        <w:rPr>
          <w:rFonts w:eastAsia="SimSun" w:hint="eastAsia"/>
          <w:lang w:eastAsia="zh-CN"/>
        </w:rPr>
        <w:t xml:space="preserve"> </w:t>
      </w:r>
      <w:r w:rsidR="00324FA4">
        <w:rPr>
          <w:sz w:val="22"/>
        </w:rPr>
        <w:t>3GPP RAN1#90, Chairman’s note.</w:t>
      </w:r>
    </w:p>
    <w:p w14:paraId="582D4FC6" w14:textId="0F5A4830" w:rsidR="00454C8B" w:rsidRPr="0076300B" w:rsidRDefault="00454C8B" w:rsidP="00CB0204">
      <w:pPr>
        <w:widowControl w:val="0"/>
        <w:tabs>
          <w:tab w:val="left" w:pos="1701"/>
          <w:tab w:val="right" w:pos="9072"/>
          <w:tab w:val="right" w:pos="10206"/>
        </w:tabs>
        <w:spacing w:after="60"/>
        <w:rPr>
          <w:rFonts w:eastAsia="SimSun"/>
          <w:lang w:eastAsia="zh-CN"/>
        </w:rPr>
      </w:pPr>
    </w:p>
    <w:sectPr w:rsidR="00454C8B" w:rsidRPr="0076300B">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000AA" w14:textId="77777777" w:rsidR="00BF345B" w:rsidRDefault="00BF345B">
      <w:r>
        <w:separator/>
      </w:r>
    </w:p>
  </w:endnote>
  <w:endnote w:type="continuationSeparator" w:id="0">
    <w:p w14:paraId="27057A51" w14:textId="77777777" w:rsidR="00BF345B" w:rsidRDefault="00BF345B">
      <w:r>
        <w:continuationSeparator/>
      </w:r>
    </w:p>
  </w:endnote>
  <w:endnote w:type="continuationNotice" w:id="1">
    <w:p w14:paraId="5C03C1CA" w14:textId="77777777" w:rsidR="00BF345B" w:rsidRDefault="00BF34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8706DB" w:rsidRDefault="008706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8706DB" w:rsidRDefault="008706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3896F36E" w:rsidR="008706DB" w:rsidRDefault="008706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11482">
      <w:rPr>
        <w:rStyle w:val="PageNumber"/>
      </w:rPr>
      <w:t>4</w:t>
    </w:r>
    <w:r>
      <w:rPr>
        <w:rStyle w:val="PageNumber"/>
      </w:rPr>
      <w:fldChar w:fldCharType="end"/>
    </w:r>
  </w:p>
  <w:p w14:paraId="2D1F0057" w14:textId="77777777" w:rsidR="008706DB" w:rsidRDefault="008706DB">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A18A2" w14:textId="77777777" w:rsidR="00BF345B" w:rsidRDefault="00BF345B">
      <w:r>
        <w:separator/>
      </w:r>
    </w:p>
  </w:footnote>
  <w:footnote w:type="continuationSeparator" w:id="0">
    <w:p w14:paraId="4E15B40A" w14:textId="77777777" w:rsidR="00BF345B" w:rsidRDefault="00BF345B">
      <w:r>
        <w:continuationSeparator/>
      </w:r>
    </w:p>
  </w:footnote>
  <w:footnote w:type="continuationNotice" w:id="1">
    <w:p w14:paraId="303D6ADB" w14:textId="77777777" w:rsidR="00BF345B" w:rsidRDefault="00BF34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3AE3694A"/>
    <w:multiLevelType w:val="hybridMultilevel"/>
    <w:tmpl w:val="0412A2A4"/>
    <w:lvl w:ilvl="0" w:tplc="F2C065AA">
      <w:start w:val="1"/>
      <w:numFmt w:val="bullet"/>
      <w:lvlText w:val="-"/>
      <w:lvlJc w:val="left"/>
      <w:pPr>
        <w:tabs>
          <w:tab w:val="num" w:pos="720"/>
        </w:tabs>
        <w:ind w:left="720" w:hanging="360"/>
      </w:pPr>
      <w:rPr>
        <w:rFonts w:ascii="SimSun" w:hAnsi="SimSun" w:hint="default"/>
      </w:rPr>
    </w:lvl>
    <w:lvl w:ilvl="1" w:tplc="7FD8F1B8">
      <w:start w:val="1"/>
      <w:numFmt w:val="bullet"/>
      <w:lvlText w:val="-"/>
      <w:lvlJc w:val="left"/>
      <w:pPr>
        <w:tabs>
          <w:tab w:val="num" w:pos="1440"/>
        </w:tabs>
        <w:ind w:left="1440" w:hanging="360"/>
      </w:pPr>
      <w:rPr>
        <w:rFonts w:ascii="SimSun" w:hAnsi="SimSun" w:hint="default"/>
      </w:rPr>
    </w:lvl>
    <w:lvl w:ilvl="2" w:tplc="A33817BE">
      <w:start w:val="1982"/>
      <w:numFmt w:val="bullet"/>
      <w:lvlText w:val="-"/>
      <w:lvlJc w:val="left"/>
      <w:pPr>
        <w:tabs>
          <w:tab w:val="num" w:pos="2160"/>
        </w:tabs>
        <w:ind w:left="2160" w:hanging="360"/>
      </w:pPr>
      <w:rPr>
        <w:rFonts w:ascii="SimSun" w:hAnsi="SimSun" w:hint="default"/>
      </w:rPr>
    </w:lvl>
    <w:lvl w:ilvl="3" w:tplc="53EE3D02" w:tentative="1">
      <w:start w:val="1"/>
      <w:numFmt w:val="bullet"/>
      <w:lvlText w:val="-"/>
      <w:lvlJc w:val="left"/>
      <w:pPr>
        <w:tabs>
          <w:tab w:val="num" w:pos="2880"/>
        </w:tabs>
        <w:ind w:left="2880" w:hanging="360"/>
      </w:pPr>
      <w:rPr>
        <w:rFonts w:ascii="SimSun" w:hAnsi="SimSun" w:hint="default"/>
      </w:rPr>
    </w:lvl>
    <w:lvl w:ilvl="4" w:tplc="E9CAA1BE" w:tentative="1">
      <w:start w:val="1"/>
      <w:numFmt w:val="bullet"/>
      <w:lvlText w:val="-"/>
      <w:lvlJc w:val="left"/>
      <w:pPr>
        <w:tabs>
          <w:tab w:val="num" w:pos="3600"/>
        </w:tabs>
        <w:ind w:left="3600" w:hanging="360"/>
      </w:pPr>
      <w:rPr>
        <w:rFonts w:ascii="SimSun" w:hAnsi="SimSun" w:hint="default"/>
      </w:rPr>
    </w:lvl>
    <w:lvl w:ilvl="5" w:tplc="9C38A642" w:tentative="1">
      <w:start w:val="1"/>
      <w:numFmt w:val="bullet"/>
      <w:lvlText w:val="-"/>
      <w:lvlJc w:val="left"/>
      <w:pPr>
        <w:tabs>
          <w:tab w:val="num" w:pos="4320"/>
        </w:tabs>
        <w:ind w:left="4320" w:hanging="360"/>
      </w:pPr>
      <w:rPr>
        <w:rFonts w:ascii="SimSun" w:hAnsi="SimSun" w:hint="default"/>
      </w:rPr>
    </w:lvl>
    <w:lvl w:ilvl="6" w:tplc="BE82FF34" w:tentative="1">
      <w:start w:val="1"/>
      <w:numFmt w:val="bullet"/>
      <w:lvlText w:val="-"/>
      <w:lvlJc w:val="left"/>
      <w:pPr>
        <w:tabs>
          <w:tab w:val="num" w:pos="5040"/>
        </w:tabs>
        <w:ind w:left="5040" w:hanging="360"/>
      </w:pPr>
      <w:rPr>
        <w:rFonts w:ascii="SimSun" w:hAnsi="SimSun" w:hint="default"/>
      </w:rPr>
    </w:lvl>
    <w:lvl w:ilvl="7" w:tplc="087858A6" w:tentative="1">
      <w:start w:val="1"/>
      <w:numFmt w:val="bullet"/>
      <w:lvlText w:val="-"/>
      <w:lvlJc w:val="left"/>
      <w:pPr>
        <w:tabs>
          <w:tab w:val="num" w:pos="5760"/>
        </w:tabs>
        <w:ind w:left="5760" w:hanging="360"/>
      </w:pPr>
      <w:rPr>
        <w:rFonts w:ascii="SimSun" w:hAnsi="SimSun" w:hint="default"/>
      </w:rPr>
    </w:lvl>
    <w:lvl w:ilvl="8" w:tplc="551225EC"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72C13EE"/>
    <w:multiLevelType w:val="multilevel"/>
    <w:tmpl w:val="5358E6C4"/>
    <w:lvl w:ilvl="0">
      <w:start w:val="1"/>
      <w:numFmt w:val="decimal"/>
      <w:pStyle w:val="Heading1"/>
      <w:lvlText w:val="%1"/>
      <w:lvlJc w:val="left"/>
      <w:pPr>
        <w:tabs>
          <w:tab w:val="num" w:pos="4969"/>
        </w:tabs>
        <w:ind w:left="4969" w:hanging="432"/>
      </w:pPr>
      <w:rPr>
        <w:rFonts w:hint="eastAsia"/>
        <w:lang w:val="en-US"/>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E113284"/>
    <w:multiLevelType w:val="hybridMultilevel"/>
    <w:tmpl w:val="D604EC42"/>
    <w:lvl w:ilvl="0" w:tplc="6DDC2AC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2"/>
  </w:num>
  <w:num w:numId="4">
    <w:abstractNumId w:val="9"/>
  </w:num>
  <w:num w:numId="5">
    <w:abstractNumId w:val="4"/>
  </w:num>
  <w:num w:numId="6">
    <w:abstractNumId w:val="5"/>
  </w:num>
  <w:num w:numId="7">
    <w:abstractNumId w:val="3"/>
  </w:num>
  <w:num w:numId="8">
    <w:abstractNumId w:val="11"/>
  </w:num>
  <w:num w:numId="9">
    <w:abstractNumId w:val="14"/>
  </w:num>
  <w:num w:numId="10">
    <w:abstractNumId w:val="1"/>
  </w:num>
  <w:num w:numId="11">
    <w:abstractNumId w:val="13"/>
  </w:num>
  <w:num w:numId="12">
    <w:abstractNumId w:val="8"/>
  </w:num>
  <w:num w:numId="13">
    <w:abstractNumId w:val="7"/>
  </w:num>
  <w:num w:numId="14">
    <w:abstractNumId w:val="6"/>
  </w:num>
  <w:num w:numId="1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09A0"/>
    <w:rsid w:val="000023A0"/>
    <w:rsid w:val="00002485"/>
    <w:rsid w:val="000027C3"/>
    <w:rsid w:val="00002E07"/>
    <w:rsid w:val="00002F0F"/>
    <w:rsid w:val="0000305B"/>
    <w:rsid w:val="000032D0"/>
    <w:rsid w:val="0000399C"/>
    <w:rsid w:val="00003BCD"/>
    <w:rsid w:val="00005BA8"/>
    <w:rsid w:val="00005EA8"/>
    <w:rsid w:val="000071A7"/>
    <w:rsid w:val="000072EE"/>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53A"/>
    <w:rsid w:val="00033C8D"/>
    <w:rsid w:val="00034302"/>
    <w:rsid w:val="00034C07"/>
    <w:rsid w:val="00035574"/>
    <w:rsid w:val="00036A11"/>
    <w:rsid w:val="00036F38"/>
    <w:rsid w:val="00037094"/>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70B"/>
    <w:rsid w:val="0005088D"/>
    <w:rsid w:val="00050B1B"/>
    <w:rsid w:val="00050B89"/>
    <w:rsid w:val="00050BA6"/>
    <w:rsid w:val="00050C79"/>
    <w:rsid w:val="00050D3F"/>
    <w:rsid w:val="00050D62"/>
    <w:rsid w:val="0005105A"/>
    <w:rsid w:val="00051409"/>
    <w:rsid w:val="000520EE"/>
    <w:rsid w:val="00053414"/>
    <w:rsid w:val="00053727"/>
    <w:rsid w:val="00053C42"/>
    <w:rsid w:val="000540D4"/>
    <w:rsid w:val="00054885"/>
    <w:rsid w:val="00054C50"/>
    <w:rsid w:val="0005544C"/>
    <w:rsid w:val="00057AA6"/>
    <w:rsid w:val="00057B4D"/>
    <w:rsid w:val="0006043B"/>
    <w:rsid w:val="00060784"/>
    <w:rsid w:val="00061B2D"/>
    <w:rsid w:val="0006224C"/>
    <w:rsid w:val="000622B1"/>
    <w:rsid w:val="00062398"/>
    <w:rsid w:val="00062449"/>
    <w:rsid w:val="000628C9"/>
    <w:rsid w:val="00062963"/>
    <w:rsid w:val="00063B6D"/>
    <w:rsid w:val="000643D8"/>
    <w:rsid w:val="00064752"/>
    <w:rsid w:val="00064F18"/>
    <w:rsid w:val="00065323"/>
    <w:rsid w:val="00065388"/>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4A8"/>
    <w:rsid w:val="00075BB7"/>
    <w:rsid w:val="0007690F"/>
    <w:rsid w:val="00077F75"/>
    <w:rsid w:val="000803A0"/>
    <w:rsid w:val="00080BF7"/>
    <w:rsid w:val="00081405"/>
    <w:rsid w:val="00083B28"/>
    <w:rsid w:val="00083C62"/>
    <w:rsid w:val="00085A5C"/>
    <w:rsid w:val="000865D7"/>
    <w:rsid w:val="00086E84"/>
    <w:rsid w:val="0008725A"/>
    <w:rsid w:val="00087E13"/>
    <w:rsid w:val="00087F01"/>
    <w:rsid w:val="00087FB3"/>
    <w:rsid w:val="0009048D"/>
    <w:rsid w:val="0009077F"/>
    <w:rsid w:val="000908EC"/>
    <w:rsid w:val="00090C94"/>
    <w:rsid w:val="00090E2D"/>
    <w:rsid w:val="0009157D"/>
    <w:rsid w:val="00093263"/>
    <w:rsid w:val="00093348"/>
    <w:rsid w:val="00093617"/>
    <w:rsid w:val="000937B6"/>
    <w:rsid w:val="000944E7"/>
    <w:rsid w:val="00094778"/>
    <w:rsid w:val="00095395"/>
    <w:rsid w:val="00096002"/>
    <w:rsid w:val="0009639E"/>
    <w:rsid w:val="00096543"/>
    <w:rsid w:val="00097555"/>
    <w:rsid w:val="00097918"/>
    <w:rsid w:val="00097D66"/>
    <w:rsid w:val="00097ED4"/>
    <w:rsid w:val="000A1408"/>
    <w:rsid w:val="000A182E"/>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3EF9"/>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72F"/>
    <w:rsid w:val="000F2810"/>
    <w:rsid w:val="000F29A4"/>
    <w:rsid w:val="000F29F2"/>
    <w:rsid w:val="000F36BC"/>
    <w:rsid w:val="000F3D68"/>
    <w:rsid w:val="000F592A"/>
    <w:rsid w:val="000F5FB5"/>
    <w:rsid w:val="000F72C1"/>
    <w:rsid w:val="000F766C"/>
    <w:rsid w:val="000F7713"/>
    <w:rsid w:val="000F7C99"/>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509"/>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4D78"/>
    <w:rsid w:val="001455E4"/>
    <w:rsid w:val="00145997"/>
    <w:rsid w:val="00145B95"/>
    <w:rsid w:val="00146168"/>
    <w:rsid w:val="00146A8F"/>
    <w:rsid w:val="00147509"/>
    <w:rsid w:val="0014754C"/>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5A4C"/>
    <w:rsid w:val="001564A4"/>
    <w:rsid w:val="001565E5"/>
    <w:rsid w:val="00156971"/>
    <w:rsid w:val="00156C6C"/>
    <w:rsid w:val="00157160"/>
    <w:rsid w:val="00160041"/>
    <w:rsid w:val="0016034C"/>
    <w:rsid w:val="001603FD"/>
    <w:rsid w:val="001618B6"/>
    <w:rsid w:val="00161C4C"/>
    <w:rsid w:val="00162CB3"/>
    <w:rsid w:val="001636B6"/>
    <w:rsid w:val="00163841"/>
    <w:rsid w:val="00164386"/>
    <w:rsid w:val="001651C5"/>
    <w:rsid w:val="0016550F"/>
    <w:rsid w:val="00166026"/>
    <w:rsid w:val="00166356"/>
    <w:rsid w:val="001667AA"/>
    <w:rsid w:val="001669A0"/>
    <w:rsid w:val="00166E0D"/>
    <w:rsid w:val="00167B49"/>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4F95"/>
    <w:rsid w:val="0018574D"/>
    <w:rsid w:val="00185992"/>
    <w:rsid w:val="00186179"/>
    <w:rsid w:val="001863D2"/>
    <w:rsid w:val="001863E3"/>
    <w:rsid w:val="001866E9"/>
    <w:rsid w:val="00186F62"/>
    <w:rsid w:val="00187151"/>
    <w:rsid w:val="00187695"/>
    <w:rsid w:val="00190C74"/>
    <w:rsid w:val="00191C14"/>
    <w:rsid w:val="001926EC"/>
    <w:rsid w:val="00193AA8"/>
    <w:rsid w:val="00195181"/>
    <w:rsid w:val="00195842"/>
    <w:rsid w:val="001961B5"/>
    <w:rsid w:val="0019773E"/>
    <w:rsid w:val="00197E18"/>
    <w:rsid w:val="001A0C7D"/>
    <w:rsid w:val="001A1581"/>
    <w:rsid w:val="001A1DDE"/>
    <w:rsid w:val="001A21CC"/>
    <w:rsid w:val="001A3319"/>
    <w:rsid w:val="001A386B"/>
    <w:rsid w:val="001A45ED"/>
    <w:rsid w:val="001A4693"/>
    <w:rsid w:val="001A4B69"/>
    <w:rsid w:val="001A4C7A"/>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2C1F"/>
    <w:rsid w:val="001B36F7"/>
    <w:rsid w:val="001B37D2"/>
    <w:rsid w:val="001B38C6"/>
    <w:rsid w:val="001B39A2"/>
    <w:rsid w:val="001B39CC"/>
    <w:rsid w:val="001B43B1"/>
    <w:rsid w:val="001B4583"/>
    <w:rsid w:val="001B48B1"/>
    <w:rsid w:val="001B4C69"/>
    <w:rsid w:val="001B4F38"/>
    <w:rsid w:val="001B4F90"/>
    <w:rsid w:val="001B5D2D"/>
    <w:rsid w:val="001B62CB"/>
    <w:rsid w:val="001B7243"/>
    <w:rsid w:val="001B739E"/>
    <w:rsid w:val="001B7952"/>
    <w:rsid w:val="001B7A83"/>
    <w:rsid w:val="001B7E74"/>
    <w:rsid w:val="001C0F66"/>
    <w:rsid w:val="001C148B"/>
    <w:rsid w:val="001C1999"/>
    <w:rsid w:val="001C2F8F"/>
    <w:rsid w:val="001C3363"/>
    <w:rsid w:val="001C3850"/>
    <w:rsid w:val="001C4FC0"/>
    <w:rsid w:val="001C5A08"/>
    <w:rsid w:val="001C5C8D"/>
    <w:rsid w:val="001C5CA7"/>
    <w:rsid w:val="001D0C92"/>
    <w:rsid w:val="001D0D6F"/>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0A7"/>
    <w:rsid w:val="001E1114"/>
    <w:rsid w:val="001E1CF2"/>
    <w:rsid w:val="001E21D2"/>
    <w:rsid w:val="001E2469"/>
    <w:rsid w:val="001E307E"/>
    <w:rsid w:val="001E328E"/>
    <w:rsid w:val="001E3678"/>
    <w:rsid w:val="001E4771"/>
    <w:rsid w:val="001E559B"/>
    <w:rsid w:val="001E56B4"/>
    <w:rsid w:val="001E63BB"/>
    <w:rsid w:val="001E68E7"/>
    <w:rsid w:val="001E6C25"/>
    <w:rsid w:val="001E7B7F"/>
    <w:rsid w:val="001E7BCF"/>
    <w:rsid w:val="001E7F8E"/>
    <w:rsid w:val="001F0528"/>
    <w:rsid w:val="001F21B7"/>
    <w:rsid w:val="001F2420"/>
    <w:rsid w:val="001F24E3"/>
    <w:rsid w:val="001F2683"/>
    <w:rsid w:val="001F27EF"/>
    <w:rsid w:val="001F31ED"/>
    <w:rsid w:val="001F42E7"/>
    <w:rsid w:val="001F466F"/>
    <w:rsid w:val="001F4E37"/>
    <w:rsid w:val="001F667A"/>
    <w:rsid w:val="001F6C8B"/>
    <w:rsid w:val="001F7571"/>
    <w:rsid w:val="001F7802"/>
    <w:rsid w:val="001F7C32"/>
    <w:rsid w:val="00200645"/>
    <w:rsid w:val="002010AF"/>
    <w:rsid w:val="002010CF"/>
    <w:rsid w:val="002014A2"/>
    <w:rsid w:val="00201671"/>
    <w:rsid w:val="002027CA"/>
    <w:rsid w:val="00202A72"/>
    <w:rsid w:val="00203114"/>
    <w:rsid w:val="00203988"/>
    <w:rsid w:val="00204256"/>
    <w:rsid w:val="002046E4"/>
    <w:rsid w:val="00204B32"/>
    <w:rsid w:val="0020530E"/>
    <w:rsid w:val="0020685A"/>
    <w:rsid w:val="00206948"/>
    <w:rsid w:val="00206AB0"/>
    <w:rsid w:val="00206AEB"/>
    <w:rsid w:val="00206B58"/>
    <w:rsid w:val="0020727C"/>
    <w:rsid w:val="00207B8F"/>
    <w:rsid w:val="00207C92"/>
    <w:rsid w:val="00207FF4"/>
    <w:rsid w:val="00210FF7"/>
    <w:rsid w:val="0021230E"/>
    <w:rsid w:val="00212D25"/>
    <w:rsid w:val="00213CA5"/>
    <w:rsid w:val="00213D6D"/>
    <w:rsid w:val="002146DA"/>
    <w:rsid w:val="00214A85"/>
    <w:rsid w:val="00214EAF"/>
    <w:rsid w:val="00215A3B"/>
    <w:rsid w:val="002160D0"/>
    <w:rsid w:val="00216446"/>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3187"/>
    <w:rsid w:val="002252B4"/>
    <w:rsid w:val="00226787"/>
    <w:rsid w:val="00230070"/>
    <w:rsid w:val="0023094B"/>
    <w:rsid w:val="00230EAC"/>
    <w:rsid w:val="00230F0D"/>
    <w:rsid w:val="00231AF0"/>
    <w:rsid w:val="002332E2"/>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938"/>
    <w:rsid w:val="00257920"/>
    <w:rsid w:val="002579BD"/>
    <w:rsid w:val="00257BA2"/>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5B9E"/>
    <w:rsid w:val="00266F96"/>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903D1"/>
    <w:rsid w:val="00290643"/>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51BB"/>
    <w:rsid w:val="00295296"/>
    <w:rsid w:val="0029556E"/>
    <w:rsid w:val="00295A6F"/>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095"/>
    <w:rsid w:val="002B1348"/>
    <w:rsid w:val="002B19FC"/>
    <w:rsid w:val="002B1ACB"/>
    <w:rsid w:val="002B1D19"/>
    <w:rsid w:val="002B27D9"/>
    <w:rsid w:val="002B321E"/>
    <w:rsid w:val="002B4489"/>
    <w:rsid w:val="002B48B6"/>
    <w:rsid w:val="002B5A19"/>
    <w:rsid w:val="002B5D46"/>
    <w:rsid w:val="002B5E92"/>
    <w:rsid w:val="002B5F5B"/>
    <w:rsid w:val="002B5FC1"/>
    <w:rsid w:val="002B65BF"/>
    <w:rsid w:val="002B68E2"/>
    <w:rsid w:val="002B6F5B"/>
    <w:rsid w:val="002C04A3"/>
    <w:rsid w:val="002C0628"/>
    <w:rsid w:val="002C09A4"/>
    <w:rsid w:val="002C0E6E"/>
    <w:rsid w:val="002C1222"/>
    <w:rsid w:val="002C1516"/>
    <w:rsid w:val="002C1CE6"/>
    <w:rsid w:val="002C216D"/>
    <w:rsid w:val="002C2652"/>
    <w:rsid w:val="002C27D6"/>
    <w:rsid w:val="002C32AD"/>
    <w:rsid w:val="002C3326"/>
    <w:rsid w:val="002C3343"/>
    <w:rsid w:val="002C4466"/>
    <w:rsid w:val="002C57C5"/>
    <w:rsid w:val="002C595E"/>
    <w:rsid w:val="002C5B49"/>
    <w:rsid w:val="002C7300"/>
    <w:rsid w:val="002C7FF1"/>
    <w:rsid w:val="002D00CB"/>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99F"/>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3F2"/>
    <w:rsid w:val="002F1811"/>
    <w:rsid w:val="002F253F"/>
    <w:rsid w:val="002F27A4"/>
    <w:rsid w:val="002F2A75"/>
    <w:rsid w:val="002F2C67"/>
    <w:rsid w:val="002F3205"/>
    <w:rsid w:val="002F38C0"/>
    <w:rsid w:val="002F4691"/>
    <w:rsid w:val="002F5D01"/>
    <w:rsid w:val="002F6892"/>
    <w:rsid w:val="002F6BC6"/>
    <w:rsid w:val="002F70A9"/>
    <w:rsid w:val="002F74AE"/>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835"/>
    <w:rsid w:val="00320BAE"/>
    <w:rsid w:val="0032103A"/>
    <w:rsid w:val="0032106D"/>
    <w:rsid w:val="0032172E"/>
    <w:rsid w:val="00321E8A"/>
    <w:rsid w:val="00322FE7"/>
    <w:rsid w:val="00323028"/>
    <w:rsid w:val="00323048"/>
    <w:rsid w:val="00323396"/>
    <w:rsid w:val="00324016"/>
    <w:rsid w:val="0032413E"/>
    <w:rsid w:val="00324D71"/>
    <w:rsid w:val="00324FA4"/>
    <w:rsid w:val="003265CB"/>
    <w:rsid w:val="0032688B"/>
    <w:rsid w:val="00326A0A"/>
    <w:rsid w:val="003275D4"/>
    <w:rsid w:val="00327D75"/>
    <w:rsid w:val="00327FA7"/>
    <w:rsid w:val="003304BB"/>
    <w:rsid w:val="00330B9F"/>
    <w:rsid w:val="00330D81"/>
    <w:rsid w:val="003311AD"/>
    <w:rsid w:val="003318F6"/>
    <w:rsid w:val="00331AEB"/>
    <w:rsid w:val="00331C9D"/>
    <w:rsid w:val="0033208B"/>
    <w:rsid w:val="0033297A"/>
    <w:rsid w:val="00332E37"/>
    <w:rsid w:val="00332F13"/>
    <w:rsid w:val="0033328D"/>
    <w:rsid w:val="003351C5"/>
    <w:rsid w:val="00335411"/>
    <w:rsid w:val="00335F38"/>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277"/>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2B1"/>
    <w:rsid w:val="003A65B8"/>
    <w:rsid w:val="003A6E12"/>
    <w:rsid w:val="003A76D1"/>
    <w:rsid w:val="003B0159"/>
    <w:rsid w:val="003B06FE"/>
    <w:rsid w:val="003B16CD"/>
    <w:rsid w:val="003B1A71"/>
    <w:rsid w:val="003B25EB"/>
    <w:rsid w:val="003B2D20"/>
    <w:rsid w:val="003B34B5"/>
    <w:rsid w:val="003B359C"/>
    <w:rsid w:val="003B3873"/>
    <w:rsid w:val="003B3942"/>
    <w:rsid w:val="003B3B29"/>
    <w:rsid w:val="003B481A"/>
    <w:rsid w:val="003B5BAA"/>
    <w:rsid w:val="003B5C47"/>
    <w:rsid w:val="003B63E2"/>
    <w:rsid w:val="003B6E44"/>
    <w:rsid w:val="003B6FAE"/>
    <w:rsid w:val="003B6FC4"/>
    <w:rsid w:val="003B7A7C"/>
    <w:rsid w:val="003C00B0"/>
    <w:rsid w:val="003C062C"/>
    <w:rsid w:val="003C0E94"/>
    <w:rsid w:val="003C0FC6"/>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3F1"/>
    <w:rsid w:val="003C54FD"/>
    <w:rsid w:val="003C56D7"/>
    <w:rsid w:val="003C676E"/>
    <w:rsid w:val="003C70EF"/>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3B24"/>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8C5"/>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0E8"/>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0B"/>
    <w:rsid w:val="0043064B"/>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2C9"/>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A74"/>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28B0"/>
    <w:rsid w:val="0047412A"/>
    <w:rsid w:val="00474496"/>
    <w:rsid w:val="004746EB"/>
    <w:rsid w:val="00474BCC"/>
    <w:rsid w:val="004751BE"/>
    <w:rsid w:val="004755DD"/>
    <w:rsid w:val="004768D1"/>
    <w:rsid w:val="0047719C"/>
    <w:rsid w:val="004771A6"/>
    <w:rsid w:val="00477413"/>
    <w:rsid w:val="00480888"/>
    <w:rsid w:val="0048098F"/>
    <w:rsid w:val="0048150E"/>
    <w:rsid w:val="00481980"/>
    <w:rsid w:val="004823C9"/>
    <w:rsid w:val="0048270A"/>
    <w:rsid w:val="00482967"/>
    <w:rsid w:val="0048299E"/>
    <w:rsid w:val="004833F8"/>
    <w:rsid w:val="00483CBA"/>
    <w:rsid w:val="004842E1"/>
    <w:rsid w:val="00484A69"/>
    <w:rsid w:val="00484D5B"/>
    <w:rsid w:val="00484ED4"/>
    <w:rsid w:val="00484FB2"/>
    <w:rsid w:val="004850B7"/>
    <w:rsid w:val="004853D7"/>
    <w:rsid w:val="004856A5"/>
    <w:rsid w:val="00485CDE"/>
    <w:rsid w:val="004862CD"/>
    <w:rsid w:val="00486A50"/>
    <w:rsid w:val="00486E13"/>
    <w:rsid w:val="00486E6A"/>
    <w:rsid w:val="00490619"/>
    <w:rsid w:val="00491C0C"/>
    <w:rsid w:val="00491F76"/>
    <w:rsid w:val="00492071"/>
    <w:rsid w:val="0049256A"/>
    <w:rsid w:val="00492595"/>
    <w:rsid w:val="00492C30"/>
    <w:rsid w:val="004932F4"/>
    <w:rsid w:val="004938B2"/>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3D4A"/>
    <w:rsid w:val="004A40A8"/>
    <w:rsid w:val="004A42D6"/>
    <w:rsid w:val="004A464D"/>
    <w:rsid w:val="004A4B9C"/>
    <w:rsid w:val="004A548F"/>
    <w:rsid w:val="004A625D"/>
    <w:rsid w:val="004A6ACE"/>
    <w:rsid w:val="004A6DF9"/>
    <w:rsid w:val="004A770D"/>
    <w:rsid w:val="004A79C5"/>
    <w:rsid w:val="004B081E"/>
    <w:rsid w:val="004B0877"/>
    <w:rsid w:val="004B0CA2"/>
    <w:rsid w:val="004B1228"/>
    <w:rsid w:val="004B154F"/>
    <w:rsid w:val="004B2915"/>
    <w:rsid w:val="004B2F20"/>
    <w:rsid w:val="004B3B4B"/>
    <w:rsid w:val="004B3BDE"/>
    <w:rsid w:val="004B45AF"/>
    <w:rsid w:val="004B47A0"/>
    <w:rsid w:val="004B4EA3"/>
    <w:rsid w:val="004B67DA"/>
    <w:rsid w:val="004B6974"/>
    <w:rsid w:val="004B6F2F"/>
    <w:rsid w:val="004B707E"/>
    <w:rsid w:val="004B71DB"/>
    <w:rsid w:val="004B76CA"/>
    <w:rsid w:val="004B7FE3"/>
    <w:rsid w:val="004C0D98"/>
    <w:rsid w:val="004C1380"/>
    <w:rsid w:val="004C1EF2"/>
    <w:rsid w:val="004C200F"/>
    <w:rsid w:val="004C202E"/>
    <w:rsid w:val="004C29EE"/>
    <w:rsid w:val="004C347B"/>
    <w:rsid w:val="004C3A0B"/>
    <w:rsid w:val="004C3BC4"/>
    <w:rsid w:val="004C519B"/>
    <w:rsid w:val="004C544C"/>
    <w:rsid w:val="004C54CE"/>
    <w:rsid w:val="004C58C1"/>
    <w:rsid w:val="004C5DD0"/>
    <w:rsid w:val="004C634B"/>
    <w:rsid w:val="004C64D7"/>
    <w:rsid w:val="004C6D90"/>
    <w:rsid w:val="004C6F0B"/>
    <w:rsid w:val="004C7063"/>
    <w:rsid w:val="004D041B"/>
    <w:rsid w:val="004D07B7"/>
    <w:rsid w:val="004D08BA"/>
    <w:rsid w:val="004D099D"/>
    <w:rsid w:val="004D14BC"/>
    <w:rsid w:val="004D1691"/>
    <w:rsid w:val="004D17F4"/>
    <w:rsid w:val="004D2467"/>
    <w:rsid w:val="004D28B5"/>
    <w:rsid w:val="004D3B5D"/>
    <w:rsid w:val="004D3BB3"/>
    <w:rsid w:val="004D44AC"/>
    <w:rsid w:val="004D49DE"/>
    <w:rsid w:val="004D5105"/>
    <w:rsid w:val="004D5C9A"/>
    <w:rsid w:val="004D5DBB"/>
    <w:rsid w:val="004D6178"/>
    <w:rsid w:val="004D71A7"/>
    <w:rsid w:val="004D743A"/>
    <w:rsid w:val="004D7619"/>
    <w:rsid w:val="004D794F"/>
    <w:rsid w:val="004D7951"/>
    <w:rsid w:val="004E006C"/>
    <w:rsid w:val="004E07C4"/>
    <w:rsid w:val="004E0B4E"/>
    <w:rsid w:val="004E0B6B"/>
    <w:rsid w:val="004E0D52"/>
    <w:rsid w:val="004E11AE"/>
    <w:rsid w:val="004E1C12"/>
    <w:rsid w:val="004E223B"/>
    <w:rsid w:val="004E27CD"/>
    <w:rsid w:val="004E3934"/>
    <w:rsid w:val="004E3FEF"/>
    <w:rsid w:val="004E5042"/>
    <w:rsid w:val="004E51A5"/>
    <w:rsid w:val="004E5466"/>
    <w:rsid w:val="004E65B4"/>
    <w:rsid w:val="004E6644"/>
    <w:rsid w:val="004E7427"/>
    <w:rsid w:val="004E7F59"/>
    <w:rsid w:val="004F0749"/>
    <w:rsid w:val="004F212F"/>
    <w:rsid w:val="004F230C"/>
    <w:rsid w:val="004F2743"/>
    <w:rsid w:val="004F285D"/>
    <w:rsid w:val="004F28E8"/>
    <w:rsid w:val="004F331D"/>
    <w:rsid w:val="004F35DF"/>
    <w:rsid w:val="004F3C98"/>
    <w:rsid w:val="004F3EF7"/>
    <w:rsid w:val="004F437A"/>
    <w:rsid w:val="004F5041"/>
    <w:rsid w:val="004F605B"/>
    <w:rsid w:val="004F6165"/>
    <w:rsid w:val="004F6385"/>
    <w:rsid w:val="004F68EF"/>
    <w:rsid w:val="004F6C47"/>
    <w:rsid w:val="004F782D"/>
    <w:rsid w:val="004F79FE"/>
    <w:rsid w:val="0050011B"/>
    <w:rsid w:val="0050041B"/>
    <w:rsid w:val="00500623"/>
    <w:rsid w:val="00500807"/>
    <w:rsid w:val="00500B97"/>
    <w:rsid w:val="00500C61"/>
    <w:rsid w:val="005011B7"/>
    <w:rsid w:val="0050157B"/>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A2B"/>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2E55"/>
    <w:rsid w:val="00533028"/>
    <w:rsid w:val="00533999"/>
    <w:rsid w:val="00533D97"/>
    <w:rsid w:val="00533F1F"/>
    <w:rsid w:val="00533FF6"/>
    <w:rsid w:val="00534CBA"/>
    <w:rsid w:val="0053604D"/>
    <w:rsid w:val="00536311"/>
    <w:rsid w:val="00537297"/>
    <w:rsid w:val="00537839"/>
    <w:rsid w:val="005400BB"/>
    <w:rsid w:val="0054133F"/>
    <w:rsid w:val="00541624"/>
    <w:rsid w:val="00541B22"/>
    <w:rsid w:val="00541EE9"/>
    <w:rsid w:val="00541F7D"/>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166F"/>
    <w:rsid w:val="00552164"/>
    <w:rsid w:val="005524A8"/>
    <w:rsid w:val="005529F5"/>
    <w:rsid w:val="00552C92"/>
    <w:rsid w:val="0055305D"/>
    <w:rsid w:val="00553666"/>
    <w:rsid w:val="00553739"/>
    <w:rsid w:val="00553C9B"/>
    <w:rsid w:val="00553DB7"/>
    <w:rsid w:val="00553DFD"/>
    <w:rsid w:val="005543AE"/>
    <w:rsid w:val="00554A18"/>
    <w:rsid w:val="00554E5A"/>
    <w:rsid w:val="00555198"/>
    <w:rsid w:val="00555EBC"/>
    <w:rsid w:val="00556F60"/>
    <w:rsid w:val="00557750"/>
    <w:rsid w:val="005605DB"/>
    <w:rsid w:val="0056094F"/>
    <w:rsid w:val="005611CB"/>
    <w:rsid w:val="00561704"/>
    <w:rsid w:val="00562864"/>
    <w:rsid w:val="0056453F"/>
    <w:rsid w:val="00565D97"/>
    <w:rsid w:val="0056611B"/>
    <w:rsid w:val="0056698A"/>
    <w:rsid w:val="00567575"/>
    <w:rsid w:val="00567D33"/>
    <w:rsid w:val="00570C2B"/>
    <w:rsid w:val="005716D6"/>
    <w:rsid w:val="00573250"/>
    <w:rsid w:val="00573284"/>
    <w:rsid w:val="005746F0"/>
    <w:rsid w:val="00576BF9"/>
    <w:rsid w:val="005773DA"/>
    <w:rsid w:val="005774BF"/>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A7C88"/>
    <w:rsid w:val="005B00F3"/>
    <w:rsid w:val="005B0309"/>
    <w:rsid w:val="005B0661"/>
    <w:rsid w:val="005B0784"/>
    <w:rsid w:val="005B15A7"/>
    <w:rsid w:val="005B1794"/>
    <w:rsid w:val="005B1BE5"/>
    <w:rsid w:val="005B2731"/>
    <w:rsid w:val="005B2B21"/>
    <w:rsid w:val="005B419F"/>
    <w:rsid w:val="005B43F8"/>
    <w:rsid w:val="005B6FF8"/>
    <w:rsid w:val="005B7553"/>
    <w:rsid w:val="005B789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850"/>
    <w:rsid w:val="005D5C19"/>
    <w:rsid w:val="005D5D5C"/>
    <w:rsid w:val="005D5EF6"/>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E05"/>
    <w:rsid w:val="005E3499"/>
    <w:rsid w:val="005E3731"/>
    <w:rsid w:val="005E4396"/>
    <w:rsid w:val="005E5222"/>
    <w:rsid w:val="005E53D7"/>
    <w:rsid w:val="005E5837"/>
    <w:rsid w:val="005E5D5F"/>
    <w:rsid w:val="005E5E0E"/>
    <w:rsid w:val="005E5FBE"/>
    <w:rsid w:val="005E6447"/>
    <w:rsid w:val="005E64DB"/>
    <w:rsid w:val="005E68F1"/>
    <w:rsid w:val="005F0F7F"/>
    <w:rsid w:val="005F231A"/>
    <w:rsid w:val="005F3B5E"/>
    <w:rsid w:val="005F3C62"/>
    <w:rsid w:val="005F41AF"/>
    <w:rsid w:val="005F45C1"/>
    <w:rsid w:val="005F4E29"/>
    <w:rsid w:val="005F570E"/>
    <w:rsid w:val="005F5F46"/>
    <w:rsid w:val="005F6091"/>
    <w:rsid w:val="005F6652"/>
    <w:rsid w:val="005F6DB2"/>
    <w:rsid w:val="005F736D"/>
    <w:rsid w:val="005F7AB2"/>
    <w:rsid w:val="006000FE"/>
    <w:rsid w:val="0060017E"/>
    <w:rsid w:val="006004DC"/>
    <w:rsid w:val="00600972"/>
    <w:rsid w:val="00600FBF"/>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2CFF"/>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3F74"/>
    <w:rsid w:val="0062513F"/>
    <w:rsid w:val="006253FE"/>
    <w:rsid w:val="00625A2D"/>
    <w:rsid w:val="0062623E"/>
    <w:rsid w:val="00626313"/>
    <w:rsid w:val="00626E7F"/>
    <w:rsid w:val="006277EF"/>
    <w:rsid w:val="006300B6"/>
    <w:rsid w:val="0063101D"/>
    <w:rsid w:val="0063124C"/>
    <w:rsid w:val="00631A95"/>
    <w:rsid w:val="00631D2C"/>
    <w:rsid w:val="00632992"/>
    <w:rsid w:val="00632F59"/>
    <w:rsid w:val="0063393B"/>
    <w:rsid w:val="00633BC0"/>
    <w:rsid w:val="006348C9"/>
    <w:rsid w:val="00635634"/>
    <w:rsid w:val="00635C58"/>
    <w:rsid w:val="00636806"/>
    <w:rsid w:val="0063774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57A1"/>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3F8"/>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5FD"/>
    <w:rsid w:val="006726D9"/>
    <w:rsid w:val="00672942"/>
    <w:rsid w:val="00672B2F"/>
    <w:rsid w:val="00672B39"/>
    <w:rsid w:val="00674425"/>
    <w:rsid w:val="00674B6A"/>
    <w:rsid w:val="00674D0B"/>
    <w:rsid w:val="00674E42"/>
    <w:rsid w:val="00675718"/>
    <w:rsid w:val="006759A0"/>
    <w:rsid w:val="00676A9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A39"/>
    <w:rsid w:val="006B0D05"/>
    <w:rsid w:val="006B0E97"/>
    <w:rsid w:val="006B0F3C"/>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3CBC"/>
    <w:rsid w:val="006C45AD"/>
    <w:rsid w:val="006C4CF9"/>
    <w:rsid w:val="006C4D46"/>
    <w:rsid w:val="006C537B"/>
    <w:rsid w:val="006C5954"/>
    <w:rsid w:val="006C5F7B"/>
    <w:rsid w:val="006C6025"/>
    <w:rsid w:val="006C6659"/>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D7FF5"/>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2D0"/>
    <w:rsid w:val="006F3B35"/>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1856"/>
    <w:rsid w:val="0071213A"/>
    <w:rsid w:val="0071221F"/>
    <w:rsid w:val="0071246C"/>
    <w:rsid w:val="0071323E"/>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1CA7"/>
    <w:rsid w:val="0074224E"/>
    <w:rsid w:val="00742AC9"/>
    <w:rsid w:val="0074332A"/>
    <w:rsid w:val="00743431"/>
    <w:rsid w:val="0074399D"/>
    <w:rsid w:val="00743C86"/>
    <w:rsid w:val="00744DF3"/>
    <w:rsid w:val="0074509A"/>
    <w:rsid w:val="007451E0"/>
    <w:rsid w:val="0074520C"/>
    <w:rsid w:val="0074545C"/>
    <w:rsid w:val="007454BA"/>
    <w:rsid w:val="007454E8"/>
    <w:rsid w:val="00745ACC"/>
    <w:rsid w:val="00746A20"/>
    <w:rsid w:val="00746D91"/>
    <w:rsid w:val="0074725F"/>
    <w:rsid w:val="00747F73"/>
    <w:rsid w:val="00750A88"/>
    <w:rsid w:val="00751A4A"/>
    <w:rsid w:val="00751E9C"/>
    <w:rsid w:val="007522C3"/>
    <w:rsid w:val="0075337B"/>
    <w:rsid w:val="00753384"/>
    <w:rsid w:val="007534C0"/>
    <w:rsid w:val="00753F80"/>
    <w:rsid w:val="00754A8B"/>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B"/>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3FC3"/>
    <w:rsid w:val="00774714"/>
    <w:rsid w:val="00775187"/>
    <w:rsid w:val="00775639"/>
    <w:rsid w:val="0077579C"/>
    <w:rsid w:val="007767C2"/>
    <w:rsid w:val="00780256"/>
    <w:rsid w:val="007802BA"/>
    <w:rsid w:val="007804A5"/>
    <w:rsid w:val="007809E2"/>
    <w:rsid w:val="00780A60"/>
    <w:rsid w:val="00780D5C"/>
    <w:rsid w:val="007811DF"/>
    <w:rsid w:val="00781F26"/>
    <w:rsid w:val="00781FDD"/>
    <w:rsid w:val="00782115"/>
    <w:rsid w:val="00782123"/>
    <w:rsid w:val="00782B1A"/>
    <w:rsid w:val="00782EFA"/>
    <w:rsid w:val="00783AAF"/>
    <w:rsid w:val="00783DAC"/>
    <w:rsid w:val="00784194"/>
    <w:rsid w:val="00785245"/>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1971"/>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5E73"/>
    <w:rsid w:val="007F65F4"/>
    <w:rsid w:val="007F65FD"/>
    <w:rsid w:val="007F6A09"/>
    <w:rsid w:val="007F75D1"/>
    <w:rsid w:val="007F7B35"/>
    <w:rsid w:val="00800B54"/>
    <w:rsid w:val="00801411"/>
    <w:rsid w:val="00801CC6"/>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278"/>
    <w:rsid w:val="00820966"/>
    <w:rsid w:val="00820B86"/>
    <w:rsid w:val="00821122"/>
    <w:rsid w:val="0082121C"/>
    <w:rsid w:val="00821ADD"/>
    <w:rsid w:val="0082228A"/>
    <w:rsid w:val="00822AB9"/>
    <w:rsid w:val="00822B7B"/>
    <w:rsid w:val="00822C35"/>
    <w:rsid w:val="0082376A"/>
    <w:rsid w:val="00824922"/>
    <w:rsid w:val="00824BC3"/>
    <w:rsid w:val="00825265"/>
    <w:rsid w:val="00825827"/>
    <w:rsid w:val="00827093"/>
    <w:rsid w:val="008303E6"/>
    <w:rsid w:val="008308AE"/>
    <w:rsid w:val="00831827"/>
    <w:rsid w:val="00831F0D"/>
    <w:rsid w:val="008322F7"/>
    <w:rsid w:val="008328B8"/>
    <w:rsid w:val="00832B13"/>
    <w:rsid w:val="0083388A"/>
    <w:rsid w:val="008347C5"/>
    <w:rsid w:val="00835FB0"/>
    <w:rsid w:val="008362B1"/>
    <w:rsid w:val="0083634B"/>
    <w:rsid w:val="008368D2"/>
    <w:rsid w:val="00836C3E"/>
    <w:rsid w:val="00836D35"/>
    <w:rsid w:val="008376BA"/>
    <w:rsid w:val="00837F53"/>
    <w:rsid w:val="00840091"/>
    <w:rsid w:val="00840D68"/>
    <w:rsid w:val="00841275"/>
    <w:rsid w:val="008413BE"/>
    <w:rsid w:val="00841F07"/>
    <w:rsid w:val="008427C8"/>
    <w:rsid w:val="00842EF7"/>
    <w:rsid w:val="008432ED"/>
    <w:rsid w:val="0084379B"/>
    <w:rsid w:val="00844C65"/>
    <w:rsid w:val="008460B0"/>
    <w:rsid w:val="00846309"/>
    <w:rsid w:val="008466B3"/>
    <w:rsid w:val="0084762B"/>
    <w:rsid w:val="00847C48"/>
    <w:rsid w:val="0085014F"/>
    <w:rsid w:val="00851083"/>
    <w:rsid w:val="008525FE"/>
    <w:rsid w:val="008526D1"/>
    <w:rsid w:val="00853205"/>
    <w:rsid w:val="008535A3"/>
    <w:rsid w:val="00854A31"/>
    <w:rsid w:val="00854CA6"/>
    <w:rsid w:val="0085515D"/>
    <w:rsid w:val="00855196"/>
    <w:rsid w:val="0085601F"/>
    <w:rsid w:val="008567BC"/>
    <w:rsid w:val="0085701E"/>
    <w:rsid w:val="008579AC"/>
    <w:rsid w:val="00861D65"/>
    <w:rsid w:val="0086227A"/>
    <w:rsid w:val="00862F08"/>
    <w:rsid w:val="008632E4"/>
    <w:rsid w:val="00863B7A"/>
    <w:rsid w:val="00864406"/>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27F"/>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32A"/>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D44"/>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32C"/>
    <w:rsid w:val="008B6B9D"/>
    <w:rsid w:val="008B7ECA"/>
    <w:rsid w:val="008C073E"/>
    <w:rsid w:val="008C1838"/>
    <w:rsid w:val="008C1CCF"/>
    <w:rsid w:val="008C2310"/>
    <w:rsid w:val="008C2666"/>
    <w:rsid w:val="008C2D34"/>
    <w:rsid w:val="008C310B"/>
    <w:rsid w:val="008C3C0F"/>
    <w:rsid w:val="008C42F0"/>
    <w:rsid w:val="008C434D"/>
    <w:rsid w:val="008C4F61"/>
    <w:rsid w:val="008C5CB4"/>
    <w:rsid w:val="008C649F"/>
    <w:rsid w:val="008C6A00"/>
    <w:rsid w:val="008C6BA3"/>
    <w:rsid w:val="008C77BD"/>
    <w:rsid w:val="008C7CFB"/>
    <w:rsid w:val="008D0B7E"/>
    <w:rsid w:val="008D1AC9"/>
    <w:rsid w:val="008D2922"/>
    <w:rsid w:val="008D31CE"/>
    <w:rsid w:val="008D3B33"/>
    <w:rsid w:val="008D3B4E"/>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9DE"/>
    <w:rsid w:val="008E50AC"/>
    <w:rsid w:val="008E5438"/>
    <w:rsid w:val="008E691A"/>
    <w:rsid w:val="008E711A"/>
    <w:rsid w:val="008E7B60"/>
    <w:rsid w:val="008F0807"/>
    <w:rsid w:val="008F1812"/>
    <w:rsid w:val="008F1ED1"/>
    <w:rsid w:val="008F2858"/>
    <w:rsid w:val="008F2BAD"/>
    <w:rsid w:val="008F3183"/>
    <w:rsid w:val="008F38A3"/>
    <w:rsid w:val="008F3BED"/>
    <w:rsid w:val="008F4F2B"/>
    <w:rsid w:val="008F5C41"/>
    <w:rsid w:val="008F6048"/>
    <w:rsid w:val="008F6537"/>
    <w:rsid w:val="008F69F9"/>
    <w:rsid w:val="008F6E52"/>
    <w:rsid w:val="008F70F1"/>
    <w:rsid w:val="008F74F3"/>
    <w:rsid w:val="008F75B3"/>
    <w:rsid w:val="008F7AEB"/>
    <w:rsid w:val="008F7B7C"/>
    <w:rsid w:val="00900D3E"/>
    <w:rsid w:val="00901ECF"/>
    <w:rsid w:val="00902F42"/>
    <w:rsid w:val="00902FB2"/>
    <w:rsid w:val="0090415B"/>
    <w:rsid w:val="00904369"/>
    <w:rsid w:val="00904AA2"/>
    <w:rsid w:val="00905383"/>
    <w:rsid w:val="00905D64"/>
    <w:rsid w:val="009061A5"/>
    <w:rsid w:val="0090623F"/>
    <w:rsid w:val="009062AF"/>
    <w:rsid w:val="00907AEA"/>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5B9"/>
    <w:rsid w:val="009206A0"/>
    <w:rsid w:val="009210D3"/>
    <w:rsid w:val="00921173"/>
    <w:rsid w:val="00921492"/>
    <w:rsid w:val="0092245B"/>
    <w:rsid w:val="00922498"/>
    <w:rsid w:val="00922502"/>
    <w:rsid w:val="009225F6"/>
    <w:rsid w:val="00923855"/>
    <w:rsid w:val="009238D0"/>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055"/>
    <w:rsid w:val="0093481B"/>
    <w:rsid w:val="009349A1"/>
    <w:rsid w:val="00934D47"/>
    <w:rsid w:val="009353CB"/>
    <w:rsid w:val="009356D1"/>
    <w:rsid w:val="009359D7"/>
    <w:rsid w:val="00935D48"/>
    <w:rsid w:val="00936331"/>
    <w:rsid w:val="009364DD"/>
    <w:rsid w:val="0093682F"/>
    <w:rsid w:val="00936C0A"/>
    <w:rsid w:val="00936E36"/>
    <w:rsid w:val="00936ED4"/>
    <w:rsid w:val="00937574"/>
    <w:rsid w:val="00937DBA"/>
    <w:rsid w:val="00937DC8"/>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4E0F"/>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662"/>
    <w:rsid w:val="00972CCB"/>
    <w:rsid w:val="00972CE6"/>
    <w:rsid w:val="00973F21"/>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1B95"/>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3F"/>
    <w:rsid w:val="009C0044"/>
    <w:rsid w:val="009C07A9"/>
    <w:rsid w:val="009C0E0D"/>
    <w:rsid w:val="009C1942"/>
    <w:rsid w:val="009C1BB8"/>
    <w:rsid w:val="009C291B"/>
    <w:rsid w:val="009C2E04"/>
    <w:rsid w:val="009C31AB"/>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5B3"/>
    <w:rsid w:val="009D78D0"/>
    <w:rsid w:val="009D7AB4"/>
    <w:rsid w:val="009D7DC4"/>
    <w:rsid w:val="009E0513"/>
    <w:rsid w:val="009E0722"/>
    <w:rsid w:val="009E093D"/>
    <w:rsid w:val="009E1C45"/>
    <w:rsid w:val="009E2650"/>
    <w:rsid w:val="009E2A77"/>
    <w:rsid w:val="009E2AEE"/>
    <w:rsid w:val="009E2C01"/>
    <w:rsid w:val="009E2E30"/>
    <w:rsid w:val="009E38CC"/>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4E36"/>
    <w:rsid w:val="009F5056"/>
    <w:rsid w:val="009F575D"/>
    <w:rsid w:val="009F5F1F"/>
    <w:rsid w:val="009F7C34"/>
    <w:rsid w:val="009F7F02"/>
    <w:rsid w:val="00A000CC"/>
    <w:rsid w:val="00A00BC0"/>
    <w:rsid w:val="00A00FE2"/>
    <w:rsid w:val="00A01AE0"/>
    <w:rsid w:val="00A01E7A"/>
    <w:rsid w:val="00A02338"/>
    <w:rsid w:val="00A03462"/>
    <w:rsid w:val="00A03AC8"/>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3DEC"/>
    <w:rsid w:val="00A14AC8"/>
    <w:rsid w:val="00A1510F"/>
    <w:rsid w:val="00A15865"/>
    <w:rsid w:val="00A15DE0"/>
    <w:rsid w:val="00A15EE0"/>
    <w:rsid w:val="00A16061"/>
    <w:rsid w:val="00A16227"/>
    <w:rsid w:val="00A16AB1"/>
    <w:rsid w:val="00A1733B"/>
    <w:rsid w:val="00A21212"/>
    <w:rsid w:val="00A21404"/>
    <w:rsid w:val="00A218C5"/>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0D59"/>
    <w:rsid w:val="00A4186A"/>
    <w:rsid w:val="00A4248C"/>
    <w:rsid w:val="00A4277C"/>
    <w:rsid w:val="00A42C66"/>
    <w:rsid w:val="00A4315F"/>
    <w:rsid w:val="00A434E0"/>
    <w:rsid w:val="00A4352A"/>
    <w:rsid w:val="00A43C8F"/>
    <w:rsid w:val="00A44202"/>
    <w:rsid w:val="00A44446"/>
    <w:rsid w:val="00A44563"/>
    <w:rsid w:val="00A44D76"/>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329"/>
    <w:rsid w:val="00A5451F"/>
    <w:rsid w:val="00A5462B"/>
    <w:rsid w:val="00A55121"/>
    <w:rsid w:val="00A559CE"/>
    <w:rsid w:val="00A55C8A"/>
    <w:rsid w:val="00A56CB5"/>
    <w:rsid w:val="00A575DF"/>
    <w:rsid w:val="00A57A72"/>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8EC"/>
    <w:rsid w:val="00A85A81"/>
    <w:rsid w:val="00A86875"/>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23"/>
    <w:rsid w:val="00A96E5B"/>
    <w:rsid w:val="00AA0845"/>
    <w:rsid w:val="00AA0AB3"/>
    <w:rsid w:val="00AA0E5E"/>
    <w:rsid w:val="00AA1129"/>
    <w:rsid w:val="00AA1886"/>
    <w:rsid w:val="00AA1F16"/>
    <w:rsid w:val="00AA2055"/>
    <w:rsid w:val="00AA2BAA"/>
    <w:rsid w:val="00AA2D13"/>
    <w:rsid w:val="00AA2D99"/>
    <w:rsid w:val="00AA331B"/>
    <w:rsid w:val="00AA3545"/>
    <w:rsid w:val="00AA3AF0"/>
    <w:rsid w:val="00AA3EA0"/>
    <w:rsid w:val="00AA4158"/>
    <w:rsid w:val="00AA4A0C"/>
    <w:rsid w:val="00AA5165"/>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53C3"/>
    <w:rsid w:val="00AB6697"/>
    <w:rsid w:val="00AB66E3"/>
    <w:rsid w:val="00AB6ACA"/>
    <w:rsid w:val="00AB71CA"/>
    <w:rsid w:val="00AB73F0"/>
    <w:rsid w:val="00AB7E1B"/>
    <w:rsid w:val="00AC03A4"/>
    <w:rsid w:val="00AC0910"/>
    <w:rsid w:val="00AC0D45"/>
    <w:rsid w:val="00AC0F07"/>
    <w:rsid w:val="00AC2094"/>
    <w:rsid w:val="00AC2231"/>
    <w:rsid w:val="00AC29DF"/>
    <w:rsid w:val="00AC3E82"/>
    <w:rsid w:val="00AC3F21"/>
    <w:rsid w:val="00AC4BCF"/>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6DD2"/>
    <w:rsid w:val="00AD6EE8"/>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215D"/>
    <w:rsid w:val="00AF282B"/>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C5B"/>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0FCD"/>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5EC8"/>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EE4"/>
    <w:rsid w:val="00B3545D"/>
    <w:rsid w:val="00B358B0"/>
    <w:rsid w:val="00B36272"/>
    <w:rsid w:val="00B36677"/>
    <w:rsid w:val="00B376C0"/>
    <w:rsid w:val="00B4097E"/>
    <w:rsid w:val="00B40A6C"/>
    <w:rsid w:val="00B40D91"/>
    <w:rsid w:val="00B4164D"/>
    <w:rsid w:val="00B41CED"/>
    <w:rsid w:val="00B42122"/>
    <w:rsid w:val="00B439D4"/>
    <w:rsid w:val="00B44478"/>
    <w:rsid w:val="00B4589A"/>
    <w:rsid w:val="00B460A7"/>
    <w:rsid w:val="00B462B3"/>
    <w:rsid w:val="00B47369"/>
    <w:rsid w:val="00B474A0"/>
    <w:rsid w:val="00B47B30"/>
    <w:rsid w:val="00B50311"/>
    <w:rsid w:val="00B51C38"/>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1F6E"/>
    <w:rsid w:val="00B723D7"/>
    <w:rsid w:val="00B727F7"/>
    <w:rsid w:val="00B7292E"/>
    <w:rsid w:val="00B72EDE"/>
    <w:rsid w:val="00B72F45"/>
    <w:rsid w:val="00B733EE"/>
    <w:rsid w:val="00B735BC"/>
    <w:rsid w:val="00B735C3"/>
    <w:rsid w:val="00B73EF6"/>
    <w:rsid w:val="00B74D06"/>
    <w:rsid w:val="00B750BF"/>
    <w:rsid w:val="00B766BA"/>
    <w:rsid w:val="00B768BC"/>
    <w:rsid w:val="00B76D2A"/>
    <w:rsid w:val="00B77214"/>
    <w:rsid w:val="00B77750"/>
    <w:rsid w:val="00B77775"/>
    <w:rsid w:val="00B800F0"/>
    <w:rsid w:val="00B8017B"/>
    <w:rsid w:val="00B80994"/>
    <w:rsid w:val="00B8383B"/>
    <w:rsid w:val="00B84582"/>
    <w:rsid w:val="00B8485A"/>
    <w:rsid w:val="00B85077"/>
    <w:rsid w:val="00B8525D"/>
    <w:rsid w:val="00B86C88"/>
    <w:rsid w:val="00B909F5"/>
    <w:rsid w:val="00B91910"/>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4A5"/>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96"/>
    <w:rsid w:val="00BB4AF3"/>
    <w:rsid w:val="00BB50E8"/>
    <w:rsid w:val="00BB51E3"/>
    <w:rsid w:val="00BB680F"/>
    <w:rsid w:val="00BB6E49"/>
    <w:rsid w:val="00BB6F4B"/>
    <w:rsid w:val="00BB71DC"/>
    <w:rsid w:val="00BB7F14"/>
    <w:rsid w:val="00BC0A41"/>
    <w:rsid w:val="00BC133D"/>
    <w:rsid w:val="00BC1357"/>
    <w:rsid w:val="00BC15B1"/>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B0C"/>
    <w:rsid w:val="00BE30AC"/>
    <w:rsid w:val="00BE3255"/>
    <w:rsid w:val="00BE37DE"/>
    <w:rsid w:val="00BE3BF4"/>
    <w:rsid w:val="00BE497B"/>
    <w:rsid w:val="00BE50EC"/>
    <w:rsid w:val="00BE56C5"/>
    <w:rsid w:val="00BE5B77"/>
    <w:rsid w:val="00BE6392"/>
    <w:rsid w:val="00BE6F70"/>
    <w:rsid w:val="00BE7441"/>
    <w:rsid w:val="00BE74A9"/>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5B"/>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92F"/>
    <w:rsid w:val="00C03CAB"/>
    <w:rsid w:val="00C0404A"/>
    <w:rsid w:val="00C0419D"/>
    <w:rsid w:val="00C04A4E"/>
    <w:rsid w:val="00C04F58"/>
    <w:rsid w:val="00C05839"/>
    <w:rsid w:val="00C059D2"/>
    <w:rsid w:val="00C05B4F"/>
    <w:rsid w:val="00C0636D"/>
    <w:rsid w:val="00C078C8"/>
    <w:rsid w:val="00C07E93"/>
    <w:rsid w:val="00C1013F"/>
    <w:rsid w:val="00C1093A"/>
    <w:rsid w:val="00C11713"/>
    <w:rsid w:val="00C15705"/>
    <w:rsid w:val="00C15E1A"/>
    <w:rsid w:val="00C15EDB"/>
    <w:rsid w:val="00C16682"/>
    <w:rsid w:val="00C16C5C"/>
    <w:rsid w:val="00C16CC6"/>
    <w:rsid w:val="00C16E87"/>
    <w:rsid w:val="00C16F49"/>
    <w:rsid w:val="00C17345"/>
    <w:rsid w:val="00C17826"/>
    <w:rsid w:val="00C17C65"/>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6806"/>
    <w:rsid w:val="00C272D0"/>
    <w:rsid w:val="00C2764E"/>
    <w:rsid w:val="00C27653"/>
    <w:rsid w:val="00C27D82"/>
    <w:rsid w:val="00C27FF9"/>
    <w:rsid w:val="00C30C08"/>
    <w:rsid w:val="00C314AC"/>
    <w:rsid w:val="00C31F3E"/>
    <w:rsid w:val="00C328AA"/>
    <w:rsid w:val="00C32A54"/>
    <w:rsid w:val="00C32E4B"/>
    <w:rsid w:val="00C33A96"/>
    <w:rsid w:val="00C35610"/>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688"/>
    <w:rsid w:val="00C5194F"/>
    <w:rsid w:val="00C51E86"/>
    <w:rsid w:val="00C5250C"/>
    <w:rsid w:val="00C52D72"/>
    <w:rsid w:val="00C52E82"/>
    <w:rsid w:val="00C53627"/>
    <w:rsid w:val="00C53DD2"/>
    <w:rsid w:val="00C54550"/>
    <w:rsid w:val="00C54938"/>
    <w:rsid w:val="00C54ACC"/>
    <w:rsid w:val="00C54E5F"/>
    <w:rsid w:val="00C55FB9"/>
    <w:rsid w:val="00C56275"/>
    <w:rsid w:val="00C5630F"/>
    <w:rsid w:val="00C5699C"/>
    <w:rsid w:val="00C56A8C"/>
    <w:rsid w:val="00C5730F"/>
    <w:rsid w:val="00C57492"/>
    <w:rsid w:val="00C57939"/>
    <w:rsid w:val="00C605DC"/>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2EA8"/>
    <w:rsid w:val="00C730AF"/>
    <w:rsid w:val="00C73FC5"/>
    <w:rsid w:val="00C74734"/>
    <w:rsid w:val="00C74B26"/>
    <w:rsid w:val="00C761F2"/>
    <w:rsid w:val="00C800B4"/>
    <w:rsid w:val="00C801C8"/>
    <w:rsid w:val="00C8154F"/>
    <w:rsid w:val="00C81825"/>
    <w:rsid w:val="00C81E7D"/>
    <w:rsid w:val="00C82C2D"/>
    <w:rsid w:val="00C82E0C"/>
    <w:rsid w:val="00C834D5"/>
    <w:rsid w:val="00C83E7C"/>
    <w:rsid w:val="00C8400D"/>
    <w:rsid w:val="00C8401E"/>
    <w:rsid w:val="00C84A08"/>
    <w:rsid w:val="00C851BB"/>
    <w:rsid w:val="00C85466"/>
    <w:rsid w:val="00C856E0"/>
    <w:rsid w:val="00C86901"/>
    <w:rsid w:val="00C86C0C"/>
    <w:rsid w:val="00C87276"/>
    <w:rsid w:val="00C872E9"/>
    <w:rsid w:val="00C872EF"/>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75A"/>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204"/>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C7FE3"/>
    <w:rsid w:val="00CD0973"/>
    <w:rsid w:val="00CD141D"/>
    <w:rsid w:val="00CD1771"/>
    <w:rsid w:val="00CD2476"/>
    <w:rsid w:val="00CD26A4"/>
    <w:rsid w:val="00CD29EB"/>
    <w:rsid w:val="00CD2E0E"/>
    <w:rsid w:val="00CD36C5"/>
    <w:rsid w:val="00CD4A59"/>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2E9"/>
    <w:rsid w:val="00D10A3B"/>
    <w:rsid w:val="00D10C13"/>
    <w:rsid w:val="00D11482"/>
    <w:rsid w:val="00D117A1"/>
    <w:rsid w:val="00D135C5"/>
    <w:rsid w:val="00D1398B"/>
    <w:rsid w:val="00D13A39"/>
    <w:rsid w:val="00D13CEA"/>
    <w:rsid w:val="00D15593"/>
    <w:rsid w:val="00D1572B"/>
    <w:rsid w:val="00D15E43"/>
    <w:rsid w:val="00D16741"/>
    <w:rsid w:val="00D167E7"/>
    <w:rsid w:val="00D16842"/>
    <w:rsid w:val="00D16CAA"/>
    <w:rsid w:val="00D16D4C"/>
    <w:rsid w:val="00D16E2D"/>
    <w:rsid w:val="00D208A0"/>
    <w:rsid w:val="00D210CC"/>
    <w:rsid w:val="00D23009"/>
    <w:rsid w:val="00D23582"/>
    <w:rsid w:val="00D235F9"/>
    <w:rsid w:val="00D240F9"/>
    <w:rsid w:val="00D2507F"/>
    <w:rsid w:val="00D25598"/>
    <w:rsid w:val="00D25B58"/>
    <w:rsid w:val="00D27020"/>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1F2"/>
    <w:rsid w:val="00D4625E"/>
    <w:rsid w:val="00D47BDC"/>
    <w:rsid w:val="00D5049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2EB1"/>
    <w:rsid w:val="00D7300D"/>
    <w:rsid w:val="00D7337E"/>
    <w:rsid w:val="00D73F82"/>
    <w:rsid w:val="00D74D3A"/>
    <w:rsid w:val="00D75C5E"/>
    <w:rsid w:val="00D76C13"/>
    <w:rsid w:val="00D771D3"/>
    <w:rsid w:val="00D77315"/>
    <w:rsid w:val="00D776D5"/>
    <w:rsid w:val="00D7783D"/>
    <w:rsid w:val="00D77F58"/>
    <w:rsid w:val="00D8017E"/>
    <w:rsid w:val="00D803DF"/>
    <w:rsid w:val="00D809F3"/>
    <w:rsid w:val="00D80A8D"/>
    <w:rsid w:val="00D8112A"/>
    <w:rsid w:val="00D81179"/>
    <w:rsid w:val="00D81F4D"/>
    <w:rsid w:val="00D82243"/>
    <w:rsid w:val="00D83AC4"/>
    <w:rsid w:val="00D83E5E"/>
    <w:rsid w:val="00D844C6"/>
    <w:rsid w:val="00D846AB"/>
    <w:rsid w:val="00D84763"/>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6E9"/>
    <w:rsid w:val="00D96925"/>
    <w:rsid w:val="00D97052"/>
    <w:rsid w:val="00D9757B"/>
    <w:rsid w:val="00D976B6"/>
    <w:rsid w:val="00D976F5"/>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2E8"/>
    <w:rsid w:val="00DD25F4"/>
    <w:rsid w:val="00DD29E5"/>
    <w:rsid w:val="00DD2B70"/>
    <w:rsid w:val="00DD386F"/>
    <w:rsid w:val="00DD38D2"/>
    <w:rsid w:val="00DD4903"/>
    <w:rsid w:val="00DD4A9D"/>
    <w:rsid w:val="00DD5426"/>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753"/>
    <w:rsid w:val="00E33AA3"/>
    <w:rsid w:val="00E34425"/>
    <w:rsid w:val="00E34624"/>
    <w:rsid w:val="00E3475E"/>
    <w:rsid w:val="00E34AD5"/>
    <w:rsid w:val="00E36085"/>
    <w:rsid w:val="00E36561"/>
    <w:rsid w:val="00E36F9E"/>
    <w:rsid w:val="00E3756A"/>
    <w:rsid w:val="00E409FD"/>
    <w:rsid w:val="00E42289"/>
    <w:rsid w:val="00E42E00"/>
    <w:rsid w:val="00E432E9"/>
    <w:rsid w:val="00E43C9C"/>
    <w:rsid w:val="00E43CF2"/>
    <w:rsid w:val="00E44201"/>
    <w:rsid w:val="00E44EA4"/>
    <w:rsid w:val="00E44F61"/>
    <w:rsid w:val="00E45319"/>
    <w:rsid w:val="00E46028"/>
    <w:rsid w:val="00E47E4E"/>
    <w:rsid w:val="00E50065"/>
    <w:rsid w:val="00E5063D"/>
    <w:rsid w:val="00E517B4"/>
    <w:rsid w:val="00E51A36"/>
    <w:rsid w:val="00E51B50"/>
    <w:rsid w:val="00E51D31"/>
    <w:rsid w:val="00E526B4"/>
    <w:rsid w:val="00E52AED"/>
    <w:rsid w:val="00E530F4"/>
    <w:rsid w:val="00E53496"/>
    <w:rsid w:val="00E534A5"/>
    <w:rsid w:val="00E53E69"/>
    <w:rsid w:val="00E54229"/>
    <w:rsid w:val="00E543A7"/>
    <w:rsid w:val="00E543C1"/>
    <w:rsid w:val="00E5521E"/>
    <w:rsid w:val="00E553D4"/>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53F"/>
    <w:rsid w:val="00E90B36"/>
    <w:rsid w:val="00E90E79"/>
    <w:rsid w:val="00E91620"/>
    <w:rsid w:val="00E91B2D"/>
    <w:rsid w:val="00E92031"/>
    <w:rsid w:val="00E92342"/>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97E58"/>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55"/>
    <w:rsid w:val="00EA57BA"/>
    <w:rsid w:val="00EA5B64"/>
    <w:rsid w:val="00EA5D8D"/>
    <w:rsid w:val="00EA5FEC"/>
    <w:rsid w:val="00EA79E7"/>
    <w:rsid w:val="00EB0727"/>
    <w:rsid w:val="00EB0748"/>
    <w:rsid w:val="00EB0D4F"/>
    <w:rsid w:val="00EB12D2"/>
    <w:rsid w:val="00EB192A"/>
    <w:rsid w:val="00EB1CB1"/>
    <w:rsid w:val="00EB239E"/>
    <w:rsid w:val="00EB269A"/>
    <w:rsid w:val="00EB28EC"/>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296"/>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36"/>
    <w:rsid w:val="00EE7BBB"/>
    <w:rsid w:val="00EE7BC5"/>
    <w:rsid w:val="00EF1366"/>
    <w:rsid w:val="00EF169C"/>
    <w:rsid w:val="00EF18F1"/>
    <w:rsid w:val="00EF1ACE"/>
    <w:rsid w:val="00EF31BC"/>
    <w:rsid w:val="00EF354D"/>
    <w:rsid w:val="00EF4076"/>
    <w:rsid w:val="00EF4664"/>
    <w:rsid w:val="00EF47E9"/>
    <w:rsid w:val="00EF53D9"/>
    <w:rsid w:val="00EF5D8E"/>
    <w:rsid w:val="00EF5F2B"/>
    <w:rsid w:val="00EF6A8F"/>
    <w:rsid w:val="00EF6D8B"/>
    <w:rsid w:val="00EF71AC"/>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07D3D"/>
    <w:rsid w:val="00F10BC9"/>
    <w:rsid w:val="00F10CC9"/>
    <w:rsid w:val="00F10DDF"/>
    <w:rsid w:val="00F10F69"/>
    <w:rsid w:val="00F110EB"/>
    <w:rsid w:val="00F11324"/>
    <w:rsid w:val="00F1165A"/>
    <w:rsid w:val="00F11C8F"/>
    <w:rsid w:val="00F124C1"/>
    <w:rsid w:val="00F12A02"/>
    <w:rsid w:val="00F13A3F"/>
    <w:rsid w:val="00F14C76"/>
    <w:rsid w:val="00F1542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A46"/>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8C8"/>
    <w:rsid w:val="00F71922"/>
    <w:rsid w:val="00F721D4"/>
    <w:rsid w:val="00F724B1"/>
    <w:rsid w:val="00F7276E"/>
    <w:rsid w:val="00F72B82"/>
    <w:rsid w:val="00F73533"/>
    <w:rsid w:val="00F73AF4"/>
    <w:rsid w:val="00F7479E"/>
    <w:rsid w:val="00F748CE"/>
    <w:rsid w:val="00F7518B"/>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21A5"/>
    <w:rsid w:val="00FB4D69"/>
    <w:rsid w:val="00FB52DF"/>
    <w:rsid w:val="00FB69F5"/>
    <w:rsid w:val="00FB7758"/>
    <w:rsid w:val="00FB7D0C"/>
    <w:rsid w:val="00FC0038"/>
    <w:rsid w:val="00FC1743"/>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6EC8"/>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1F5"/>
    <w:rsid w:val="00FF0552"/>
    <w:rsid w:val="00FF21D4"/>
    <w:rsid w:val="00FF265F"/>
    <w:rsid w:val="00FF2A42"/>
    <w:rsid w:val="00FF4F0B"/>
    <w:rsid w:val="00FF5581"/>
    <w:rsid w:val="00FF5615"/>
    <w:rsid w:val="00FF5B6C"/>
    <w:rsid w:val="00FF5EB4"/>
    <w:rsid w:val="00FF6D6E"/>
    <w:rsid w:val="00FF6DAA"/>
    <w:rsid w:val="00FF6E5E"/>
    <w:rsid w:val="00FF7A99"/>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AC61E424-3953-478E-B3B2-2EE5D5370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14F5"/>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basedOn w:val="Normal"/>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67D32"/>
    <w:rPr>
      <w:rFonts w:ascii="Arial" w:hAnsi="Arial"/>
      <w:sz w:val="36"/>
      <w:lang w:val="en-GB" w:eastAsia="en-US"/>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
    <w:link w:val="Caption"/>
    <w:rsid w:val="00DD22E8"/>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6779914">
      <w:bodyDiv w:val="1"/>
      <w:marLeft w:val="0"/>
      <w:marRight w:val="0"/>
      <w:marTop w:val="0"/>
      <w:marBottom w:val="0"/>
      <w:divBdr>
        <w:top w:val="none" w:sz="0" w:space="0" w:color="auto"/>
        <w:left w:val="none" w:sz="0" w:space="0" w:color="auto"/>
        <w:bottom w:val="none" w:sz="0" w:space="0" w:color="auto"/>
        <w:right w:val="none" w:sz="0" w:space="0" w:color="auto"/>
      </w:divBdr>
      <w:divsChild>
        <w:div w:id="1271165180">
          <w:marLeft w:val="547"/>
          <w:marRight w:val="0"/>
          <w:marTop w:val="0"/>
          <w:marBottom w:val="0"/>
          <w:divBdr>
            <w:top w:val="none" w:sz="0" w:space="0" w:color="auto"/>
            <w:left w:val="none" w:sz="0" w:space="0" w:color="auto"/>
            <w:bottom w:val="none" w:sz="0" w:space="0" w:color="auto"/>
            <w:right w:val="none" w:sz="0" w:space="0" w:color="auto"/>
          </w:divBdr>
        </w:div>
        <w:div w:id="1180462488">
          <w:marLeft w:val="1080"/>
          <w:marRight w:val="0"/>
          <w:marTop w:val="0"/>
          <w:marBottom w:val="0"/>
          <w:divBdr>
            <w:top w:val="none" w:sz="0" w:space="0" w:color="auto"/>
            <w:left w:val="none" w:sz="0" w:space="0" w:color="auto"/>
            <w:bottom w:val="none" w:sz="0" w:space="0" w:color="auto"/>
            <w:right w:val="none" w:sz="0" w:space="0" w:color="auto"/>
          </w:divBdr>
        </w:div>
        <w:div w:id="403989044">
          <w:marLeft w:val="1080"/>
          <w:marRight w:val="0"/>
          <w:marTop w:val="0"/>
          <w:marBottom w:val="0"/>
          <w:divBdr>
            <w:top w:val="none" w:sz="0" w:space="0" w:color="auto"/>
            <w:left w:val="none" w:sz="0" w:space="0" w:color="auto"/>
            <w:bottom w:val="none" w:sz="0" w:space="0" w:color="auto"/>
            <w:right w:val="none" w:sz="0" w:space="0" w:color="auto"/>
          </w:divBdr>
        </w:div>
        <w:div w:id="1661690725">
          <w:marLeft w:val="1080"/>
          <w:marRight w:val="0"/>
          <w:marTop w:val="0"/>
          <w:marBottom w:val="0"/>
          <w:divBdr>
            <w:top w:val="none" w:sz="0" w:space="0" w:color="auto"/>
            <w:left w:val="none" w:sz="0" w:space="0" w:color="auto"/>
            <w:bottom w:val="none" w:sz="0" w:space="0" w:color="auto"/>
            <w:right w:val="none" w:sz="0" w:space="0" w:color="auto"/>
          </w:divBdr>
        </w:div>
        <w:div w:id="1694375523">
          <w:marLeft w:val="547"/>
          <w:marRight w:val="0"/>
          <w:marTop w:val="0"/>
          <w:marBottom w:val="0"/>
          <w:divBdr>
            <w:top w:val="none" w:sz="0" w:space="0" w:color="auto"/>
            <w:left w:val="none" w:sz="0" w:space="0" w:color="auto"/>
            <w:bottom w:val="none" w:sz="0" w:space="0" w:color="auto"/>
            <w:right w:val="none" w:sz="0" w:space="0" w:color="auto"/>
          </w:divBdr>
        </w:div>
        <w:div w:id="802311827">
          <w:marLeft w:val="547"/>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21671">
      <w:bodyDiv w:val="1"/>
      <w:marLeft w:val="0"/>
      <w:marRight w:val="0"/>
      <w:marTop w:val="0"/>
      <w:marBottom w:val="0"/>
      <w:divBdr>
        <w:top w:val="none" w:sz="0" w:space="0" w:color="auto"/>
        <w:left w:val="none" w:sz="0" w:space="0" w:color="auto"/>
        <w:bottom w:val="none" w:sz="0" w:space="0" w:color="auto"/>
        <w:right w:val="none" w:sz="0" w:space="0" w:color="auto"/>
      </w:divBdr>
      <w:divsChild>
        <w:div w:id="1715036595">
          <w:marLeft w:val="994"/>
          <w:marRight w:val="0"/>
          <w:marTop w:val="96"/>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287765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87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7678594">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6343534">
      <w:bodyDiv w:val="1"/>
      <w:marLeft w:val="0"/>
      <w:marRight w:val="0"/>
      <w:marTop w:val="0"/>
      <w:marBottom w:val="0"/>
      <w:divBdr>
        <w:top w:val="none" w:sz="0" w:space="0" w:color="auto"/>
        <w:left w:val="none" w:sz="0" w:space="0" w:color="auto"/>
        <w:bottom w:val="none" w:sz="0" w:space="0" w:color="auto"/>
        <w:right w:val="none" w:sz="0" w:space="0" w:color="auto"/>
      </w:divBdr>
      <w:divsChild>
        <w:div w:id="107697833">
          <w:marLeft w:val="1714"/>
          <w:marRight w:val="0"/>
          <w:marTop w:val="86"/>
          <w:marBottom w:val="0"/>
          <w:divBdr>
            <w:top w:val="none" w:sz="0" w:space="0" w:color="auto"/>
            <w:left w:val="none" w:sz="0" w:space="0" w:color="auto"/>
            <w:bottom w:val="none" w:sz="0" w:space="0" w:color="auto"/>
            <w:right w:val="none" w:sz="0" w:space="0" w:color="auto"/>
          </w:divBdr>
        </w:div>
        <w:div w:id="1933007979">
          <w:marLeft w:val="2434"/>
          <w:marRight w:val="0"/>
          <w:marTop w:val="86"/>
          <w:marBottom w:val="0"/>
          <w:divBdr>
            <w:top w:val="none" w:sz="0" w:space="0" w:color="auto"/>
            <w:left w:val="none" w:sz="0" w:space="0" w:color="auto"/>
            <w:bottom w:val="none" w:sz="0" w:space="0" w:color="auto"/>
            <w:right w:val="none" w:sz="0" w:space="0" w:color="auto"/>
          </w:divBdr>
        </w:div>
        <w:div w:id="810946850">
          <w:marLeft w:val="2434"/>
          <w:marRight w:val="0"/>
          <w:marTop w:val="86"/>
          <w:marBottom w:val="0"/>
          <w:divBdr>
            <w:top w:val="none" w:sz="0" w:space="0" w:color="auto"/>
            <w:left w:val="none" w:sz="0" w:space="0" w:color="auto"/>
            <w:bottom w:val="none" w:sz="0" w:space="0" w:color="auto"/>
            <w:right w:val="none" w:sz="0" w:space="0" w:color="auto"/>
          </w:divBdr>
        </w:div>
        <w:div w:id="1205867817">
          <w:marLeft w:val="3154"/>
          <w:marRight w:val="0"/>
          <w:marTop w:val="77"/>
          <w:marBottom w:val="0"/>
          <w:divBdr>
            <w:top w:val="none" w:sz="0" w:space="0" w:color="auto"/>
            <w:left w:val="none" w:sz="0" w:space="0" w:color="auto"/>
            <w:bottom w:val="none" w:sz="0" w:space="0" w:color="auto"/>
            <w:right w:val="none" w:sz="0" w:space="0" w:color="auto"/>
          </w:divBdr>
        </w:div>
        <w:div w:id="1851215836">
          <w:marLeft w:val="2434"/>
          <w:marRight w:val="0"/>
          <w:marTop w:val="86"/>
          <w:marBottom w:val="0"/>
          <w:divBdr>
            <w:top w:val="none" w:sz="0" w:space="0" w:color="auto"/>
            <w:left w:val="none" w:sz="0" w:space="0" w:color="auto"/>
            <w:bottom w:val="none" w:sz="0" w:space="0" w:color="auto"/>
            <w:right w:val="none" w:sz="0" w:space="0" w:color="auto"/>
          </w:divBdr>
        </w:div>
        <w:div w:id="2108693701">
          <w:marLeft w:val="3154"/>
          <w:marRight w:val="0"/>
          <w:marTop w:val="77"/>
          <w:marBottom w:val="0"/>
          <w:divBdr>
            <w:top w:val="none" w:sz="0" w:space="0" w:color="auto"/>
            <w:left w:val="none" w:sz="0" w:space="0" w:color="auto"/>
            <w:bottom w:val="none" w:sz="0" w:space="0" w:color="auto"/>
            <w:right w:val="none" w:sz="0" w:space="0" w:color="auto"/>
          </w:divBdr>
        </w:div>
        <w:div w:id="185489860">
          <w:marLeft w:val="3154"/>
          <w:marRight w:val="0"/>
          <w:marTop w:val="77"/>
          <w:marBottom w:val="0"/>
          <w:divBdr>
            <w:top w:val="none" w:sz="0" w:space="0" w:color="auto"/>
            <w:left w:val="none" w:sz="0" w:space="0" w:color="auto"/>
            <w:bottom w:val="none" w:sz="0" w:space="0" w:color="auto"/>
            <w:right w:val="none" w:sz="0" w:space="0" w:color="auto"/>
          </w:divBdr>
        </w:div>
        <w:div w:id="24840798">
          <w:marLeft w:val="3154"/>
          <w:marRight w:val="0"/>
          <w:marTop w:val="77"/>
          <w:marBottom w:val="0"/>
          <w:divBdr>
            <w:top w:val="none" w:sz="0" w:space="0" w:color="auto"/>
            <w:left w:val="none" w:sz="0" w:space="0" w:color="auto"/>
            <w:bottom w:val="none" w:sz="0" w:space="0" w:color="auto"/>
            <w:right w:val="none" w:sz="0" w:space="0" w:color="auto"/>
          </w:divBdr>
        </w:div>
        <w:div w:id="2130470458">
          <w:marLeft w:val="2434"/>
          <w:marRight w:val="0"/>
          <w:marTop w:val="86"/>
          <w:marBottom w:val="0"/>
          <w:divBdr>
            <w:top w:val="none" w:sz="0" w:space="0" w:color="auto"/>
            <w:left w:val="none" w:sz="0" w:space="0" w:color="auto"/>
            <w:bottom w:val="none" w:sz="0" w:space="0" w:color="auto"/>
            <w:right w:val="none" w:sz="0" w:space="0" w:color="auto"/>
          </w:divBdr>
        </w:div>
        <w:div w:id="1095857967">
          <w:marLeft w:val="2434"/>
          <w:marRight w:val="0"/>
          <w:marTop w:val="86"/>
          <w:marBottom w:val="0"/>
          <w:divBdr>
            <w:top w:val="none" w:sz="0" w:space="0" w:color="auto"/>
            <w:left w:val="none" w:sz="0" w:space="0" w:color="auto"/>
            <w:bottom w:val="none" w:sz="0" w:space="0" w:color="auto"/>
            <w:right w:val="none" w:sz="0" w:space="0" w:color="auto"/>
          </w:divBdr>
        </w:div>
        <w:div w:id="889800388">
          <w:marLeft w:val="1714"/>
          <w:marRight w:val="0"/>
          <w:marTop w:val="86"/>
          <w:marBottom w:val="0"/>
          <w:divBdr>
            <w:top w:val="none" w:sz="0" w:space="0" w:color="auto"/>
            <w:left w:val="none" w:sz="0" w:space="0" w:color="auto"/>
            <w:bottom w:val="none" w:sz="0" w:space="0" w:color="auto"/>
            <w:right w:val="none" w:sz="0" w:space="0" w:color="auto"/>
          </w:divBdr>
        </w:div>
        <w:div w:id="1589384894">
          <w:marLeft w:val="1714"/>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2EB24-2CD5-4F06-B540-187FDB10E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1423</Words>
  <Characters>8116</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umer.salim@tcl.com</dc:creator>
  <cp:keywords>3GPP</cp:keywords>
  <cp:lastModifiedBy>Umer, SALIM</cp:lastModifiedBy>
  <cp:revision>18</cp:revision>
  <cp:lastPrinted>2010-04-02T09:58:00Z</cp:lastPrinted>
  <dcterms:created xsi:type="dcterms:W3CDTF">2017-09-11T16:11:00Z</dcterms:created>
  <dcterms:modified xsi:type="dcterms:W3CDTF">2017-09-11T16:26:00Z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