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9873C5" w:rsidRDefault="00F7039A" w:rsidP="00F7039A">
      <w:pPr>
        <w:pStyle w:val="Header"/>
        <w:tabs>
          <w:tab w:val="right" w:pos="9639"/>
        </w:tabs>
        <w:rPr>
          <w:bCs/>
          <w:i/>
          <w:noProof w:val="0"/>
          <w:sz w:val="32"/>
          <w:lang w:eastAsia="zh-CN"/>
        </w:rPr>
      </w:pPr>
      <w:bookmarkStart w:id="0" w:name="OLE_LINK5"/>
      <w:bookmarkStart w:id="1" w:name="OLE_LINK6"/>
      <w:r w:rsidRPr="009873C5">
        <w:rPr>
          <w:bCs/>
          <w:noProof w:val="0"/>
          <w:sz w:val="24"/>
        </w:rPr>
        <w:t>3GPP T</w:t>
      </w:r>
      <w:bookmarkStart w:id="2" w:name="_Ref452454252"/>
      <w:bookmarkEnd w:id="2"/>
      <w:r w:rsidRPr="009873C5">
        <w:rPr>
          <w:bCs/>
          <w:noProof w:val="0"/>
          <w:sz w:val="24"/>
        </w:rPr>
        <w:t xml:space="preserve">SG-RAN </w:t>
      </w:r>
      <w:r w:rsidRPr="009873C5">
        <w:rPr>
          <w:noProof w:val="0"/>
          <w:sz w:val="24"/>
        </w:rPr>
        <w:t>WG1</w:t>
      </w:r>
      <w:r w:rsidR="00D00042" w:rsidRPr="009873C5">
        <w:rPr>
          <w:noProof w:val="0"/>
          <w:sz w:val="24"/>
        </w:rPr>
        <w:t xml:space="preserve"> NRAH#3</w:t>
      </w:r>
      <w:r w:rsidRPr="009873C5">
        <w:rPr>
          <w:bCs/>
          <w:noProof w:val="0"/>
          <w:sz w:val="24"/>
        </w:rPr>
        <w:tab/>
      </w:r>
      <w:r w:rsidR="001D1927" w:rsidRPr="009873C5">
        <w:rPr>
          <w:bCs/>
          <w:noProof w:val="0"/>
          <w:sz w:val="24"/>
          <w:lang w:eastAsia="ja-JP"/>
        </w:rPr>
        <w:t>R1-1715751</w:t>
      </w:r>
    </w:p>
    <w:p w:rsidR="00787640" w:rsidRPr="009873C5" w:rsidRDefault="00935B35" w:rsidP="00F7039A">
      <w:pPr>
        <w:pStyle w:val="Header"/>
        <w:tabs>
          <w:tab w:val="right" w:pos="9639"/>
        </w:tabs>
        <w:rPr>
          <w:bCs/>
          <w:noProof w:val="0"/>
          <w:sz w:val="24"/>
        </w:rPr>
      </w:pPr>
      <w:r w:rsidRPr="009873C5">
        <w:rPr>
          <w:noProof w:val="0"/>
          <w:sz w:val="24"/>
        </w:rPr>
        <w:t xml:space="preserve">Nagoya, Japan, 18th-21st </w:t>
      </w:r>
      <w:r w:rsidR="00F27857" w:rsidRPr="009873C5">
        <w:rPr>
          <w:noProof w:val="0"/>
          <w:sz w:val="24"/>
        </w:rPr>
        <w:t>September</w:t>
      </w:r>
      <w:r w:rsidRPr="009873C5">
        <w:rPr>
          <w:noProof w:val="0"/>
          <w:sz w:val="24"/>
        </w:rPr>
        <w:t xml:space="preserve"> 2017</w:t>
      </w:r>
      <w:r w:rsidR="000731DE" w:rsidRPr="009873C5">
        <w:rPr>
          <w:sz w:val="24"/>
          <w:szCs w:val="24"/>
        </w:rPr>
        <w:tab/>
      </w:r>
    </w:p>
    <w:bookmarkEnd w:id="0"/>
    <w:bookmarkEnd w:id="1"/>
    <w:p w:rsidR="00787640" w:rsidRPr="009873C5" w:rsidRDefault="00787640" w:rsidP="00787640">
      <w:pPr>
        <w:pStyle w:val="Header"/>
        <w:rPr>
          <w:bCs/>
          <w:noProof w:val="0"/>
          <w:sz w:val="24"/>
          <w:lang w:eastAsia="ja-JP"/>
        </w:rPr>
      </w:pPr>
    </w:p>
    <w:p w:rsidR="00787640" w:rsidRPr="009873C5" w:rsidRDefault="00787640" w:rsidP="00787640">
      <w:pPr>
        <w:pStyle w:val="CRCoverPage"/>
        <w:rPr>
          <w:rFonts w:cs="Arial"/>
          <w:b/>
          <w:bCs/>
          <w:sz w:val="24"/>
          <w:lang w:val="en-US" w:eastAsia="ja-JP"/>
        </w:rPr>
      </w:pPr>
      <w:r w:rsidRPr="009873C5">
        <w:rPr>
          <w:rFonts w:cs="Arial"/>
          <w:b/>
          <w:bCs/>
          <w:sz w:val="24"/>
          <w:lang w:val="en-US"/>
        </w:rPr>
        <w:t>Agenda item:</w:t>
      </w:r>
      <w:r w:rsidRPr="009873C5">
        <w:rPr>
          <w:rFonts w:cs="Arial"/>
          <w:b/>
          <w:bCs/>
          <w:sz w:val="24"/>
          <w:lang w:val="en-US"/>
        </w:rPr>
        <w:tab/>
      </w:r>
      <w:r w:rsidRPr="009873C5">
        <w:rPr>
          <w:rFonts w:cs="Arial"/>
          <w:b/>
          <w:bCs/>
          <w:sz w:val="24"/>
          <w:lang w:val="en-US"/>
        </w:rPr>
        <w:tab/>
      </w:r>
      <w:r w:rsidR="00717B10" w:rsidRPr="009873C5">
        <w:rPr>
          <w:rFonts w:cs="Arial"/>
          <w:b/>
          <w:bCs/>
          <w:sz w:val="24"/>
          <w:lang w:val="en-US"/>
        </w:rPr>
        <w:t>6</w:t>
      </w:r>
      <w:r w:rsidR="00BC1BBE" w:rsidRPr="009873C5">
        <w:rPr>
          <w:rFonts w:cs="Arial"/>
          <w:b/>
          <w:bCs/>
          <w:sz w:val="24"/>
          <w:lang w:val="en-US"/>
        </w:rPr>
        <w:t>.</w:t>
      </w:r>
      <w:r w:rsidR="00095351" w:rsidRPr="009873C5">
        <w:rPr>
          <w:rFonts w:cs="Arial"/>
          <w:b/>
          <w:bCs/>
          <w:sz w:val="24"/>
          <w:lang w:val="en-US"/>
        </w:rPr>
        <w:t>3.1.4</w:t>
      </w:r>
    </w:p>
    <w:p w:rsidR="00787640" w:rsidRPr="009873C5" w:rsidRDefault="00787640" w:rsidP="00787640">
      <w:pPr>
        <w:tabs>
          <w:tab w:val="left" w:pos="1985"/>
        </w:tabs>
        <w:ind w:left="1985" w:hanging="1985"/>
        <w:rPr>
          <w:rFonts w:ascii="Arial" w:hAnsi="Arial" w:cs="Arial"/>
          <w:b/>
          <w:bCs/>
          <w:sz w:val="24"/>
        </w:rPr>
      </w:pPr>
      <w:r w:rsidRPr="009873C5">
        <w:rPr>
          <w:rFonts w:ascii="Arial" w:hAnsi="Arial" w:cs="Arial"/>
          <w:b/>
          <w:bCs/>
          <w:sz w:val="24"/>
        </w:rPr>
        <w:t>Source:</w:t>
      </w:r>
      <w:r w:rsidRPr="009873C5">
        <w:rPr>
          <w:rFonts w:ascii="Arial" w:hAnsi="Arial" w:cs="Arial"/>
          <w:b/>
          <w:bCs/>
          <w:sz w:val="24"/>
        </w:rPr>
        <w:tab/>
      </w:r>
      <w:bookmarkStart w:id="3" w:name="OLE_LINK1"/>
      <w:bookmarkStart w:id="4" w:name="OLE_LINK2"/>
      <w:r w:rsidRPr="009873C5">
        <w:rPr>
          <w:rFonts w:ascii="Arial" w:hAnsi="Arial" w:cs="Arial"/>
          <w:b/>
          <w:bCs/>
          <w:sz w:val="24"/>
        </w:rPr>
        <w:t>Nokia</w:t>
      </w:r>
      <w:bookmarkEnd w:id="3"/>
      <w:bookmarkEnd w:id="4"/>
      <w:r w:rsidR="00F80DB5" w:rsidRPr="009873C5">
        <w:rPr>
          <w:rFonts w:ascii="Arial" w:hAnsi="Arial" w:cs="Arial"/>
          <w:b/>
          <w:bCs/>
          <w:sz w:val="24"/>
        </w:rPr>
        <w:t xml:space="preserve">, </w:t>
      </w:r>
      <w:r w:rsidR="00717B10" w:rsidRPr="009873C5">
        <w:rPr>
          <w:rFonts w:ascii="Arial" w:hAnsi="Arial" w:cs="Arial"/>
          <w:b/>
          <w:bCs/>
          <w:sz w:val="24"/>
        </w:rPr>
        <w:t>Nokia</w:t>
      </w:r>
      <w:r w:rsidR="00F80DB5" w:rsidRPr="009873C5">
        <w:rPr>
          <w:rFonts w:ascii="Arial" w:hAnsi="Arial" w:cs="Arial"/>
          <w:b/>
          <w:bCs/>
          <w:sz w:val="24"/>
        </w:rPr>
        <w:t xml:space="preserve"> Shanghai Bell</w:t>
      </w:r>
      <w:r w:rsidR="00DD5FAA" w:rsidRPr="009873C5">
        <w:rPr>
          <w:rFonts w:ascii="Arial" w:hAnsi="Arial" w:cs="Arial"/>
          <w:b/>
          <w:bCs/>
          <w:sz w:val="24"/>
        </w:rPr>
        <w:t xml:space="preserve"> </w:t>
      </w:r>
    </w:p>
    <w:p w:rsidR="00787640" w:rsidRPr="009873C5" w:rsidRDefault="00787640" w:rsidP="00787640">
      <w:pPr>
        <w:ind w:left="1985" w:hanging="1985"/>
        <w:rPr>
          <w:rFonts w:ascii="Arial" w:hAnsi="Arial" w:cs="Arial"/>
          <w:b/>
          <w:bCs/>
          <w:sz w:val="24"/>
        </w:rPr>
      </w:pPr>
      <w:r w:rsidRPr="009873C5">
        <w:rPr>
          <w:rFonts w:ascii="Arial" w:hAnsi="Arial" w:cs="Arial"/>
          <w:b/>
          <w:bCs/>
          <w:sz w:val="24"/>
        </w:rPr>
        <w:t>Title:</w:t>
      </w:r>
      <w:r w:rsidRPr="009873C5">
        <w:rPr>
          <w:rFonts w:ascii="Arial" w:hAnsi="Arial" w:cs="Arial"/>
          <w:b/>
          <w:bCs/>
          <w:sz w:val="24"/>
        </w:rPr>
        <w:tab/>
      </w:r>
      <w:r w:rsidR="00896884" w:rsidRPr="009873C5">
        <w:rPr>
          <w:rFonts w:ascii="Arial" w:hAnsi="Arial" w:cs="Arial"/>
          <w:b/>
          <w:bCs/>
          <w:sz w:val="24"/>
        </w:rPr>
        <w:t xml:space="preserve">On </w:t>
      </w:r>
      <w:r w:rsidR="00BC1BBE" w:rsidRPr="009873C5">
        <w:rPr>
          <w:rFonts w:ascii="Arial" w:hAnsi="Arial" w:cs="Arial"/>
          <w:b/>
          <w:bCs/>
          <w:sz w:val="24"/>
        </w:rPr>
        <w:t>th</w:t>
      </w:r>
      <w:r w:rsidR="00717B10" w:rsidRPr="009873C5">
        <w:rPr>
          <w:rFonts w:ascii="Arial" w:hAnsi="Arial" w:cs="Arial"/>
          <w:b/>
          <w:bCs/>
          <w:sz w:val="24"/>
        </w:rPr>
        <w:t xml:space="preserve">e </w:t>
      </w:r>
      <w:r w:rsidR="00D00042" w:rsidRPr="009873C5">
        <w:rPr>
          <w:rFonts w:ascii="Arial" w:hAnsi="Arial" w:cs="Arial"/>
          <w:b/>
          <w:bCs/>
          <w:sz w:val="24"/>
        </w:rPr>
        <w:t>remaining aspects of</w:t>
      </w:r>
      <w:r w:rsidR="00717B10" w:rsidRPr="009873C5">
        <w:rPr>
          <w:rFonts w:ascii="Arial" w:hAnsi="Arial" w:cs="Arial"/>
          <w:b/>
          <w:bCs/>
          <w:sz w:val="24"/>
        </w:rPr>
        <w:t xml:space="preserve"> group-</w:t>
      </w:r>
      <w:r w:rsidR="00896884" w:rsidRPr="009873C5">
        <w:rPr>
          <w:rFonts w:ascii="Arial" w:hAnsi="Arial" w:cs="Arial"/>
          <w:b/>
          <w:bCs/>
          <w:sz w:val="24"/>
        </w:rPr>
        <w:t xml:space="preserve">common PDCCH </w:t>
      </w:r>
      <w:r w:rsidR="00BC1BBE" w:rsidRPr="009873C5">
        <w:rPr>
          <w:rFonts w:ascii="Arial" w:hAnsi="Arial" w:cs="Arial"/>
          <w:b/>
          <w:bCs/>
          <w:sz w:val="24"/>
        </w:rPr>
        <w:t>in</w:t>
      </w:r>
      <w:r w:rsidR="00896884" w:rsidRPr="009873C5">
        <w:rPr>
          <w:rFonts w:ascii="Arial" w:hAnsi="Arial" w:cs="Arial"/>
          <w:b/>
          <w:bCs/>
          <w:sz w:val="24"/>
        </w:rPr>
        <w:t xml:space="preserve"> NR</w:t>
      </w:r>
    </w:p>
    <w:p w:rsidR="0034111C" w:rsidRPr="009873C5" w:rsidRDefault="00787640" w:rsidP="00787640">
      <w:pPr>
        <w:rPr>
          <w:rFonts w:ascii="Arial" w:hAnsi="Arial" w:cs="Arial"/>
          <w:b/>
          <w:bCs/>
          <w:sz w:val="24"/>
        </w:rPr>
      </w:pPr>
      <w:r w:rsidRPr="009873C5">
        <w:rPr>
          <w:rFonts w:ascii="Arial" w:hAnsi="Arial" w:cs="Arial"/>
          <w:b/>
          <w:bCs/>
          <w:sz w:val="24"/>
        </w:rPr>
        <w:t>Document for:</w:t>
      </w:r>
      <w:r w:rsidRPr="009873C5">
        <w:rPr>
          <w:rFonts w:ascii="Arial" w:hAnsi="Arial" w:cs="Arial"/>
          <w:b/>
          <w:bCs/>
          <w:sz w:val="24"/>
        </w:rPr>
        <w:tab/>
      </w:r>
      <w:r w:rsidRPr="009873C5">
        <w:rPr>
          <w:rFonts w:ascii="Arial" w:hAnsi="Arial" w:cs="Arial"/>
          <w:b/>
          <w:bCs/>
          <w:sz w:val="24"/>
        </w:rPr>
        <w:tab/>
        <w:t>Discussion and Decision</w:t>
      </w:r>
    </w:p>
    <w:p w:rsidR="0034111C" w:rsidRPr="009873C5" w:rsidRDefault="0034111C">
      <w:pPr>
        <w:pStyle w:val="Heading1"/>
        <w:rPr>
          <w:lang w:val="en-US"/>
        </w:rPr>
      </w:pPr>
      <w:r w:rsidRPr="009873C5">
        <w:rPr>
          <w:lang w:val="en-US"/>
        </w:rPr>
        <w:t>1</w:t>
      </w:r>
      <w:r w:rsidRPr="009873C5">
        <w:rPr>
          <w:lang w:val="en-US"/>
        </w:rPr>
        <w:tab/>
      </w:r>
      <w:r w:rsidR="00EE7FA7" w:rsidRPr="009873C5">
        <w:rPr>
          <w:lang w:val="en-US"/>
        </w:rPr>
        <w:t>Introduction</w:t>
      </w:r>
    </w:p>
    <w:p w:rsidR="00EC350C" w:rsidRPr="009873C5" w:rsidRDefault="00EC350C" w:rsidP="00570A5D">
      <w:pPr>
        <w:spacing w:before="100" w:beforeAutospacing="1" w:after="100" w:afterAutospacing="1"/>
        <w:jc w:val="both"/>
        <w:rPr>
          <w:rFonts w:ascii="Times New Roman" w:eastAsia="Times New Roman" w:hAnsi="Times New Roman"/>
          <w:sz w:val="20"/>
        </w:rPr>
      </w:pPr>
      <w:r w:rsidRPr="009873C5">
        <w:rPr>
          <w:rFonts w:ascii="Times New Roman" w:eastAsia="Times New Roman" w:hAnsi="Times New Roman"/>
          <w:sz w:val="20"/>
        </w:rPr>
        <w:t xml:space="preserve">For the DL control design in NR, the following has been agreed regarding </w:t>
      </w:r>
      <w:r w:rsidR="00896884" w:rsidRPr="009873C5">
        <w:rPr>
          <w:rFonts w:ascii="Times New Roman" w:eastAsia="Times New Roman" w:hAnsi="Times New Roman"/>
          <w:sz w:val="20"/>
        </w:rPr>
        <w:t>common PDCCH:</w:t>
      </w:r>
    </w:p>
    <w:p w:rsidR="00D471DD" w:rsidRPr="009873C5" w:rsidRDefault="00D471DD" w:rsidP="00896884">
      <w:pPr>
        <w:spacing w:after="0" w:line="240" w:lineRule="auto"/>
        <w:ind w:left="1408" w:hanging="840"/>
        <w:rPr>
          <w:rFonts w:ascii="Times" w:eastAsia="MS Mincho" w:hAnsi="Times"/>
          <w:i/>
          <w:sz w:val="18"/>
          <w:szCs w:val="20"/>
          <w:lang w:eastAsia="ja-JP"/>
        </w:rPr>
      </w:pPr>
      <w:r w:rsidRPr="009873C5">
        <w:rPr>
          <w:rFonts w:ascii="Times" w:eastAsia="MS Mincho" w:hAnsi="Times"/>
          <w:b/>
          <w:i/>
          <w:sz w:val="18"/>
          <w:szCs w:val="24"/>
          <w:highlight w:val="green"/>
          <w:u w:val="single"/>
          <w:lang w:eastAsia="ja-JP"/>
        </w:rPr>
        <w:t>Agreements:</w:t>
      </w:r>
      <w:r w:rsidR="00717B10" w:rsidRPr="009873C5">
        <w:rPr>
          <w:rFonts w:ascii="Times" w:eastAsia="MS Mincho" w:hAnsi="Times"/>
          <w:i/>
          <w:sz w:val="18"/>
          <w:szCs w:val="24"/>
          <w:lang w:eastAsia="ja-JP"/>
        </w:rPr>
        <w:t xml:space="preserve"> (RAN1-NR-AH#1, Jan 2017)</w:t>
      </w:r>
    </w:p>
    <w:p w:rsidR="00D471DD" w:rsidRPr="009873C5" w:rsidRDefault="00D471DD" w:rsidP="00896884">
      <w:pPr>
        <w:numPr>
          <w:ilvl w:val="0"/>
          <w:numId w:val="20"/>
        </w:numPr>
        <w:spacing w:after="0" w:line="240" w:lineRule="auto"/>
        <w:ind w:left="1262"/>
        <w:jc w:val="both"/>
        <w:rPr>
          <w:rFonts w:ascii="Times" w:eastAsia="MS Mincho" w:hAnsi="Times"/>
          <w:i/>
          <w:sz w:val="18"/>
          <w:szCs w:val="20"/>
          <w:lang w:eastAsia="ja-JP"/>
        </w:rPr>
      </w:pPr>
      <w:r w:rsidRPr="009873C5">
        <w:rPr>
          <w:rFonts w:ascii="Times" w:eastAsia="MS Mincho" w:hAnsi="Times"/>
          <w:i/>
          <w:sz w:val="18"/>
          <w:szCs w:val="20"/>
          <w:lang w:eastAsia="ja-JP"/>
        </w:rPr>
        <w:t xml:space="preserve">NR supports a ‘group common PDCCH’ carrying information of e.g. the slot structure. </w:t>
      </w:r>
    </w:p>
    <w:p w:rsidR="00D471DD" w:rsidRPr="009873C5" w:rsidRDefault="00D471DD" w:rsidP="00896884">
      <w:pPr>
        <w:numPr>
          <w:ilvl w:val="1"/>
          <w:numId w:val="20"/>
        </w:numPr>
        <w:spacing w:after="0" w:line="240" w:lineRule="auto"/>
        <w:ind w:left="1982"/>
        <w:jc w:val="both"/>
        <w:rPr>
          <w:rFonts w:ascii="Times" w:eastAsia="MS Mincho" w:hAnsi="Times"/>
          <w:i/>
          <w:sz w:val="18"/>
          <w:szCs w:val="20"/>
          <w:lang w:eastAsia="ja-JP"/>
        </w:rPr>
      </w:pPr>
      <w:r w:rsidRPr="009873C5">
        <w:rPr>
          <w:rFonts w:ascii="Times" w:eastAsia="MS Mincho" w:hAnsi="Times"/>
          <w:i/>
          <w:sz w:val="18"/>
          <w:szCs w:val="20"/>
          <w:lang w:eastAsia="ja-JP"/>
        </w:rPr>
        <w:t>If the UE does not receive the ‘group common PDCCH’ the UE should be able to receive at least PDCCH in a slot, at least if the gNB did not transmit the ‘group common PDCCH’.</w:t>
      </w:r>
    </w:p>
    <w:p w:rsidR="00D471DD" w:rsidRPr="009873C5" w:rsidRDefault="00D471DD" w:rsidP="00896884">
      <w:pPr>
        <w:numPr>
          <w:ilvl w:val="1"/>
          <w:numId w:val="20"/>
        </w:numPr>
        <w:spacing w:after="0" w:line="240" w:lineRule="auto"/>
        <w:ind w:left="1982"/>
        <w:jc w:val="both"/>
        <w:rPr>
          <w:rFonts w:ascii="Times" w:eastAsia="MS Mincho" w:hAnsi="Times"/>
          <w:i/>
          <w:sz w:val="18"/>
          <w:szCs w:val="20"/>
          <w:lang w:eastAsia="ja-JP"/>
        </w:rPr>
      </w:pPr>
      <w:r w:rsidRPr="009873C5">
        <w:rPr>
          <w:rFonts w:ascii="Times" w:eastAsia="MS Mincho" w:hAnsi="Times"/>
          <w:i/>
          <w:sz w:val="18"/>
          <w:szCs w:val="20"/>
          <w:lang w:eastAsia="ja-JP"/>
        </w:rPr>
        <w:t>The network will inform through RRC signalling the UE whether to decode the ‘group common PDCCH’ or not</w:t>
      </w:r>
    </w:p>
    <w:p w:rsidR="00D471DD" w:rsidRPr="009873C5" w:rsidRDefault="00D471DD" w:rsidP="00896884">
      <w:pPr>
        <w:numPr>
          <w:ilvl w:val="1"/>
          <w:numId w:val="20"/>
        </w:numPr>
        <w:spacing w:after="0" w:line="240" w:lineRule="auto"/>
        <w:ind w:left="1982"/>
        <w:jc w:val="both"/>
        <w:rPr>
          <w:rFonts w:ascii="Times" w:eastAsia="MS Mincho" w:hAnsi="Times"/>
          <w:i/>
          <w:sz w:val="18"/>
          <w:szCs w:val="20"/>
          <w:lang w:eastAsia="ja-JP"/>
        </w:rPr>
      </w:pPr>
      <w:r w:rsidRPr="009873C5">
        <w:rPr>
          <w:rFonts w:ascii="Times" w:eastAsia="MS Mincho" w:hAnsi="Times"/>
          <w:i/>
          <w:sz w:val="18"/>
          <w:szCs w:val="20"/>
          <w:lang w:eastAsia="ja-JP"/>
        </w:rPr>
        <w:t>Common does not necessarily imply common per cell.</w:t>
      </w:r>
    </w:p>
    <w:p w:rsidR="00D471DD" w:rsidRPr="009873C5" w:rsidRDefault="00D471DD" w:rsidP="00896884">
      <w:pPr>
        <w:numPr>
          <w:ilvl w:val="1"/>
          <w:numId w:val="20"/>
        </w:numPr>
        <w:spacing w:after="0" w:line="240" w:lineRule="auto"/>
        <w:ind w:left="1982"/>
        <w:jc w:val="both"/>
        <w:rPr>
          <w:rFonts w:ascii="Times" w:eastAsia="MS Mincho" w:hAnsi="Times"/>
          <w:i/>
          <w:sz w:val="18"/>
          <w:szCs w:val="20"/>
          <w:lang w:eastAsia="ja-JP"/>
        </w:rPr>
      </w:pPr>
      <w:r w:rsidRPr="009873C5">
        <w:rPr>
          <w:rFonts w:ascii="Times" w:eastAsia="Batang" w:hAnsi="Times"/>
          <w:i/>
          <w:sz w:val="18"/>
          <w:szCs w:val="20"/>
        </w:rPr>
        <w:t>Continue the discussion on the detailed content of the ‘group common PDCCH’ including usage for TDD and FDD</w:t>
      </w:r>
    </w:p>
    <w:p w:rsidR="00D471DD" w:rsidRPr="009873C5" w:rsidRDefault="00D471DD" w:rsidP="00896884">
      <w:pPr>
        <w:numPr>
          <w:ilvl w:val="1"/>
          <w:numId w:val="20"/>
        </w:numPr>
        <w:spacing w:after="0" w:line="240" w:lineRule="auto"/>
        <w:ind w:left="1982"/>
        <w:jc w:val="both"/>
        <w:rPr>
          <w:rFonts w:ascii="Times" w:eastAsia="MS Mincho" w:hAnsi="Times"/>
          <w:sz w:val="20"/>
          <w:szCs w:val="20"/>
          <w:lang w:eastAsia="ja-JP"/>
        </w:rPr>
      </w:pPr>
      <w:r w:rsidRPr="009873C5">
        <w:rPr>
          <w:rFonts w:ascii="Times" w:eastAsia="Batang" w:hAnsi="Times"/>
          <w:i/>
          <w:sz w:val="18"/>
          <w:szCs w:val="20"/>
        </w:rPr>
        <w:t>The term ‘group common PDCCH’ refers to a channel (either a PDCCH or a separately designed channel) that carries information intended for the group of UEs.</w:t>
      </w:r>
    </w:p>
    <w:p w:rsidR="00896884" w:rsidRPr="009873C5" w:rsidRDefault="00896884" w:rsidP="00896884">
      <w:pPr>
        <w:spacing w:after="0" w:line="240" w:lineRule="auto"/>
        <w:ind w:left="2008" w:hanging="1440"/>
        <w:rPr>
          <w:rFonts w:ascii="Times" w:eastAsia="MS Mincho" w:hAnsi="Times"/>
          <w:b/>
          <w:i/>
          <w:sz w:val="18"/>
          <w:szCs w:val="24"/>
          <w:u w:val="single"/>
          <w:lang w:eastAsia="ja-JP"/>
        </w:rPr>
      </w:pPr>
      <w:r w:rsidRPr="009873C5">
        <w:rPr>
          <w:rFonts w:ascii="Times" w:eastAsia="MS Mincho" w:hAnsi="Times"/>
          <w:b/>
          <w:i/>
          <w:sz w:val="18"/>
          <w:szCs w:val="24"/>
          <w:highlight w:val="green"/>
          <w:u w:val="single"/>
          <w:lang w:eastAsia="ja-JP"/>
        </w:rPr>
        <w:t>Agreements:</w:t>
      </w:r>
      <w:r w:rsidR="00717B10" w:rsidRPr="009873C5">
        <w:rPr>
          <w:rFonts w:ascii="Times" w:eastAsia="MS Mincho" w:hAnsi="Times"/>
          <w:i/>
          <w:sz w:val="18"/>
          <w:szCs w:val="24"/>
          <w:lang w:eastAsia="ja-JP"/>
        </w:rPr>
        <w:t xml:space="preserve"> (RAN1-NR-AH#1, Jan 2017)</w:t>
      </w:r>
    </w:p>
    <w:p w:rsidR="00896884" w:rsidRPr="009873C5" w:rsidRDefault="00896884" w:rsidP="00896884">
      <w:pPr>
        <w:numPr>
          <w:ilvl w:val="0"/>
          <w:numId w:val="22"/>
        </w:numPr>
        <w:spacing w:after="0" w:line="240" w:lineRule="auto"/>
        <w:ind w:left="1288"/>
        <w:contextualSpacing/>
        <w:rPr>
          <w:rFonts w:ascii="Times" w:eastAsia="MS Mincho" w:hAnsi="Times"/>
          <w:i/>
          <w:sz w:val="18"/>
          <w:szCs w:val="20"/>
          <w:lang w:eastAsia="ja-JP"/>
        </w:rPr>
      </w:pPr>
      <w:r w:rsidRPr="009873C5">
        <w:rPr>
          <w:rFonts w:ascii="Times" w:eastAsia="MS Mincho" w:hAnsi="Times"/>
          <w:i/>
          <w:sz w:val="18"/>
          <w:szCs w:val="20"/>
          <w:lang w:eastAsia="ja-JP"/>
        </w:rPr>
        <w:t>The UE will have the possibility to determine whether some blind decodings can be skipped based on information on a ‘group common PDCCH’ (if present).</w:t>
      </w:r>
    </w:p>
    <w:p w:rsidR="00896884" w:rsidRPr="009873C5" w:rsidRDefault="00896884" w:rsidP="00896884">
      <w:pPr>
        <w:numPr>
          <w:ilvl w:val="0"/>
          <w:numId w:val="22"/>
        </w:numPr>
        <w:spacing w:after="0" w:line="240" w:lineRule="auto"/>
        <w:ind w:left="1288"/>
        <w:contextualSpacing/>
        <w:rPr>
          <w:rFonts w:ascii="Times" w:eastAsia="MS Mincho" w:hAnsi="Times"/>
          <w:i/>
          <w:sz w:val="18"/>
          <w:szCs w:val="20"/>
          <w:lang w:eastAsia="ja-JP"/>
        </w:rPr>
      </w:pPr>
      <w:r w:rsidRPr="009873C5">
        <w:rPr>
          <w:rFonts w:ascii="Times" w:eastAsia="MS Mincho" w:hAnsi="Times"/>
          <w:i/>
          <w:sz w:val="18"/>
          <w:szCs w:val="20"/>
          <w:highlight w:val="yellow"/>
          <w:lang w:eastAsia="ja-JP"/>
        </w:rPr>
        <w:t>FFS</w:t>
      </w:r>
      <w:r w:rsidRPr="009873C5">
        <w:rPr>
          <w:rFonts w:ascii="Times" w:eastAsia="MS Mincho" w:hAnsi="Times"/>
          <w:i/>
          <w:sz w:val="18"/>
          <w:szCs w:val="20"/>
          <w:lang w:eastAsia="ja-JP"/>
        </w:rPr>
        <w:t>: if the data starting position is signaled on the group common PDCCH, the UE may exploit this information to skip some blind decodings</w:t>
      </w:r>
    </w:p>
    <w:p w:rsidR="00896884" w:rsidRPr="009873C5" w:rsidRDefault="00896884" w:rsidP="00896884">
      <w:pPr>
        <w:numPr>
          <w:ilvl w:val="0"/>
          <w:numId w:val="22"/>
        </w:numPr>
        <w:spacing w:after="0" w:line="240" w:lineRule="auto"/>
        <w:ind w:left="1288"/>
        <w:contextualSpacing/>
        <w:rPr>
          <w:rFonts w:ascii="Times" w:eastAsia="MS Mincho" w:hAnsi="Times"/>
          <w:i/>
          <w:sz w:val="18"/>
          <w:szCs w:val="20"/>
          <w:lang w:eastAsia="ja-JP"/>
        </w:rPr>
      </w:pPr>
      <w:r w:rsidRPr="009873C5">
        <w:rPr>
          <w:rFonts w:ascii="Times" w:eastAsia="MS Mincho" w:hAnsi="Times"/>
          <w:i/>
          <w:sz w:val="18"/>
          <w:szCs w:val="20"/>
          <w:highlight w:val="yellow"/>
          <w:lang w:eastAsia="ja-JP"/>
        </w:rPr>
        <w:t>FFS</w:t>
      </w:r>
      <w:r w:rsidRPr="009873C5">
        <w:rPr>
          <w:rFonts w:ascii="Times" w:eastAsia="MS Mincho" w:hAnsi="Times"/>
          <w:i/>
          <w:sz w:val="18"/>
          <w:szCs w:val="20"/>
          <w:lang w:eastAsia="ja-JP"/>
        </w:rPr>
        <w:t>: if the end of the control resource set is signaled on the ‘group common PDCCH’, the UE may exploit this information to skip some blind decodings</w:t>
      </w:r>
    </w:p>
    <w:p w:rsidR="00896884" w:rsidRPr="009873C5" w:rsidRDefault="00896884" w:rsidP="00896884">
      <w:pPr>
        <w:numPr>
          <w:ilvl w:val="0"/>
          <w:numId w:val="22"/>
        </w:numPr>
        <w:spacing w:after="0" w:line="240" w:lineRule="auto"/>
        <w:ind w:left="1288"/>
        <w:contextualSpacing/>
        <w:rPr>
          <w:rFonts w:ascii="Times" w:eastAsia="MS Mincho" w:hAnsi="Times"/>
          <w:i/>
          <w:sz w:val="18"/>
          <w:szCs w:val="20"/>
          <w:lang w:eastAsia="ja-JP"/>
        </w:rPr>
      </w:pPr>
      <w:r w:rsidRPr="009873C5">
        <w:rPr>
          <w:rFonts w:ascii="Times" w:eastAsia="MS Mincho" w:hAnsi="Times"/>
          <w:i/>
          <w:sz w:val="18"/>
          <w:szCs w:val="20"/>
          <w:highlight w:val="yellow"/>
          <w:lang w:eastAsia="ja-JP"/>
        </w:rPr>
        <w:t>FFS</w:t>
      </w:r>
      <w:r w:rsidRPr="009873C5">
        <w:rPr>
          <w:rFonts w:ascii="Times" w:eastAsia="MS Mincho" w:hAnsi="Times"/>
          <w:i/>
          <w:sz w:val="18"/>
          <w:szCs w:val="20"/>
          <w:lang w:eastAsia="ja-JP"/>
        </w:rPr>
        <w:t>: how to handle the case when there is no ‘group common PDCCH’ in a slot</w:t>
      </w:r>
    </w:p>
    <w:p w:rsidR="00896884" w:rsidRPr="009873C5" w:rsidRDefault="00896884" w:rsidP="00896884">
      <w:pPr>
        <w:numPr>
          <w:ilvl w:val="0"/>
          <w:numId w:val="22"/>
        </w:numPr>
        <w:spacing w:after="0" w:line="240" w:lineRule="auto"/>
        <w:ind w:left="1288"/>
        <w:contextualSpacing/>
        <w:rPr>
          <w:rFonts w:ascii="Times" w:eastAsia="MS Mincho" w:hAnsi="Times"/>
          <w:i/>
          <w:sz w:val="18"/>
          <w:szCs w:val="20"/>
          <w:lang w:eastAsia="ja-JP"/>
        </w:rPr>
      </w:pPr>
      <w:r w:rsidRPr="009873C5">
        <w:rPr>
          <w:rFonts w:ascii="Times" w:eastAsia="MS Mincho" w:hAnsi="Times"/>
          <w:i/>
          <w:sz w:val="18"/>
          <w:szCs w:val="20"/>
          <w:lang w:eastAsia="ja-JP"/>
        </w:rPr>
        <w:t>When monitoring for a PDCCH, the UE should be able to process a detected PDCCH irrespective of whether the ‘group common PDCCH’ is received or not</w:t>
      </w:r>
    </w:p>
    <w:p w:rsidR="00896884" w:rsidRPr="009873C5" w:rsidRDefault="00896884" w:rsidP="00896884">
      <w:pPr>
        <w:spacing w:after="0" w:line="240" w:lineRule="auto"/>
        <w:ind w:left="2008" w:hanging="1440"/>
        <w:jc w:val="both"/>
        <w:rPr>
          <w:rFonts w:ascii="Times" w:eastAsia="Batang" w:hAnsi="Times"/>
          <w:b/>
          <w:i/>
          <w:sz w:val="18"/>
          <w:szCs w:val="20"/>
          <w:u w:val="single"/>
          <w:lang w:eastAsia="ja-JP"/>
        </w:rPr>
      </w:pPr>
      <w:r w:rsidRPr="009873C5">
        <w:rPr>
          <w:rFonts w:ascii="Times" w:eastAsia="MS Mincho" w:hAnsi="Times"/>
          <w:b/>
          <w:i/>
          <w:sz w:val="18"/>
          <w:szCs w:val="20"/>
          <w:highlight w:val="green"/>
          <w:u w:val="single"/>
          <w:lang w:eastAsia="ja-JP"/>
        </w:rPr>
        <w:t>Agreements:</w:t>
      </w:r>
      <w:r w:rsidR="00717B10" w:rsidRPr="009873C5">
        <w:rPr>
          <w:rFonts w:ascii="Times" w:eastAsia="MS Mincho" w:hAnsi="Times"/>
          <w:i/>
          <w:sz w:val="18"/>
          <w:szCs w:val="24"/>
          <w:lang w:eastAsia="ja-JP"/>
        </w:rPr>
        <w:t xml:space="preserve"> (RAN1-NR-AH#1, Jan 2017)</w:t>
      </w:r>
    </w:p>
    <w:p w:rsidR="00896884" w:rsidRPr="009873C5" w:rsidRDefault="00896884" w:rsidP="00896884">
      <w:pPr>
        <w:numPr>
          <w:ilvl w:val="0"/>
          <w:numId w:val="23"/>
        </w:numPr>
        <w:spacing w:after="0" w:line="240" w:lineRule="auto"/>
        <w:ind w:left="1288"/>
        <w:jc w:val="both"/>
        <w:rPr>
          <w:rFonts w:ascii="Times" w:eastAsia="Batang" w:hAnsi="Times"/>
          <w:i/>
          <w:sz w:val="18"/>
          <w:szCs w:val="20"/>
          <w:lang w:eastAsia="ja-JP"/>
        </w:rPr>
      </w:pPr>
      <w:r w:rsidRPr="009873C5">
        <w:rPr>
          <w:rFonts w:ascii="Times" w:eastAsia="Batang" w:hAnsi="Times"/>
          <w:i/>
          <w:sz w:val="18"/>
          <w:szCs w:val="20"/>
          <w:lang w:eastAsia="ja-JP"/>
        </w:rPr>
        <w:t>‘Slot format related information’</w:t>
      </w:r>
    </w:p>
    <w:p w:rsidR="00896884" w:rsidRPr="009873C5" w:rsidRDefault="00896884" w:rsidP="00896884">
      <w:pPr>
        <w:numPr>
          <w:ilvl w:val="1"/>
          <w:numId w:val="23"/>
        </w:numPr>
        <w:spacing w:after="0" w:line="240" w:lineRule="auto"/>
        <w:ind w:left="2008"/>
        <w:jc w:val="both"/>
        <w:rPr>
          <w:rFonts w:ascii="Times" w:eastAsia="Batang" w:hAnsi="Times"/>
          <w:i/>
          <w:sz w:val="18"/>
          <w:szCs w:val="20"/>
          <w:lang w:eastAsia="ja-JP"/>
        </w:rPr>
      </w:pPr>
      <w:r w:rsidRPr="009873C5">
        <w:rPr>
          <w:rFonts w:ascii="Times" w:eastAsia="Batang" w:hAnsi="Times"/>
          <w:i/>
          <w:sz w:val="18"/>
          <w:szCs w:val="20"/>
          <w:lang w:eastAsia="ja-JP"/>
        </w:rPr>
        <w:t>Information from which the UE can derive at least which symbols in a slot that are ‘DL’, ‘UL’ (for Rel-15), and ‘other’, respectively</w:t>
      </w:r>
    </w:p>
    <w:p w:rsidR="00896884" w:rsidRPr="009873C5" w:rsidRDefault="00896884" w:rsidP="00896884">
      <w:pPr>
        <w:numPr>
          <w:ilvl w:val="1"/>
          <w:numId w:val="23"/>
        </w:numPr>
        <w:spacing w:after="0" w:line="240" w:lineRule="auto"/>
        <w:ind w:left="2008"/>
        <w:jc w:val="both"/>
        <w:rPr>
          <w:rFonts w:ascii="Times" w:eastAsia="Batang" w:hAnsi="Times"/>
          <w:i/>
          <w:sz w:val="18"/>
          <w:szCs w:val="20"/>
          <w:lang w:eastAsia="ja-JP"/>
        </w:rPr>
      </w:pPr>
      <w:r w:rsidRPr="009873C5">
        <w:rPr>
          <w:rFonts w:ascii="Times" w:eastAsia="Batang" w:hAnsi="Times"/>
          <w:i/>
          <w:sz w:val="18"/>
          <w:szCs w:val="20"/>
          <w:highlight w:val="yellow"/>
          <w:lang w:eastAsia="ja-JP"/>
        </w:rPr>
        <w:t>FFS</w:t>
      </w:r>
      <w:r w:rsidRPr="009873C5">
        <w:rPr>
          <w:rFonts w:ascii="Times" w:eastAsia="Batang" w:hAnsi="Times"/>
          <w:i/>
          <w:sz w:val="18"/>
          <w:szCs w:val="20"/>
          <w:lang w:eastAsia="ja-JP"/>
        </w:rPr>
        <w:t>: if ‘other’ can be subdivided into ‘blank’, ‘sidelink’, etc</w:t>
      </w:r>
    </w:p>
    <w:p w:rsidR="00896884" w:rsidRPr="009873C5" w:rsidRDefault="00896884" w:rsidP="00896884">
      <w:pPr>
        <w:numPr>
          <w:ilvl w:val="0"/>
          <w:numId w:val="23"/>
        </w:numPr>
        <w:spacing w:after="0" w:line="240" w:lineRule="auto"/>
        <w:ind w:left="1288"/>
        <w:jc w:val="both"/>
        <w:rPr>
          <w:rFonts w:ascii="Times" w:eastAsia="Batang" w:hAnsi="Times"/>
          <w:i/>
          <w:sz w:val="18"/>
          <w:szCs w:val="20"/>
          <w:lang w:eastAsia="ja-JP"/>
        </w:rPr>
      </w:pPr>
      <w:r w:rsidRPr="009873C5">
        <w:rPr>
          <w:rFonts w:ascii="Times" w:eastAsia="MS Mincho" w:hAnsi="Times"/>
          <w:i/>
          <w:sz w:val="18"/>
          <w:szCs w:val="20"/>
          <w:highlight w:val="yellow"/>
          <w:lang w:eastAsia="ja-JP"/>
        </w:rPr>
        <w:t>FFS</w:t>
      </w:r>
      <w:r w:rsidRPr="009873C5">
        <w:rPr>
          <w:rFonts w:ascii="Times" w:eastAsia="MS Mincho" w:hAnsi="Times"/>
          <w:i/>
          <w:sz w:val="18"/>
          <w:szCs w:val="20"/>
          <w:lang w:eastAsia="ja-JP"/>
        </w:rPr>
        <w:t xml:space="preserve">: </w:t>
      </w:r>
      <w:r w:rsidRPr="009873C5">
        <w:rPr>
          <w:rFonts w:ascii="Times" w:eastAsia="Batang" w:hAnsi="Times"/>
          <w:i/>
          <w:sz w:val="18"/>
          <w:szCs w:val="20"/>
          <w:lang w:eastAsia="ja-JP"/>
        </w:rPr>
        <w:t>‘Control resource set duration’</w:t>
      </w:r>
    </w:p>
    <w:p w:rsidR="00896884" w:rsidRPr="009873C5" w:rsidRDefault="00896884" w:rsidP="00896884">
      <w:pPr>
        <w:numPr>
          <w:ilvl w:val="1"/>
          <w:numId w:val="23"/>
        </w:numPr>
        <w:spacing w:after="0" w:line="240" w:lineRule="auto"/>
        <w:ind w:left="2008"/>
        <w:jc w:val="both"/>
        <w:rPr>
          <w:rFonts w:ascii="Times" w:eastAsia="Batang" w:hAnsi="Times"/>
          <w:i/>
          <w:sz w:val="18"/>
          <w:szCs w:val="20"/>
          <w:lang w:eastAsia="ja-JP"/>
        </w:rPr>
      </w:pPr>
      <w:r w:rsidRPr="009873C5">
        <w:rPr>
          <w:rFonts w:ascii="Times" w:eastAsia="MS Mincho" w:hAnsi="Times"/>
          <w:i/>
          <w:sz w:val="18"/>
          <w:szCs w:val="20"/>
          <w:highlight w:val="yellow"/>
          <w:lang w:eastAsia="ja-JP"/>
        </w:rPr>
        <w:t>FFS</w:t>
      </w:r>
      <w:r w:rsidRPr="009873C5">
        <w:rPr>
          <w:rFonts w:ascii="Times" w:eastAsia="MS Mincho" w:hAnsi="Times"/>
          <w:i/>
          <w:sz w:val="18"/>
          <w:szCs w:val="20"/>
          <w:lang w:eastAsia="ja-JP"/>
        </w:rPr>
        <w:t xml:space="preserve">: </w:t>
      </w:r>
      <w:r w:rsidRPr="009873C5">
        <w:rPr>
          <w:rFonts w:ascii="Times" w:eastAsia="Batang" w:hAnsi="Times"/>
          <w:i/>
          <w:sz w:val="18"/>
          <w:szCs w:val="20"/>
          <w:lang w:eastAsia="ja-JP"/>
        </w:rPr>
        <w:t xml:space="preserve">Indicates the duration of the control resource set(s) </w:t>
      </w:r>
    </w:p>
    <w:p w:rsidR="00896884" w:rsidRPr="009873C5" w:rsidRDefault="00896884" w:rsidP="00896884">
      <w:pPr>
        <w:numPr>
          <w:ilvl w:val="1"/>
          <w:numId w:val="23"/>
        </w:numPr>
        <w:spacing w:after="0" w:line="240" w:lineRule="auto"/>
        <w:ind w:left="2008"/>
        <w:jc w:val="both"/>
        <w:rPr>
          <w:rFonts w:ascii="Times" w:eastAsia="Batang" w:hAnsi="Times"/>
          <w:sz w:val="20"/>
          <w:szCs w:val="20"/>
          <w:lang w:eastAsia="ja-JP"/>
        </w:rPr>
      </w:pPr>
      <w:r w:rsidRPr="009873C5">
        <w:rPr>
          <w:rFonts w:ascii="Times" w:eastAsia="MS Mincho" w:hAnsi="Times"/>
          <w:i/>
          <w:sz w:val="18"/>
          <w:szCs w:val="20"/>
          <w:highlight w:val="yellow"/>
          <w:lang w:eastAsia="ja-JP"/>
        </w:rPr>
        <w:t>FFS</w:t>
      </w:r>
      <w:r w:rsidRPr="009873C5">
        <w:rPr>
          <w:rFonts w:ascii="Times" w:eastAsia="MS Mincho" w:hAnsi="Times"/>
          <w:i/>
          <w:sz w:val="18"/>
          <w:szCs w:val="20"/>
          <w:lang w:eastAsia="ja-JP"/>
        </w:rPr>
        <w:t xml:space="preserve">: </w:t>
      </w:r>
      <w:r w:rsidRPr="009873C5">
        <w:rPr>
          <w:rFonts w:ascii="Times" w:eastAsia="Batang" w:hAnsi="Times"/>
          <w:i/>
          <w:sz w:val="18"/>
          <w:szCs w:val="20"/>
          <w:lang w:eastAsia="ja-JP"/>
        </w:rPr>
        <w:t>Can help the UE skip some of the semi-statically configured blind decodings. If not received, the UE performs all blind decodings.</w:t>
      </w:r>
    </w:p>
    <w:p w:rsidR="00BC1BBE" w:rsidRPr="009873C5" w:rsidRDefault="00BC1BBE" w:rsidP="00BC1BBE">
      <w:pPr>
        <w:spacing w:after="0" w:line="240" w:lineRule="auto"/>
        <w:ind w:left="568"/>
        <w:rPr>
          <w:rFonts w:ascii="Times" w:eastAsia="MS Mincho" w:hAnsi="Times"/>
          <w:b/>
          <w:i/>
          <w:sz w:val="18"/>
          <w:szCs w:val="24"/>
          <w:u w:val="single"/>
          <w:lang w:eastAsia="ja-JP"/>
        </w:rPr>
      </w:pPr>
      <w:r w:rsidRPr="009873C5">
        <w:rPr>
          <w:rFonts w:ascii="Times" w:eastAsia="MS Mincho" w:hAnsi="Times"/>
          <w:b/>
          <w:i/>
          <w:sz w:val="18"/>
          <w:szCs w:val="24"/>
          <w:highlight w:val="green"/>
          <w:u w:val="single"/>
          <w:lang w:eastAsia="ja-JP"/>
        </w:rPr>
        <w:t>Agreements:</w:t>
      </w:r>
      <w:r w:rsidR="00717B10" w:rsidRPr="009873C5">
        <w:rPr>
          <w:rFonts w:ascii="Times" w:eastAsia="MS Mincho" w:hAnsi="Times"/>
          <w:i/>
          <w:sz w:val="18"/>
          <w:szCs w:val="24"/>
          <w:lang w:eastAsia="ja-JP"/>
        </w:rPr>
        <w:t xml:space="preserve"> (RAN1#89)</w:t>
      </w:r>
    </w:p>
    <w:p w:rsidR="00BC1BBE" w:rsidRPr="009873C5" w:rsidRDefault="00BC1BBE" w:rsidP="00BC1BBE">
      <w:pPr>
        <w:numPr>
          <w:ilvl w:val="0"/>
          <w:numId w:val="28"/>
        </w:numPr>
        <w:tabs>
          <w:tab w:val="clear" w:pos="720"/>
          <w:tab w:val="num" w:pos="1288"/>
        </w:tabs>
        <w:spacing w:after="0" w:line="240" w:lineRule="auto"/>
        <w:ind w:left="1288"/>
        <w:rPr>
          <w:rFonts w:ascii="Times" w:eastAsia="MS Mincho" w:hAnsi="Times"/>
          <w:i/>
          <w:sz w:val="18"/>
          <w:szCs w:val="20"/>
          <w:lang w:eastAsia="ja-JP"/>
        </w:rPr>
      </w:pPr>
      <w:r w:rsidRPr="009873C5">
        <w:rPr>
          <w:rFonts w:ascii="Times" w:eastAsia="MS Mincho" w:hAnsi="Times"/>
          <w:i/>
          <w:sz w:val="18"/>
          <w:szCs w:val="20"/>
          <w:lang w:eastAsia="ja-JP"/>
        </w:rPr>
        <w:t>The SFI transmitted in a group-common PDCCH can indicate the slot format related information for one or more slots</w:t>
      </w:r>
    </w:p>
    <w:p w:rsidR="00BC1BBE" w:rsidRPr="009873C5" w:rsidRDefault="00BC1BBE" w:rsidP="00BC1BBE">
      <w:pPr>
        <w:numPr>
          <w:ilvl w:val="1"/>
          <w:numId w:val="28"/>
        </w:numPr>
        <w:tabs>
          <w:tab w:val="clear" w:pos="1440"/>
          <w:tab w:val="num" w:pos="2008"/>
        </w:tabs>
        <w:spacing w:after="0" w:line="240" w:lineRule="auto"/>
        <w:ind w:left="2008"/>
        <w:rPr>
          <w:rFonts w:ascii="Times" w:eastAsia="MS Mincho" w:hAnsi="Times"/>
          <w:i/>
          <w:sz w:val="18"/>
          <w:szCs w:val="20"/>
          <w:lang w:eastAsia="ja-JP"/>
        </w:rPr>
      </w:pPr>
      <w:r w:rsidRPr="009873C5">
        <w:rPr>
          <w:rFonts w:ascii="Times" w:eastAsia="MS Mincho" w:hAnsi="Times"/>
          <w:i/>
          <w:sz w:val="18"/>
          <w:szCs w:val="20"/>
          <w:lang w:eastAsia="ja-JP"/>
        </w:rPr>
        <w:t>The slot format related information informs the UEs of the number of slots and the slot format(s) related information of those slots</w:t>
      </w:r>
    </w:p>
    <w:p w:rsidR="00BC1BBE" w:rsidRPr="009873C5" w:rsidRDefault="00BC1BBE" w:rsidP="00BC1BBE">
      <w:pPr>
        <w:numPr>
          <w:ilvl w:val="1"/>
          <w:numId w:val="28"/>
        </w:numPr>
        <w:tabs>
          <w:tab w:val="clear" w:pos="1440"/>
          <w:tab w:val="num" w:pos="2008"/>
        </w:tabs>
        <w:spacing w:after="0" w:line="240" w:lineRule="auto"/>
        <w:ind w:left="2008"/>
        <w:rPr>
          <w:rFonts w:ascii="Times" w:eastAsia="MS Mincho" w:hAnsi="Times"/>
          <w:i/>
          <w:sz w:val="18"/>
          <w:szCs w:val="20"/>
          <w:lang w:eastAsia="ja-JP"/>
        </w:rPr>
      </w:pPr>
      <w:r w:rsidRPr="009873C5">
        <w:rPr>
          <w:rFonts w:ascii="Times" w:eastAsia="MS Mincho" w:hAnsi="Times"/>
          <w:i/>
          <w:sz w:val="18"/>
          <w:szCs w:val="20"/>
          <w:lang w:eastAsia="ja-JP"/>
        </w:rPr>
        <w:t>FFS: how to interpret the SFI when the UE is configured with multiple bandwidth parts</w:t>
      </w:r>
    </w:p>
    <w:p w:rsidR="00BC1BBE" w:rsidRPr="009873C5" w:rsidRDefault="00BC1BBE" w:rsidP="00BC1BBE">
      <w:pPr>
        <w:numPr>
          <w:ilvl w:val="1"/>
          <w:numId w:val="28"/>
        </w:numPr>
        <w:tabs>
          <w:tab w:val="clear" w:pos="1440"/>
          <w:tab w:val="num" w:pos="2008"/>
        </w:tabs>
        <w:spacing w:after="0" w:line="240" w:lineRule="auto"/>
        <w:ind w:left="2008"/>
        <w:rPr>
          <w:rFonts w:ascii="Times" w:eastAsia="MS Mincho" w:hAnsi="Times"/>
          <w:i/>
          <w:sz w:val="18"/>
          <w:szCs w:val="20"/>
          <w:lang w:eastAsia="ja-JP"/>
        </w:rPr>
      </w:pPr>
      <w:r w:rsidRPr="009873C5">
        <w:rPr>
          <w:rFonts w:ascii="Times" w:eastAsia="MS Mincho" w:hAnsi="Times"/>
          <w:i/>
          <w:sz w:val="18"/>
          <w:szCs w:val="20"/>
          <w:lang w:eastAsia="ja-JP"/>
        </w:rPr>
        <w:t>FFS: details for UE behaviour</w:t>
      </w:r>
    </w:p>
    <w:p w:rsidR="00BC1BBE" w:rsidRPr="009873C5" w:rsidRDefault="00BC1BBE" w:rsidP="00BC1BBE">
      <w:pPr>
        <w:numPr>
          <w:ilvl w:val="0"/>
          <w:numId w:val="28"/>
        </w:numPr>
        <w:tabs>
          <w:tab w:val="clear" w:pos="720"/>
          <w:tab w:val="num" w:pos="1288"/>
        </w:tabs>
        <w:spacing w:after="0" w:line="240" w:lineRule="auto"/>
        <w:ind w:left="1288"/>
        <w:rPr>
          <w:rFonts w:ascii="Times" w:eastAsia="MS Mincho" w:hAnsi="Times"/>
          <w:i/>
          <w:sz w:val="18"/>
          <w:szCs w:val="20"/>
          <w:lang w:eastAsia="ja-JP"/>
        </w:rPr>
      </w:pPr>
      <w:r w:rsidRPr="009873C5">
        <w:rPr>
          <w:rFonts w:ascii="Times" w:eastAsia="MS Mincho" w:hAnsi="Times"/>
          <w:i/>
          <w:sz w:val="18"/>
          <w:szCs w:val="20"/>
          <w:lang w:eastAsia="ja-JP"/>
        </w:rPr>
        <w:t>FFS: A UE may be configured to monitor for at most one group-common PDCCH carrying slot format related information (SFI) in a slot</w:t>
      </w:r>
    </w:p>
    <w:p w:rsidR="00BC1BBE" w:rsidRPr="009873C5" w:rsidRDefault="00BC1BBE" w:rsidP="00BC1BBE">
      <w:pPr>
        <w:spacing w:after="0" w:line="240" w:lineRule="auto"/>
        <w:ind w:left="568"/>
        <w:rPr>
          <w:rFonts w:ascii="Times" w:eastAsia="MS Mincho" w:hAnsi="Times"/>
          <w:i/>
          <w:color w:val="0070C0"/>
          <w:sz w:val="18"/>
          <w:szCs w:val="24"/>
          <w:lang w:eastAsia="ja-JP"/>
        </w:rPr>
      </w:pPr>
      <w:r w:rsidRPr="009873C5">
        <w:rPr>
          <w:rFonts w:ascii="Times" w:eastAsia="MS Mincho" w:hAnsi="Times"/>
          <w:b/>
          <w:i/>
          <w:sz w:val="18"/>
          <w:szCs w:val="24"/>
          <w:highlight w:val="green"/>
          <w:u w:val="single"/>
          <w:lang w:eastAsia="ja-JP"/>
        </w:rPr>
        <w:t>Agreements:</w:t>
      </w:r>
      <w:r w:rsidR="00717B10" w:rsidRPr="009873C5">
        <w:rPr>
          <w:rFonts w:ascii="Times" w:eastAsia="MS Mincho" w:hAnsi="Times"/>
          <w:i/>
          <w:sz w:val="18"/>
          <w:szCs w:val="24"/>
          <w:lang w:eastAsia="ja-JP"/>
        </w:rPr>
        <w:t xml:space="preserve"> (RAN1#89)</w:t>
      </w:r>
    </w:p>
    <w:p w:rsidR="00BC1BBE" w:rsidRPr="009873C5" w:rsidRDefault="00BC1BBE" w:rsidP="00BC1BBE">
      <w:pPr>
        <w:numPr>
          <w:ilvl w:val="0"/>
          <w:numId w:val="29"/>
        </w:numPr>
        <w:tabs>
          <w:tab w:val="clear" w:pos="720"/>
          <w:tab w:val="num" w:pos="1288"/>
        </w:tabs>
        <w:spacing w:after="0" w:line="240" w:lineRule="auto"/>
        <w:ind w:left="1288"/>
        <w:rPr>
          <w:rFonts w:ascii="Times" w:eastAsia="MS Mincho" w:hAnsi="Times"/>
          <w:i/>
          <w:sz w:val="18"/>
          <w:szCs w:val="20"/>
          <w:lang w:eastAsia="ja-JP"/>
        </w:rPr>
      </w:pPr>
      <w:r w:rsidRPr="009873C5">
        <w:rPr>
          <w:rFonts w:ascii="Times" w:eastAsia="MS Mincho" w:hAnsi="Times"/>
          <w:i/>
          <w:sz w:val="18"/>
          <w:szCs w:val="20"/>
          <w:lang w:eastAsia="ja-JP"/>
        </w:rPr>
        <w:t>In ‘Slot format related information’, ‘other’ is at least:</w:t>
      </w:r>
    </w:p>
    <w:p w:rsidR="00BC1BBE" w:rsidRPr="009873C5" w:rsidRDefault="00BC1BBE" w:rsidP="00BC1BBE">
      <w:pPr>
        <w:numPr>
          <w:ilvl w:val="1"/>
          <w:numId w:val="29"/>
        </w:numPr>
        <w:tabs>
          <w:tab w:val="clear" w:pos="1440"/>
          <w:tab w:val="num" w:pos="2008"/>
        </w:tabs>
        <w:spacing w:after="0" w:line="240" w:lineRule="auto"/>
        <w:ind w:left="2008"/>
        <w:rPr>
          <w:rFonts w:ascii="Times" w:eastAsia="MS Mincho" w:hAnsi="Times"/>
          <w:i/>
          <w:sz w:val="18"/>
          <w:szCs w:val="20"/>
          <w:lang w:eastAsia="ja-JP"/>
        </w:rPr>
      </w:pPr>
      <w:r w:rsidRPr="009873C5">
        <w:rPr>
          <w:rFonts w:ascii="Times" w:eastAsia="MS Mincho" w:hAnsi="Times"/>
          <w:i/>
          <w:sz w:val="18"/>
          <w:szCs w:val="20"/>
          <w:lang w:eastAsia="ja-JP"/>
        </w:rPr>
        <w:t>‘Unknown’</w:t>
      </w:r>
    </w:p>
    <w:p w:rsidR="00BC1BBE" w:rsidRPr="009873C5" w:rsidRDefault="00BC1BBE" w:rsidP="00BC1BBE">
      <w:pPr>
        <w:numPr>
          <w:ilvl w:val="2"/>
          <w:numId w:val="29"/>
        </w:numPr>
        <w:tabs>
          <w:tab w:val="clear" w:pos="2160"/>
          <w:tab w:val="num" w:pos="2728"/>
        </w:tabs>
        <w:spacing w:after="0" w:line="240" w:lineRule="auto"/>
        <w:ind w:left="2728"/>
        <w:rPr>
          <w:rFonts w:ascii="Times" w:eastAsia="MS Mincho" w:hAnsi="Times"/>
          <w:i/>
          <w:sz w:val="18"/>
          <w:szCs w:val="20"/>
          <w:lang w:eastAsia="ja-JP"/>
        </w:rPr>
      </w:pPr>
      <w:r w:rsidRPr="009873C5">
        <w:rPr>
          <w:rFonts w:ascii="Times" w:eastAsia="MS Mincho" w:hAnsi="Times"/>
          <w:i/>
          <w:sz w:val="18"/>
          <w:szCs w:val="20"/>
          <w:lang w:eastAsia="ja-JP"/>
        </w:rPr>
        <w:t>UE shall not assume anything for the symbol with ‘Unknown’ by this information</w:t>
      </w:r>
    </w:p>
    <w:p w:rsidR="00BC1BBE" w:rsidRPr="009873C5" w:rsidRDefault="00BC1BBE" w:rsidP="00BC1BBE">
      <w:pPr>
        <w:numPr>
          <w:ilvl w:val="2"/>
          <w:numId w:val="29"/>
        </w:numPr>
        <w:tabs>
          <w:tab w:val="clear" w:pos="2160"/>
          <w:tab w:val="num" w:pos="2728"/>
        </w:tabs>
        <w:spacing w:after="0" w:line="240" w:lineRule="auto"/>
        <w:ind w:left="2728"/>
        <w:rPr>
          <w:rFonts w:ascii="Times" w:eastAsia="MS Mincho" w:hAnsi="Times"/>
          <w:i/>
          <w:sz w:val="18"/>
          <w:szCs w:val="20"/>
          <w:lang w:eastAsia="ja-JP"/>
        </w:rPr>
      </w:pPr>
      <w:r w:rsidRPr="009873C5">
        <w:rPr>
          <w:rFonts w:ascii="Times" w:eastAsia="MS Mincho" w:hAnsi="Times"/>
          <w:i/>
          <w:sz w:val="18"/>
          <w:szCs w:val="20"/>
          <w:lang w:eastAsia="ja-JP"/>
        </w:rPr>
        <w:t>FFS: UE behavior when the UE receives the information for the symbol from SFI and broadcast DCI and/or UE-specific DCI and/or semi-static signaling/configuration</w:t>
      </w:r>
    </w:p>
    <w:p w:rsidR="00BC1BBE" w:rsidRPr="009873C5" w:rsidRDefault="00BC1BBE" w:rsidP="00BC1BBE">
      <w:pPr>
        <w:numPr>
          <w:ilvl w:val="1"/>
          <w:numId w:val="29"/>
        </w:numPr>
        <w:tabs>
          <w:tab w:val="clear" w:pos="1440"/>
          <w:tab w:val="num" w:pos="2008"/>
        </w:tabs>
        <w:spacing w:after="0" w:line="240" w:lineRule="auto"/>
        <w:ind w:left="2008"/>
        <w:rPr>
          <w:rFonts w:ascii="Times" w:eastAsia="MS Mincho" w:hAnsi="Times"/>
          <w:i/>
          <w:sz w:val="18"/>
          <w:szCs w:val="20"/>
          <w:lang w:eastAsia="ja-JP"/>
        </w:rPr>
      </w:pPr>
      <w:r w:rsidRPr="009873C5">
        <w:rPr>
          <w:rFonts w:ascii="Times" w:eastAsia="MS Mincho" w:hAnsi="Times"/>
          <w:i/>
          <w:sz w:val="18"/>
          <w:szCs w:val="20"/>
          <w:lang w:eastAsia="ja-JP"/>
        </w:rPr>
        <w:t>FFS: ‘Empty’</w:t>
      </w:r>
    </w:p>
    <w:p w:rsidR="00BC1BBE" w:rsidRPr="009873C5" w:rsidRDefault="00BC1BBE" w:rsidP="00BC1BBE">
      <w:pPr>
        <w:numPr>
          <w:ilvl w:val="2"/>
          <w:numId w:val="29"/>
        </w:numPr>
        <w:tabs>
          <w:tab w:val="clear" w:pos="2160"/>
          <w:tab w:val="num" w:pos="2728"/>
        </w:tabs>
        <w:spacing w:after="0" w:line="240" w:lineRule="auto"/>
        <w:ind w:left="2728"/>
        <w:rPr>
          <w:rFonts w:ascii="Times" w:eastAsia="MS Mincho" w:hAnsi="Times"/>
          <w:i/>
          <w:sz w:val="18"/>
          <w:szCs w:val="20"/>
          <w:lang w:eastAsia="ja-JP"/>
        </w:rPr>
      </w:pPr>
      <w:r w:rsidRPr="009873C5">
        <w:rPr>
          <w:rFonts w:ascii="Times" w:eastAsia="MS Mincho" w:hAnsi="Times"/>
          <w:i/>
          <w:sz w:val="18"/>
          <w:szCs w:val="20"/>
          <w:lang w:eastAsia="ja-JP"/>
        </w:rPr>
        <w:t>UEs can use this resource for interference measurement</w:t>
      </w:r>
    </w:p>
    <w:p w:rsidR="00BC1BBE" w:rsidRPr="009873C5" w:rsidRDefault="00BC1BBE" w:rsidP="00BC1BBE">
      <w:pPr>
        <w:numPr>
          <w:ilvl w:val="2"/>
          <w:numId w:val="29"/>
        </w:numPr>
        <w:tabs>
          <w:tab w:val="clear" w:pos="2160"/>
          <w:tab w:val="num" w:pos="2728"/>
        </w:tabs>
        <w:spacing w:after="0" w:line="240" w:lineRule="auto"/>
        <w:ind w:left="2728"/>
        <w:rPr>
          <w:rFonts w:ascii="Times" w:eastAsia="MS Mincho" w:hAnsi="Times"/>
          <w:i/>
          <w:color w:val="0070C0"/>
          <w:sz w:val="18"/>
          <w:szCs w:val="20"/>
          <w:lang w:eastAsia="ja-JP"/>
        </w:rPr>
      </w:pPr>
      <w:r w:rsidRPr="009873C5">
        <w:rPr>
          <w:rFonts w:ascii="Times" w:eastAsia="MS Mincho" w:hAnsi="Times"/>
          <w:i/>
          <w:sz w:val="18"/>
          <w:szCs w:val="20"/>
          <w:lang w:eastAsia="ja-JP"/>
        </w:rPr>
        <w:t>UE may assume there is no transmission</w:t>
      </w:r>
    </w:p>
    <w:p w:rsidR="00717B10" w:rsidRPr="009873C5" w:rsidRDefault="00717B10" w:rsidP="00717B10">
      <w:pPr>
        <w:spacing w:after="0" w:line="240" w:lineRule="auto"/>
        <w:ind w:left="2008" w:hanging="1440"/>
        <w:rPr>
          <w:rFonts w:ascii="Times" w:eastAsia="MS Mincho" w:hAnsi="Times"/>
          <w:b/>
          <w:i/>
          <w:sz w:val="18"/>
          <w:szCs w:val="24"/>
          <w:u w:val="single"/>
          <w:lang w:eastAsia="ja-JP"/>
        </w:rPr>
      </w:pPr>
      <w:r w:rsidRPr="009873C5">
        <w:rPr>
          <w:rFonts w:ascii="Times" w:eastAsia="MS Mincho" w:hAnsi="Times"/>
          <w:b/>
          <w:i/>
          <w:sz w:val="18"/>
          <w:szCs w:val="24"/>
          <w:highlight w:val="green"/>
          <w:u w:val="single"/>
          <w:lang w:eastAsia="ja-JP"/>
        </w:rPr>
        <w:t>Agreements:</w:t>
      </w:r>
      <w:r w:rsidRPr="009873C5">
        <w:rPr>
          <w:rFonts w:ascii="Times" w:eastAsia="MS Mincho" w:hAnsi="Times"/>
          <w:i/>
          <w:sz w:val="18"/>
          <w:szCs w:val="24"/>
          <w:lang w:eastAsia="ja-JP"/>
        </w:rPr>
        <w:t xml:space="preserve"> (RAN1-NR-AH#2, June 2017)</w:t>
      </w:r>
    </w:p>
    <w:p w:rsidR="00717B10" w:rsidRPr="009873C5" w:rsidRDefault="00717B10" w:rsidP="00717B10">
      <w:pPr>
        <w:numPr>
          <w:ilvl w:val="0"/>
          <w:numId w:val="31"/>
        </w:numPr>
        <w:spacing w:after="0" w:line="240" w:lineRule="auto"/>
        <w:ind w:left="988"/>
        <w:rPr>
          <w:rFonts w:ascii="Times" w:eastAsia="MS Mincho" w:hAnsi="Times"/>
          <w:i/>
          <w:sz w:val="18"/>
          <w:szCs w:val="20"/>
          <w:lang w:eastAsia="ja-JP"/>
        </w:rPr>
      </w:pPr>
      <w:r w:rsidRPr="009873C5">
        <w:rPr>
          <w:rFonts w:ascii="Times" w:eastAsia="MS Mincho" w:hAnsi="Times"/>
          <w:i/>
          <w:sz w:val="18"/>
          <w:szCs w:val="20"/>
          <w:lang w:eastAsia="ja-JP"/>
        </w:rPr>
        <w:lastRenderedPageBreak/>
        <w:t>In ‘Slot format related information’, ‘Empty’ is not indicated explicitly.</w:t>
      </w:r>
    </w:p>
    <w:p w:rsidR="00717B10" w:rsidRPr="009873C5" w:rsidRDefault="00717B10" w:rsidP="00717B10">
      <w:pPr>
        <w:numPr>
          <w:ilvl w:val="0"/>
          <w:numId w:val="31"/>
        </w:numPr>
        <w:spacing w:after="0" w:line="240" w:lineRule="auto"/>
        <w:ind w:left="988"/>
        <w:rPr>
          <w:rFonts w:ascii="Times" w:eastAsia="MS Mincho" w:hAnsi="Times"/>
          <w:i/>
          <w:sz w:val="18"/>
          <w:szCs w:val="20"/>
          <w:lang w:eastAsia="ja-JP"/>
        </w:rPr>
      </w:pPr>
      <w:r w:rsidRPr="009873C5">
        <w:rPr>
          <w:rFonts w:ascii="Times" w:eastAsia="MS Mincho" w:hAnsi="Times"/>
          <w:i/>
          <w:sz w:val="18"/>
          <w:szCs w:val="20"/>
          <w:lang w:eastAsia="ja-JP"/>
        </w:rPr>
        <w:t>Note: RAN1 specification ensures that UE(s) is/are aware of which resources can be for ‘gap for DL-UL switching’ and/or ‘gap’</w:t>
      </w:r>
    </w:p>
    <w:p w:rsidR="00717B10" w:rsidRPr="009873C5" w:rsidRDefault="00717B10" w:rsidP="00717B10">
      <w:pPr>
        <w:numPr>
          <w:ilvl w:val="0"/>
          <w:numId w:val="31"/>
        </w:numPr>
        <w:spacing w:after="0" w:line="240" w:lineRule="auto"/>
        <w:ind w:left="988"/>
        <w:rPr>
          <w:rFonts w:ascii="Times" w:eastAsia="MS Mincho" w:hAnsi="Times"/>
          <w:i/>
          <w:sz w:val="18"/>
          <w:szCs w:val="20"/>
          <w:lang w:eastAsia="ja-JP"/>
        </w:rPr>
      </w:pPr>
      <w:r w:rsidRPr="009873C5">
        <w:rPr>
          <w:rFonts w:ascii="Times" w:eastAsia="MS Mincho" w:hAnsi="Times"/>
          <w:i/>
          <w:sz w:val="18"/>
          <w:szCs w:val="20"/>
          <w:lang w:eastAsia="ja-JP"/>
        </w:rPr>
        <w:t>Note: RAN1 specification ensures that UE(s) is/are aware of which resources are for ‘CSI/interference measurement’.</w:t>
      </w:r>
    </w:p>
    <w:p w:rsidR="00717B10" w:rsidRPr="009873C5" w:rsidRDefault="00717B10" w:rsidP="00717B10">
      <w:pPr>
        <w:spacing w:after="0" w:line="240" w:lineRule="auto"/>
        <w:ind w:left="2008" w:hanging="1440"/>
        <w:rPr>
          <w:rFonts w:ascii="Times" w:eastAsia="MS Mincho" w:hAnsi="Times"/>
          <w:b/>
          <w:i/>
          <w:sz w:val="18"/>
          <w:szCs w:val="24"/>
          <w:u w:val="single"/>
          <w:lang w:eastAsia="ja-JP"/>
        </w:rPr>
      </w:pPr>
      <w:r w:rsidRPr="009873C5">
        <w:rPr>
          <w:rFonts w:ascii="Times" w:eastAsia="MS Mincho" w:hAnsi="Times"/>
          <w:b/>
          <w:i/>
          <w:sz w:val="18"/>
          <w:szCs w:val="24"/>
          <w:highlight w:val="green"/>
          <w:u w:val="single"/>
          <w:lang w:eastAsia="ja-JP"/>
        </w:rPr>
        <w:t>Agreements:</w:t>
      </w:r>
      <w:r w:rsidRPr="009873C5">
        <w:rPr>
          <w:rFonts w:ascii="Times" w:eastAsia="MS Mincho" w:hAnsi="Times"/>
          <w:i/>
          <w:sz w:val="18"/>
          <w:szCs w:val="24"/>
          <w:lang w:eastAsia="ja-JP"/>
        </w:rPr>
        <w:t xml:space="preserve"> (RAN1-NR-AH#2, June 2017)</w:t>
      </w:r>
    </w:p>
    <w:p w:rsidR="00717B10" w:rsidRPr="009873C5" w:rsidRDefault="00717B10" w:rsidP="00717B10">
      <w:pPr>
        <w:numPr>
          <w:ilvl w:val="0"/>
          <w:numId w:val="32"/>
        </w:numPr>
        <w:spacing w:after="0" w:line="240" w:lineRule="auto"/>
        <w:ind w:left="988"/>
        <w:rPr>
          <w:rFonts w:ascii="Times" w:eastAsia="MS Mincho" w:hAnsi="Times"/>
          <w:i/>
          <w:sz w:val="18"/>
          <w:szCs w:val="20"/>
          <w:lang w:eastAsia="ja-JP"/>
        </w:rPr>
      </w:pPr>
      <w:r w:rsidRPr="009873C5">
        <w:rPr>
          <w:rFonts w:ascii="Times" w:eastAsia="MS Mincho" w:hAnsi="Times"/>
          <w:i/>
          <w:sz w:val="18"/>
          <w:szCs w:val="20"/>
          <w:lang w:eastAsia="ja-JP"/>
        </w:rPr>
        <w:t>UE is configured with a CORESET to monitor group-common PDCCH.</w:t>
      </w:r>
    </w:p>
    <w:p w:rsidR="00717B10" w:rsidRPr="009873C5" w:rsidRDefault="00717B10" w:rsidP="00717B10">
      <w:pPr>
        <w:numPr>
          <w:ilvl w:val="1"/>
          <w:numId w:val="32"/>
        </w:numPr>
        <w:spacing w:after="0" w:line="240" w:lineRule="auto"/>
        <w:ind w:left="1408"/>
        <w:rPr>
          <w:rFonts w:ascii="Times" w:eastAsia="MS Mincho" w:hAnsi="Times"/>
          <w:i/>
          <w:sz w:val="18"/>
          <w:szCs w:val="20"/>
          <w:lang w:eastAsia="ja-JP"/>
        </w:rPr>
      </w:pPr>
      <w:r w:rsidRPr="009873C5">
        <w:rPr>
          <w:rFonts w:ascii="Times" w:eastAsia="MS Mincho" w:hAnsi="Times"/>
          <w:i/>
          <w:sz w:val="18"/>
          <w:szCs w:val="20"/>
          <w:lang w:eastAsia="ja-JP"/>
        </w:rPr>
        <w:t>When configured, the group-common PDCCH follows the same CORESET configuration (e.g., REG-to-CCE mapping) of the CORESET.</w:t>
      </w:r>
    </w:p>
    <w:p w:rsidR="00717B10" w:rsidRPr="009873C5" w:rsidRDefault="00717B10" w:rsidP="00717B10">
      <w:pPr>
        <w:numPr>
          <w:ilvl w:val="2"/>
          <w:numId w:val="32"/>
        </w:numPr>
        <w:spacing w:after="0" w:line="240" w:lineRule="auto"/>
        <w:ind w:left="1828"/>
        <w:rPr>
          <w:rFonts w:ascii="Times" w:eastAsia="MS Mincho" w:hAnsi="Times"/>
          <w:i/>
          <w:sz w:val="18"/>
          <w:szCs w:val="20"/>
          <w:lang w:eastAsia="ja-JP"/>
        </w:rPr>
      </w:pPr>
      <w:r w:rsidRPr="009873C5">
        <w:rPr>
          <w:rFonts w:ascii="Times" w:eastAsia="MS Mincho" w:hAnsi="Times"/>
          <w:i/>
          <w:sz w:val="18"/>
          <w:szCs w:val="20"/>
          <w:lang w:eastAsia="ja-JP"/>
        </w:rPr>
        <w:t>A group-common PDCCH is formed by an integer number of CCEs.</w:t>
      </w:r>
    </w:p>
    <w:p w:rsidR="00717B10" w:rsidRPr="009873C5" w:rsidRDefault="00717B10" w:rsidP="00717B10">
      <w:pPr>
        <w:numPr>
          <w:ilvl w:val="0"/>
          <w:numId w:val="32"/>
        </w:numPr>
        <w:spacing w:after="0" w:line="240" w:lineRule="auto"/>
        <w:ind w:left="988"/>
        <w:rPr>
          <w:rFonts w:ascii="Times" w:eastAsia="MS Mincho" w:hAnsi="Times"/>
          <w:i/>
          <w:sz w:val="18"/>
          <w:szCs w:val="20"/>
          <w:lang w:eastAsia="ja-JP"/>
        </w:rPr>
      </w:pPr>
      <w:r w:rsidRPr="009873C5">
        <w:rPr>
          <w:rFonts w:ascii="Times" w:eastAsia="MS Mincho" w:hAnsi="Times"/>
          <w:i/>
          <w:sz w:val="18"/>
          <w:szCs w:val="20"/>
          <w:lang w:eastAsia="ja-JP"/>
        </w:rPr>
        <w:t>The CORESET for the monitored group-common PDCCH carrying SFI can be the same or different from the CORESET for the monitored PDCCH for other types of control signalling.</w:t>
      </w:r>
    </w:p>
    <w:p w:rsidR="00717B10" w:rsidRPr="009873C5" w:rsidRDefault="00717B10" w:rsidP="00717B10">
      <w:pPr>
        <w:spacing w:after="0" w:line="240" w:lineRule="auto"/>
        <w:ind w:left="2008" w:hanging="1440"/>
        <w:rPr>
          <w:rFonts w:ascii="Times" w:eastAsia="MS Mincho" w:hAnsi="Times"/>
          <w:b/>
          <w:i/>
          <w:sz w:val="18"/>
          <w:szCs w:val="24"/>
          <w:u w:val="single"/>
          <w:lang w:eastAsia="ja-JP"/>
        </w:rPr>
      </w:pPr>
      <w:r w:rsidRPr="009873C5">
        <w:rPr>
          <w:rFonts w:ascii="Times" w:eastAsia="MS Mincho" w:hAnsi="Times"/>
          <w:b/>
          <w:i/>
          <w:sz w:val="18"/>
          <w:szCs w:val="24"/>
          <w:highlight w:val="green"/>
          <w:u w:val="single"/>
          <w:lang w:eastAsia="ja-JP"/>
        </w:rPr>
        <w:t>Agreements:</w:t>
      </w:r>
      <w:r w:rsidRPr="009873C5">
        <w:rPr>
          <w:rFonts w:ascii="Times" w:eastAsia="MS Mincho" w:hAnsi="Times"/>
          <w:i/>
          <w:sz w:val="18"/>
          <w:szCs w:val="24"/>
          <w:lang w:eastAsia="ja-JP"/>
        </w:rPr>
        <w:t xml:space="preserve"> (RAN1-NR-AH#2, June 2017)</w:t>
      </w:r>
    </w:p>
    <w:p w:rsidR="00717B10" w:rsidRPr="009873C5" w:rsidRDefault="00717B10" w:rsidP="00717B10">
      <w:pPr>
        <w:numPr>
          <w:ilvl w:val="0"/>
          <w:numId w:val="33"/>
        </w:numPr>
        <w:tabs>
          <w:tab w:val="clear" w:pos="360"/>
          <w:tab w:val="num" w:pos="928"/>
        </w:tabs>
        <w:spacing w:after="0" w:line="240" w:lineRule="auto"/>
        <w:ind w:left="928"/>
        <w:rPr>
          <w:rFonts w:ascii="Times" w:eastAsia="MS Mincho" w:hAnsi="Times"/>
          <w:i/>
          <w:sz w:val="18"/>
          <w:szCs w:val="20"/>
          <w:lang w:eastAsia="ja-JP"/>
        </w:rPr>
      </w:pPr>
      <w:r w:rsidRPr="009873C5">
        <w:rPr>
          <w:rFonts w:ascii="Times" w:eastAsia="MS Mincho" w:hAnsi="Times"/>
          <w:i/>
          <w:sz w:val="18"/>
          <w:szCs w:val="20"/>
          <w:lang w:eastAsia="ja-JP"/>
        </w:rPr>
        <w:t>Prioritize discussion of SFI functionality of a group-common PDCCH.</w:t>
      </w:r>
    </w:p>
    <w:p w:rsidR="00717B10" w:rsidRPr="009873C5" w:rsidRDefault="00717B10" w:rsidP="00717B10">
      <w:pPr>
        <w:numPr>
          <w:ilvl w:val="1"/>
          <w:numId w:val="33"/>
        </w:numPr>
        <w:tabs>
          <w:tab w:val="clear" w:pos="1080"/>
          <w:tab w:val="num" w:pos="1648"/>
        </w:tabs>
        <w:spacing w:after="0" w:line="240" w:lineRule="auto"/>
        <w:ind w:left="1648"/>
        <w:rPr>
          <w:rFonts w:ascii="Times" w:eastAsia="MS Mincho" w:hAnsi="Times"/>
          <w:sz w:val="20"/>
          <w:szCs w:val="20"/>
          <w:lang w:eastAsia="ja-JP"/>
        </w:rPr>
      </w:pPr>
      <w:r w:rsidRPr="009873C5">
        <w:rPr>
          <w:rFonts w:ascii="Times" w:eastAsia="MS Mincho" w:hAnsi="Times"/>
          <w:i/>
          <w:sz w:val="18"/>
          <w:szCs w:val="20"/>
          <w:lang w:eastAsia="ja-JP"/>
        </w:rPr>
        <w:t>Further work will be on group-common PDCCH carrying the SFI at least in August meeting.</w:t>
      </w:r>
    </w:p>
    <w:p w:rsidR="00FD23DF" w:rsidRPr="009873C5" w:rsidRDefault="00FD23DF" w:rsidP="00FD23DF">
      <w:pPr>
        <w:spacing w:after="0" w:line="240" w:lineRule="auto"/>
        <w:rPr>
          <w:rFonts w:ascii="Times" w:eastAsia="MS Mincho" w:hAnsi="Times"/>
          <w:i/>
          <w:sz w:val="18"/>
          <w:szCs w:val="20"/>
          <w:lang w:eastAsia="ja-JP"/>
        </w:rPr>
      </w:pPr>
    </w:p>
    <w:p w:rsidR="00FD23DF" w:rsidRPr="009873C5" w:rsidRDefault="00FD23DF" w:rsidP="00FD23DF">
      <w:pPr>
        <w:tabs>
          <w:tab w:val="left" w:pos="1440"/>
        </w:tabs>
        <w:spacing w:after="0" w:line="240" w:lineRule="auto"/>
        <w:textAlignment w:val="baseline"/>
        <w:rPr>
          <w:rFonts w:ascii="Times New Roman" w:eastAsia="Times New Roman" w:hAnsi="Times New Roman"/>
          <w:sz w:val="18"/>
          <w:szCs w:val="18"/>
          <w:lang w:eastAsia="fi-FI"/>
        </w:rPr>
      </w:pPr>
      <w:r w:rsidRPr="009873C5">
        <w:rPr>
          <w:rFonts w:ascii="Times" w:eastAsia="Yu Mincho" w:hAnsi="Times"/>
          <w:b/>
          <w:bCs/>
          <w:kern w:val="24"/>
          <w:sz w:val="18"/>
          <w:szCs w:val="18"/>
          <w:highlight w:val="darkYellow"/>
          <w:u w:val="single"/>
          <w:lang w:eastAsia="fi-FI"/>
        </w:rPr>
        <w:t>Working assumption:</w:t>
      </w:r>
    </w:p>
    <w:p w:rsidR="00FD23DF" w:rsidRPr="009873C5" w:rsidRDefault="00FD23DF" w:rsidP="00FD23DF">
      <w:pPr>
        <w:numPr>
          <w:ilvl w:val="1"/>
          <w:numId w:val="34"/>
        </w:numPr>
        <w:tabs>
          <w:tab w:val="left" w:pos="1080"/>
          <w:tab w:val="left" w:pos="1440"/>
        </w:tabs>
        <w:spacing w:after="0" w:line="240" w:lineRule="auto"/>
        <w:ind w:left="993"/>
        <w:contextualSpacing/>
        <w:textAlignment w:val="baseline"/>
        <w:rPr>
          <w:rFonts w:ascii="Times New Roman" w:eastAsia="Times New Roman" w:hAnsi="Times New Roman"/>
          <w:i/>
          <w:sz w:val="18"/>
          <w:szCs w:val="18"/>
          <w:lang w:eastAsia="fi-FI"/>
        </w:rPr>
      </w:pPr>
      <w:r w:rsidRPr="009873C5">
        <w:rPr>
          <w:rFonts w:ascii="Times" w:eastAsia="Yu Mincho" w:hAnsi="Times"/>
          <w:color w:val="68717A"/>
          <w:kern w:val="24"/>
          <w:sz w:val="18"/>
          <w:szCs w:val="18"/>
          <w:lang w:eastAsia="fi-FI"/>
        </w:rPr>
        <w:t xml:space="preserve"> </w:t>
      </w:r>
      <w:r w:rsidRPr="009873C5">
        <w:rPr>
          <w:rFonts w:ascii="Times" w:eastAsia="Yu Mincho" w:hAnsi="Times"/>
          <w:i/>
          <w:kern w:val="24"/>
          <w:sz w:val="18"/>
          <w:szCs w:val="18"/>
          <w:lang w:eastAsia="fi-FI"/>
        </w:rPr>
        <w:t>‘Unknown’ resource is ‘flexible’ and can be overridden by at least by DCI indication; ‘Unknown’ is used to achieve the (FFS: exactly/approximately) the same as ‘Reserved’ if not overridden.</w:t>
      </w:r>
    </w:p>
    <w:p w:rsidR="00FD23DF" w:rsidRPr="009873C5" w:rsidRDefault="00FD23DF" w:rsidP="00FD23DF">
      <w:pPr>
        <w:numPr>
          <w:ilvl w:val="2"/>
          <w:numId w:val="34"/>
        </w:numPr>
        <w:tabs>
          <w:tab w:val="left" w:pos="1440"/>
          <w:tab w:val="left" w:pos="1800"/>
        </w:tabs>
        <w:spacing w:after="0" w:line="240" w:lineRule="auto"/>
        <w:ind w:left="993"/>
        <w:contextualSpacing/>
        <w:textAlignment w:val="baseline"/>
        <w:rPr>
          <w:rFonts w:ascii="Times New Roman" w:eastAsia="Times New Roman" w:hAnsi="Times New Roman"/>
          <w:i/>
          <w:sz w:val="18"/>
          <w:szCs w:val="18"/>
          <w:lang w:eastAsia="fi-FI"/>
        </w:rPr>
      </w:pPr>
      <w:r w:rsidRPr="009873C5">
        <w:rPr>
          <w:rFonts w:ascii="Times" w:eastAsia="Yu Mincho" w:hAnsi="Times"/>
          <w:i/>
          <w:kern w:val="24"/>
          <w:sz w:val="18"/>
          <w:szCs w:val="18"/>
          <w:lang w:eastAsia="fi-FI"/>
        </w:rPr>
        <w:t>‘Unknown’ is signalled at least by SFI in a group-common PDCCH</w:t>
      </w:r>
    </w:p>
    <w:p w:rsidR="00FD23DF" w:rsidRPr="009873C5" w:rsidRDefault="00FD23DF" w:rsidP="00FD23DF">
      <w:pPr>
        <w:numPr>
          <w:ilvl w:val="2"/>
          <w:numId w:val="34"/>
        </w:numPr>
        <w:tabs>
          <w:tab w:val="left" w:pos="1440"/>
          <w:tab w:val="left" w:pos="1800"/>
        </w:tabs>
        <w:spacing w:after="0" w:line="240" w:lineRule="auto"/>
        <w:ind w:left="993"/>
        <w:contextualSpacing/>
        <w:textAlignment w:val="baseline"/>
        <w:rPr>
          <w:rFonts w:ascii="Times New Roman" w:eastAsia="Times New Roman" w:hAnsi="Times New Roman"/>
          <w:i/>
          <w:sz w:val="18"/>
          <w:szCs w:val="18"/>
          <w:lang w:eastAsia="fi-FI"/>
        </w:rPr>
      </w:pPr>
      <w:r w:rsidRPr="009873C5">
        <w:rPr>
          <w:rFonts w:ascii="Times" w:eastAsia="Yu Mincho" w:hAnsi="Times"/>
          <w:i/>
          <w:kern w:val="24"/>
          <w:sz w:val="18"/>
          <w:szCs w:val="18"/>
          <w:lang w:eastAsia="fi-FI"/>
        </w:rPr>
        <w:t>FFS: Possibility of overridden by some types of RRC (e.g., measurement configuration)</w:t>
      </w:r>
    </w:p>
    <w:p w:rsidR="00FD23DF" w:rsidRPr="009873C5" w:rsidRDefault="00FD23DF" w:rsidP="00FD23DF">
      <w:pPr>
        <w:numPr>
          <w:ilvl w:val="1"/>
          <w:numId w:val="34"/>
        </w:numPr>
        <w:tabs>
          <w:tab w:val="left" w:pos="1080"/>
          <w:tab w:val="left" w:pos="1440"/>
        </w:tabs>
        <w:spacing w:after="0" w:line="240" w:lineRule="auto"/>
        <w:ind w:left="993"/>
        <w:contextualSpacing/>
        <w:textAlignment w:val="baseline"/>
        <w:rPr>
          <w:rFonts w:ascii="Times New Roman" w:eastAsia="Times New Roman" w:hAnsi="Times New Roman"/>
          <w:i/>
          <w:sz w:val="18"/>
          <w:szCs w:val="18"/>
          <w:lang w:eastAsia="fi-FI"/>
        </w:rPr>
      </w:pPr>
      <w:r w:rsidRPr="009873C5">
        <w:rPr>
          <w:rFonts w:ascii="Times" w:eastAsia="Yu Mincho" w:hAnsi="Times"/>
          <w:i/>
          <w:kern w:val="24"/>
          <w:sz w:val="18"/>
          <w:szCs w:val="18"/>
          <w:lang w:eastAsia="fi-FI"/>
        </w:rPr>
        <w:t>‘Reserved’ resource is ‘not transmit’ and ‘not receive’ but cannot be overridden by DCI/SFI indication.</w:t>
      </w:r>
    </w:p>
    <w:p w:rsidR="00FD23DF" w:rsidRPr="009873C5" w:rsidRDefault="00FD23DF" w:rsidP="00FD23DF">
      <w:pPr>
        <w:numPr>
          <w:ilvl w:val="2"/>
          <w:numId w:val="34"/>
        </w:numPr>
        <w:tabs>
          <w:tab w:val="left" w:pos="1440"/>
          <w:tab w:val="left" w:pos="1800"/>
        </w:tabs>
        <w:spacing w:after="0" w:line="240" w:lineRule="auto"/>
        <w:ind w:left="993"/>
        <w:contextualSpacing/>
        <w:textAlignment w:val="baseline"/>
        <w:rPr>
          <w:rFonts w:ascii="Times New Roman" w:eastAsia="Times New Roman" w:hAnsi="Times New Roman"/>
          <w:i/>
          <w:sz w:val="18"/>
          <w:szCs w:val="18"/>
          <w:lang w:eastAsia="fi-FI"/>
        </w:rPr>
      </w:pPr>
      <w:r w:rsidRPr="009873C5">
        <w:rPr>
          <w:rFonts w:ascii="Times" w:eastAsia="Yu Mincho" w:hAnsi="Times"/>
          <w:i/>
          <w:kern w:val="24"/>
          <w:sz w:val="18"/>
          <w:szCs w:val="18"/>
          <w:lang w:eastAsia="fi-FI"/>
        </w:rPr>
        <w:t>‘Reserved’ is signalled at least by RRC</w:t>
      </w:r>
    </w:p>
    <w:p w:rsidR="00FD23DF" w:rsidRPr="009873C5" w:rsidRDefault="00FD23DF" w:rsidP="00FD23DF">
      <w:pPr>
        <w:numPr>
          <w:ilvl w:val="1"/>
          <w:numId w:val="34"/>
        </w:numPr>
        <w:tabs>
          <w:tab w:val="left" w:pos="1080"/>
          <w:tab w:val="left" w:pos="1440"/>
        </w:tabs>
        <w:spacing w:after="0" w:line="240" w:lineRule="auto"/>
        <w:ind w:left="993"/>
        <w:contextualSpacing/>
        <w:textAlignment w:val="baseline"/>
        <w:rPr>
          <w:rFonts w:ascii="Times New Roman" w:eastAsia="Times New Roman" w:hAnsi="Times New Roman"/>
          <w:i/>
          <w:sz w:val="18"/>
          <w:szCs w:val="18"/>
          <w:lang w:eastAsia="fi-FI"/>
        </w:rPr>
      </w:pPr>
      <w:r w:rsidRPr="009873C5">
        <w:rPr>
          <w:rFonts w:ascii="Times" w:eastAsia="Yu Mincho" w:hAnsi="Times"/>
          <w:i/>
          <w:kern w:val="24"/>
          <w:sz w:val="18"/>
          <w:szCs w:val="18"/>
          <w:lang w:eastAsia="fi-FI"/>
        </w:rPr>
        <w:t>FFS: handling of ‘gap’</w:t>
      </w:r>
    </w:p>
    <w:p w:rsidR="00FD23DF" w:rsidRPr="009873C5" w:rsidRDefault="00FD23DF" w:rsidP="00FD23DF">
      <w:pPr>
        <w:numPr>
          <w:ilvl w:val="1"/>
          <w:numId w:val="34"/>
        </w:numPr>
        <w:tabs>
          <w:tab w:val="left" w:pos="1080"/>
          <w:tab w:val="left" w:pos="1440"/>
        </w:tabs>
        <w:spacing w:after="0" w:line="240" w:lineRule="auto"/>
        <w:ind w:left="993"/>
        <w:contextualSpacing/>
        <w:textAlignment w:val="baseline"/>
        <w:rPr>
          <w:rFonts w:ascii="Times New Roman" w:eastAsia="Times New Roman" w:hAnsi="Times New Roman"/>
          <w:i/>
          <w:sz w:val="18"/>
          <w:szCs w:val="18"/>
          <w:lang w:eastAsia="fi-FI"/>
        </w:rPr>
      </w:pPr>
      <w:r w:rsidRPr="009873C5">
        <w:rPr>
          <w:rFonts w:ascii="Times" w:eastAsia="Yu Mincho" w:hAnsi="Times"/>
          <w:i/>
          <w:kern w:val="24"/>
          <w:sz w:val="18"/>
          <w:szCs w:val="18"/>
          <w:lang w:eastAsia="fi-FI"/>
        </w:rPr>
        <w:t>For semi-static DL/UL transmission direction, ‘Unknown’ can be informed as part of the semi-static configuration.</w:t>
      </w:r>
    </w:p>
    <w:p w:rsidR="00FD23DF" w:rsidRPr="009873C5" w:rsidRDefault="00FD23DF" w:rsidP="00FD23DF">
      <w:pPr>
        <w:spacing w:after="0" w:line="240" w:lineRule="auto"/>
        <w:ind w:left="568"/>
        <w:rPr>
          <w:rFonts w:ascii="Times" w:eastAsia="MS Mincho" w:hAnsi="Times"/>
          <w:sz w:val="20"/>
          <w:szCs w:val="20"/>
          <w:lang w:eastAsia="ja-JP"/>
        </w:rPr>
      </w:pPr>
    </w:p>
    <w:p w:rsidR="000F1730" w:rsidRPr="009873C5" w:rsidRDefault="006A7B20" w:rsidP="00570A5D">
      <w:pPr>
        <w:spacing w:before="100" w:beforeAutospacing="1" w:after="100" w:afterAutospacing="1"/>
        <w:jc w:val="both"/>
        <w:rPr>
          <w:rFonts w:ascii="Times New Roman" w:eastAsia="Times New Roman" w:hAnsi="Times New Roman"/>
        </w:rPr>
      </w:pPr>
      <w:r w:rsidRPr="009873C5">
        <w:rPr>
          <w:rFonts w:ascii="Times New Roman" w:eastAsia="Times New Roman" w:hAnsi="Times New Roman"/>
          <w:sz w:val="20"/>
        </w:rPr>
        <w:t xml:space="preserve">In this contribution, we discuss </w:t>
      </w:r>
      <w:r w:rsidR="00BC1BBE" w:rsidRPr="009873C5">
        <w:rPr>
          <w:rFonts w:ascii="Times New Roman" w:eastAsia="Times New Roman" w:hAnsi="Times New Roman"/>
          <w:sz w:val="20"/>
        </w:rPr>
        <w:t xml:space="preserve">the </w:t>
      </w:r>
      <w:r w:rsidR="00D00042" w:rsidRPr="009873C5">
        <w:rPr>
          <w:rFonts w:ascii="Times New Roman" w:eastAsia="Times New Roman" w:hAnsi="Times New Roman"/>
          <w:sz w:val="20"/>
        </w:rPr>
        <w:t>remaining aspects of</w:t>
      </w:r>
      <w:r w:rsidR="00BC1BBE" w:rsidRPr="009873C5">
        <w:rPr>
          <w:rFonts w:ascii="Times New Roman" w:eastAsia="Times New Roman" w:hAnsi="Times New Roman"/>
          <w:sz w:val="20"/>
        </w:rPr>
        <w:t xml:space="preserve"> group </w:t>
      </w:r>
      <w:r w:rsidR="00896884" w:rsidRPr="009873C5">
        <w:rPr>
          <w:rFonts w:ascii="Times New Roman" w:eastAsia="Times New Roman" w:hAnsi="Times New Roman"/>
          <w:sz w:val="20"/>
        </w:rPr>
        <w:t>common PDCCH</w:t>
      </w:r>
      <w:r w:rsidR="00935B35" w:rsidRPr="009873C5">
        <w:rPr>
          <w:rFonts w:ascii="Times New Roman" w:eastAsia="Times New Roman" w:hAnsi="Times New Roman"/>
          <w:sz w:val="20"/>
        </w:rPr>
        <w:t xml:space="preserve">, particularly slot format design, group-common structure and UE </w:t>
      </w:r>
      <w:r w:rsidR="00047723" w:rsidRPr="009873C5">
        <w:rPr>
          <w:rFonts w:ascii="Times New Roman" w:eastAsia="Times New Roman" w:hAnsi="Times New Roman"/>
          <w:sz w:val="20"/>
        </w:rPr>
        <w:t>behavior</w:t>
      </w:r>
      <w:r w:rsidR="00935B35" w:rsidRPr="009873C5">
        <w:rPr>
          <w:rFonts w:ascii="Times New Roman" w:eastAsia="Times New Roman" w:hAnsi="Times New Roman"/>
          <w:sz w:val="20"/>
        </w:rPr>
        <w:t xml:space="preserve">. </w:t>
      </w:r>
    </w:p>
    <w:p w:rsidR="008E68EE" w:rsidRPr="009873C5" w:rsidRDefault="008E68EE" w:rsidP="008E68EE">
      <w:pPr>
        <w:pStyle w:val="Heading1"/>
        <w:rPr>
          <w:lang w:val="en-US"/>
        </w:rPr>
      </w:pPr>
      <w:bookmarkStart w:id="5" w:name="OLE_LINK13"/>
      <w:bookmarkStart w:id="6" w:name="OLE_LINK14"/>
      <w:r w:rsidRPr="009873C5">
        <w:rPr>
          <w:lang w:val="en-US"/>
        </w:rPr>
        <w:t>2</w:t>
      </w:r>
      <w:r w:rsidRPr="009873C5">
        <w:rPr>
          <w:lang w:val="en-US"/>
        </w:rPr>
        <w:tab/>
      </w:r>
      <w:r w:rsidR="00D00042" w:rsidRPr="009873C5">
        <w:rPr>
          <w:lang w:val="en-US"/>
        </w:rPr>
        <w:t xml:space="preserve">On </w:t>
      </w:r>
      <w:r w:rsidR="003F20B4" w:rsidRPr="009873C5">
        <w:rPr>
          <w:lang w:val="en-US"/>
        </w:rPr>
        <w:t>UE behavior</w:t>
      </w:r>
    </w:p>
    <w:p w:rsidR="00B473E3" w:rsidRPr="009873C5" w:rsidRDefault="00935B35" w:rsidP="00935B35">
      <w:pPr>
        <w:jc w:val="both"/>
        <w:rPr>
          <w:rFonts w:ascii="Times New Roman" w:hAnsi="Times New Roman"/>
          <w:sz w:val="20"/>
          <w:szCs w:val="20"/>
        </w:rPr>
      </w:pPr>
      <w:r w:rsidRPr="009873C5">
        <w:rPr>
          <w:rFonts w:ascii="Times New Roman" w:hAnsi="Times New Roman"/>
          <w:sz w:val="20"/>
          <w:szCs w:val="20"/>
        </w:rPr>
        <w:t xml:space="preserve">Based on previous agreements, a UE can be higher-layer configured with TDD UL/DL configuration and can be also configured with semi-static “reserved resouce”. </w:t>
      </w:r>
      <w:r w:rsidR="00E27587" w:rsidRPr="009873C5">
        <w:rPr>
          <w:rFonts w:ascii="Times New Roman" w:hAnsi="Times New Roman"/>
          <w:sz w:val="20"/>
          <w:szCs w:val="20"/>
        </w:rPr>
        <w:t>Secondly</w:t>
      </w:r>
      <w:r w:rsidRPr="009873C5">
        <w:rPr>
          <w:rFonts w:ascii="Times New Roman" w:hAnsi="Times New Roman"/>
          <w:sz w:val="20"/>
          <w:szCs w:val="20"/>
        </w:rPr>
        <w:t xml:space="preserve">, a UE can be dynamically informed about slot-format for current and future slots by means of group-common DCI. </w:t>
      </w:r>
      <w:r w:rsidR="00E27587" w:rsidRPr="009873C5">
        <w:rPr>
          <w:rFonts w:ascii="Times New Roman" w:hAnsi="Times New Roman"/>
          <w:sz w:val="20"/>
          <w:szCs w:val="20"/>
        </w:rPr>
        <w:t xml:space="preserve">Thirdly, a UE can be configured with periodic transmissions and measurements and at the same time </w:t>
      </w:r>
      <w:r w:rsidR="007A4231" w:rsidRPr="009873C5">
        <w:rPr>
          <w:rFonts w:ascii="Times New Roman" w:hAnsi="Times New Roman"/>
          <w:sz w:val="20"/>
          <w:szCs w:val="20"/>
        </w:rPr>
        <w:t>monitors for</w:t>
      </w:r>
      <w:r w:rsidR="00E27587" w:rsidRPr="009873C5">
        <w:rPr>
          <w:rFonts w:ascii="Times New Roman" w:hAnsi="Times New Roman"/>
          <w:sz w:val="20"/>
          <w:szCs w:val="20"/>
        </w:rPr>
        <w:t xml:space="preserve"> DL scheduling assignments and UL grants. In this section we will </w:t>
      </w:r>
      <w:r w:rsidR="007A4231" w:rsidRPr="009873C5">
        <w:rPr>
          <w:rFonts w:ascii="Times New Roman" w:hAnsi="Times New Roman"/>
          <w:sz w:val="20"/>
          <w:szCs w:val="20"/>
        </w:rPr>
        <w:t>propose</w:t>
      </w:r>
      <w:r w:rsidR="00E27587" w:rsidRPr="009873C5">
        <w:rPr>
          <w:rFonts w:ascii="Times New Roman" w:hAnsi="Times New Roman"/>
          <w:sz w:val="20"/>
          <w:szCs w:val="20"/>
        </w:rPr>
        <w:t xml:space="preserve"> </w:t>
      </w:r>
      <w:r w:rsidR="007A4231" w:rsidRPr="009873C5">
        <w:rPr>
          <w:rFonts w:ascii="Times New Roman" w:hAnsi="Times New Roman"/>
          <w:sz w:val="20"/>
          <w:szCs w:val="20"/>
        </w:rPr>
        <w:t>a</w:t>
      </w:r>
      <w:r w:rsidR="00E27587" w:rsidRPr="009873C5">
        <w:rPr>
          <w:rFonts w:ascii="Times New Roman" w:hAnsi="Times New Roman"/>
          <w:sz w:val="20"/>
          <w:szCs w:val="20"/>
        </w:rPr>
        <w:t xml:space="preserve"> UE </w:t>
      </w:r>
      <w:r w:rsidR="00047723" w:rsidRPr="009873C5">
        <w:rPr>
          <w:rFonts w:ascii="Times New Roman" w:hAnsi="Times New Roman"/>
          <w:sz w:val="20"/>
          <w:szCs w:val="20"/>
        </w:rPr>
        <w:t>behavior</w:t>
      </w:r>
      <w:r w:rsidR="00E27587" w:rsidRPr="009873C5">
        <w:rPr>
          <w:rFonts w:ascii="Times New Roman" w:hAnsi="Times New Roman"/>
          <w:sz w:val="20"/>
          <w:szCs w:val="20"/>
        </w:rPr>
        <w:t xml:space="preserve"> given the above mix of signalling. </w:t>
      </w:r>
    </w:p>
    <w:p w:rsidR="00B473E3" w:rsidRPr="009873C5" w:rsidRDefault="00B473E3" w:rsidP="00935B35">
      <w:pPr>
        <w:jc w:val="both"/>
        <w:rPr>
          <w:rFonts w:ascii="Times New Roman" w:hAnsi="Times New Roman"/>
          <w:b/>
          <w:sz w:val="20"/>
          <w:szCs w:val="20"/>
          <w:u w:val="single"/>
        </w:rPr>
      </w:pPr>
      <w:r w:rsidRPr="009873C5">
        <w:rPr>
          <w:rFonts w:ascii="Times New Roman" w:hAnsi="Times New Roman"/>
          <w:b/>
          <w:sz w:val="20"/>
          <w:szCs w:val="20"/>
          <w:u w:val="single"/>
        </w:rPr>
        <w:t>Reserved resource</w:t>
      </w:r>
    </w:p>
    <w:p w:rsidR="00E27587" w:rsidRPr="009873C5" w:rsidRDefault="00E27587" w:rsidP="00935B35">
      <w:pPr>
        <w:jc w:val="both"/>
        <w:rPr>
          <w:rFonts w:ascii="Times New Roman" w:hAnsi="Times New Roman"/>
          <w:sz w:val="20"/>
          <w:szCs w:val="20"/>
        </w:rPr>
      </w:pPr>
      <w:r w:rsidRPr="009873C5">
        <w:rPr>
          <w:rFonts w:ascii="Times New Roman" w:hAnsi="Times New Roman"/>
          <w:sz w:val="20"/>
          <w:szCs w:val="20"/>
        </w:rPr>
        <w:t>When a UE is configured with reserved resource, the UE shall not transmit,</w:t>
      </w:r>
      <w:r w:rsidR="00C957DF" w:rsidRPr="009873C5">
        <w:rPr>
          <w:rFonts w:ascii="Times New Roman" w:hAnsi="Times New Roman"/>
          <w:sz w:val="20"/>
          <w:szCs w:val="20"/>
        </w:rPr>
        <w:t xml:space="preserve"> </w:t>
      </w:r>
      <w:r w:rsidRPr="009873C5">
        <w:rPr>
          <w:rFonts w:ascii="Times New Roman" w:hAnsi="Times New Roman"/>
          <w:sz w:val="20"/>
          <w:szCs w:val="20"/>
        </w:rPr>
        <w:t>receive or measure anything</w:t>
      </w:r>
      <w:r w:rsidR="00EA32D4" w:rsidRPr="009873C5">
        <w:rPr>
          <w:rFonts w:ascii="Times New Roman" w:hAnsi="Times New Roman"/>
          <w:sz w:val="20"/>
          <w:szCs w:val="20"/>
        </w:rPr>
        <w:t xml:space="preserve"> on reserved resource</w:t>
      </w:r>
      <w:r w:rsidR="00B473E3" w:rsidRPr="009873C5">
        <w:rPr>
          <w:rFonts w:ascii="Times New Roman" w:hAnsi="Times New Roman"/>
          <w:sz w:val="20"/>
          <w:szCs w:val="20"/>
        </w:rPr>
        <w:t>, i.e. confirm working assumption from RAN1#90</w:t>
      </w:r>
      <w:r w:rsidR="004A0F6A" w:rsidRPr="009873C5">
        <w:rPr>
          <w:rFonts w:ascii="Times New Roman" w:hAnsi="Times New Roman"/>
          <w:sz w:val="20"/>
          <w:szCs w:val="20"/>
        </w:rPr>
        <w:t>,</w:t>
      </w:r>
      <w:r w:rsidRPr="009873C5">
        <w:rPr>
          <w:rFonts w:ascii="Times New Roman" w:hAnsi="Times New Roman"/>
          <w:sz w:val="20"/>
          <w:szCs w:val="20"/>
        </w:rPr>
        <w:t xml:space="preserve"> </w:t>
      </w:r>
      <w:r w:rsidR="004A0F6A" w:rsidRPr="009873C5">
        <w:rPr>
          <w:rFonts w:ascii="Times New Roman" w:hAnsi="Times New Roman"/>
          <w:sz w:val="20"/>
          <w:szCs w:val="20"/>
        </w:rPr>
        <w:t xml:space="preserve">and </w:t>
      </w:r>
      <w:r w:rsidR="00B473E3" w:rsidRPr="009873C5">
        <w:rPr>
          <w:rFonts w:ascii="Times New Roman" w:hAnsi="Times New Roman"/>
          <w:sz w:val="20"/>
          <w:szCs w:val="20"/>
        </w:rPr>
        <w:t xml:space="preserve">RAN1 should consider to include “reserved resource” as one type of resource indicated in </w:t>
      </w:r>
      <w:r w:rsidR="00394843" w:rsidRPr="009873C5">
        <w:rPr>
          <w:rFonts w:ascii="Times New Roman" w:hAnsi="Times New Roman"/>
          <w:sz w:val="20"/>
          <w:szCs w:val="20"/>
        </w:rPr>
        <w:t xml:space="preserve">group-common </w:t>
      </w:r>
      <w:r w:rsidR="00B473E3" w:rsidRPr="009873C5">
        <w:rPr>
          <w:rFonts w:ascii="Times New Roman" w:hAnsi="Times New Roman"/>
          <w:sz w:val="20"/>
          <w:szCs w:val="20"/>
        </w:rPr>
        <w:t>DCI</w:t>
      </w:r>
      <w:r w:rsidR="00394843" w:rsidRPr="009873C5">
        <w:rPr>
          <w:rFonts w:ascii="Times New Roman" w:hAnsi="Times New Roman"/>
          <w:sz w:val="20"/>
          <w:szCs w:val="20"/>
        </w:rPr>
        <w:t xml:space="preserve"> as part of SFI framework</w:t>
      </w:r>
      <w:r w:rsidR="00B473E3" w:rsidRPr="009873C5">
        <w:rPr>
          <w:rFonts w:ascii="Times New Roman" w:hAnsi="Times New Roman"/>
          <w:sz w:val="20"/>
          <w:szCs w:val="20"/>
        </w:rPr>
        <w:t xml:space="preserve">. </w:t>
      </w:r>
    </w:p>
    <w:p w:rsidR="00B473E3" w:rsidRPr="009873C5" w:rsidRDefault="00B473E3" w:rsidP="0022090C">
      <w:pPr>
        <w:jc w:val="both"/>
        <w:rPr>
          <w:rFonts w:ascii="Times New Roman" w:hAnsi="Times New Roman"/>
          <w:b/>
          <w:sz w:val="20"/>
          <w:szCs w:val="20"/>
        </w:rPr>
      </w:pPr>
      <w:r w:rsidRPr="009873C5">
        <w:rPr>
          <w:rFonts w:ascii="Times New Roman" w:hAnsi="Times New Roman"/>
          <w:b/>
          <w:sz w:val="20"/>
          <w:szCs w:val="20"/>
        </w:rPr>
        <w:t>Proposal</w:t>
      </w:r>
      <w:r w:rsidR="000F2553" w:rsidRPr="009873C5">
        <w:rPr>
          <w:rFonts w:ascii="Times New Roman" w:hAnsi="Times New Roman"/>
          <w:b/>
          <w:sz w:val="20"/>
          <w:szCs w:val="20"/>
        </w:rPr>
        <w:t>-1</w:t>
      </w:r>
      <w:r w:rsidRPr="009873C5">
        <w:rPr>
          <w:rFonts w:ascii="Times New Roman" w:hAnsi="Times New Roman"/>
          <w:b/>
          <w:sz w:val="20"/>
          <w:szCs w:val="20"/>
        </w:rPr>
        <w:t>: RAN1 to consider reserved resource to be included as one state of SFI. UE shall not transmit, receive or measure anything in a reserved symbol.</w:t>
      </w:r>
    </w:p>
    <w:p w:rsidR="00B473E3" w:rsidRPr="009873C5" w:rsidRDefault="00B473E3" w:rsidP="0022090C">
      <w:pPr>
        <w:jc w:val="both"/>
        <w:rPr>
          <w:rFonts w:ascii="Times New Roman" w:hAnsi="Times New Roman"/>
          <w:b/>
          <w:sz w:val="20"/>
          <w:szCs w:val="20"/>
          <w:u w:val="single"/>
        </w:rPr>
      </w:pPr>
      <w:r w:rsidRPr="009873C5">
        <w:rPr>
          <w:rFonts w:ascii="Times New Roman" w:hAnsi="Times New Roman"/>
          <w:b/>
          <w:sz w:val="20"/>
          <w:szCs w:val="20"/>
          <w:u w:val="single"/>
        </w:rPr>
        <w:t xml:space="preserve">Unknow resource </w:t>
      </w:r>
    </w:p>
    <w:p w:rsidR="00B473E3" w:rsidRPr="009873C5" w:rsidRDefault="00B473E3" w:rsidP="0022090C">
      <w:pPr>
        <w:jc w:val="both"/>
        <w:rPr>
          <w:rFonts w:ascii="Times New Roman" w:hAnsi="Times New Roman"/>
          <w:sz w:val="20"/>
          <w:szCs w:val="20"/>
        </w:rPr>
      </w:pPr>
      <w:r w:rsidRPr="009873C5">
        <w:rPr>
          <w:rFonts w:ascii="Times New Roman" w:hAnsi="Times New Roman"/>
          <w:sz w:val="20"/>
          <w:szCs w:val="20"/>
        </w:rPr>
        <w:t xml:space="preserve">In case the resource is unknown, a UE should </w:t>
      </w:r>
      <w:r w:rsidR="00C957DF" w:rsidRPr="009873C5">
        <w:rPr>
          <w:rFonts w:ascii="Times New Roman" w:hAnsi="Times New Roman"/>
          <w:sz w:val="20"/>
          <w:szCs w:val="20"/>
        </w:rPr>
        <w:t xml:space="preserve">not </w:t>
      </w:r>
      <w:r w:rsidRPr="009873C5">
        <w:rPr>
          <w:rFonts w:ascii="Times New Roman" w:hAnsi="Times New Roman"/>
          <w:sz w:val="20"/>
          <w:szCs w:val="20"/>
        </w:rPr>
        <w:t xml:space="preserve">transmit and receive </w:t>
      </w:r>
      <w:r w:rsidR="00C957DF" w:rsidRPr="009873C5">
        <w:rPr>
          <w:rFonts w:ascii="Times New Roman" w:hAnsi="Times New Roman"/>
          <w:sz w:val="20"/>
          <w:szCs w:val="20"/>
        </w:rPr>
        <w:t>unless</w:t>
      </w:r>
      <w:r w:rsidRPr="009873C5">
        <w:rPr>
          <w:rFonts w:ascii="Times New Roman" w:hAnsi="Times New Roman"/>
          <w:sz w:val="20"/>
          <w:szCs w:val="20"/>
        </w:rPr>
        <w:t xml:space="preserve"> told by DL schedul</w:t>
      </w:r>
      <w:r w:rsidR="00A160EA" w:rsidRPr="009873C5">
        <w:rPr>
          <w:rFonts w:ascii="Times New Roman" w:hAnsi="Times New Roman"/>
          <w:sz w:val="20"/>
          <w:szCs w:val="20"/>
        </w:rPr>
        <w:t>ing assignment, UL grant or aperiodic trigger</w:t>
      </w:r>
      <w:r w:rsidR="00C957DF" w:rsidRPr="009873C5">
        <w:rPr>
          <w:rFonts w:ascii="Times New Roman" w:hAnsi="Times New Roman"/>
          <w:sz w:val="20"/>
          <w:szCs w:val="20"/>
        </w:rPr>
        <w:t>.</w:t>
      </w:r>
      <w:r w:rsidR="00F6366F" w:rsidRPr="009873C5">
        <w:rPr>
          <w:rFonts w:ascii="Times New Roman" w:hAnsi="Times New Roman"/>
          <w:sz w:val="20"/>
          <w:szCs w:val="20"/>
        </w:rPr>
        <w:t xml:space="preserve"> </w:t>
      </w:r>
      <w:r w:rsidR="00C957DF" w:rsidRPr="009873C5">
        <w:rPr>
          <w:rFonts w:ascii="Times New Roman" w:hAnsi="Times New Roman"/>
          <w:sz w:val="20"/>
          <w:szCs w:val="20"/>
        </w:rPr>
        <w:t>These dedicated DCIs</w:t>
      </w:r>
      <w:r w:rsidR="00F6366F" w:rsidRPr="009873C5">
        <w:rPr>
          <w:rFonts w:ascii="Times New Roman" w:hAnsi="Times New Roman"/>
          <w:sz w:val="20"/>
          <w:szCs w:val="20"/>
        </w:rPr>
        <w:t xml:space="preserve"> </w:t>
      </w:r>
      <w:r w:rsidR="00845076" w:rsidRPr="009873C5">
        <w:rPr>
          <w:rFonts w:ascii="Times New Roman" w:hAnsi="Times New Roman"/>
          <w:sz w:val="20"/>
          <w:szCs w:val="20"/>
        </w:rPr>
        <w:t>changing</w:t>
      </w:r>
      <w:r w:rsidR="00F6366F" w:rsidRPr="009873C5">
        <w:rPr>
          <w:rFonts w:ascii="Times New Roman" w:hAnsi="Times New Roman"/>
          <w:sz w:val="20"/>
          <w:szCs w:val="20"/>
        </w:rPr>
        <w:t xml:space="preserve"> the “unknown” resource to</w:t>
      </w:r>
      <w:r w:rsidR="00C957DF" w:rsidRPr="009873C5">
        <w:rPr>
          <w:rFonts w:ascii="Times New Roman" w:hAnsi="Times New Roman"/>
          <w:sz w:val="20"/>
          <w:szCs w:val="20"/>
        </w:rPr>
        <w:t xml:space="preserve"> known, i.e.</w:t>
      </w:r>
      <w:r w:rsidR="00F6366F" w:rsidRPr="009873C5">
        <w:rPr>
          <w:rFonts w:ascii="Times New Roman" w:hAnsi="Times New Roman"/>
          <w:sz w:val="20"/>
          <w:szCs w:val="20"/>
        </w:rPr>
        <w:t xml:space="preserve"> DL or UL:</w:t>
      </w:r>
    </w:p>
    <w:p w:rsidR="003D0BE3" w:rsidRPr="009873C5" w:rsidRDefault="003D0BE3" w:rsidP="001A5D6B">
      <w:pPr>
        <w:numPr>
          <w:ilvl w:val="0"/>
          <w:numId w:val="25"/>
        </w:numPr>
        <w:jc w:val="both"/>
        <w:rPr>
          <w:rFonts w:ascii="Times New Roman" w:hAnsi="Times New Roman"/>
          <w:sz w:val="20"/>
          <w:szCs w:val="20"/>
        </w:rPr>
      </w:pPr>
      <w:r w:rsidRPr="009873C5">
        <w:rPr>
          <w:rFonts w:ascii="Times New Roman" w:hAnsi="Times New Roman"/>
          <w:sz w:val="20"/>
          <w:szCs w:val="20"/>
        </w:rPr>
        <w:t>For dynamically triggered transmission or reception</w:t>
      </w:r>
      <w:r w:rsidR="00845076" w:rsidRPr="009873C5">
        <w:rPr>
          <w:rFonts w:ascii="Times New Roman" w:hAnsi="Times New Roman"/>
          <w:sz w:val="20"/>
          <w:szCs w:val="20"/>
        </w:rPr>
        <w:t xml:space="preserve"> in unknown symbols</w:t>
      </w:r>
      <w:r w:rsidRPr="009873C5">
        <w:rPr>
          <w:rFonts w:ascii="Times New Roman" w:hAnsi="Times New Roman"/>
          <w:sz w:val="20"/>
          <w:szCs w:val="20"/>
        </w:rPr>
        <w:t>, the UE shall always follow the triggering signals (such as DL assignment, UL grant, aperiodic CSI measurement, aperiodic CSI report, aperiodic SRS, etc.) to transmit or receive.</w:t>
      </w:r>
      <w:r w:rsidR="00EC1585" w:rsidRPr="009873C5">
        <w:rPr>
          <w:rFonts w:ascii="Times New Roman" w:hAnsi="Times New Roman"/>
          <w:sz w:val="20"/>
          <w:szCs w:val="20"/>
        </w:rPr>
        <w:t xml:space="preserve"> The UE would assume the corresponding slots/symbols are UL or DL, depending on the triggered signal.</w:t>
      </w:r>
    </w:p>
    <w:p w:rsidR="00F6366F" w:rsidRPr="009873C5" w:rsidRDefault="00F6366F" w:rsidP="00F6366F">
      <w:pPr>
        <w:jc w:val="both"/>
        <w:rPr>
          <w:rFonts w:ascii="Times New Roman" w:hAnsi="Times New Roman"/>
          <w:sz w:val="20"/>
          <w:szCs w:val="20"/>
        </w:rPr>
      </w:pPr>
      <w:r w:rsidRPr="009873C5">
        <w:rPr>
          <w:rFonts w:ascii="Times New Roman" w:hAnsi="Times New Roman"/>
          <w:sz w:val="20"/>
          <w:szCs w:val="20"/>
        </w:rPr>
        <w:t xml:space="preserve">For </w:t>
      </w:r>
      <w:r w:rsidR="007E465F" w:rsidRPr="009873C5">
        <w:rPr>
          <w:rFonts w:ascii="Times New Roman" w:hAnsi="Times New Roman"/>
          <w:sz w:val="20"/>
          <w:szCs w:val="20"/>
        </w:rPr>
        <w:t xml:space="preserve">semi-statically configured </w:t>
      </w:r>
      <w:r w:rsidRPr="009873C5">
        <w:rPr>
          <w:rFonts w:ascii="Times New Roman" w:hAnsi="Times New Roman"/>
          <w:sz w:val="20"/>
          <w:szCs w:val="20"/>
        </w:rPr>
        <w:t>periodical sign</w:t>
      </w:r>
      <w:r w:rsidR="007E465F" w:rsidRPr="009873C5">
        <w:rPr>
          <w:rFonts w:ascii="Times New Roman" w:hAnsi="Times New Roman"/>
          <w:sz w:val="20"/>
          <w:szCs w:val="20"/>
        </w:rPr>
        <w:t xml:space="preserve">als, a UE shall not transmit, </w:t>
      </w:r>
      <w:r w:rsidRPr="009873C5">
        <w:rPr>
          <w:rFonts w:ascii="Times New Roman" w:hAnsi="Times New Roman"/>
          <w:sz w:val="20"/>
          <w:szCs w:val="20"/>
        </w:rPr>
        <w:t>receive</w:t>
      </w:r>
      <w:r w:rsidR="007E465F" w:rsidRPr="009873C5">
        <w:rPr>
          <w:rFonts w:ascii="Times New Roman" w:hAnsi="Times New Roman"/>
          <w:sz w:val="20"/>
          <w:szCs w:val="20"/>
        </w:rPr>
        <w:t xml:space="preserve"> or measure</w:t>
      </w:r>
      <w:r w:rsidRPr="009873C5">
        <w:rPr>
          <w:rFonts w:ascii="Times New Roman" w:hAnsi="Times New Roman"/>
          <w:sz w:val="20"/>
          <w:szCs w:val="20"/>
        </w:rPr>
        <w:t xml:space="preserve"> if resource is unknown</w:t>
      </w:r>
      <w:r w:rsidR="004A0F6A" w:rsidRPr="009873C5">
        <w:rPr>
          <w:rFonts w:ascii="Times New Roman" w:hAnsi="Times New Roman"/>
          <w:sz w:val="20"/>
          <w:szCs w:val="20"/>
        </w:rPr>
        <w:t>. One exception is PDCCH monitoring, a UE shall monitor PDCCH unless the slot/symbols are UL</w:t>
      </w:r>
      <w:r w:rsidRPr="009873C5">
        <w:rPr>
          <w:rFonts w:ascii="Times New Roman" w:hAnsi="Times New Roman"/>
          <w:sz w:val="20"/>
          <w:szCs w:val="20"/>
        </w:rPr>
        <w:t xml:space="preserve">: </w:t>
      </w:r>
    </w:p>
    <w:p w:rsidR="000F5B89" w:rsidRPr="009873C5" w:rsidRDefault="00EC1585" w:rsidP="00635429">
      <w:pPr>
        <w:numPr>
          <w:ilvl w:val="0"/>
          <w:numId w:val="25"/>
        </w:numPr>
        <w:jc w:val="both"/>
        <w:rPr>
          <w:rFonts w:ascii="Times New Roman" w:hAnsi="Times New Roman"/>
          <w:sz w:val="20"/>
          <w:szCs w:val="20"/>
        </w:rPr>
      </w:pPr>
      <w:r w:rsidRPr="009873C5">
        <w:rPr>
          <w:rFonts w:ascii="Times New Roman" w:hAnsi="Times New Roman"/>
          <w:sz w:val="20"/>
          <w:szCs w:val="20"/>
        </w:rPr>
        <w:t>For periodic transmission (e.g. SRS, periodic PUCCH) or reception</w:t>
      </w:r>
      <w:r w:rsidR="007E465F" w:rsidRPr="009873C5">
        <w:rPr>
          <w:rFonts w:ascii="Times New Roman" w:hAnsi="Times New Roman"/>
          <w:sz w:val="20"/>
          <w:szCs w:val="20"/>
        </w:rPr>
        <w:t>/measurement</w:t>
      </w:r>
      <w:r w:rsidRPr="009873C5">
        <w:rPr>
          <w:rFonts w:ascii="Times New Roman" w:hAnsi="Times New Roman"/>
          <w:sz w:val="20"/>
          <w:szCs w:val="20"/>
        </w:rPr>
        <w:t xml:space="preserve"> (e.g. periodic CSI-RS etc.)</w:t>
      </w:r>
      <w:r w:rsidR="00845076" w:rsidRPr="009873C5">
        <w:rPr>
          <w:rFonts w:ascii="Times New Roman" w:hAnsi="Times New Roman"/>
          <w:sz w:val="20"/>
          <w:szCs w:val="20"/>
        </w:rPr>
        <w:t xml:space="preserve"> in unknown symbol</w:t>
      </w:r>
      <w:r w:rsidRPr="009873C5">
        <w:rPr>
          <w:rFonts w:ascii="Times New Roman" w:hAnsi="Times New Roman"/>
          <w:sz w:val="20"/>
          <w:szCs w:val="20"/>
        </w:rPr>
        <w:t xml:space="preserve">, the UE shall </w:t>
      </w:r>
      <w:r w:rsidR="00845076" w:rsidRPr="009873C5">
        <w:rPr>
          <w:rFonts w:ascii="Times New Roman" w:hAnsi="Times New Roman"/>
          <w:sz w:val="20"/>
          <w:szCs w:val="20"/>
        </w:rPr>
        <w:t xml:space="preserve">not </w:t>
      </w:r>
      <w:r w:rsidRPr="009873C5">
        <w:rPr>
          <w:rFonts w:ascii="Times New Roman" w:hAnsi="Times New Roman"/>
          <w:sz w:val="20"/>
          <w:szCs w:val="20"/>
        </w:rPr>
        <w:t>perform the corresponding action</w:t>
      </w:r>
      <w:r w:rsidR="00845076" w:rsidRPr="009873C5">
        <w:rPr>
          <w:rFonts w:ascii="Times New Roman" w:hAnsi="Times New Roman"/>
          <w:sz w:val="20"/>
          <w:szCs w:val="20"/>
        </w:rPr>
        <w:t>.</w:t>
      </w:r>
      <w:r w:rsidR="007E465F" w:rsidRPr="009873C5">
        <w:rPr>
          <w:rFonts w:ascii="Times New Roman" w:hAnsi="Times New Roman"/>
          <w:sz w:val="20"/>
          <w:szCs w:val="20"/>
        </w:rPr>
        <w:t xml:space="preserve"> </w:t>
      </w:r>
      <w:r w:rsidR="00845076" w:rsidRPr="009873C5">
        <w:rPr>
          <w:rFonts w:ascii="Times New Roman" w:hAnsi="Times New Roman"/>
          <w:sz w:val="20"/>
          <w:szCs w:val="20"/>
        </w:rPr>
        <w:t xml:space="preserve">However, a </w:t>
      </w:r>
      <w:r w:rsidR="000F5B89" w:rsidRPr="009873C5">
        <w:rPr>
          <w:rFonts w:ascii="Times New Roman" w:hAnsi="Times New Roman"/>
          <w:sz w:val="20"/>
          <w:szCs w:val="20"/>
        </w:rPr>
        <w:t xml:space="preserve">UE shall monitor PDCCH as configured by gNB. </w:t>
      </w:r>
    </w:p>
    <w:p w:rsidR="000F5B89" w:rsidRPr="009873C5" w:rsidRDefault="000F5B89" w:rsidP="000F5B89">
      <w:pPr>
        <w:jc w:val="both"/>
        <w:rPr>
          <w:rFonts w:ascii="Times New Roman" w:hAnsi="Times New Roman"/>
          <w:sz w:val="20"/>
          <w:szCs w:val="20"/>
        </w:rPr>
      </w:pPr>
    </w:p>
    <w:p w:rsidR="000F5B89" w:rsidRPr="009873C5" w:rsidRDefault="000F5B89" w:rsidP="00F50A14">
      <w:pPr>
        <w:jc w:val="both"/>
        <w:rPr>
          <w:rFonts w:ascii="Times New Roman" w:hAnsi="Times New Roman"/>
          <w:b/>
          <w:sz w:val="20"/>
          <w:szCs w:val="20"/>
        </w:rPr>
      </w:pPr>
      <w:r w:rsidRPr="009873C5">
        <w:rPr>
          <w:rFonts w:ascii="Times New Roman" w:hAnsi="Times New Roman"/>
          <w:b/>
          <w:sz w:val="20"/>
          <w:szCs w:val="20"/>
        </w:rPr>
        <w:t>Proposal</w:t>
      </w:r>
      <w:r w:rsidR="000F2553" w:rsidRPr="009873C5">
        <w:rPr>
          <w:rFonts w:ascii="Times New Roman" w:hAnsi="Times New Roman"/>
          <w:b/>
          <w:sz w:val="20"/>
          <w:szCs w:val="20"/>
        </w:rPr>
        <w:t>-2</w:t>
      </w:r>
      <w:r w:rsidRPr="009873C5">
        <w:rPr>
          <w:rFonts w:ascii="Times New Roman" w:hAnsi="Times New Roman"/>
          <w:b/>
          <w:sz w:val="20"/>
          <w:szCs w:val="20"/>
        </w:rPr>
        <w:t xml:space="preserve">: UE follows dedicated triggered transmissions and receptions, these change the unknown resource to known, i.e. DL or UL.    </w:t>
      </w:r>
    </w:p>
    <w:p w:rsidR="00F50A14" w:rsidRPr="009873C5" w:rsidRDefault="000F5B89" w:rsidP="00F50A14">
      <w:pPr>
        <w:jc w:val="both"/>
        <w:rPr>
          <w:rFonts w:ascii="Times New Roman" w:hAnsi="Times New Roman"/>
          <w:b/>
          <w:sz w:val="20"/>
          <w:szCs w:val="20"/>
        </w:rPr>
      </w:pPr>
      <w:r w:rsidRPr="009873C5">
        <w:rPr>
          <w:rFonts w:ascii="Times New Roman" w:hAnsi="Times New Roman"/>
          <w:b/>
          <w:sz w:val="20"/>
          <w:szCs w:val="20"/>
        </w:rPr>
        <w:t>Proposal</w:t>
      </w:r>
      <w:r w:rsidR="000F2553" w:rsidRPr="009873C5">
        <w:rPr>
          <w:rFonts w:ascii="Times New Roman" w:hAnsi="Times New Roman"/>
          <w:b/>
          <w:sz w:val="20"/>
          <w:szCs w:val="20"/>
        </w:rPr>
        <w:t>-3</w:t>
      </w:r>
      <w:r w:rsidRPr="009873C5">
        <w:rPr>
          <w:rFonts w:ascii="Times New Roman" w:hAnsi="Times New Roman"/>
          <w:b/>
          <w:sz w:val="20"/>
          <w:szCs w:val="20"/>
        </w:rPr>
        <w:t>: In unknown resource, UE shall not transmit</w:t>
      </w:r>
      <w:r w:rsidR="007E465F" w:rsidRPr="009873C5">
        <w:rPr>
          <w:rFonts w:ascii="Times New Roman" w:hAnsi="Times New Roman"/>
          <w:b/>
          <w:sz w:val="20"/>
          <w:szCs w:val="20"/>
        </w:rPr>
        <w:t>, receive/</w:t>
      </w:r>
      <w:r w:rsidRPr="009873C5">
        <w:rPr>
          <w:rFonts w:ascii="Times New Roman" w:hAnsi="Times New Roman"/>
          <w:b/>
          <w:sz w:val="20"/>
          <w:szCs w:val="20"/>
        </w:rPr>
        <w:t xml:space="preserve">measure any periodic </w:t>
      </w:r>
      <w:r w:rsidR="007E465F" w:rsidRPr="009873C5">
        <w:rPr>
          <w:rFonts w:ascii="Times New Roman" w:hAnsi="Times New Roman"/>
          <w:b/>
          <w:sz w:val="20"/>
          <w:szCs w:val="20"/>
        </w:rPr>
        <w:t>signals.</w:t>
      </w:r>
      <w:r w:rsidRPr="009873C5">
        <w:rPr>
          <w:rFonts w:ascii="Times New Roman" w:hAnsi="Times New Roman"/>
          <w:b/>
          <w:sz w:val="20"/>
          <w:szCs w:val="20"/>
        </w:rPr>
        <w:t xml:space="preserve"> UE shall monitor the PDCCH as configured by gNB.</w:t>
      </w:r>
    </w:p>
    <w:p w:rsidR="00F50A14" w:rsidRPr="009873C5" w:rsidRDefault="00F50A14" w:rsidP="00F50A14">
      <w:pPr>
        <w:rPr>
          <w:u w:val="single"/>
        </w:rPr>
      </w:pPr>
      <w:r w:rsidRPr="009873C5">
        <w:rPr>
          <w:rFonts w:ascii="Times New Roman" w:hAnsi="Times New Roman"/>
          <w:b/>
          <w:sz w:val="20"/>
          <w:szCs w:val="20"/>
          <w:u w:val="single"/>
        </w:rPr>
        <w:t>Prioritization</w:t>
      </w:r>
    </w:p>
    <w:p w:rsidR="00B56A74" w:rsidRPr="009873C5" w:rsidRDefault="00F50A14" w:rsidP="00F50A14">
      <w:pPr>
        <w:rPr>
          <w:rFonts w:ascii="Times New Roman" w:hAnsi="Times New Roman"/>
          <w:sz w:val="20"/>
          <w:szCs w:val="20"/>
        </w:rPr>
      </w:pPr>
      <w:r w:rsidRPr="009873C5">
        <w:rPr>
          <w:rFonts w:ascii="Times New Roman" w:hAnsi="Times New Roman"/>
          <w:sz w:val="20"/>
          <w:szCs w:val="20"/>
        </w:rPr>
        <w:t xml:space="preserve">When the UE is indicated with conflicting </w:t>
      </w:r>
      <w:r w:rsidR="00047723" w:rsidRPr="009873C5">
        <w:rPr>
          <w:rFonts w:ascii="Times New Roman" w:hAnsi="Times New Roman"/>
          <w:sz w:val="20"/>
          <w:szCs w:val="20"/>
        </w:rPr>
        <w:t>information</w:t>
      </w:r>
      <w:r w:rsidRPr="009873C5">
        <w:rPr>
          <w:rFonts w:ascii="Times New Roman" w:hAnsi="Times New Roman"/>
          <w:sz w:val="20"/>
          <w:szCs w:val="20"/>
        </w:rPr>
        <w:t xml:space="preserve">, the priority rules should be defined. We propose that the dynamic user-specific signalling overrides group-common signalling and that overrides semi-static configuration. </w:t>
      </w:r>
    </w:p>
    <w:p w:rsidR="00F50A14" w:rsidRPr="009873C5" w:rsidRDefault="00F50A14" w:rsidP="00F50A14">
      <w:pPr>
        <w:rPr>
          <w:rFonts w:ascii="Times New Roman" w:hAnsi="Times New Roman"/>
          <w:b/>
          <w:sz w:val="20"/>
          <w:szCs w:val="20"/>
        </w:rPr>
      </w:pPr>
      <w:r w:rsidRPr="009873C5">
        <w:rPr>
          <w:rFonts w:ascii="Times New Roman" w:hAnsi="Times New Roman"/>
          <w:b/>
          <w:sz w:val="20"/>
          <w:szCs w:val="20"/>
        </w:rPr>
        <w:t>Proposal</w:t>
      </w:r>
      <w:r w:rsidR="000F2553" w:rsidRPr="009873C5">
        <w:rPr>
          <w:rFonts w:ascii="Times New Roman" w:hAnsi="Times New Roman"/>
          <w:b/>
          <w:sz w:val="20"/>
          <w:szCs w:val="20"/>
        </w:rPr>
        <w:t>-4</w:t>
      </w:r>
      <w:r w:rsidR="000F5B89" w:rsidRPr="009873C5">
        <w:rPr>
          <w:rFonts w:ascii="Times New Roman" w:hAnsi="Times New Roman"/>
          <w:b/>
          <w:sz w:val="20"/>
          <w:szCs w:val="20"/>
        </w:rPr>
        <w:t xml:space="preserve">: When determining </w:t>
      </w:r>
      <w:r w:rsidR="00845076" w:rsidRPr="009873C5">
        <w:rPr>
          <w:rFonts w:ascii="Times New Roman" w:hAnsi="Times New Roman"/>
          <w:b/>
          <w:sz w:val="20"/>
          <w:szCs w:val="20"/>
        </w:rPr>
        <w:t>the symbol type in TDD</w:t>
      </w:r>
      <w:r w:rsidR="000F5B89" w:rsidRPr="009873C5">
        <w:rPr>
          <w:rFonts w:ascii="Times New Roman" w:hAnsi="Times New Roman"/>
          <w:b/>
          <w:sz w:val="20"/>
          <w:szCs w:val="20"/>
        </w:rPr>
        <w:t xml:space="preserve">, dynamic </w:t>
      </w:r>
      <w:r w:rsidR="00845076" w:rsidRPr="009873C5">
        <w:rPr>
          <w:rFonts w:ascii="Times New Roman" w:hAnsi="Times New Roman"/>
          <w:b/>
          <w:sz w:val="20"/>
          <w:szCs w:val="20"/>
        </w:rPr>
        <w:t>dedicated</w:t>
      </w:r>
      <w:r w:rsidR="000F5B89" w:rsidRPr="009873C5">
        <w:rPr>
          <w:rFonts w:ascii="Times New Roman" w:hAnsi="Times New Roman"/>
          <w:b/>
          <w:sz w:val="20"/>
          <w:szCs w:val="20"/>
        </w:rPr>
        <w:t xml:space="preserve"> signalling overrides group-common signalling (SFI) and that overrides semi-static </w:t>
      </w:r>
      <w:r w:rsidR="00845076" w:rsidRPr="009873C5">
        <w:rPr>
          <w:rFonts w:ascii="Times New Roman" w:hAnsi="Times New Roman"/>
          <w:b/>
          <w:sz w:val="20"/>
          <w:szCs w:val="20"/>
        </w:rPr>
        <w:t xml:space="preserve">TDD </w:t>
      </w:r>
      <w:r w:rsidR="000F5B89" w:rsidRPr="009873C5">
        <w:rPr>
          <w:rFonts w:ascii="Times New Roman" w:hAnsi="Times New Roman"/>
          <w:b/>
          <w:sz w:val="20"/>
          <w:szCs w:val="20"/>
        </w:rPr>
        <w:t>configuration.</w:t>
      </w:r>
    </w:p>
    <w:p w:rsidR="00C46A35" w:rsidRPr="009873C5" w:rsidRDefault="00C46A35" w:rsidP="00C46A35">
      <w:pPr>
        <w:pStyle w:val="Heading1"/>
        <w:rPr>
          <w:lang w:val="en-US"/>
        </w:rPr>
      </w:pPr>
      <w:r w:rsidRPr="009873C5">
        <w:rPr>
          <w:lang w:val="en-US"/>
        </w:rPr>
        <w:t>3</w:t>
      </w:r>
      <w:r w:rsidRPr="009873C5">
        <w:rPr>
          <w:lang w:val="en-US"/>
        </w:rPr>
        <w:tab/>
        <w:t>Design of SFI</w:t>
      </w:r>
    </w:p>
    <w:p w:rsidR="00C46A35" w:rsidRPr="009873C5" w:rsidRDefault="00C46A35" w:rsidP="00C46A35">
      <w:pPr>
        <w:jc w:val="both"/>
        <w:rPr>
          <w:rFonts w:ascii="Times New Roman" w:hAnsi="Times New Roman"/>
          <w:b/>
          <w:sz w:val="20"/>
          <w:szCs w:val="20"/>
          <w:u w:val="single"/>
        </w:rPr>
      </w:pPr>
      <w:r w:rsidRPr="009873C5">
        <w:rPr>
          <w:rFonts w:ascii="Times New Roman" w:hAnsi="Times New Roman"/>
          <w:b/>
          <w:sz w:val="20"/>
          <w:szCs w:val="20"/>
          <w:u w:val="single"/>
        </w:rPr>
        <w:t>Slot format related information</w:t>
      </w:r>
    </w:p>
    <w:p w:rsidR="00C46A35" w:rsidRPr="009873C5" w:rsidRDefault="00C46A35" w:rsidP="00C46A35">
      <w:pPr>
        <w:jc w:val="both"/>
        <w:rPr>
          <w:rFonts w:ascii="Times New Roman" w:hAnsi="Times New Roman"/>
          <w:sz w:val="20"/>
          <w:szCs w:val="20"/>
        </w:rPr>
      </w:pPr>
      <w:r w:rsidRPr="009873C5">
        <w:rPr>
          <w:rFonts w:ascii="Times New Roman" w:hAnsi="Times New Roman"/>
          <w:sz w:val="20"/>
          <w:szCs w:val="20"/>
        </w:rPr>
        <w:t>We have agreed that the slot format related information can be indicated for one or multiple slots. In our view, the main benefit of the slot format related information includes the following:</w:t>
      </w:r>
    </w:p>
    <w:p w:rsidR="00C46A35" w:rsidRPr="009873C5" w:rsidRDefault="00C46A35" w:rsidP="00C46A35">
      <w:pPr>
        <w:numPr>
          <w:ilvl w:val="0"/>
          <w:numId w:val="35"/>
        </w:numPr>
        <w:jc w:val="both"/>
        <w:rPr>
          <w:rFonts w:ascii="Times New Roman" w:hAnsi="Times New Roman"/>
          <w:sz w:val="20"/>
          <w:szCs w:val="20"/>
        </w:rPr>
      </w:pPr>
      <w:r w:rsidRPr="009873C5">
        <w:rPr>
          <w:rFonts w:ascii="Times New Roman" w:hAnsi="Times New Roman"/>
          <w:sz w:val="20"/>
          <w:szCs w:val="20"/>
        </w:rPr>
        <w:t xml:space="preserve">It allows the UE to decide </w:t>
      </w:r>
      <w:r w:rsidR="000F2553" w:rsidRPr="009873C5">
        <w:rPr>
          <w:rFonts w:ascii="Times New Roman" w:hAnsi="Times New Roman"/>
          <w:sz w:val="20"/>
          <w:szCs w:val="20"/>
        </w:rPr>
        <w:t xml:space="preserve">whether and </w:t>
      </w:r>
      <w:r w:rsidRPr="009873C5">
        <w:rPr>
          <w:rFonts w:ascii="Times New Roman" w:hAnsi="Times New Roman"/>
          <w:sz w:val="20"/>
          <w:szCs w:val="20"/>
        </w:rPr>
        <w:t>when to transmit or receive some configured periodic channels/signals</w:t>
      </w:r>
    </w:p>
    <w:p w:rsidR="00C46A35" w:rsidRPr="009873C5" w:rsidRDefault="00C46A35" w:rsidP="00C46A35">
      <w:pPr>
        <w:numPr>
          <w:ilvl w:val="0"/>
          <w:numId w:val="35"/>
        </w:numPr>
        <w:jc w:val="both"/>
        <w:rPr>
          <w:rFonts w:ascii="Times New Roman" w:hAnsi="Times New Roman"/>
          <w:sz w:val="20"/>
          <w:szCs w:val="20"/>
        </w:rPr>
      </w:pPr>
      <w:r w:rsidRPr="009873C5">
        <w:rPr>
          <w:rFonts w:ascii="Times New Roman" w:hAnsi="Times New Roman"/>
          <w:sz w:val="20"/>
          <w:szCs w:val="20"/>
        </w:rPr>
        <w:t xml:space="preserve">It can allow the UE to not monitor PDCCH </w:t>
      </w:r>
      <w:r w:rsidR="000F2553" w:rsidRPr="009873C5">
        <w:rPr>
          <w:rFonts w:ascii="Times New Roman" w:hAnsi="Times New Roman"/>
          <w:sz w:val="20"/>
          <w:szCs w:val="20"/>
        </w:rPr>
        <w:t>if configured monitoring occasion overlaps with</w:t>
      </w:r>
      <w:r w:rsidRPr="009873C5">
        <w:rPr>
          <w:rFonts w:ascii="Times New Roman" w:hAnsi="Times New Roman"/>
          <w:sz w:val="20"/>
          <w:szCs w:val="20"/>
        </w:rPr>
        <w:t xml:space="preserve"> UL slots/symbols</w:t>
      </w:r>
      <w:r w:rsidR="000F2553" w:rsidRPr="009873C5">
        <w:rPr>
          <w:rFonts w:ascii="Times New Roman" w:hAnsi="Times New Roman"/>
          <w:sz w:val="20"/>
          <w:szCs w:val="20"/>
        </w:rPr>
        <w:t>, this</w:t>
      </w:r>
      <w:r w:rsidRPr="009873C5">
        <w:rPr>
          <w:rFonts w:ascii="Times New Roman" w:hAnsi="Times New Roman"/>
          <w:sz w:val="20"/>
          <w:szCs w:val="20"/>
        </w:rPr>
        <w:t xml:space="preserve"> </w:t>
      </w:r>
      <w:r w:rsidR="000F2553" w:rsidRPr="009873C5">
        <w:rPr>
          <w:rFonts w:ascii="Times New Roman" w:hAnsi="Times New Roman"/>
          <w:sz w:val="20"/>
          <w:szCs w:val="20"/>
        </w:rPr>
        <w:t>saving</w:t>
      </w:r>
      <w:r w:rsidRPr="009873C5">
        <w:rPr>
          <w:rFonts w:ascii="Times New Roman" w:hAnsi="Times New Roman"/>
          <w:sz w:val="20"/>
          <w:szCs w:val="20"/>
        </w:rPr>
        <w:t xml:space="preserve"> power.</w:t>
      </w:r>
    </w:p>
    <w:p w:rsidR="000F2553" w:rsidRPr="009873C5" w:rsidRDefault="000F2553" w:rsidP="00C46A35">
      <w:pPr>
        <w:numPr>
          <w:ilvl w:val="0"/>
          <w:numId w:val="35"/>
        </w:numPr>
        <w:jc w:val="both"/>
        <w:rPr>
          <w:rFonts w:ascii="Times New Roman" w:hAnsi="Times New Roman"/>
          <w:sz w:val="20"/>
          <w:szCs w:val="20"/>
        </w:rPr>
      </w:pPr>
      <w:r w:rsidRPr="009873C5">
        <w:rPr>
          <w:rFonts w:ascii="Times New Roman" w:hAnsi="Times New Roman"/>
          <w:sz w:val="20"/>
          <w:szCs w:val="20"/>
        </w:rPr>
        <w:t>It allows eNB to transmit/receive priority low-latency traffic in TDD irrespective of semi-statically configured TDD configuration.</w:t>
      </w:r>
    </w:p>
    <w:p w:rsidR="00C46A35" w:rsidRPr="009873C5" w:rsidRDefault="00C46A35" w:rsidP="00C46A35">
      <w:pPr>
        <w:jc w:val="both"/>
        <w:rPr>
          <w:rFonts w:ascii="Times New Roman" w:hAnsi="Times New Roman"/>
          <w:sz w:val="20"/>
          <w:szCs w:val="20"/>
        </w:rPr>
      </w:pPr>
      <w:r w:rsidRPr="009873C5">
        <w:rPr>
          <w:rFonts w:ascii="Times New Roman" w:hAnsi="Times New Roman"/>
          <w:sz w:val="20"/>
          <w:szCs w:val="20"/>
        </w:rPr>
        <w:t xml:space="preserve">Furthermore, it is generally preferable to </w:t>
      </w:r>
      <w:r w:rsidR="004E643B" w:rsidRPr="009873C5">
        <w:rPr>
          <w:rFonts w:ascii="Times New Roman" w:hAnsi="Times New Roman"/>
          <w:sz w:val="20"/>
          <w:szCs w:val="20"/>
        </w:rPr>
        <w:t>provide SFI in group-common DCI per slot and on demand. The p</w:t>
      </w:r>
      <w:r w:rsidRPr="009873C5">
        <w:rPr>
          <w:rFonts w:ascii="Times New Roman" w:hAnsi="Times New Roman"/>
          <w:sz w:val="20"/>
          <w:szCs w:val="20"/>
        </w:rPr>
        <w:t xml:space="preserve">eriodic signalling </w:t>
      </w:r>
      <w:r w:rsidR="004E643B" w:rsidRPr="009873C5">
        <w:rPr>
          <w:rFonts w:ascii="Times New Roman" w:hAnsi="Times New Roman"/>
          <w:sz w:val="20"/>
          <w:szCs w:val="20"/>
        </w:rPr>
        <w:t>and/</w:t>
      </w:r>
      <w:r w:rsidRPr="009873C5">
        <w:rPr>
          <w:rFonts w:ascii="Times New Roman" w:hAnsi="Times New Roman"/>
          <w:sz w:val="20"/>
          <w:szCs w:val="20"/>
        </w:rPr>
        <w:t>or signalling for a</w:t>
      </w:r>
      <w:r w:rsidR="004E643B" w:rsidRPr="009873C5">
        <w:rPr>
          <w:rFonts w:ascii="Times New Roman" w:hAnsi="Times New Roman"/>
          <w:sz w:val="20"/>
          <w:szCs w:val="20"/>
        </w:rPr>
        <w:t xml:space="preserve"> pattern for</w:t>
      </w:r>
      <w:r w:rsidRPr="009873C5">
        <w:rPr>
          <w:rFonts w:ascii="Times New Roman" w:hAnsi="Times New Roman"/>
          <w:sz w:val="20"/>
          <w:szCs w:val="20"/>
        </w:rPr>
        <w:t xml:space="preserve"> fixed/configurable number of slots would certainly reduce the flexibility.</w:t>
      </w:r>
      <w:r w:rsidR="004E643B" w:rsidRPr="009873C5">
        <w:rPr>
          <w:rFonts w:ascii="Times New Roman" w:hAnsi="Times New Roman"/>
          <w:sz w:val="20"/>
          <w:szCs w:val="20"/>
        </w:rPr>
        <w:t xml:space="preserve"> </w:t>
      </w:r>
      <w:r w:rsidRPr="009873C5">
        <w:rPr>
          <w:rFonts w:ascii="Times New Roman" w:hAnsi="Times New Roman"/>
          <w:sz w:val="20"/>
          <w:szCs w:val="20"/>
        </w:rPr>
        <w:t>Also note that we have already agreed to support semi-static signa</w:t>
      </w:r>
      <w:r w:rsidR="00D81A8C" w:rsidRPr="009873C5">
        <w:rPr>
          <w:rFonts w:ascii="Times New Roman" w:hAnsi="Times New Roman"/>
          <w:sz w:val="20"/>
          <w:szCs w:val="20"/>
        </w:rPr>
        <w:t xml:space="preserve">lling for DL/UL configurations and therefore group-common PDCCH should provide more flexible solution. </w:t>
      </w:r>
      <w:r w:rsidRPr="009873C5">
        <w:rPr>
          <w:rFonts w:ascii="Times New Roman" w:hAnsi="Times New Roman"/>
          <w:sz w:val="20"/>
          <w:szCs w:val="20"/>
        </w:rPr>
        <w:t>Therefore we propose:</w:t>
      </w:r>
    </w:p>
    <w:p w:rsidR="00C46A35" w:rsidRPr="009873C5" w:rsidRDefault="00C46A35" w:rsidP="00C46A35">
      <w:pPr>
        <w:rPr>
          <w:rFonts w:ascii="Times New Roman" w:hAnsi="Times New Roman"/>
          <w:b/>
          <w:sz w:val="20"/>
          <w:szCs w:val="20"/>
        </w:rPr>
      </w:pPr>
      <w:r w:rsidRPr="009873C5">
        <w:rPr>
          <w:rFonts w:ascii="Times New Roman" w:hAnsi="Times New Roman"/>
          <w:b/>
          <w:sz w:val="20"/>
          <w:szCs w:val="20"/>
        </w:rPr>
        <w:t>Proposal</w:t>
      </w:r>
      <w:r w:rsidR="00180305" w:rsidRPr="009873C5">
        <w:rPr>
          <w:rFonts w:ascii="Times New Roman" w:hAnsi="Times New Roman"/>
          <w:b/>
          <w:sz w:val="20"/>
          <w:szCs w:val="20"/>
        </w:rPr>
        <w:t>-5</w:t>
      </w:r>
      <w:r w:rsidRPr="009873C5">
        <w:rPr>
          <w:rFonts w:ascii="Times New Roman" w:hAnsi="Times New Roman"/>
          <w:b/>
          <w:sz w:val="20"/>
          <w:szCs w:val="20"/>
        </w:rPr>
        <w:t xml:space="preserve">: The slot format related information in a group common PDCCH carries the </w:t>
      </w:r>
      <w:r w:rsidR="00D81A8C" w:rsidRPr="009873C5">
        <w:rPr>
          <w:rFonts w:ascii="Times New Roman" w:hAnsi="Times New Roman"/>
          <w:b/>
          <w:sz w:val="20"/>
          <w:szCs w:val="20"/>
        </w:rPr>
        <w:t xml:space="preserve">SF </w:t>
      </w:r>
      <w:r w:rsidRPr="009873C5">
        <w:rPr>
          <w:rFonts w:ascii="Times New Roman" w:hAnsi="Times New Roman"/>
          <w:b/>
          <w:sz w:val="20"/>
          <w:szCs w:val="20"/>
        </w:rPr>
        <w:t>information for the current slot and the</w:t>
      </w:r>
      <w:r w:rsidR="004E643B" w:rsidRPr="009873C5">
        <w:rPr>
          <w:rFonts w:ascii="Times New Roman" w:hAnsi="Times New Roman"/>
          <w:b/>
          <w:sz w:val="20"/>
          <w:szCs w:val="20"/>
        </w:rPr>
        <w:t xml:space="preserve"> separate</w:t>
      </w:r>
      <w:r w:rsidRPr="009873C5">
        <w:rPr>
          <w:rFonts w:ascii="Times New Roman" w:hAnsi="Times New Roman"/>
          <w:b/>
          <w:sz w:val="20"/>
          <w:szCs w:val="20"/>
        </w:rPr>
        <w:t xml:space="preserve"> </w:t>
      </w:r>
      <w:r w:rsidR="00D81A8C" w:rsidRPr="009873C5">
        <w:rPr>
          <w:rFonts w:ascii="Times New Roman" w:hAnsi="Times New Roman"/>
          <w:b/>
          <w:sz w:val="20"/>
          <w:szCs w:val="20"/>
        </w:rPr>
        <w:t xml:space="preserve">SF </w:t>
      </w:r>
      <w:r w:rsidRPr="009873C5">
        <w:rPr>
          <w:rFonts w:ascii="Times New Roman" w:hAnsi="Times New Roman"/>
          <w:b/>
          <w:sz w:val="20"/>
          <w:szCs w:val="20"/>
        </w:rPr>
        <w:t xml:space="preserve">information regarding the </w:t>
      </w:r>
      <w:r w:rsidR="004E643B" w:rsidRPr="009873C5">
        <w:rPr>
          <w:rFonts w:ascii="Times New Roman" w:hAnsi="Times New Roman"/>
          <w:b/>
          <w:sz w:val="20"/>
          <w:szCs w:val="20"/>
        </w:rPr>
        <w:t xml:space="preserve">each of </w:t>
      </w:r>
      <w:r w:rsidRPr="009873C5">
        <w:rPr>
          <w:rFonts w:ascii="Times New Roman" w:hAnsi="Times New Roman"/>
          <w:b/>
          <w:sz w:val="20"/>
          <w:szCs w:val="20"/>
        </w:rPr>
        <w:t xml:space="preserve">upcoming </w:t>
      </w:r>
      <w:r w:rsidR="00D81A8C" w:rsidRPr="009873C5">
        <w:rPr>
          <w:rFonts w:ascii="Times New Roman" w:hAnsi="Times New Roman"/>
          <w:b/>
          <w:sz w:val="20"/>
          <w:szCs w:val="20"/>
        </w:rPr>
        <w:t xml:space="preserve">M slots, </w:t>
      </w:r>
      <w:r w:rsidR="00FF5DF6" w:rsidRPr="009873C5">
        <w:rPr>
          <w:rFonts w:ascii="Times New Roman" w:hAnsi="Times New Roman"/>
          <w:b/>
          <w:sz w:val="20"/>
          <w:szCs w:val="20"/>
        </w:rPr>
        <w:t xml:space="preserve">where </w:t>
      </w:r>
      <w:r w:rsidR="00D81A8C" w:rsidRPr="009873C5">
        <w:rPr>
          <w:rFonts w:ascii="Times New Roman" w:hAnsi="Times New Roman"/>
          <w:b/>
          <w:sz w:val="20"/>
          <w:szCs w:val="20"/>
        </w:rPr>
        <w:t>M</w:t>
      </w:r>
      <w:r w:rsidR="00FF5DF6" w:rsidRPr="009873C5">
        <w:rPr>
          <w:rFonts w:ascii="Times New Roman" w:hAnsi="Times New Roman"/>
          <w:b/>
          <w:sz w:val="20"/>
          <w:szCs w:val="20"/>
        </w:rPr>
        <w:t xml:space="preserve"> is configurable</w:t>
      </w:r>
      <w:r w:rsidRPr="009873C5">
        <w:rPr>
          <w:rFonts w:ascii="Times New Roman" w:hAnsi="Times New Roman"/>
          <w:b/>
          <w:sz w:val="20"/>
          <w:szCs w:val="20"/>
        </w:rPr>
        <w:t>. The signalling can be sent as needed</w:t>
      </w:r>
      <w:r w:rsidR="00825C80" w:rsidRPr="009873C5">
        <w:rPr>
          <w:rFonts w:ascii="Times New Roman" w:hAnsi="Times New Roman"/>
          <w:b/>
          <w:sz w:val="20"/>
          <w:szCs w:val="20"/>
        </w:rPr>
        <w:t>, i.e. on demand</w:t>
      </w:r>
      <w:r w:rsidRPr="009873C5">
        <w:rPr>
          <w:rFonts w:ascii="Times New Roman" w:hAnsi="Times New Roman"/>
          <w:b/>
          <w:sz w:val="20"/>
          <w:szCs w:val="20"/>
        </w:rPr>
        <w:t>.</w:t>
      </w:r>
    </w:p>
    <w:p w:rsidR="00C46A35" w:rsidRPr="009873C5" w:rsidRDefault="00C46A35" w:rsidP="00C46A35">
      <w:pPr>
        <w:jc w:val="both"/>
        <w:rPr>
          <w:rFonts w:ascii="Times New Roman" w:hAnsi="Times New Roman"/>
          <w:sz w:val="20"/>
          <w:szCs w:val="20"/>
        </w:rPr>
      </w:pPr>
      <w:r w:rsidRPr="009873C5">
        <w:rPr>
          <w:rFonts w:ascii="Times New Roman" w:hAnsi="Times New Roman"/>
          <w:sz w:val="20"/>
          <w:szCs w:val="20"/>
        </w:rPr>
        <w:t>An additional benefit of using such a signalling is that it can potentially be directly reused for unlicensed operation. Note that for unlicensed operation, periodic pattern cannot be defined because there is uncertainty in channel access.</w:t>
      </w:r>
    </w:p>
    <w:p w:rsidR="00C46A35" w:rsidRPr="009873C5" w:rsidRDefault="00C46A35" w:rsidP="00C46A35">
      <w:pPr>
        <w:jc w:val="both"/>
        <w:rPr>
          <w:rFonts w:ascii="Times New Roman" w:hAnsi="Times New Roman"/>
          <w:sz w:val="20"/>
          <w:szCs w:val="20"/>
        </w:rPr>
      </w:pPr>
      <w:r w:rsidRPr="009873C5">
        <w:rPr>
          <w:rFonts w:ascii="Times New Roman" w:hAnsi="Times New Roman"/>
          <w:sz w:val="20"/>
          <w:szCs w:val="20"/>
        </w:rPr>
        <w:t>In terms of the exact signalling detail, for the current slot, the intention is to tell the UEs which symbols in the slot are DL,</w:t>
      </w:r>
      <w:r w:rsidR="00D81A8C" w:rsidRPr="009873C5">
        <w:rPr>
          <w:rFonts w:ascii="Times New Roman" w:hAnsi="Times New Roman"/>
          <w:sz w:val="20"/>
          <w:szCs w:val="20"/>
        </w:rPr>
        <w:t xml:space="preserve"> UL, </w:t>
      </w:r>
      <w:r w:rsidRPr="009873C5">
        <w:rPr>
          <w:rFonts w:ascii="Times New Roman" w:hAnsi="Times New Roman"/>
          <w:sz w:val="20"/>
          <w:szCs w:val="20"/>
        </w:rPr>
        <w:t>unknown</w:t>
      </w:r>
      <w:r w:rsidR="00D81A8C" w:rsidRPr="009873C5">
        <w:rPr>
          <w:rFonts w:ascii="Times New Roman" w:hAnsi="Times New Roman"/>
          <w:sz w:val="20"/>
          <w:szCs w:val="20"/>
        </w:rPr>
        <w:t>/flexible, reserved</w:t>
      </w:r>
      <w:r w:rsidRPr="009873C5">
        <w:rPr>
          <w:rFonts w:ascii="Times New Roman" w:hAnsi="Times New Roman"/>
          <w:sz w:val="20"/>
          <w:szCs w:val="20"/>
        </w:rPr>
        <w:t>. There are multiple ways to signal the information:</w:t>
      </w:r>
    </w:p>
    <w:p w:rsidR="00C46A35" w:rsidRPr="009873C5" w:rsidRDefault="00C46A35" w:rsidP="00C46A35">
      <w:pPr>
        <w:numPr>
          <w:ilvl w:val="0"/>
          <w:numId w:val="35"/>
        </w:numPr>
        <w:jc w:val="both"/>
        <w:rPr>
          <w:rFonts w:ascii="Times New Roman" w:hAnsi="Times New Roman"/>
          <w:sz w:val="20"/>
          <w:szCs w:val="20"/>
        </w:rPr>
      </w:pPr>
      <w:r w:rsidRPr="009873C5">
        <w:rPr>
          <w:rFonts w:ascii="Times New Roman" w:hAnsi="Times New Roman"/>
          <w:sz w:val="20"/>
          <w:szCs w:val="20"/>
        </w:rPr>
        <w:t>Allow the full flexibility for each symbol to be independe</w:t>
      </w:r>
      <w:r w:rsidR="00180305" w:rsidRPr="009873C5">
        <w:rPr>
          <w:rFonts w:ascii="Times New Roman" w:hAnsi="Times New Roman"/>
          <w:sz w:val="20"/>
          <w:szCs w:val="20"/>
        </w:rPr>
        <w:t>ntly indicated as ‘DL’, ‘UL’,</w:t>
      </w:r>
      <w:r w:rsidRPr="009873C5">
        <w:rPr>
          <w:rFonts w:ascii="Times New Roman" w:hAnsi="Times New Roman"/>
          <w:sz w:val="20"/>
          <w:szCs w:val="20"/>
        </w:rPr>
        <w:t xml:space="preserve"> ‘Unknown’</w:t>
      </w:r>
      <w:r w:rsidR="00180305" w:rsidRPr="009873C5">
        <w:rPr>
          <w:rFonts w:ascii="Times New Roman" w:hAnsi="Times New Roman"/>
          <w:sz w:val="20"/>
          <w:szCs w:val="20"/>
        </w:rPr>
        <w:t xml:space="preserve"> or ‘Reserved’</w:t>
      </w:r>
      <w:r w:rsidRPr="009873C5">
        <w:rPr>
          <w:rFonts w:ascii="Times New Roman" w:hAnsi="Times New Roman"/>
          <w:sz w:val="20"/>
          <w:szCs w:val="20"/>
        </w:rPr>
        <w:t>. This results in 2</w:t>
      </w:r>
      <w:r w:rsidR="00180305" w:rsidRPr="009873C5">
        <w:rPr>
          <w:rFonts w:ascii="Times New Roman" w:hAnsi="Times New Roman"/>
          <w:sz w:val="20"/>
          <w:szCs w:val="20"/>
        </w:rPr>
        <w:t>8</w:t>
      </w:r>
      <w:r w:rsidRPr="009873C5">
        <w:rPr>
          <w:rFonts w:ascii="Times New Roman" w:hAnsi="Times New Roman"/>
          <w:sz w:val="20"/>
          <w:szCs w:val="20"/>
        </w:rPr>
        <w:t xml:space="preserve"> bits to signal for a 14-symbol slot. Other than the large overhead, it also includes a lot of unnecessary combinations. For example, there should be at most one DL-to-UL switch within a slot, while a lot of these combinations would not satisfy this condition. So this approach should not be considered.</w:t>
      </w:r>
    </w:p>
    <w:p w:rsidR="00C46A35" w:rsidRPr="009873C5" w:rsidRDefault="00C46A35" w:rsidP="00C46A35">
      <w:pPr>
        <w:numPr>
          <w:ilvl w:val="0"/>
          <w:numId w:val="35"/>
        </w:numPr>
        <w:jc w:val="both"/>
        <w:rPr>
          <w:rFonts w:ascii="Times New Roman" w:hAnsi="Times New Roman"/>
          <w:sz w:val="20"/>
          <w:szCs w:val="20"/>
        </w:rPr>
      </w:pPr>
      <w:r w:rsidRPr="009873C5">
        <w:rPr>
          <w:rFonts w:ascii="Times New Roman" w:hAnsi="Times New Roman"/>
          <w:sz w:val="20"/>
          <w:szCs w:val="20"/>
        </w:rPr>
        <w:t>Allow the full flexibility for the slot format by taking into account the condition of at most one DL-to-UL switch, and there could be some unknown symbols at the beginning or the end of the slot (e.g. for LTE-NR coexistence or TDD DL/UL switching purpose). This still results in a large number of possibilities and large overhead. In practice, a lot of these combinations would not be used either.</w:t>
      </w:r>
    </w:p>
    <w:p w:rsidR="00C46A35" w:rsidRPr="009873C5" w:rsidRDefault="00C46A35" w:rsidP="00C46A35">
      <w:pPr>
        <w:numPr>
          <w:ilvl w:val="0"/>
          <w:numId w:val="35"/>
        </w:numPr>
        <w:jc w:val="both"/>
        <w:rPr>
          <w:rFonts w:ascii="Times New Roman" w:hAnsi="Times New Roman"/>
          <w:sz w:val="20"/>
          <w:szCs w:val="20"/>
        </w:rPr>
      </w:pPr>
      <w:r w:rsidRPr="009873C5">
        <w:rPr>
          <w:rFonts w:ascii="Times New Roman" w:hAnsi="Times New Roman"/>
          <w:sz w:val="20"/>
          <w:szCs w:val="20"/>
        </w:rPr>
        <w:t>An efficient way to reduce the overhead is to pre-define</w:t>
      </w:r>
      <w:r w:rsidR="00180305" w:rsidRPr="009873C5">
        <w:rPr>
          <w:rFonts w:ascii="Times New Roman" w:hAnsi="Times New Roman"/>
          <w:sz w:val="20"/>
          <w:szCs w:val="20"/>
        </w:rPr>
        <w:t>/</w:t>
      </w:r>
      <w:r w:rsidR="00D81A8C" w:rsidRPr="009873C5">
        <w:rPr>
          <w:rFonts w:ascii="Times New Roman" w:hAnsi="Times New Roman"/>
          <w:sz w:val="20"/>
          <w:szCs w:val="20"/>
        </w:rPr>
        <w:t>configured</w:t>
      </w:r>
      <w:r w:rsidRPr="009873C5">
        <w:rPr>
          <w:rFonts w:ascii="Times New Roman" w:hAnsi="Times New Roman"/>
          <w:sz w:val="20"/>
          <w:szCs w:val="20"/>
        </w:rPr>
        <w:t xml:space="preserve"> a number of slot formats and signal the index for one of them. The pre-defined</w:t>
      </w:r>
      <w:r w:rsidR="00180305" w:rsidRPr="009873C5">
        <w:rPr>
          <w:rFonts w:ascii="Times New Roman" w:hAnsi="Times New Roman"/>
          <w:sz w:val="20"/>
          <w:szCs w:val="20"/>
        </w:rPr>
        <w:t>/configured</w:t>
      </w:r>
      <w:r w:rsidRPr="009873C5">
        <w:rPr>
          <w:rFonts w:ascii="Times New Roman" w:hAnsi="Times New Roman"/>
          <w:sz w:val="20"/>
          <w:szCs w:val="20"/>
        </w:rPr>
        <w:t xml:space="preserve"> slot formats should include all practically meaningful slot formats, and some reserved states can be added for future extension.</w:t>
      </w:r>
    </w:p>
    <w:p w:rsidR="00C46A35" w:rsidRPr="009873C5" w:rsidRDefault="00C46A35" w:rsidP="00C46A35">
      <w:pPr>
        <w:jc w:val="both"/>
        <w:rPr>
          <w:rFonts w:ascii="Times New Roman" w:hAnsi="Times New Roman"/>
          <w:sz w:val="20"/>
          <w:szCs w:val="20"/>
        </w:rPr>
      </w:pPr>
      <w:r w:rsidRPr="009873C5">
        <w:rPr>
          <w:rFonts w:ascii="Times New Roman" w:hAnsi="Times New Roman"/>
          <w:sz w:val="20"/>
          <w:szCs w:val="20"/>
        </w:rPr>
        <w:t>Overall the 3</w:t>
      </w:r>
      <w:r w:rsidRPr="009873C5">
        <w:rPr>
          <w:rFonts w:ascii="Times New Roman" w:hAnsi="Times New Roman"/>
          <w:sz w:val="20"/>
          <w:szCs w:val="20"/>
          <w:vertAlign w:val="superscript"/>
        </w:rPr>
        <w:t>rd</w:t>
      </w:r>
      <w:r w:rsidRPr="009873C5">
        <w:rPr>
          <w:rFonts w:ascii="Times New Roman" w:hAnsi="Times New Roman"/>
          <w:sz w:val="20"/>
          <w:szCs w:val="20"/>
        </w:rPr>
        <w:t xml:space="preserve"> option appears to provide a good tradeoff between flexibility and overhead. Therefore we propose:</w:t>
      </w:r>
    </w:p>
    <w:p w:rsidR="00C46A35" w:rsidRPr="009873C5" w:rsidRDefault="00C46A35" w:rsidP="00C46A35">
      <w:pPr>
        <w:rPr>
          <w:rFonts w:ascii="Times New Roman" w:hAnsi="Times New Roman"/>
          <w:b/>
          <w:sz w:val="20"/>
          <w:szCs w:val="20"/>
        </w:rPr>
      </w:pPr>
      <w:r w:rsidRPr="009873C5">
        <w:rPr>
          <w:rFonts w:ascii="Times New Roman" w:hAnsi="Times New Roman"/>
          <w:b/>
          <w:sz w:val="20"/>
          <w:szCs w:val="20"/>
        </w:rPr>
        <w:lastRenderedPageBreak/>
        <w:t>Proposal</w:t>
      </w:r>
      <w:r w:rsidR="00180305" w:rsidRPr="009873C5">
        <w:rPr>
          <w:rFonts w:ascii="Times New Roman" w:hAnsi="Times New Roman"/>
          <w:b/>
          <w:sz w:val="20"/>
          <w:szCs w:val="20"/>
        </w:rPr>
        <w:t>-6</w:t>
      </w:r>
      <w:r w:rsidRPr="009873C5">
        <w:rPr>
          <w:rFonts w:ascii="Times New Roman" w:hAnsi="Times New Roman"/>
          <w:b/>
          <w:sz w:val="20"/>
          <w:szCs w:val="20"/>
        </w:rPr>
        <w:t>: For the slot format of a slot, some slot formats are pre-defined</w:t>
      </w:r>
      <w:r w:rsidR="00D81A8C" w:rsidRPr="009873C5">
        <w:rPr>
          <w:rFonts w:ascii="Times New Roman" w:hAnsi="Times New Roman"/>
          <w:b/>
          <w:sz w:val="20"/>
          <w:szCs w:val="20"/>
        </w:rPr>
        <w:t>/pre-configured</w:t>
      </w:r>
      <w:r w:rsidRPr="009873C5">
        <w:rPr>
          <w:rFonts w:ascii="Times New Roman" w:hAnsi="Times New Roman"/>
          <w:b/>
          <w:sz w:val="20"/>
          <w:szCs w:val="20"/>
        </w:rPr>
        <w:t>, and the group-common PDCCH carries the index that points to one of the pre-defined slot formats.</w:t>
      </w:r>
    </w:p>
    <w:p w:rsidR="00C46A35" w:rsidRPr="009873C5" w:rsidRDefault="00C46A35" w:rsidP="00F50A14">
      <w:pPr>
        <w:rPr>
          <w:rFonts w:ascii="Times New Roman" w:hAnsi="Times New Roman"/>
          <w:b/>
          <w:sz w:val="20"/>
          <w:szCs w:val="20"/>
        </w:rPr>
      </w:pPr>
    </w:p>
    <w:p w:rsidR="00C46A35" w:rsidRPr="009873C5" w:rsidRDefault="00C46A35" w:rsidP="00C46A35">
      <w:pPr>
        <w:pStyle w:val="Heading1"/>
        <w:rPr>
          <w:lang w:val="en-US"/>
        </w:rPr>
      </w:pPr>
      <w:r w:rsidRPr="009873C5">
        <w:rPr>
          <w:lang w:val="en-US"/>
        </w:rPr>
        <w:t>4</w:t>
      </w:r>
      <w:r w:rsidRPr="009873C5">
        <w:rPr>
          <w:lang w:val="en-US"/>
        </w:rPr>
        <w:tab/>
        <w:t>On transmission of SFI</w:t>
      </w:r>
    </w:p>
    <w:p w:rsidR="00C46A35" w:rsidRPr="009873C5" w:rsidRDefault="00C46A35" w:rsidP="00C46A35">
      <w:pPr>
        <w:jc w:val="both"/>
        <w:rPr>
          <w:rFonts w:ascii="Times New Roman" w:hAnsi="Times New Roman"/>
          <w:sz w:val="20"/>
          <w:szCs w:val="20"/>
        </w:rPr>
      </w:pPr>
      <w:r w:rsidRPr="009873C5">
        <w:rPr>
          <w:rFonts w:ascii="Times New Roman" w:hAnsi="Times New Roman"/>
          <w:sz w:val="20"/>
          <w:szCs w:val="20"/>
        </w:rPr>
        <w:t>Regarding the channel to carry the group-common PDCCH, it was agreed that it follows the CORESET configuration and it is formed by an integer number of CCEs. This would ensure good compatibility when multiplexing with other PDCCH transmissions. The open issue is how the group-common PDCCH is constructed, i.e., whether to completely reuse PDCCH structure or to define a new channel depending on the payload size of the group common PDCCH. The general view is that if the payload size becomes sufficiently large (e.g. close to a regular DCI), it would be natural to reuse PDCCH. If the payload size is quite small, some companies think it may be beneficial to consider a different design.</w:t>
      </w:r>
    </w:p>
    <w:p w:rsidR="00C46A35" w:rsidRPr="009873C5" w:rsidRDefault="00180305" w:rsidP="00C46A35">
      <w:pPr>
        <w:jc w:val="both"/>
        <w:rPr>
          <w:rFonts w:ascii="Times New Roman" w:hAnsi="Times New Roman"/>
          <w:sz w:val="20"/>
          <w:szCs w:val="20"/>
        </w:rPr>
      </w:pPr>
      <w:r w:rsidRPr="009873C5">
        <w:rPr>
          <w:rFonts w:ascii="Times New Roman" w:hAnsi="Times New Roman"/>
          <w:sz w:val="20"/>
          <w:szCs w:val="20"/>
        </w:rPr>
        <w:t>In section 3</w:t>
      </w:r>
      <w:r w:rsidR="00C46A35" w:rsidRPr="009873C5">
        <w:rPr>
          <w:rFonts w:ascii="Times New Roman" w:hAnsi="Times New Roman"/>
          <w:sz w:val="20"/>
          <w:szCs w:val="20"/>
        </w:rPr>
        <w:t xml:space="preserve">, we express our view that the slot format related information for the current slot and the upcoming </w:t>
      </w:r>
      <w:r w:rsidRPr="009873C5">
        <w:rPr>
          <w:rFonts w:ascii="Times New Roman" w:hAnsi="Times New Roman"/>
          <w:sz w:val="20"/>
          <w:szCs w:val="20"/>
        </w:rPr>
        <w:t>M</w:t>
      </w:r>
      <w:r w:rsidR="00C46A35" w:rsidRPr="009873C5">
        <w:rPr>
          <w:rFonts w:ascii="Times New Roman" w:hAnsi="Times New Roman"/>
          <w:sz w:val="20"/>
          <w:szCs w:val="20"/>
        </w:rPr>
        <w:t xml:space="preserve"> slots should be included in group common PDCCH. This is likely to result</w:t>
      </w:r>
      <w:r w:rsidR="00EC5CDC" w:rsidRPr="009873C5">
        <w:rPr>
          <w:rFonts w:ascii="Times New Roman" w:hAnsi="Times New Roman"/>
          <w:sz w:val="20"/>
          <w:szCs w:val="20"/>
        </w:rPr>
        <w:t xml:space="preserve"> in 4-5bit per slot and </w:t>
      </w:r>
      <w:r w:rsidR="00047723" w:rsidRPr="009873C5">
        <w:rPr>
          <w:rFonts w:ascii="Times New Roman" w:hAnsi="Times New Roman"/>
          <w:sz w:val="20"/>
          <w:szCs w:val="20"/>
        </w:rPr>
        <w:t>these</w:t>
      </w:r>
      <w:r w:rsidR="00C46A35" w:rsidRPr="009873C5">
        <w:rPr>
          <w:rFonts w:ascii="Times New Roman" w:hAnsi="Times New Roman"/>
          <w:sz w:val="20"/>
          <w:szCs w:val="20"/>
        </w:rPr>
        <w:t xml:space="preserve"> </w:t>
      </w:r>
      <w:r w:rsidR="00394843" w:rsidRPr="009873C5">
        <w:rPr>
          <w:rFonts w:ascii="Times New Roman" w:hAnsi="Times New Roman"/>
          <w:sz w:val="20"/>
          <w:szCs w:val="20"/>
        </w:rPr>
        <w:t>40</w:t>
      </w:r>
      <w:r w:rsidR="00C46A35" w:rsidRPr="009873C5">
        <w:rPr>
          <w:rFonts w:ascii="Times New Roman" w:hAnsi="Times New Roman"/>
          <w:sz w:val="20"/>
          <w:szCs w:val="20"/>
        </w:rPr>
        <w:t xml:space="preserve"> to </w:t>
      </w:r>
      <w:r w:rsidR="00394843" w:rsidRPr="009873C5">
        <w:rPr>
          <w:rFonts w:ascii="Times New Roman" w:hAnsi="Times New Roman"/>
          <w:sz w:val="20"/>
          <w:szCs w:val="20"/>
        </w:rPr>
        <w:t>50</w:t>
      </w:r>
      <w:r w:rsidR="00C46A35" w:rsidRPr="009873C5">
        <w:rPr>
          <w:rFonts w:ascii="Times New Roman" w:hAnsi="Times New Roman"/>
          <w:sz w:val="20"/>
          <w:szCs w:val="20"/>
        </w:rPr>
        <w:t xml:space="preserve"> bits</w:t>
      </w:r>
      <w:r w:rsidR="00EC5CDC" w:rsidRPr="009873C5">
        <w:rPr>
          <w:rFonts w:ascii="Times New Roman" w:hAnsi="Times New Roman"/>
          <w:sz w:val="20"/>
          <w:szCs w:val="20"/>
        </w:rPr>
        <w:t xml:space="preserve"> for </w:t>
      </w:r>
      <w:r w:rsidR="00394843" w:rsidRPr="009873C5">
        <w:rPr>
          <w:rFonts w:ascii="Times New Roman" w:hAnsi="Times New Roman"/>
          <w:sz w:val="20"/>
          <w:szCs w:val="20"/>
        </w:rPr>
        <w:t>10</w:t>
      </w:r>
      <w:r w:rsidR="00EC5CDC" w:rsidRPr="009873C5">
        <w:rPr>
          <w:rFonts w:ascii="Times New Roman" w:hAnsi="Times New Roman"/>
          <w:sz w:val="20"/>
          <w:szCs w:val="20"/>
        </w:rPr>
        <w:t xml:space="preserve"> slots</w:t>
      </w:r>
      <w:r w:rsidR="00C46A35" w:rsidRPr="009873C5">
        <w:rPr>
          <w:rFonts w:ascii="Times New Roman" w:hAnsi="Times New Roman"/>
          <w:sz w:val="20"/>
          <w:szCs w:val="20"/>
        </w:rPr>
        <w:t xml:space="preserve">. It is also beneficial to include some reservation bits for future compatibility purpose. </w:t>
      </w:r>
      <w:r w:rsidR="00047723" w:rsidRPr="009873C5">
        <w:rPr>
          <w:rFonts w:ascii="Times New Roman" w:hAnsi="Times New Roman"/>
          <w:sz w:val="20"/>
          <w:szCs w:val="20"/>
        </w:rPr>
        <w:t>So,</w:t>
      </w:r>
      <w:r w:rsidR="00C46A35" w:rsidRPr="009873C5">
        <w:rPr>
          <w:rFonts w:ascii="Times New Roman" w:hAnsi="Times New Roman"/>
          <w:sz w:val="20"/>
          <w:szCs w:val="20"/>
        </w:rPr>
        <w:t xml:space="preserve"> the overall payload size could be on the order of </w:t>
      </w:r>
      <w:r w:rsidR="0036678C" w:rsidRPr="009873C5">
        <w:rPr>
          <w:rFonts w:ascii="Times New Roman" w:hAnsi="Times New Roman"/>
          <w:sz w:val="20"/>
          <w:szCs w:val="20"/>
        </w:rPr>
        <w:t>50</w:t>
      </w:r>
      <w:r w:rsidR="00C46A35" w:rsidRPr="009873C5">
        <w:rPr>
          <w:rFonts w:ascii="Times New Roman" w:hAnsi="Times New Roman"/>
          <w:sz w:val="20"/>
          <w:szCs w:val="20"/>
        </w:rPr>
        <w:t xml:space="preserve"> bits, plus a</w:t>
      </w:r>
      <w:r w:rsidR="00EC5CDC" w:rsidRPr="009873C5">
        <w:rPr>
          <w:rFonts w:ascii="Times New Roman" w:hAnsi="Times New Roman"/>
          <w:sz w:val="20"/>
          <w:szCs w:val="20"/>
        </w:rPr>
        <w:t>dditional CRC bits. Assuming 1/4</w:t>
      </w:r>
      <w:r w:rsidR="00C46A35" w:rsidRPr="009873C5">
        <w:rPr>
          <w:rFonts w:ascii="Times New Roman" w:hAnsi="Times New Roman"/>
          <w:sz w:val="20"/>
          <w:szCs w:val="20"/>
        </w:rPr>
        <w:t xml:space="preserve"> DMRS overhead, one CCE has 6x</w:t>
      </w:r>
      <w:r w:rsidR="00EC5CDC" w:rsidRPr="009873C5">
        <w:rPr>
          <w:rFonts w:ascii="Times New Roman" w:hAnsi="Times New Roman"/>
          <w:sz w:val="20"/>
          <w:szCs w:val="20"/>
        </w:rPr>
        <w:t>9</w:t>
      </w:r>
      <w:r w:rsidR="00C46A35" w:rsidRPr="009873C5">
        <w:rPr>
          <w:rFonts w:ascii="Times New Roman" w:hAnsi="Times New Roman"/>
          <w:sz w:val="20"/>
          <w:szCs w:val="20"/>
        </w:rPr>
        <w:t xml:space="preserve"> = </w:t>
      </w:r>
      <w:r w:rsidR="00EC5CDC" w:rsidRPr="009873C5">
        <w:rPr>
          <w:rFonts w:ascii="Times New Roman" w:hAnsi="Times New Roman"/>
          <w:sz w:val="20"/>
          <w:szCs w:val="20"/>
        </w:rPr>
        <w:t>54</w:t>
      </w:r>
      <w:r w:rsidR="00C46A35" w:rsidRPr="009873C5">
        <w:rPr>
          <w:rFonts w:ascii="Times New Roman" w:hAnsi="Times New Roman"/>
          <w:sz w:val="20"/>
          <w:szCs w:val="20"/>
        </w:rPr>
        <w:t xml:space="preserve"> data REs. With QPSK, one CCE would not be </w:t>
      </w:r>
      <w:r w:rsidR="0036678C" w:rsidRPr="009873C5">
        <w:rPr>
          <w:rFonts w:ascii="Times New Roman" w:hAnsi="Times New Roman"/>
          <w:sz w:val="20"/>
          <w:szCs w:val="20"/>
        </w:rPr>
        <w:t>even enough</w:t>
      </w:r>
      <w:r w:rsidR="00C46A35" w:rsidRPr="009873C5">
        <w:rPr>
          <w:rFonts w:ascii="Times New Roman" w:hAnsi="Times New Roman"/>
          <w:sz w:val="20"/>
          <w:szCs w:val="20"/>
        </w:rPr>
        <w:t xml:space="preserve"> to carry the group common PDCCH, especially considering that the group common PDCCH needs to reach all the UEs in a group including the cell edge UEs. Also note that this payload size is comparable to, or larger than, the most compact DCI size in LTE (format 1C). Therefore</w:t>
      </w:r>
      <w:r w:rsidR="00047723">
        <w:rPr>
          <w:rFonts w:ascii="Times New Roman" w:hAnsi="Times New Roman"/>
          <w:sz w:val="20"/>
          <w:szCs w:val="20"/>
        </w:rPr>
        <w:t>,</w:t>
      </w:r>
      <w:r w:rsidR="00C46A35" w:rsidRPr="009873C5">
        <w:rPr>
          <w:rFonts w:ascii="Times New Roman" w:hAnsi="Times New Roman"/>
          <w:sz w:val="20"/>
          <w:szCs w:val="20"/>
        </w:rPr>
        <w:t xml:space="preserve"> we think it is reasonable to directly reuse the PDCCH design for group common PDCCH (even for payload size as small as 10</w:t>
      </w:r>
      <w:r w:rsidR="0036678C" w:rsidRPr="009873C5">
        <w:rPr>
          <w:rFonts w:ascii="Times New Roman" w:hAnsi="Times New Roman"/>
          <w:sz w:val="20"/>
          <w:szCs w:val="20"/>
        </w:rPr>
        <w:t>-20</w:t>
      </w:r>
      <w:r w:rsidR="00C46A35" w:rsidRPr="009873C5">
        <w:rPr>
          <w:rFonts w:ascii="Times New Roman" w:hAnsi="Times New Roman"/>
          <w:sz w:val="20"/>
          <w:szCs w:val="20"/>
        </w:rPr>
        <w:t xml:space="preserve"> bits). The exact aggregation level(s) to be monitored for group common PDCCH can be decided after the payload size is finalized.</w:t>
      </w:r>
    </w:p>
    <w:p w:rsidR="00C46A35" w:rsidRPr="009873C5" w:rsidRDefault="00C46A35" w:rsidP="00C46A35">
      <w:pPr>
        <w:jc w:val="both"/>
        <w:rPr>
          <w:rFonts w:ascii="Times New Roman" w:hAnsi="Times New Roman"/>
          <w:sz w:val="20"/>
          <w:szCs w:val="20"/>
        </w:rPr>
      </w:pPr>
      <w:r w:rsidRPr="009873C5">
        <w:rPr>
          <w:rFonts w:ascii="Times New Roman" w:hAnsi="Times New Roman"/>
          <w:sz w:val="20"/>
          <w:szCs w:val="20"/>
        </w:rPr>
        <w:t>Reusing PDCCH would also avoid the design of a different channel, saving both specification and implementation effort.</w:t>
      </w:r>
    </w:p>
    <w:p w:rsidR="00C46A35" w:rsidRPr="009873C5" w:rsidRDefault="00C46A35" w:rsidP="00C46A35">
      <w:pPr>
        <w:rPr>
          <w:rFonts w:ascii="Times New Roman" w:hAnsi="Times New Roman"/>
          <w:b/>
          <w:sz w:val="20"/>
          <w:szCs w:val="20"/>
        </w:rPr>
      </w:pPr>
      <w:r w:rsidRPr="009873C5">
        <w:rPr>
          <w:rFonts w:ascii="Times New Roman" w:hAnsi="Times New Roman"/>
          <w:b/>
          <w:sz w:val="20"/>
          <w:szCs w:val="20"/>
        </w:rPr>
        <w:t>Proposal</w:t>
      </w:r>
      <w:r w:rsidR="00846B68" w:rsidRPr="009873C5">
        <w:rPr>
          <w:rFonts w:ascii="Times New Roman" w:hAnsi="Times New Roman"/>
          <w:b/>
          <w:sz w:val="20"/>
          <w:szCs w:val="20"/>
        </w:rPr>
        <w:t>-7</w:t>
      </w:r>
      <w:r w:rsidRPr="009873C5">
        <w:rPr>
          <w:rFonts w:ascii="Times New Roman" w:hAnsi="Times New Roman"/>
          <w:b/>
          <w:sz w:val="20"/>
          <w:szCs w:val="20"/>
        </w:rPr>
        <w:t>: The group common PDCCH that carries the slot format related information is transmitted using PDCCH, not a separately defined channel.</w:t>
      </w:r>
    </w:p>
    <w:p w:rsidR="00C46A35" w:rsidRPr="009873C5" w:rsidRDefault="00C46A35" w:rsidP="00F50A14">
      <w:pPr>
        <w:rPr>
          <w:rFonts w:ascii="Times New Roman" w:hAnsi="Times New Roman"/>
          <w:sz w:val="20"/>
          <w:szCs w:val="20"/>
        </w:rPr>
      </w:pPr>
    </w:p>
    <w:bookmarkEnd w:id="5"/>
    <w:bookmarkEnd w:id="6"/>
    <w:p w:rsidR="005B6509" w:rsidRPr="009873C5" w:rsidRDefault="00C46A35" w:rsidP="005B6509">
      <w:pPr>
        <w:pStyle w:val="Heading1"/>
        <w:rPr>
          <w:lang w:val="en-US"/>
        </w:rPr>
      </w:pPr>
      <w:r w:rsidRPr="009873C5">
        <w:rPr>
          <w:lang w:val="en-US"/>
        </w:rPr>
        <w:t>5</w:t>
      </w:r>
      <w:r w:rsidR="005B6509" w:rsidRPr="009873C5">
        <w:rPr>
          <w:lang w:val="en-US"/>
        </w:rPr>
        <w:tab/>
        <w:t>Conclusion</w:t>
      </w:r>
      <w:r w:rsidR="00A07F41" w:rsidRPr="009873C5">
        <w:rPr>
          <w:lang w:val="en-US"/>
        </w:rPr>
        <w:t>s</w:t>
      </w:r>
    </w:p>
    <w:p w:rsidR="00165148" w:rsidRPr="009873C5" w:rsidRDefault="001F1089" w:rsidP="00A07F41">
      <w:pPr>
        <w:jc w:val="both"/>
        <w:rPr>
          <w:rFonts w:ascii="Times New Roman" w:hAnsi="Times New Roman"/>
          <w:sz w:val="20"/>
        </w:rPr>
      </w:pPr>
      <w:bookmarkStart w:id="7" w:name="OLE_LINK43"/>
      <w:bookmarkStart w:id="8" w:name="OLE_LINK44"/>
      <w:bookmarkStart w:id="9" w:name="OLE_LINK34"/>
      <w:bookmarkStart w:id="10" w:name="OLE_LINK35"/>
      <w:r w:rsidRPr="009873C5">
        <w:rPr>
          <w:rFonts w:ascii="Times New Roman" w:hAnsi="Times New Roman"/>
          <w:sz w:val="20"/>
        </w:rPr>
        <w:t>In this contribution</w:t>
      </w:r>
      <w:r w:rsidR="00DF0733" w:rsidRPr="009873C5">
        <w:rPr>
          <w:rFonts w:ascii="Times New Roman" w:hAnsi="Times New Roman"/>
          <w:sz w:val="20"/>
        </w:rPr>
        <w:t>,</w:t>
      </w:r>
      <w:r w:rsidR="00165148" w:rsidRPr="009873C5">
        <w:rPr>
          <w:rFonts w:ascii="Times New Roman" w:hAnsi="Times New Roman"/>
          <w:sz w:val="20"/>
        </w:rPr>
        <w:t xml:space="preserve"> we have discussed the </w:t>
      </w:r>
      <w:r w:rsidR="00467228" w:rsidRPr="009873C5">
        <w:rPr>
          <w:rFonts w:ascii="Times New Roman" w:hAnsi="Times New Roman"/>
          <w:sz w:val="20"/>
        </w:rPr>
        <w:t>remaining aspects of</w:t>
      </w:r>
      <w:r w:rsidR="00165148" w:rsidRPr="009873C5">
        <w:rPr>
          <w:rFonts w:ascii="Times New Roman" w:hAnsi="Times New Roman"/>
          <w:sz w:val="20"/>
        </w:rPr>
        <w:t xml:space="preserve"> group common PDCCH and proposed the following:</w:t>
      </w:r>
    </w:p>
    <w:bookmarkEnd w:id="7"/>
    <w:bookmarkEnd w:id="8"/>
    <w:bookmarkEnd w:id="9"/>
    <w:bookmarkEnd w:id="10"/>
    <w:p w:rsidR="007B38CB" w:rsidRPr="009873C5" w:rsidRDefault="007B38CB" w:rsidP="007B38CB">
      <w:pPr>
        <w:jc w:val="both"/>
        <w:rPr>
          <w:rFonts w:ascii="Times New Roman" w:hAnsi="Times New Roman"/>
          <w:b/>
          <w:sz w:val="20"/>
          <w:szCs w:val="20"/>
        </w:rPr>
      </w:pPr>
      <w:r w:rsidRPr="009873C5">
        <w:rPr>
          <w:rFonts w:ascii="Times New Roman" w:hAnsi="Times New Roman"/>
          <w:b/>
          <w:sz w:val="20"/>
          <w:szCs w:val="20"/>
        </w:rPr>
        <w:t>Proposal-1: RAN1 to consider reserved resource to be included as one state of SFI. UE shall not transmit, receive or measure anything in a reserved symbol.</w:t>
      </w:r>
    </w:p>
    <w:p w:rsidR="007B38CB" w:rsidRPr="009873C5" w:rsidRDefault="007B38CB" w:rsidP="007B38CB">
      <w:pPr>
        <w:jc w:val="both"/>
        <w:rPr>
          <w:rFonts w:ascii="Times New Roman" w:hAnsi="Times New Roman"/>
          <w:b/>
          <w:sz w:val="20"/>
          <w:szCs w:val="20"/>
        </w:rPr>
      </w:pPr>
      <w:r w:rsidRPr="009873C5">
        <w:rPr>
          <w:rFonts w:ascii="Times New Roman" w:hAnsi="Times New Roman"/>
          <w:b/>
          <w:sz w:val="20"/>
          <w:szCs w:val="20"/>
        </w:rPr>
        <w:t xml:space="preserve">Proposal-2: UE follows dedicated triggered transmissions and receptions, these change the unknown resource to known, i.e. DL or UL.    </w:t>
      </w:r>
    </w:p>
    <w:p w:rsidR="007B38CB" w:rsidRPr="009873C5" w:rsidRDefault="007B38CB" w:rsidP="007B38CB">
      <w:pPr>
        <w:jc w:val="both"/>
        <w:rPr>
          <w:rFonts w:ascii="Times New Roman" w:hAnsi="Times New Roman"/>
          <w:b/>
          <w:sz w:val="20"/>
          <w:szCs w:val="20"/>
        </w:rPr>
      </w:pPr>
      <w:r w:rsidRPr="009873C5">
        <w:rPr>
          <w:rFonts w:ascii="Times New Roman" w:hAnsi="Times New Roman"/>
          <w:b/>
          <w:sz w:val="20"/>
          <w:szCs w:val="20"/>
        </w:rPr>
        <w:t>Proposal-3: In unknown resource, UE shall not transmit, receive/measure any periodic signals. UE shall monitor the PDCCH as configured by gNB.</w:t>
      </w:r>
    </w:p>
    <w:p w:rsidR="007B38CB" w:rsidRPr="009873C5" w:rsidRDefault="007B38CB" w:rsidP="007B38CB">
      <w:pPr>
        <w:rPr>
          <w:rFonts w:ascii="Times New Roman" w:hAnsi="Times New Roman"/>
          <w:b/>
          <w:sz w:val="20"/>
          <w:szCs w:val="20"/>
        </w:rPr>
      </w:pPr>
      <w:r w:rsidRPr="009873C5">
        <w:rPr>
          <w:rFonts w:ascii="Times New Roman" w:hAnsi="Times New Roman"/>
          <w:b/>
          <w:sz w:val="20"/>
          <w:szCs w:val="20"/>
        </w:rPr>
        <w:t>Proposal-4: When determining the symbol type in TDD, dynamic dedicated signalling overrides group-common signalling (SFI) and that overrides semi-static TDD configuration.</w:t>
      </w:r>
    </w:p>
    <w:p w:rsidR="007B38CB" w:rsidRPr="009873C5" w:rsidRDefault="007B38CB" w:rsidP="007B38CB">
      <w:pPr>
        <w:rPr>
          <w:rFonts w:ascii="Times New Roman" w:hAnsi="Times New Roman"/>
          <w:b/>
          <w:sz w:val="20"/>
          <w:szCs w:val="20"/>
        </w:rPr>
      </w:pPr>
      <w:r w:rsidRPr="009873C5">
        <w:rPr>
          <w:rFonts w:ascii="Times New Roman" w:hAnsi="Times New Roman"/>
          <w:b/>
          <w:sz w:val="20"/>
          <w:szCs w:val="20"/>
        </w:rPr>
        <w:t>Proposal-5: The slot format related information in a group common PDCCH carries the SF information for the current slot and the separate SF information regarding the each of upcoming M slots, where M is configurable. The signalling can be sent as needed, i.e. on demand.</w:t>
      </w:r>
    </w:p>
    <w:p w:rsidR="007B38CB" w:rsidRPr="009873C5" w:rsidRDefault="007B38CB" w:rsidP="007B38CB">
      <w:pPr>
        <w:rPr>
          <w:rFonts w:ascii="Times New Roman" w:hAnsi="Times New Roman"/>
          <w:b/>
          <w:sz w:val="20"/>
          <w:szCs w:val="20"/>
        </w:rPr>
      </w:pPr>
      <w:r w:rsidRPr="009873C5">
        <w:rPr>
          <w:rFonts w:ascii="Times New Roman" w:hAnsi="Times New Roman"/>
          <w:b/>
          <w:sz w:val="20"/>
          <w:szCs w:val="20"/>
        </w:rPr>
        <w:t>Proposal-6: For the slot format of a slot, some slot formats are pre-defined/pre-configured, and the group-common PDCCH carries the index that points to one of the pre-defined slot formats.</w:t>
      </w:r>
    </w:p>
    <w:p w:rsidR="007B38CB" w:rsidRPr="009873C5" w:rsidRDefault="007B38CB" w:rsidP="007B38CB">
      <w:pPr>
        <w:rPr>
          <w:rFonts w:ascii="Times New Roman" w:hAnsi="Times New Roman"/>
          <w:b/>
          <w:sz w:val="20"/>
          <w:szCs w:val="20"/>
        </w:rPr>
      </w:pPr>
      <w:r w:rsidRPr="009873C5">
        <w:rPr>
          <w:rFonts w:ascii="Times New Roman" w:hAnsi="Times New Roman"/>
          <w:b/>
          <w:sz w:val="20"/>
          <w:szCs w:val="20"/>
        </w:rPr>
        <w:t>Proposal-7: The group common PDCCH that carries the slot format related information is transmitted using PDCCH, not a separately defined channel.</w:t>
      </w:r>
    </w:p>
    <w:p w:rsidR="00417D5D" w:rsidRPr="009873C5" w:rsidRDefault="00417D5D" w:rsidP="007B38CB">
      <w:pPr>
        <w:rPr>
          <w:rFonts w:ascii="Times New Roman" w:hAnsi="Times New Roman"/>
          <w:b/>
          <w:sz w:val="20"/>
          <w:szCs w:val="20"/>
        </w:rPr>
      </w:pPr>
      <w:bookmarkStart w:id="11" w:name="_GoBack"/>
      <w:bookmarkEnd w:id="11"/>
    </w:p>
    <w:sectPr w:rsidR="00417D5D" w:rsidRPr="009873C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CE3" w:rsidRDefault="00CA0CE3">
      <w:r>
        <w:separator/>
      </w:r>
    </w:p>
  </w:endnote>
  <w:endnote w:type="continuationSeparator" w:id="0">
    <w:p w:rsidR="00CA0CE3" w:rsidRDefault="00CA0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CE3" w:rsidRDefault="00CA0CE3">
      <w:r>
        <w:separator/>
      </w:r>
    </w:p>
  </w:footnote>
  <w:footnote w:type="continuationSeparator" w:id="0">
    <w:p w:rsidR="00CA0CE3" w:rsidRDefault="00CA0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4269F"/>
    <w:multiLevelType w:val="hybridMultilevel"/>
    <w:tmpl w:val="26BA2574"/>
    <w:lvl w:ilvl="0" w:tplc="8B0E1F62">
      <w:start w:val="2"/>
      <w:numFmt w:val="bullet"/>
      <w:lvlText w:val="-"/>
      <w:lvlJc w:val="left"/>
      <w:pPr>
        <w:ind w:left="720" w:hanging="360"/>
      </w:pPr>
      <w:rPr>
        <w:rFonts w:ascii="Times New Roman" w:eastAsia="Calibri" w:hAnsi="Times New Roman" w:cs="Times New Roman" w:hint="default"/>
      </w:rPr>
    </w:lvl>
    <w:lvl w:ilvl="1" w:tplc="8B0E1F62">
      <w:start w:val="2"/>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1B22FA"/>
    <w:multiLevelType w:val="hybridMultilevel"/>
    <w:tmpl w:val="F3B621CA"/>
    <w:lvl w:ilvl="0" w:tplc="8B0E1F6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cs="Times New Roman" w:hint="default"/>
      </w:rPr>
    </w:lvl>
    <w:lvl w:ilvl="1" w:tplc="D72E7896">
      <w:numFmt w:val="bullet"/>
      <w:lvlText w:val="–"/>
      <w:lvlJc w:val="left"/>
      <w:pPr>
        <w:tabs>
          <w:tab w:val="num" w:pos="1080"/>
        </w:tabs>
        <w:ind w:left="1080" w:hanging="360"/>
      </w:pPr>
      <w:rPr>
        <w:rFonts w:ascii="Arial" w:hAnsi="Arial" w:cs="Times New Roman" w:hint="default"/>
      </w:rPr>
    </w:lvl>
    <w:lvl w:ilvl="2" w:tplc="99FABAC0">
      <w:start w:val="1"/>
      <w:numFmt w:val="bullet"/>
      <w:lvlText w:val="•"/>
      <w:lvlJc w:val="left"/>
      <w:pPr>
        <w:tabs>
          <w:tab w:val="num" w:pos="1800"/>
        </w:tabs>
        <w:ind w:left="1800" w:hanging="360"/>
      </w:pPr>
      <w:rPr>
        <w:rFonts w:ascii="Arial" w:hAnsi="Arial" w:cs="Times New Roman" w:hint="default"/>
      </w:rPr>
    </w:lvl>
    <w:lvl w:ilvl="3" w:tplc="EA0664EC">
      <w:start w:val="1"/>
      <w:numFmt w:val="bullet"/>
      <w:lvlText w:val="•"/>
      <w:lvlJc w:val="left"/>
      <w:pPr>
        <w:tabs>
          <w:tab w:val="num" w:pos="2520"/>
        </w:tabs>
        <w:ind w:left="2520" w:hanging="360"/>
      </w:pPr>
      <w:rPr>
        <w:rFonts w:ascii="Arial" w:hAnsi="Arial" w:cs="Times New Roman" w:hint="default"/>
      </w:rPr>
    </w:lvl>
    <w:lvl w:ilvl="4" w:tplc="0CBCF4B8">
      <w:start w:val="1"/>
      <w:numFmt w:val="bullet"/>
      <w:lvlText w:val="•"/>
      <w:lvlJc w:val="left"/>
      <w:pPr>
        <w:tabs>
          <w:tab w:val="num" w:pos="3240"/>
        </w:tabs>
        <w:ind w:left="3240" w:hanging="360"/>
      </w:pPr>
      <w:rPr>
        <w:rFonts w:ascii="Arial" w:hAnsi="Arial" w:cs="Times New Roman" w:hint="default"/>
      </w:rPr>
    </w:lvl>
    <w:lvl w:ilvl="5" w:tplc="BACEFE74">
      <w:start w:val="1"/>
      <w:numFmt w:val="bullet"/>
      <w:lvlText w:val="•"/>
      <w:lvlJc w:val="left"/>
      <w:pPr>
        <w:tabs>
          <w:tab w:val="num" w:pos="3960"/>
        </w:tabs>
        <w:ind w:left="3960" w:hanging="360"/>
      </w:pPr>
      <w:rPr>
        <w:rFonts w:ascii="Arial" w:hAnsi="Arial" w:cs="Times New Roman" w:hint="default"/>
      </w:rPr>
    </w:lvl>
    <w:lvl w:ilvl="6" w:tplc="5AE8F5F0">
      <w:start w:val="1"/>
      <w:numFmt w:val="bullet"/>
      <w:lvlText w:val="•"/>
      <w:lvlJc w:val="left"/>
      <w:pPr>
        <w:tabs>
          <w:tab w:val="num" w:pos="4680"/>
        </w:tabs>
        <w:ind w:left="4680" w:hanging="360"/>
      </w:pPr>
      <w:rPr>
        <w:rFonts w:ascii="Arial" w:hAnsi="Arial" w:cs="Times New Roman" w:hint="default"/>
      </w:rPr>
    </w:lvl>
    <w:lvl w:ilvl="7" w:tplc="AB043FF6">
      <w:start w:val="1"/>
      <w:numFmt w:val="bullet"/>
      <w:lvlText w:val="•"/>
      <w:lvlJc w:val="left"/>
      <w:pPr>
        <w:tabs>
          <w:tab w:val="num" w:pos="5400"/>
        </w:tabs>
        <w:ind w:left="5400" w:hanging="360"/>
      </w:pPr>
      <w:rPr>
        <w:rFonts w:ascii="Arial" w:hAnsi="Arial" w:cs="Times New Roman" w:hint="default"/>
      </w:rPr>
    </w:lvl>
    <w:lvl w:ilvl="8" w:tplc="14882D3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D1833"/>
    <w:multiLevelType w:val="hybridMultilevel"/>
    <w:tmpl w:val="14C8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42611"/>
    <w:multiLevelType w:val="hybridMultilevel"/>
    <w:tmpl w:val="8CCCD7A8"/>
    <w:lvl w:ilvl="0" w:tplc="A6E2B1F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5520593"/>
    <w:multiLevelType w:val="hybridMultilevel"/>
    <w:tmpl w:val="1A84A89C"/>
    <w:lvl w:ilvl="0" w:tplc="F82EA59C">
      <w:start w:val="1"/>
      <w:numFmt w:val="bullet"/>
      <w:lvlText w:val="•"/>
      <w:lvlJc w:val="left"/>
      <w:pPr>
        <w:tabs>
          <w:tab w:val="num" w:pos="720"/>
        </w:tabs>
        <w:ind w:left="720" w:hanging="360"/>
      </w:pPr>
      <w:rPr>
        <w:rFonts w:ascii="Arial" w:hAnsi="Arial" w:hint="default"/>
      </w:rPr>
    </w:lvl>
    <w:lvl w:ilvl="1" w:tplc="E6E47AD0">
      <w:start w:val="1"/>
      <w:numFmt w:val="bullet"/>
      <w:lvlText w:val="•"/>
      <w:lvlJc w:val="left"/>
      <w:pPr>
        <w:tabs>
          <w:tab w:val="num" w:pos="1440"/>
        </w:tabs>
        <w:ind w:left="1440" w:hanging="360"/>
      </w:pPr>
      <w:rPr>
        <w:rFonts w:ascii="Arial" w:hAnsi="Arial" w:hint="default"/>
      </w:rPr>
    </w:lvl>
    <w:lvl w:ilvl="2" w:tplc="24AC4A22">
      <w:numFmt w:val="bullet"/>
      <w:lvlText w:val="•"/>
      <w:lvlJc w:val="left"/>
      <w:pPr>
        <w:tabs>
          <w:tab w:val="num" w:pos="2160"/>
        </w:tabs>
        <w:ind w:left="2160" w:hanging="360"/>
      </w:pPr>
      <w:rPr>
        <w:rFonts w:ascii="Arial" w:hAnsi="Arial" w:hint="default"/>
      </w:rPr>
    </w:lvl>
    <w:lvl w:ilvl="3" w:tplc="472A7632" w:tentative="1">
      <w:start w:val="1"/>
      <w:numFmt w:val="bullet"/>
      <w:lvlText w:val="•"/>
      <w:lvlJc w:val="left"/>
      <w:pPr>
        <w:tabs>
          <w:tab w:val="num" w:pos="2880"/>
        </w:tabs>
        <w:ind w:left="2880" w:hanging="360"/>
      </w:pPr>
      <w:rPr>
        <w:rFonts w:ascii="Arial" w:hAnsi="Arial" w:hint="default"/>
      </w:rPr>
    </w:lvl>
    <w:lvl w:ilvl="4" w:tplc="01C2BAA8" w:tentative="1">
      <w:start w:val="1"/>
      <w:numFmt w:val="bullet"/>
      <w:lvlText w:val="•"/>
      <w:lvlJc w:val="left"/>
      <w:pPr>
        <w:tabs>
          <w:tab w:val="num" w:pos="3600"/>
        </w:tabs>
        <w:ind w:left="3600" w:hanging="360"/>
      </w:pPr>
      <w:rPr>
        <w:rFonts w:ascii="Arial" w:hAnsi="Arial" w:hint="default"/>
      </w:rPr>
    </w:lvl>
    <w:lvl w:ilvl="5" w:tplc="6518CB4A" w:tentative="1">
      <w:start w:val="1"/>
      <w:numFmt w:val="bullet"/>
      <w:lvlText w:val="•"/>
      <w:lvlJc w:val="left"/>
      <w:pPr>
        <w:tabs>
          <w:tab w:val="num" w:pos="4320"/>
        </w:tabs>
        <w:ind w:left="4320" w:hanging="360"/>
      </w:pPr>
      <w:rPr>
        <w:rFonts w:ascii="Arial" w:hAnsi="Arial" w:hint="default"/>
      </w:rPr>
    </w:lvl>
    <w:lvl w:ilvl="6" w:tplc="7CD463E8" w:tentative="1">
      <w:start w:val="1"/>
      <w:numFmt w:val="bullet"/>
      <w:lvlText w:val="•"/>
      <w:lvlJc w:val="left"/>
      <w:pPr>
        <w:tabs>
          <w:tab w:val="num" w:pos="5040"/>
        </w:tabs>
        <w:ind w:left="5040" w:hanging="360"/>
      </w:pPr>
      <w:rPr>
        <w:rFonts w:ascii="Arial" w:hAnsi="Arial" w:hint="default"/>
      </w:rPr>
    </w:lvl>
    <w:lvl w:ilvl="7" w:tplc="479EFD3E" w:tentative="1">
      <w:start w:val="1"/>
      <w:numFmt w:val="bullet"/>
      <w:lvlText w:val="•"/>
      <w:lvlJc w:val="left"/>
      <w:pPr>
        <w:tabs>
          <w:tab w:val="num" w:pos="5760"/>
        </w:tabs>
        <w:ind w:left="5760" w:hanging="360"/>
      </w:pPr>
      <w:rPr>
        <w:rFonts w:ascii="Arial" w:hAnsi="Arial" w:hint="default"/>
      </w:rPr>
    </w:lvl>
    <w:lvl w:ilvl="8" w:tplc="FDB003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066B84"/>
    <w:multiLevelType w:val="hybridMultilevel"/>
    <w:tmpl w:val="D4A6A5A0"/>
    <w:lvl w:ilvl="0" w:tplc="8B0E1F6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2679A1"/>
    <w:multiLevelType w:val="hybridMultilevel"/>
    <w:tmpl w:val="384AD462"/>
    <w:lvl w:ilvl="0" w:tplc="8B0E1F6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303C1"/>
    <w:multiLevelType w:val="hybridMultilevel"/>
    <w:tmpl w:val="EF80C0A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34A2C9F"/>
    <w:multiLevelType w:val="hybridMultilevel"/>
    <w:tmpl w:val="F7CA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535F42"/>
    <w:multiLevelType w:val="hybridMultilevel"/>
    <w:tmpl w:val="65E2FD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8"/>
  </w:num>
  <w:num w:numId="4">
    <w:abstractNumId w:val="28"/>
  </w:num>
  <w:num w:numId="5">
    <w:abstractNumId w:val="32"/>
  </w:num>
  <w:num w:numId="6">
    <w:abstractNumId w:val="25"/>
  </w:num>
  <w:num w:numId="7">
    <w:abstractNumId w:val="8"/>
  </w:num>
  <w:num w:numId="8">
    <w:abstractNumId w:val="15"/>
  </w:num>
  <w:num w:numId="9">
    <w:abstractNumId w:val="21"/>
  </w:num>
  <w:num w:numId="10">
    <w:abstractNumId w:val="21"/>
    <w:lvlOverride w:ilvl="0">
      <w:startOverride w:val="1"/>
    </w:lvlOverride>
  </w:num>
  <w:num w:numId="11">
    <w:abstractNumId w:val="27"/>
  </w:num>
  <w:num w:numId="12">
    <w:abstractNumId w:val="20"/>
  </w:num>
  <w:num w:numId="13">
    <w:abstractNumId w:val="16"/>
  </w:num>
  <w:num w:numId="14">
    <w:abstractNumId w:val="24"/>
  </w:num>
  <w:num w:numId="15">
    <w:abstractNumId w:val="17"/>
  </w:num>
  <w:num w:numId="16">
    <w:abstractNumId w:val="0"/>
  </w:num>
  <w:num w:numId="17">
    <w:abstractNumId w:val="29"/>
  </w:num>
  <w:num w:numId="18">
    <w:abstractNumId w:val="11"/>
  </w:num>
  <w:num w:numId="19">
    <w:abstractNumId w:val="33"/>
  </w:num>
  <w:num w:numId="20">
    <w:abstractNumId w:val="12"/>
  </w:num>
  <w:num w:numId="21">
    <w:abstractNumId w:val="13"/>
  </w:num>
  <w:num w:numId="22">
    <w:abstractNumId w:val="14"/>
  </w:num>
  <w:num w:numId="23">
    <w:abstractNumId w:val="4"/>
  </w:num>
  <w:num w:numId="24">
    <w:abstractNumId w:val="26"/>
  </w:num>
  <w:num w:numId="25">
    <w:abstractNumId w:val="3"/>
  </w:num>
  <w:num w:numId="26">
    <w:abstractNumId w:val="23"/>
  </w:num>
  <w:num w:numId="27">
    <w:abstractNumId w:val="1"/>
  </w:num>
  <w:num w:numId="28">
    <w:abstractNumId w:val="6"/>
  </w:num>
  <w:num w:numId="29">
    <w:abstractNumId w:val="5"/>
  </w:num>
  <w:num w:numId="30">
    <w:abstractNumId w:val="31"/>
  </w:num>
  <w:num w:numId="31">
    <w:abstractNumId w:val="7"/>
  </w:num>
  <w:num w:numId="32">
    <w:abstractNumId w:val="30"/>
  </w:num>
  <w:num w:numId="33">
    <w:abstractNumId w:val="9"/>
  </w:num>
  <w:num w:numId="34">
    <w:abstractNumId w:val="22"/>
  </w:num>
  <w:num w:numId="3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63B"/>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FC2"/>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723"/>
    <w:rsid w:val="00047AD5"/>
    <w:rsid w:val="00047E2C"/>
    <w:rsid w:val="0005018D"/>
    <w:rsid w:val="000502B8"/>
    <w:rsid w:val="00050AD5"/>
    <w:rsid w:val="00050C10"/>
    <w:rsid w:val="000511F9"/>
    <w:rsid w:val="000517D8"/>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59C"/>
    <w:rsid w:val="00071C52"/>
    <w:rsid w:val="00072FD4"/>
    <w:rsid w:val="00072FFC"/>
    <w:rsid w:val="000731DE"/>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351"/>
    <w:rsid w:val="00095DEB"/>
    <w:rsid w:val="000962CD"/>
    <w:rsid w:val="00097058"/>
    <w:rsid w:val="00097924"/>
    <w:rsid w:val="00097F98"/>
    <w:rsid w:val="000A20BA"/>
    <w:rsid w:val="000A2249"/>
    <w:rsid w:val="000A2D56"/>
    <w:rsid w:val="000A356B"/>
    <w:rsid w:val="000A375D"/>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553"/>
    <w:rsid w:val="000F2D63"/>
    <w:rsid w:val="000F3098"/>
    <w:rsid w:val="000F328B"/>
    <w:rsid w:val="000F3876"/>
    <w:rsid w:val="000F391E"/>
    <w:rsid w:val="000F41B3"/>
    <w:rsid w:val="000F5B89"/>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47F8E"/>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721"/>
    <w:rsid w:val="00157B40"/>
    <w:rsid w:val="001601AE"/>
    <w:rsid w:val="00160674"/>
    <w:rsid w:val="001612C1"/>
    <w:rsid w:val="001616EE"/>
    <w:rsid w:val="00161D23"/>
    <w:rsid w:val="0016398E"/>
    <w:rsid w:val="00163BD0"/>
    <w:rsid w:val="00163FEB"/>
    <w:rsid w:val="001641F1"/>
    <w:rsid w:val="00165033"/>
    <w:rsid w:val="00165148"/>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305"/>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5D6B"/>
    <w:rsid w:val="001A668C"/>
    <w:rsid w:val="001A6A25"/>
    <w:rsid w:val="001A6C9A"/>
    <w:rsid w:val="001A6EB3"/>
    <w:rsid w:val="001A7BF3"/>
    <w:rsid w:val="001A7C85"/>
    <w:rsid w:val="001A7E74"/>
    <w:rsid w:val="001B070D"/>
    <w:rsid w:val="001B1A64"/>
    <w:rsid w:val="001B2F61"/>
    <w:rsid w:val="001B383B"/>
    <w:rsid w:val="001B3C00"/>
    <w:rsid w:val="001B3C14"/>
    <w:rsid w:val="001B4BB4"/>
    <w:rsid w:val="001B4DE0"/>
    <w:rsid w:val="001B5269"/>
    <w:rsid w:val="001B547E"/>
    <w:rsid w:val="001B6299"/>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27"/>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90C"/>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22B"/>
    <w:rsid w:val="0023440D"/>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53E7"/>
    <w:rsid w:val="002458BB"/>
    <w:rsid w:val="00245C9B"/>
    <w:rsid w:val="00245CF8"/>
    <w:rsid w:val="00246081"/>
    <w:rsid w:val="00246543"/>
    <w:rsid w:val="00246913"/>
    <w:rsid w:val="00246AA2"/>
    <w:rsid w:val="00246AB8"/>
    <w:rsid w:val="00247832"/>
    <w:rsid w:val="00247DEE"/>
    <w:rsid w:val="00250E1A"/>
    <w:rsid w:val="00251721"/>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3EE5"/>
    <w:rsid w:val="00266F6D"/>
    <w:rsid w:val="00267118"/>
    <w:rsid w:val="002678A0"/>
    <w:rsid w:val="00270901"/>
    <w:rsid w:val="00270CD2"/>
    <w:rsid w:val="0027114C"/>
    <w:rsid w:val="0027223E"/>
    <w:rsid w:val="00272248"/>
    <w:rsid w:val="00272452"/>
    <w:rsid w:val="00272458"/>
    <w:rsid w:val="0027279F"/>
    <w:rsid w:val="0027377F"/>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1A19"/>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1E5"/>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098F"/>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2F7A6C"/>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809"/>
    <w:rsid w:val="00362DE1"/>
    <w:rsid w:val="00363D73"/>
    <w:rsid w:val="003642A6"/>
    <w:rsid w:val="00364BBC"/>
    <w:rsid w:val="00364BDE"/>
    <w:rsid w:val="00364D63"/>
    <w:rsid w:val="00365BE6"/>
    <w:rsid w:val="0036620B"/>
    <w:rsid w:val="003666FD"/>
    <w:rsid w:val="0036678C"/>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843"/>
    <w:rsid w:val="0039496A"/>
    <w:rsid w:val="00395FD5"/>
    <w:rsid w:val="0039629A"/>
    <w:rsid w:val="00396ADB"/>
    <w:rsid w:val="003A00F4"/>
    <w:rsid w:val="003A43B2"/>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EA6"/>
    <w:rsid w:val="003C4F83"/>
    <w:rsid w:val="003C52B5"/>
    <w:rsid w:val="003C63F4"/>
    <w:rsid w:val="003C7570"/>
    <w:rsid w:val="003C7A07"/>
    <w:rsid w:val="003C7A5D"/>
    <w:rsid w:val="003C7E86"/>
    <w:rsid w:val="003D005E"/>
    <w:rsid w:val="003D00A3"/>
    <w:rsid w:val="003D04E2"/>
    <w:rsid w:val="003D0BE3"/>
    <w:rsid w:val="003D0CCD"/>
    <w:rsid w:val="003D1076"/>
    <w:rsid w:val="003D198A"/>
    <w:rsid w:val="003D1D26"/>
    <w:rsid w:val="003D28B1"/>
    <w:rsid w:val="003D2EB2"/>
    <w:rsid w:val="003D3052"/>
    <w:rsid w:val="003D38C8"/>
    <w:rsid w:val="003D402B"/>
    <w:rsid w:val="003D5146"/>
    <w:rsid w:val="003D767C"/>
    <w:rsid w:val="003E093C"/>
    <w:rsid w:val="003E1325"/>
    <w:rsid w:val="003E275E"/>
    <w:rsid w:val="003E33FC"/>
    <w:rsid w:val="003E3F38"/>
    <w:rsid w:val="003E52DA"/>
    <w:rsid w:val="003E5B29"/>
    <w:rsid w:val="003E5E46"/>
    <w:rsid w:val="003E61C3"/>
    <w:rsid w:val="003E6D55"/>
    <w:rsid w:val="003E6F97"/>
    <w:rsid w:val="003F04D3"/>
    <w:rsid w:val="003F0788"/>
    <w:rsid w:val="003F1329"/>
    <w:rsid w:val="003F1A7F"/>
    <w:rsid w:val="003F20B4"/>
    <w:rsid w:val="003F3084"/>
    <w:rsid w:val="003F3B26"/>
    <w:rsid w:val="003F5D59"/>
    <w:rsid w:val="003F660A"/>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17D5D"/>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4EA8"/>
    <w:rsid w:val="0044514A"/>
    <w:rsid w:val="00445FF7"/>
    <w:rsid w:val="00447263"/>
    <w:rsid w:val="004478B9"/>
    <w:rsid w:val="00450C71"/>
    <w:rsid w:val="00451323"/>
    <w:rsid w:val="0045159A"/>
    <w:rsid w:val="004521DE"/>
    <w:rsid w:val="00453341"/>
    <w:rsid w:val="00454106"/>
    <w:rsid w:val="0045489A"/>
    <w:rsid w:val="004567B7"/>
    <w:rsid w:val="00456D13"/>
    <w:rsid w:val="00457671"/>
    <w:rsid w:val="00457A67"/>
    <w:rsid w:val="0046048D"/>
    <w:rsid w:val="004608E9"/>
    <w:rsid w:val="00460FCA"/>
    <w:rsid w:val="00461210"/>
    <w:rsid w:val="00461E37"/>
    <w:rsid w:val="0046236A"/>
    <w:rsid w:val="00462F68"/>
    <w:rsid w:val="004632B6"/>
    <w:rsid w:val="004639D9"/>
    <w:rsid w:val="00463B13"/>
    <w:rsid w:val="00464589"/>
    <w:rsid w:val="00466292"/>
    <w:rsid w:val="004662D7"/>
    <w:rsid w:val="00466649"/>
    <w:rsid w:val="00467228"/>
    <w:rsid w:val="00467311"/>
    <w:rsid w:val="00467E1A"/>
    <w:rsid w:val="00467FA5"/>
    <w:rsid w:val="004701AA"/>
    <w:rsid w:val="004705EF"/>
    <w:rsid w:val="00470D44"/>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0F6A"/>
    <w:rsid w:val="004A1DA1"/>
    <w:rsid w:val="004A25B6"/>
    <w:rsid w:val="004A2685"/>
    <w:rsid w:val="004A26EF"/>
    <w:rsid w:val="004A284B"/>
    <w:rsid w:val="004A32EB"/>
    <w:rsid w:val="004A3D90"/>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1F4C"/>
    <w:rsid w:val="004D22E2"/>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43B"/>
    <w:rsid w:val="004E6B06"/>
    <w:rsid w:val="004E6C80"/>
    <w:rsid w:val="004E7014"/>
    <w:rsid w:val="004E7ECD"/>
    <w:rsid w:val="004F015E"/>
    <w:rsid w:val="004F08C5"/>
    <w:rsid w:val="004F0DB4"/>
    <w:rsid w:val="004F107A"/>
    <w:rsid w:val="004F1F16"/>
    <w:rsid w:val="004F2840"/>
    <w:rsid w:val="004F2C55"/>
    <w:rsid w:val="004F2F9C"/>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307"/>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0D1"/>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2336"/>
    <w:rsid w:val="00572393"/>
    <w:rsid w:val="00572F2E"/>
    <w:rsid w:val="005730A7"/>
    <w:rsid w:val="005730C7"/>
    <w:rsid w:val="00573430"/>
    <w:rsid w:val="00573A93"/>
    <w:rsid w:val="00573A9E"/>
    <w:rsid w:val="00574300"/>
    <w:rsid w:val="0057448F"/>
    <w:rsid w:val="00574944"/>
    <w:rsid w:val="00575891"/>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407"/>
    <w:rsid w:val="005D3565"/>
    <w:rsid w:val="005D3842"/>
    <w:rsid w:val="005D3BCF"/>
    <w:rsid w:val="005D49DA"/>
    <w:rsid w:val="005D4A2E"/>
    <w:rsid w:val="005D55D7"/>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429"/>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2F"/>
    <w:rsid w:val="006907DB"/>
    <w:rsid w:val="00690C7E"/>
    <w:rsid w:val="00690E94"/>
    <w:rsid w:val="00691E2A"/>
    <w:rsid w:val="00692561"/>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20"/>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78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5FF2"/>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17B10"/>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28F"/>
    <w:rsid w:val="0075175D"/>
    <w:rsid w:val="00752717"/>
    <w:rsid w:val="00752A90"/>
    <w:rsid w:val="00752F4E"/>
    <w:rsid w:val="0075321B"/>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0A9"/>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3F5"/>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31"/>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8CB"/>
    <w:rsid w:val="007B4124"/>
    <w:rsid w:val="007B4A5E"/>
    <w:rsid w:val="007B53A6"/>
    <w:rsid w:val="007B6C76"/>
    <w:rsid w:val="007B6DB6"/>
    <w:rsid w:val="007B742E"/>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063"/>
    <w:rsid w:val="007E3704"/>
    <w:rsid w:val="007E4062"/>
    <w:rsid w:val="007E4656"/>
    <w:rsid w:val="007E465F"/>
    <w:rsid w:val="007E54CB"/>
    <w:rsid w:val="007E5863"/>
    <w:rsid w:val="007E5BB1"/>
    <w:rsid w:val="007E6156"/>
    <w:rsid w:val="007E61D7"/>
    <w:rsid w:val="007E670B"/>
    <w:rsid w:val="007E755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5C80"/>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076"/>
    <w:rsid w:val="008452FD"/>
    <w:rsid w:val="00846AE6"/>
    <w:rsid w:val="00846B68"/>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0B4"/>
    <w:rsid w:val="0086724A"/>
    <w:rsid w:val="0086731A"/>
    <w:rsid w:val="00867BDE"/>
    <w:rsid w:val="00870172"/>
    <w:rsid w:val="008702AB"/>
    <w:rsid w:val="00870460"/>
    <w:rsid w:val="008706DF"/>
    <w:rsid w:val="00870932"/>
    <w:rsid w:val="00870E7D"/>
    <w:rsid w:val="008714D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56A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884"/>
    <w:rsid w:val="00896937"/>
    <w:rsid w:val="00896CB5"/>
    <w:rsid w:val="008976FE"/>
    <w:rsid w:val="00897C5A"/>
    <w:rsid w:val="008A1DD7"/>
    <w:rsid w:val="008A338F"/>
    <w:rsid w:val="008A36E4"/>
    <w:rsid w:val="008A4146"/>
    <w:rsid w:val="008A416F"/>
    <w:rsid w:val="008A4614"/>
    <w:rsid w:val="008A5008"/>
    <w:rsid w:val="008A5258"/>
    <w:rsid w:val="008A593F"/>
    <w:rsid w:val="008A66DC"/>
    <w:rsid w:val="008A7340"/>
    <w:rsid w:val="008B016F"/>
    <w:rsid w:val="008B0564"/>
    <w:rsid w:val="008B0916"/>
    <w:rsid w:val="008B171F"/>
    <w:rsid w:val="008B275C"/>
    <w:rsid w:val="008B2E79"/>
    <w:rsid w:val="008B388F"/>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C9E"/>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397"/>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702"/>
    <w:rsid w:val="00915849"/>
    <w:rsid w:val="009159A4"/>
    <w:rsid w:val="00915B81"/>
    <w:rsid w:val="00916DD1"/>
    <w:rsid w:val="009175DF"/>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5B35"/>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ADD"/>
    <w:rsid w:val="00983AFA"/>
    <w:rsid w:val="009841A0"/>
    <w:rsid w:val="00984E48"/>
    <w:rsid w:val="00985CEC"/>
    <w:rsid w:val="00985EF7"/>
    <w:rsid w:val="009864B1"/>
    <w:rsid w:val="00986573"/>
    <w:rsid w:val="00986BBB"/>
    <w:rsid w:val="009873C5"/>
    <w:rsid w:val="009874E8"/>
    <w:rsid w:val="0098792D"/>
    <w:rsid w:val="00987F01"/>
    <w:rsid w:val="009901D2"/>
    <w:rsid w:val="00990D45"/>
    <w:rsid w:val="00991C38"/>
    <w:rsid w:val="0099279D"/>
    <w:rsid w:val="00992A71"/>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A0"/>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5A46"/>
    <w:rsid w:val="009C60ED"/>
    <w:rsid w:val="009C6335"/>
    <w:rsid w:val="009C73D2"/>
    <w:rsid w:val="009D0220"/>
    <w:rsid w:val="009D122C"/>
    <w:rsid w:val="009D14D0"/>
    <w:rsid w:val="009D240A"/>
    <w:rsid w:val="009D444F"/>
    <w:rsid w:val="009D4A84"/>
    <w:rsid w:val="009D5192"/>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A6C"/>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0EA"/>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28FB"/>
    <w:rsid w:val="00A531E0"/>
    <w:rsid w:val="00A5359F"/>
    <w:rsid w:val="00A53947"/>
    <w:rsid w:val="00A539D1"/>
    <w:rsid w:val="00A53A07"/>
    <w:rsid w:val="00A53CB5"/>
    <w:rsid w:val="00A54415"/>
    <w:rsid w:val="00A54471"/>
    <w:rsid w:val="00A54F4E"/>
    <w:rsid w:val="00A55873"/>
    <w:rsid w:val="00A5592F"/>
    <w:rsid w:val="00A55D1A"/>
    <w:rsid w:val="00A55D30"/>
    <w:rsid w:val="00A57834"/>
    <w:rsid w:val="00A578CE"/>
    <w:rsid w:val="00A60A02"/>
    <w:rsid w:val="00A60EDB"/>
    <w:rsid w:val="00A612D1"/>
    <w:rsid w:val="00A6147B"/>
    <w:rsid w:val="00A630DE"/>
    <w:rsid w:val="00A6316D"/>
    <w:rsid w:val="00A63519"/>
    <w:rsid w:val="00A63841"/>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557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40C"/>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263"/>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6ADD"/>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641"/>
    <w:rsid w:val="00B204FF"/>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4D7"/>
    <w:rsid w:val="00B42793"/>
    <w:rsid w:val="00B42877"/>
    <w:rsid w:val="00B44A37"/>
    <w:rsid w:val="00B45355"/>
    <w:rsid w:val="00B46640"/>
    <w:rsid w:val="00B46916"/>
    <w:rsid w:val="00B473E3"/>
    <w:rsid w:val="00B50D62"/>
    <w:rsid w:val="00B51741"/>
    <w:rsid w:val="00B5213A"/>
    <w:rsid w:val="00B5342F"/>
    <w:rsid w:val="00B53D99"/>
    <w:rsid w:val="00B54668"/>
    <w:rsid w:val="00B54D86"/>
    <w:rsid w:val="00B54FEC"/>
    <w:rsid w:val="00B55201"/>
    <w:rsid w:val="00B55771"/>
    <w:rsid w:val="00B559CA"/>
    <w:rsid w:val="00B55CF0"/>
    <w:rsid w:val="00B55F41"/>
    <w:rsid w:val="00B56309"/>
    <w:rsid w:val="00B56A74"/>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359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B3"/>
    <w:rsid w:val="00BA4DC5"/>
    <w:rsid w:val="00BA4F15"/>
    <w:rsid w:val="00BA589D"/>
    <w:rsid w:val="00BA711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B7F2C"/>
    <w:rsid w:val="00BC0A46"/>
    <w:rsid w:val="00BC0DF0"/>
    <w:rsid w:val="00BC1BBE"/>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2E9"/>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1BB"/>
    <w:rsid w:val="00C123C3"/>
    <w:rsid w:val="00C1241F"/>
    <w:rsid w:val="00C12741"/>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244"/>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37E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92"/>
    <w:rsid w:val="00C452CD"/>
    <w:rsid w:val="00C456D7"/>
    <w:rsid w:val="00C46A3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074"/>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7DF"/>
    <w:rsid w:val="00C95A1F"/>
    <w:rsid w:val="00C962CB"/>
    <w:rsid w:val="00C96ED5"/>
    <w:rsid w:val="00C96EE9"/>
    <w:rsid w:val="00C96F79"/>
    <w:rsid w:val="00C97A0B"/>
    <w:rsid w:val="00CA02E6"/>
    <w:rsid w:val="00CA0712"/>
    <w:rsid w:val="00CA0CE3"/>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24A"/>
    <w:rsid w:val="00CC6E7A"/>
    <w:rsid w:val="00CD003E"/>
    <w:rsid w:val="00CD005E"/>
    <w:rsid w:val="00CD177D"/>
    <w:rsid w:val="00CD259E"/>
    <w:rsid w:val="00CD2AD8"/>
    <w:rsid w:val="00CD35E6"/>
    <w:rsid w:val="00CD376A"/>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75E7"/>
    <w:rsid w:val="00D00042"/>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1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48F"/>
    <w:rsid w:val="00D574BF"/>
    <w:rsid w:val="00D5790C"/>
    <w:rsid w:val="00D60BA3"/>
    <w:rsid w:val="00D6196C"/>
    <w:rsid w:val="00D61E61"/>
    <w:rsid w:val="00D62439"/>
    <w:rsid w:val="00D62D0A"/>
    <w:rsid w:val="00D63597"/>
    <w:rsid w:val="00D6443E"/>
    <w:rsid w:val="00D64472"/>
    <w:rsid w:val="00D65252"/>
    <w:rsid w:val="00D653DA"/>
    <w:rsid w:val="00D655F5"/>
    <w:rsid w:val="00D66089"/>
    <w:rsid w:val="00D70107"/>
    <w:rsid w:val="00D701D6"/>
    <w:rsid w:val="00D70B9C"/>
    <w:rsid w:val="00D7181F"/>
    <w:rsid w:val="00D71FCC"/>
    <w:rsid w:val="00D72111"/>
    <w:rsid w:val="00D72D63"/>
    <w:rsid w:val="00D7334A"/>
    <w:rsid w:val="00D74499"/>
    <w:rsid w:val="00D745B1"/>
    <w:rsid w:val="00D74C1B"/>
    <w:rsid w:val="00D75B47"/>
    <w:rsid w:val="00D76220"/>
    <w:rsid w:val="00D764D3"/>
    <w:rsid w:val="00D774F7"/>
    <w:rsid w:val="00D77B7B"/>
    <w:rsid w:val="00D77F62"/>
    <w:rsid w:val="00D80274"/>
    <w:rsid w:val="00D8028B"/>
    <w:rsid w:val="00D81603"/>
    <w:rsid w:val="00D819D5"/>
    <w:rsid w:val="00D819F7"/>
    <w:rsid w:val="00D81A8C"/>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749"/>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0733"/>
    <w:rsid w:val="00DF11BA"/>
    <w:rsid w:val="00DF1469"/>
    <w:rsid w:val="00DF192B"/>
    <w:rsid w:val="00DF247E"/>
    <w:rsid w:val="00DF2800"/>
    <w:rsid w:val="00DF3183"/>
    <w:rsid w:val="00DF34FE"/>
    <w:rsid w:val="00DF4D29"/>
    <w:rsid w:val="00DF4EB5"/>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587"/>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8C"/>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2C7C"/>
    <w:rsid w:val="00E7338E"/>
    <w:rsid w:val="00E73EAD"/>
    <w:rsid w:val="00E74212"/>
    <w:rsid w:val="00E744E6"/>
    <w:rsid w:val="00E748A8"/>
    <w:rsid w:val="00E74DCB"/>
    <w:rsid w:val="00E7679C"/>
    <w:rsid w:val="00E769F7"/>
    <w:rsid w:val="00E76A94"/>
    <w:rsid w:val="00E76DAC"/>
    <w:rsid w:val="00E7723E"/>
    <w:rsid w:val="00E779A7"/>
    <w:rsid w:val="00E77EDE"/>
    <w:rsid w:val="00E805E0"/>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2D4"/>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2DC"/>
    <w:rsid w:val="00EC1585"/>
    <w:rsid w:val="00EC1BA5"/>
    <w:rsid w:val="00EC1E9A"/>
    <w:rsid w:val="00EC2192"/>
    <w:rsid w:val="00EC350C"/>
    <w:rsid w:val="00EC3724"/>
    <w:rsid w:val="00EC43ED"/>
    <w:rsid w:val="00EC5328"/>
    <w:rsid w:val="00EC55BB"/>
    <w:rsid w:val="00EC5AB8"/>
    <w:rsid w:val="00EC5CDC"/>
    <w:rsid w:val="00EC5E19"/>
    <w:rsid w:val="00EC67C5"/>
    <w:rsid w:val="00EC71DA"/>
    <w:rsid w:val="00EC75AE"/>
    <w:rsid w:val="00EC7D39"/>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D7CC2"/>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4A36"/>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857"/>
    <w:rsid w:val="00F27AF8"/>
    <w:rsid w:val="00F27B45"/>
    <w:rsid w:val="00F27DFB"/>
    <w:rsid w:val="00F306D6"/>
    <w:rsid w:val="00F3182D"/>
    <w:rsid w:val="00F320B0"/>
    <w:rsid w:val="00F326B2"/>
    <w:rsid w:val="00F32B07"/>
    <w:rsid w:val="00F357EE"/>
    <w:rsid w:val="00F360DA"/>
    <w:rsid w:val="00F360E9"/>
    <w:rsid w:val="00F36C19"/>
    <w:rsid w:val="00F41DEF"/>
    <w:rsid w:val="00F429B6"/>
    <w:rsid w:val="00F42DFF"/>
    <w:rsid w:val="00F436DB"/>
    <w:rsid w:val="00F44F4F"/>
    <w:rsid w:val="00F45040"/>
    <w:rsid w:val="00F45117"/>
    <w:rsid w:val="00F45732"/>
    <w:rsid w:val="00F45B7D"/>
    <w:rsid w:val="00F4721B"/>
    <w:rsid w:val="00F4767F"/>
    <w:rsid w:val="00F47F85"/>
    <w:rsid w:val="00F505D7"/>
    <w:rsid w:val="00F50A14"/>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366F"/>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E8B"/>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9AF"/>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6D93"/>
    <w:rsid w:val="00FD0411"/>
    <w:rsid w:val="00FD06C1"/>
    <w:rsid w:val="00FD0A05"/>
    <w:rsid w:val="00FD175D"/>
    <w:rsid w:val="00FD23DF"/>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BED"/>
    <w:rsid w:val="00FE7C7C"/>
    <w:rsid w:val="00FF076B"/>
    <w:rsid w:val="00FF16F2"/>
    <w:rsid w:val="00FF201A"/>
    <w:rsid w:val="00FF2CDC"/>
    <w:rsid w:val="00FF450D"/>
    <w:rsid w:val="00FF453D"/>
    <w:rsid w:val="00FF50A6"/>
    <w:rsid w:val="00FF5B20"/>
    <w:rsid w:val="00FF5DF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28B685B0-9C2E-4BEB-9F68-6F084E57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38CB"/>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B38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8C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D471DD"/>
    <w:rPr>
      <w:rFonts w:ascii="Calibri" w:eastAsia="Calibri" w:hAnsi="Calibri"/>
      <w:sz w:val="22"/>
      <w:szCs w:val="22"/>
      <w:lang w:val="en-GB" w:eastAsia="en-US"/>
    </w:rPr>
  </w:style>
  <w:style w:type="paragraph" w:styleId="BodyText">
    <w:name w:val="Body Text"/>
    <w:basedOn w:val="Normal"/>
    <w:link w:val="BodyTextChar"/>
    <w:rsid w:val="00896884"/>
    <w:pPr>
      <w:spacing w:after="120"/>
    </w:pPr>
  </w:style>
  <w:style w:type="character" w:customStyle="1" w:styleId="BodyTextChar">
    <w:name w:val="Body Text Char"/>
    <w:link w:val="BodyText"/>
    <w:rsid w:val="00896884"/>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5614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0782621">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2392002">
      <w:bodyDiv w:val="1"/>
      <w:marLeft w:val="0"/>
      <w:marRight w:val="0"/>
      <w:marTop w:val="0"/>
      <w:marBottom w:val="0"/>
      <w:divBdr>
        <w:top w:val="none" w:sz="0" w:space="0" w:color="auto"/>
        <w:left w:val="none" w:sz="0" w:space="0" w:color="auto"/>
        <w:bottom w:val="none" w:sz="0" w:space="0" w:color="auto"/>
        <w:right w:val="none" w:sz="0" w:space="0" w:color="auto"/>
      </w:divBdr>
      <w:divsChild>
        <w:div w:id="104080950">
          <w:marLeft w:val="1800"/>
          <w:marRight w:val="0"/>
          <w:marTop w:val="0"/>
          <w:marBottom w:val="0"/>
          <w:divBdr>
            <w:top w:val="none" w:sz="0" w:space="0" w:color="auto"/>
            <w:left w:val="none" w:sz="0" w:space="0" w:color="auto"/>
            <w:bottom w:val="none" w:sz="0" w:space="0" w:color="auto"/>
            <w:right w:val="none" w:sz="0" w:space="0" w:color="auto"/>
          </w:divBdr>
        </w:div>
        <w:div w:id="193080077">
          <w:marLeft w:val="1800"/>
          <w:marRight w:val="0"/>
          <w:marTop w:val="0"/>
          <w:marBottom w:val="0"/>
          <w:divBdr>
            <w:top w:val="none" w:sz="0" w:space="0" w:color="auto"/>
            <w:left w:val="none" w:sz="0" w:space="0" w:color="auto"/>
            <w:bottom w:val="none" w:sz="0" w:space="0" w:color="auto"/>
            <w:right w:val="none" w:sz="0" w:space="0" w:color="auto"/>
          </w:divBdr>
        </w:div>
        <w:div w:id="280766158">
          <w:marLeft w:val="1166"/>
          <w:marRight w:val="0"/>
          <w:marTop w:val="0"/>
          <w:marBottom w:val="0"/>
          <w:divBdr>
            <w:top w:val="none" w:sz="0" w:space="0" w:color="auto"/>
            <w:left w:val="none" w:sz="0" w:space="0" w:color="auto"/>
            <w:bottom w:val="none" w:sz="0" w:space="0" w:color="auto"/>
            <w:right w:val="none" w:sz="0" w:space="0" w:color="auto"/>
          </w:divBdr>
        </w:div>
        <w:div w:id="392436665">
          <w:marLeft w:val="1800"/>
          <w:marRight w:val="0"/>
          <w:marTop w:val="0"/>
          <w:marBottom w:val="0"/>
          <w:divBdr>
            <w:top w:val="none" w:sz="0" w:space="0" w:color="auto"/>
            <w:left w:val="none" w:sz="0" w:space="0" w:color="auto"/>
            <w:bottom w:val="none" w:sz="0" w:space="0" w:color="auto"/>
            <w:right w:val="none" w:sz="0" w:space="0" w:color="auto"/>
          </w:divBdr>
        </w:div>
        <w:div w:id="418140950">
          <w:marLeft w:val="1166"/>
          <w:marRight w:val="0"/>
          <w:marTop w:val="0"/>
          <w:marBottom w:val="0"/>
          <w:divBdr>
            <w:top w:val="none" w:sz="0" w:space="0" w:color="auto"/>
            <w:left w:val="none" w:sz="0" w:space="0" w:color="auto"/>
            <w:bottom w:val="none" w:sz="0" w:space="0" w:color="auto"/>
            <w:right w:val="none" w:sz="0" w:space="0" w:color="auto"/>
          </w:divBdr>
        </w:div>
        <w:div w:id="532350896">
          <w:marLeft w:val="1166"/>
          <w:marRight w:val="0"/>
          <w:marTop w:val="0"/>
          <w:marBottom w:val="0"/>
          <w:divBdr>
            <w:top w:val="none" w:sz="0" w:space="0" w:color="auto"/>
            <w:left w:val="none" w:sz="0" w:space="0" w:color="auto"/>
            <w:bottom w:val="none" w:sz="0" w:space="0" w:color="auto"/>
            <w:right w:val="none" w:sz="0" w:space="0" w:color="auto"/>
          </w:divBdr>
        </w:div>
        <w:div w:id="1517619245">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3526755">
      <w:bodyDiv w:val="1"/>
      <w:marLeft w:val="0"/>
      <w:marRight w:val="0"/>
      <w:marTop w:val="0"/>
      <w:marBottom w:val="0"/>
      <w:divBdr>
        <w:top w:val="none" w:sz="0" w:space="0" w:color="auto"/>
        <w:left w:val="none" w:sz="0" w:space="0" w:color="auto"/>
        <w:bottom w:val="none" w:sz="0" w:space="0" w:color="auto"/>
        <w:right w:val="none" w:sz="0" w:space="0" w:color="auto"/>
      </w:divBdr>
      <w:divsChild>
        <w:div w:id="498886486">
          <w:marLeft w:val="1800"/>
          <w:marRight w:val="0"/>
          <w:marTop w:val="0"/>
          <w:marBottom w:val="0"/>
          <w:divBdr>
            <w:top w:val="none" w:sz="0" w:space="0" w:color="auto"/>
            <w:left w:val="none" w:sz="0" w:space="0" w:color="auto"/>
            <w:bottom w:val="none" w:sz="0" w:space="0" w:color="auto"/>
            <w:right w:val="none" w:sz="0" w:space="0" w:color="auto"/>
          </w:divBdr>
        </w:div>
        <w:div w:id="573508846">
          <w:marLeft w:val="1166"/>
          <w:marRight w:val="0"/>
          <w:marTop w:val="0"/>
          <w:marBottom w:val="0"/>
          <w:divBdr>
            <w:top w:val="none" w:sz="0" w:space="0" w:color="auto"/>
            <w:left w:val="none" w:sz="0" w:space="0" w:color="auto"/>
            <w:bottom w:val="none" w:sz="0" w:space="0" w:color="auto"/>
            <w:right w:val="none" w:sz="0" w:space="0" w:color="auto"/>
          </w:divBdr>
        </w:div>
        <w:div w:id="1060979910">
          <w:marLeft w:val="1800"/>
          <w:marRight w:val="0"/>
          <w:marTop w:val="0"/>
          <w:marBottom w:val="0"/>
          <w:divBdr>
            <w:top w:val="none" w:sz="0" w:space="0" w:color="auto"/>
            <w:left w:val="none" w:sz="0" w:space="0" w:color="auto"/>
            <w:bottom w:val="none" w:sz="0" w:space="0" w:color="auto"/>
            <w:right w:val="none" w:sz="0" w:space="0" w:color="auto"/>
          </w:divBdr>
        </w:div>
        <w:div w:id="1184826403">
          <w:marLeft w:val="1800"/>
          <w:marRight w:val="0"/>
          <w:marTop w:val="0"/>
          <w:marBottom w:val="0"/>
          <w:divBdr>
            <w:top w:val="none" w:sz="0" w:space="0" w:color="auto"/>
            <w:left w:val="none" w:sz="0" w:space="0" w:color="auto"/>
            <w:bottom w:val="none" w:sz="0" w:space="0" w:color="auto"/>
            <w:right w:val="none" w:sz="0" w:space="0" w:color="auto"/>
          </w:divBdr>
        </w:div>
        <w:div w:id="1230654086">
          <w:marLeft w:val="1166"/>
          <w:marRight w:val="0"/>
          <w:marTop w:val="0"/>
          <w:marBottom w:val="0"/>
          <w:divBdr>
            <w:top w:val="none" w:sz="0" w:space="0" w:color="auto"/>
            <w:left w:val="none" w:sz="0" w:space="0" w:color="auto"/>
            <w:bottom w:val="none" w:sz="0" w:space="0" w:color="auto"/>
            <w:right w:val="none" w:sz="0" w:space="0" w:color="auto"/>
          </w:divBdr>
        </w:div>
        <w:div w:id="1437410982">
          <w:marLeft w:val="1166"/>
          <w:marRight w:val="0"/>
          <w:marTop w:val="0"/>
          <w:marBottom w:val="0"/>
          <w:divBdr>
            <w:top w:val="none" w:sz="0" w:space="0" w:color="auto"/>
            <w:left w:val="none" w:sz="0" w:space="0" w:color="auto"/>
            <w:bottom w:val="none" w:sz="0" w:space="0" w:color="auto"/>
            <w:right w:val="none" w:sz="0" w:space="0" w:color="auto"/>
          </w:divBdr>
        </w:div>
        <w:div w:id="1581140468">
          <w:marLeft w:val="1166"/>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9138584">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5AIRPNAIUNRU-1830940522-1854</_dlc_DocId>
    <_dlc_DocIdUrl xmlns="71c5aaf6-e6ce-465b-b873-5148d2a4c105">
      <Url>https://nokia.sharepoint.com/sites/c5g/5gradio/_layouts/15/DocIdRedir.aspx?ID=5AIRPNAIUNRU-1830940522-1854</Url>
      <Description>5AIRPNAIUNRU-1830940522-1854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A74266C-9688-4326-91C9-941497473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72E72-E2BD-4DB0-831C-AE4637E2CD5A}">
  <ds:schemaRefs>
    <ds:schemaRef ds:uri="http://schemas.microsoft.com/sharepoint/v3/contenttype/forms"/>
  </ds:schemaRefs>
</ds:datastoreItem>
</file>

<file path=customXml/itemProps3.xml><?xml version="1.0" encoding="utf-8"?>
<ds:datastoreItem xmlns:ds="http://schemas.openxmlformats.org/officeDocument/2006/customXml" ds:itemID="{4DA10648-3A8E-41DD-94A7-2160DCA8C7D9}">
  <ds:schemaRefs>
    <ds:schemaRef ds:uri="http://schemas.microsoft.com/sharepoint/events"/>
  </ds:schemaRefs>
</ds:datastoreItem>
</file>

<file path=customXml/itemProps4.xml><?xml version="1.0" encoding="utf-8"?>
<ds:datastoreItem xmlns:ds="http://schemas.openxmlformats.org/officeDocument/2006/customXml" ds:itemID="{04892D93-1362-487B-A34D-DD901CCD5CC6}">
  <ds:schemaRefs>
    <ds:schemaRef ds:uri="http://schemas.microsoft.com/office/2006/metadata/longProperties"/>
  </ds:schemaRefs>
</ds:datastoreItem>
</file>

<file path=customXml/itemProps5.xml><?xml version="1.0" encoding="utf-8"?>
<ds:datastoreItem xmlns:ds="http://schemas.openxmlformats.org/officeDocument/2006/customXml" ds:itemID="{6493D91A-346A-476C-9F6B-E0823F64526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EEE354B-88F1-4AEF-BEC2-073CFF5E8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2135</Words>
  <Characters>12171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4</cp:revision>
  <dcterms:created xsi:type="dcterms:W3CDTF">2017-09-11T07:12:00Z</dcterms:created>
  <dcterms:modified xsi:type="dcterms:W3CDTF">2017-09-11T16:52:00Z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5AIRPNAIUNRU-1830940522-1830</vt:lpwstr>
  </property>
  <property fmtid="{D5CDD505-2E9C-101B-9397-08002B2CF9AE}" pid="7" name="_dlc_DocIdItemGuid">
    <vt:lpwstr>05e92dcc-5dd9-4d82-bf88-2a7f329e4983</vt:lpwstr>
  </property>
  <property fmtid="{D5CDD505-2E9C-101B-9397-08002B2CF9AE}" pid="8" name="_dlc_DocIdUrl">
    <vt:lpwstr>https://nokia.sharepoint.com/sites/c5g/5gradio/_layouts/15/DocIdRedir.aspx?ID=5AIRPNAIUNRU-1830940522-1830, 5AIRPNAIUNRU-1830940522-1830</vt:lpwstr>
  </property>
  <property fmtid="{D5CDD505-2E9C-101B-9397-08002B2CF9AE}" pid="9" name="ContentTypeId">
    <vt:lpwstr>0x010100F72F5225BF40E546BD513D0BB4BDDD33</vt:lpwstr>
  </property>
</Properties>
</file>