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9FB5C" w14:textId="2E930C5E" w:rsidR="00F24132" w:rsidRPr="00CA26CE" w:rsidRDefault="005A73E5" w:rsidP="00F24132">
      <w:pPr>
        <w:pStyle w:val="Header"/>
        <w:rPr>
          <w:bCs/>
          <w:noProof w:val="0"/>
          <w:sz w:val="24"/>
          <w:lang w:val="en-GB"/>
        </w:rPr>
      </w:pPr>
      <w:r>
        <w:rPr>
          <w:sz w:val="24"/>
          <w:lang w:val="de-DE"/>
        </w:rPr>
        <w:t>3GPP TSG-RAN WG1</w:t>
      </w:r>
      <w:r>
        <w:rPr>
          <w:bCs/>
          <w:sz w:val="24"/>
          <w:lang w:val="de-DE"/>
        </w:rPr>
        <w:t>#NR</w:t>
      </w:r>
      <w:r>
        <w:rPr>
          <w:bCs/>
          <w:sz w:val="24"/>
          <w:lang w:val="de-DE"/>
        </w:rPr>
        <w:tab/>
      </w:r>
      <w:r w:rsidR="0091796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F24132">
        <w:rPr>
          <w:bCs/>
          <w:noProof w:val="0"/>
          <w:sz w:val="24"/>
          <w:lang w:val="en-GB"/>
        </w:rPr>
        <w:tab/>
      </w:r>
      <w:r w:rsidR="00917962">
        <w:rPr>
          <w:bCs/>
          <w:noProof w:val="0"/>
          <w:sz w:val="24"/>
          <w:lang w:val="en-GB"/>
        </w:rPr>
        <w:tab/>
      </w:r>
      <w:r>
        <w:rPr>
          <w:bCs/>
          <w:noProof w:val="0"/>
          <w:sz w:val="24"/>
          <w:lang w:val="en-GB"/>
        </w:rPr>
        <w:tab/>
      </w:r>
      <w:r>
        <w:rPr>
          <w:bCs/>
          <w:noProof w:val="0"/>
          <w:sz w:val="24"/>
          <w:lang w:val="en-GB"/>
        </w:rPr>
        <w:tab/>
      </w:r>
      <w:r>
        <w:rPr>
          <w:bCs/>
          <w:noProof w:val="0"/>
          <w:sz w:val="24"/>
          <w:lang w:val="en-GB"/>
        </w:rPr>
        <w:tab/>
      </w:r>
      <w:r w:rsidR="00F24132" w:rsidRPr="00CA26CE">
        <w:rPr>
          <w:bCs/>
          <w:noProof w:val="0"/>
          <w:sz w:val="24"/>
          <w:lang w:val="en-GB"/>
        </w:rPr>
        <w:t>R1-</w:t>
      </w:r>
      <w:r w:rsidR="007846A3" w:rsidRPr="00CA26CE">
        <w:rPr>
          <w:bCs/>
          <w:noProof w:val="0"/>
          <w:sz w:val="24"/>
          <w:lang w:val="en-GB"/>
        </w:rPr>
        <w:t>1</w:t>
      </w:r>
      <w:r w:rsidR="007846A3">
        <w:rPr>
          <w:bCs/>
          <w:noProof w:val="0"/>
          <w:sz w:val="24"/>
          <w:lang w:val="en-GB"/>
        </w:rPr>
        <w:t>7</w:t>
      </w:r>
      <w:r w:rsidR="007846A3">
        <w:rPr>
          <w:bCs/>
          <w:noProof w:val="0"/>
          <w:sz w:val="24"/>
          <w:lang w:val="en-GB"/>
        </w:rPr>
        <w:t>01051</w:t>
      </w:r>
    </w:p>
    <w:p w14:paraId="24FCA681" w14:textId="77777777" w:rsidR="00F24132" w:rsidRPr="00006BF3" w:rsidRDefault="003D0B90" w:rsidP="00F24132">
      <w:pPr>
        <w:pStyle w:val="Header"/>
        <w:rPr>
          <w:bCs/>
          <w:noProof w:val="0"/>
          <w:sz w:val="24"/>
        </w:rPr>
      </w:pPr>
      <w:r>
        <w:rPr>
          <w:bCs/>
          <w:noProof w:val="0"/>
          <w:sz w:val="24"/>
        </w:rPr>
        <w:t>Spokane, USA,</w:t>
      </w:r>
      <w:r w:rsidR="00440FBC" w:rsidRPr="00440FBC">
        <w:rPr>
          <w:bCs/>
          <w:noProof w:val="0"/>
          <w:sz w:val="24"/>
        </w:rPr>
        <w:t xml:space="preserve"> </w:t>
      </w:r>
      <w:r>
        <w:rPr>
          <w:bCs/>
          <w:noProof w:val="0"/>
          <w:sz w:val="24"/>
        </w:rPr>
        <w:t>January 16-20</w:t>
      </w:r>
      <w:r w:rsidR="00440FBC" w:rsidRPr="00440FBC">
        <w:rPr>
          <w:bCs/>
          <w:noProof w:val="0"/>
          <w:sz w:val="24"/>
        </w:rPr>
        <w:t>, 2017</w:t>
      </w:r>
    </w:p>
    <w:p w14:paraId="0B8C718B" w14:textId="77777777" w:rsidR="000637E7" w:rsidRPr="00006BF3" w:rsidRDefault="000637E7" w:rsidP="000637E7">
      <w:pPr>
        <w:pStyle w:val="Header"/>
        <w:rPr>
          <w:bCs/>
          <w:noProof w:val="0"/>
          <w:sz w:val="24"/>
          <w:lang w:eastAsia="ja-JP"/>
        </w:rPr>
      </w:pPr>
    </w:p>
    <w:p w14:paraId="25EC8A55" w14:textId="77777777" w:rsidR="000637E7" w:rsidRPr="00502A90" w:rsidRDefault="00440FBC" w:rsidP="000637E7">
      <w:pPr>
        <w:pStyle w:val="CRCoverPage"/>
        <w:rPr>
          <w:rFonts w:cs="Arial"/>
          <w:b/>
          <w:bCs/>
          <w:sz w:val="24"/>
          <w:lang w:val="en-US" w:eastAsia="ja-JP"/>
        </w:rPr>
      </w:pPr>
      <w:r w:rsidRPr="00440FBC">
        <w:rPr>
          <w:rFonts w:cs="Arial"/>
          <w:b/>
          <w:bCs/>
          <w:sz w:val="24"/>
          <w:lang w:val="en-US"/>
        </w:rPr>
        <w:t>Agenda item:</w:t>
      </w:r>
      <w:r w:rsidRPr="00440FBC">
        <w:rPr>
          <w:rFonts w:cs="Arial"/>
          <w:b/>
          <w:bCs/>
          <w:sz w:val="24"/>
          <w:lang w:val="en-US"/>
        </w:rPr>
        <w:tab/>
      </w:r>
      <w:r w:rsidRPr="00440FBC">
        <w:rPr>
          <w:rFonts w:cs="Arial"/>
          <w:b/>
          <w:bCs/>
          <w:sz w:val="24"/>
          <w:lang w:val="en-US"/>
        </w:rPr>
        <w:tab/>
      </w:r>
      <w:r w:rsidR="006A4FF7">
        <w:rPr>
          <w:rFonts w:cs="Arial"/>
          <w:b/>
          <w:bCs/>
          <w:sz w:val="24"/>
          <w:lang w:val="en-US"/>
        </w:rPr>
        <w:t>5</w:t>
      </w:r>
      <w:r w:rsidRPr="00440FBC">
        <w:rPr>
          <w:rFonts w:cs="Arial"/>
          <w:b/>
          <w:bCs/>
          <w:sz w:val="24"/>
          <w:lang w:val="en-US"/>
        </w:rPr>
        <w:t>.</w:t>
      </w:r>
      <w:r w:rsidR="006A4FF7">
        <w:rPr>
          <w:rFonts w:cs="Arial"/>
          <w:b/>
          <w:bCs/>
          <w:sz w:val="24"/>
          <w:lang w:val="en-US"/>
        </w:rPr>
        <w:t>1</w:t>
      </w:r>
      <w:r w:rsidRPr="00440FBC">
        <w:rPr>
          <w:rFonts w:cs="Arial"/>
          <w:b/>
          <w:bCs/>
          <w:sz w:val="24"/>
          <w:lang w:val="en-US"/>
        </w:rPr>
        <w:t>.</w:t>
      </w:r>
      <w:r w:rsidR="006A4FF7">
        <w:rPr>
          <w:rFonts w:cs="Arial"/>
          <w:b/>
          <w:bCs/>
          <w:sz w:val="24"/>
          <w:lang w:val="en-US"/>
        </w:rPr>
        <w:t>4</w:t>
      </w:r>
    </w:p>
    <w:p w14:paraId="7E83B87D"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1E499CE8" w14:textId="4AFE446F"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DA2F9E">
        <w:rPr>
          <w:rFonts w:ascii="Arial" w:hAnsi="Arial" w:cs="Arial"/>
          <w:b/>
          <w:bCs/>
          <w:sz w:val="24"/>
        </w:rPr>
        <w:t xml:space="preserve">On </w:t>
      </w:r>
      <w:r w:rsidR="00F70A64">
        <w:rPr>
          <w:rFonts w:ascii="Arial" w:hAnsi="Arial" w:cs="Arial"/>
          <w:b/>
          <w:bCs/>
          <w:sz w:val="24"/>
        </w:rPr>
        <w:t xml:space="preserve">the mini-slot </w:t>
      </w:r>
      <w:r w:rsidR="00917962">
        <w:rPr>
          <w:rFonts w:ascii="Arial" w:hAnsi="Arial" w:cs="Arial"/>
          <w:b/>
          <w:bCs/>
          <w:sz w:val="24"/>
        </w:rPr>
        <w:t>scenarios</w:t>
      </w:r>
      <w:r w:rsidR="00B95247">
        <w:rPr>
          <w:rFonts w:ascii="Arial" w:hAnsi="Arial" w:cs="Arial"/>
          <w:b/>
          <w:bCs/>
          <w:sz w:val="24"/>
        </w:rPr>
        <w:t xml:space="preserve"> in NR</w:t>
      </w:r>
    </w:p>
    <w:p w14:paraId="09152FC0"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0CD58676" w14:textId="77777777" w:rsidR="0034111C" w:rsidRPr="0016316A" w:rsidRDefault="0034111C">
      <w:pPr>
        <w:pStyle w:val="Heading1"/>
      </w:pPr>
      <w:r w:rsidRPr="0016316A">
        <w:t>1</w:t>
      </w:r>
      <w:r w:rsidRPr="0016316A">
        <w:tab/>
      </w:r>
      <w:r w:rsidR="00EE7FA7" w:rsidRPr="0016316A">
        <w:t>Introduction</w:t>
      </w:r>
    </w:p>
    <w:p w14:paraId="769408B2" w14:textId="77777777" w:rsidR="00341E60" w:rsidRDefault="002256D9" w:rsidP="00604B31">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281E9ED5" w14:textId="5723BEB1" w:rsidR="006427E0" w:rsidRPr="002E758C" w:rsidRDefault="006427E0" w:rsidP="006427E0">
      <w:pPr>
        <w:spacing w:after="120"/>
        <w:jc w:val="both"/>
        <w:rPr>
          <w:bCs/>
        </w:rPr>
      </w:pPr>
      <w:r>
        <w:rPr>
          <w:bCs/>
        </w:rPr>
        <w:t xml:space="preserve">This contribution relates </w:t>
      </w:r>
      <w:r w:rsidR="00D0038C">
        <w:rPr>
          <w:bCs/>
        </w:rPr>
        <w:t xml:space="preserve">to </w:t>
      </w:r>
      <w:r w:rsidR="00A72ABD">
        <w:rPr>
          <w:bCs/>
        </w:rPr>
        <w:t xml:space="preserve">anticipated </w:t>
      </w:r>
      <w:r w:rsidR="00D0038C">
        <w:rPr>
          <w:bCs/>
        </w:rPr>
        <w:t xml:space="preserve">mini-slot </w:t>
      </w:r>
      <w:r w:rsidR="00A72ABD">
        <w:rPr>
          <w:bCs/>
        </w:rPr>
        <w:t xml:space="preserve">usage </w:t>
      </w:r>
      <w:r w:rsidR="00D0038C">
        <w:rPr>
          <w:bCs/>
        </w:rPr>
        <w:t xml:space="preserve">scenarios in the new radio. </w:t>
      </w:r>
      <w:r>
        <w:rPr>
          <w:rFonts w:eastAsia="Malgun Gothic"/>
        </w:rPr>
        <w:t>In RAN1, the following agreements</w:t>
      </w:r>
      <w:r w:rsidR="00F24132">
        <w:rPr>
          <w:rFonts w:eastAsia="Malgun Gothic"/>
        </w:rPr>
        <w:t xml:space="preserve"> and working assumptions</w:t>
      </w:r>
      <w:r>
        <w:rPr>
          <w:rFonts w:eastAsia="Malgun Gothic"/>
        </w:rPr>
        <w:t xml:space="preserve"> related to </w:t>
      </w:r>
      <w:r w:rsidR="00F70A64">
        <w:rPr>
          <w:rFonts w:eastAsia="Malgun Gothic"/>
        </w:rPr>
        <w:t>mini-slot</w:t>
      </w:r>
      <w:r>
        <w:rPr>
          <w:rFonts w:eastAsia="Malgun Gothic"/>
        </w:rPr>
        <w:t xml:space="preserve"> </w:t>
      </w:r>
      <w:r w:rsidR="00D0038C">
        <w:rPr>
          <w:bCs/>
        </w:rPr>
        <w:t>have been</w:t>
      </w:r>
      <w:r>
        <w:rPr>
          <w:bCs/>
        </w:rPr>
        <w:t xml:space="preserve"> made</w:t>
      </w:r>
      <w:r w:rsidR="00D0038C">
        <w:rPr>
          <w:bCs/>
        </w:rPr>
        <w:t xml:space="preserve"> until now</w:t>
      </w:r>
      <w:r>
        <w:rPr>
          <w:rFonts w:eastAsia="Malgun Gothic"/>
        </w:rPr>
        <w:t>:</w:t>
      </w:r>
    </w:p>
    <w:p w14:paraId="39C0291F" w14:textId="78F90943" w:rsidR="006427E0" w:rsidRPr="00375420" w:rsidRDefault="006427E0" w:rsidP="006427E0">
      <w:pPr>
        <w:spacing w:after="0"/>
        <w:ind w:firstLine="284"/>
        <w:rPr>
          <w:rFonts w:eastAsia="MS Mincho"/>
          <w:sz w:val="18"/>
          <w:u w:val="single"/>
          <w:lang w:val="en-US" w:eastAsia="ja-JP"/>
        </w:rPr>
      </w:pPr>
      <w:r w:rsidRPr="000C1D59">
        <w:rPr>
          <w:rFonts w:eastAsia="MS Mincho" w:hint="eastAsia"/>
          <w:b/>
          <w:sz w:val="18"/>
          <w:highlight w:val="green"/>
          <w:u w:val="single"/>
          <w:lang w:val="en-US" w:eastAsia="ja-JP"/>
        </w:rPr>
        <w:t>Agreements:</w:t>
      </w:r>
      <w:r w:rsidR="00F24132" w:rsidRPr="00375420">
        <w:rPr>
          <w:rFonts w:eastAsia="MS Mincho"/>
          <w:b/>
          <w:sz w:val="18"/>
          <w:lang w:val="en-US" w:eastAsia="ja-JP"/>
        </w:rPr>
        <w:t xml:space="preserve"> </w:t>
      </w:r>
      <w:r w:rsidR="00F24132">
        <w:rPr>
          <w:rFonts w:eastAsia="MS Mincho"/>
          <w:sz w:val="18"/>
          <w:lang w:val="en-US" w:eastAsia="ja-JP"/>
        </w:rPr>
        <w:t>(RAN1</w:t>
      </w:r>
      <w:r w:rsidR="003473AD">
        <w:rPr>
          <w:rFonts w:eastAsia="MS Mincho"/>
          <w:sz w:val="18"/>
          <w:lang w:val="en-US" w:eastAsia="ja-JP"/>
        </w:rPr>
        <w:t xml:space="preserve"> </w:t>
      </w:r>
      <w:r w:rsidR="00F24132">
        <w:rPr>
          <w:rFonts w:eastAsia="MS Mincho"/>
          <w:sz w:val="18"/>
          <w:lang w:val="en-US" w:eastAsia="ja-JP"/>
        </w:rPr>
        <w:t>#86)</w:t>
      </w:r>
    </w:p>
    <w:p w14:paraId="1BF658A4" w14:textId="77777777" w:rsidR="000F24EC" w:rsidRPr="00917962" w:rsidRDefault="000F24EC" w:rsidP="00C856DE">
      <w:pPr>
        <w:numPr>
          <w:ilvl w:val="0"/>
          <w:numId w:val="2"/>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 xml:space="preserve">Followings are considered as starting points of NR frame structure at least within the CP overhead </w:t>
      </w:r>
    </w:p>
    <w:p w14:paraId="54B33EE7" w14:textId="77777777" w:rsidR="000F24EC" w:rsidRPr="00917962" w:rsidRDefault="000F24EC" w:rsidP="00C856DE">
      <w:pPr>
        <w:numPr>
          <w:ilvl w:val="1"/>
          <w:numId w:val="2"/>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Mini-slot</w:t>
      </w:r>
    </w:p>
    <w:p w14:paraId="7B810E03" w14:textId="77777777" w:rsidR="000F24EC" w:rsidRPr="00917962" w:rsidRDefault="000F24EC" w:rsidP="00C856DE">
      <w:pPr>
        <w:numPr>
          <w:ilvl w:val="2"/>
          <w:numId w:val="2"/>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Should at least support transmission shorter than y OFDM symbols in the numerology used for transmission</w:t>
      </w:r>
    </w:p>
    <w:p w14:paraId="21039116" w14:textId="77777777" w:rsidR="000F24EC" w:rsidRPr="00917962" w:rsidRDefault="000F24EC" w:rsidP="00C856DE">
      <w:pPr>
        <w:numPr>
          <w:ilvl w:val="2"/>
          <w:numId w:val="2"/>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May contain ctrl at the beginning and/or ctrl at the end</w:t>
      </w:r>
    </w:p>
    <w:p w14:paraId="20E1C68C" w14:textId="77777777" w:rsidR="000F24EC" w:rsidRPr="00917962" w:rsidRDefault="000F24EC" w:rsidP="00C856DE">
      <w:pPr>
        <w:numPr>
          <w:ilvl w:val="2"/>
          <w:numId w:val="2"/>
        </w:numPr>
        <w:overflowPunct/>
        <w:autoSpaceDE/>
        <w:autoSpaceDN/>
        <w:adjustRightInd/>
        <w:spacing w:after="0"/>
        <w:ind w:hanging="357"/>
        <w:textAlignment w:val="auto"/>
        <w:rPr>
          <w:rFonts w:eastAsia="MS Mincho"/>
          <w:i/>
          <w:sz w:val="18"/>
          <w:lang w:val="en-US" w:eastAsia="ja-JP"/>
        </w:rPr>
      </w:pPr>
      <w:r w:rsidRPr="00917962">
        <w:rPr>
          <w:rFonts w:eastAsia="MS Mincho"/>
          <w:i/>
          <w:sz w:val="18"/>
          <w:lang w:val="en-US" w:eastAsia="ja-JP"/>
        </w:rPr>
        <w:t>The smallest mini-slot is the smallest possible scheduling unit (FFS: smallest number of symbols)</w:t>
      </w:r>
    </w:p>
    <w:p w14:paraId="108A9C43" w14:textId="77777777" w:rsidR="000F24EC" w:rsidRPr="00917962" w:rsidRDefault="000F24EC" w:rsidP="00C856DE">
      <w:pPr>
        <w:numPr>
          <w:ilvl w:val="1"/>
          <w:numId w:val="2"/>
        </w:numPr>
        <w:overflowPunct/>
        <w:autoSpaceDE/>
        <w:autoSpaceDN/>
        <w:adjustRightInd/>
        <w:spacing w:after="0"/>
        <w:ind w:hanging="357"/>
        <w:jc w:val="both"/>
        <w:textAlignment w:val="auto"/>
        <w:rPr>
          <w:rFonts w:eastAsia="MS Mincho"/>
          <w:i/>
          <w:sz w:val="18"/>
          <w:lang w:val="en-US" w:eastAsia="ja-JP"/>
        </w:rPr>
      </w:pPr>
      <w:r w:rsidRPr="00917962">
        <w:rPr>
          <w:rFonts w:eastAsia="MS Mincho"/>
          <w:i/>
          <w:sz w:val="18"/>
          <w:lang w:val="en-US" w:eastAsia="ja-JP"/>
        </w:rPr>
        <w:t>Note: the names are for the purpose of discussion. Whether some terms can be merged or not is FFS</w:t>
      </w:r>
    </w:p>
    <w:p w14:paraId="3099810B" w14:textId="77777777" w:rsidR="00E27749" w:rsidRPr="00917962" w:rsidRDefault="000F24EC" w:rsidP="00C856DE">
      <w:pPr>
        <w:numPr>
          <w:ilvl w:val="1"/>
          <w:numId w:val="2"/>
        </w:numPr>
        <w:overflowPunct/>
        <w:autoSpaceDE/>
        <w:autoSpaceDN/>
        <w:adjustRightInd/>
        <w:spacing w:after="120"/>
        <w:jc w:val="both"/>
        <w:textAlignment w:val="auto"/>
        <w:rPr>
          <w:rFonts w:eastAsia="MS Mincho"/>
          <w:i/>
          <w:sz w:val="18"/>
          <w:lang w:val="en-US" w:eastAsia="ja-JP"/>
        </w:rPr>
      </w:pPr>
      <w:r w:rsidRPr="00917962">
        <w:rPr>
          <w:rFonts w:eastAsia="MS Mincho"/>
          <w:i/>
          <w:sz w:val="18"/>
          <w:lang w:val="en-US" w:eastAsia="ja-JP"/>
        </w:rPr>
        <w:t>FFS whether NR frame structure needs to support both slot and mini-slot or these can be merged</w:t>
      </w:r>
    </w:p>
    <w:p w14:paraId="0BF86083" w14:textId="77777777" w:rsidR="006E169B" w:rsidRPr="00375420" w:rsidRDefault="006E169B" w:rsidP="006E169B">
      <w:pPr>
        <w:spacing w:after="0"/>
        <w:jc w:val="both"/>
        <w:rPr>
          <w:bCs/>
          <w:sz w:val="4"/>
        </w:rPr>
      </w:pPr>
    </w:p>
    <w:p w14:paraId="529B2914" w14:textId="68FEBDB6" w:rsidR="00F24132" w:rsidRPr="00375420" w:rsidRDefault="00F24132" w:rsidP="00375420">
      <w:pPr>
        <w:spacing w:after="0"/>
        <w:ind w:firstLine="284"/>
        <w:rPr>
          <w:rFonts w:eastAsia="MS Mincho"/>
          <w:b/>
          <w:sz w:val="18"/>
          <w:u w:val="single"/>
          <w:lang w:val="en-US" w:eastAsia="ja-JP"/>
        </w:rPr>
      </w:pPr>
      <w:r w:rsidRPr="00375420">
        <w:rPr>
          <w:rFonts w:eastAsia="MS Mincho"/>
          <w:b/>
          <w:sz w:val="18"/>
          <w:highlight w:val="darkYellow"/>
          <w:u w:val="single"/>
          <w:lang w:val="en-US" w:eastAsia="ja-JP"/>
        </w:rPr>
        <w:t>Working assumptions:</w:t>
      </w:r>
      <w:r w:rsidRPr="00375420">
        <w:rPr>
          <w:rFonts w:eastAsia="MS Mincho"/>
          <w:b/>
          <w:sz w:val="18"/>
          <w:lang w:val="en-US" w:eastAsia="ja-JP"/>
        </w:rPr>
        <w:t xml:space="preserve"> </w:t>
      </w:r>
      <w:r>
        <w:rPr>
          <w:rFonts w:eastAsia="MS Mincho"/>
          <w:sz w:val="18"/>
          <w:lang w:val="en-US" w:eastAsia="ja-JP"/>
        </w:rPr>
        <w:t>(RAN1</w:t>
      </w:r>
      <w:r w:rsidR="003473AD">
        <w:rPr>
          <w:rFonts w:eastAsia="MS Mincho"/>
          <w:sz w:val="18"/>
          <w:lang w:val="en-US" w:eastAsia="ja-JP"/>
        </w:rPr>
        <w:t xml:space="preserve"> </w:t>
      </w:r>
      <w:r>
        <w:rPr>
          <w:rFonts w:eastAsia="MS Mincho"/>
          <w:sz w:val="18"/>
          <w:lang w:val="en-US" w:eastAsia="ja-JP"/>
        </w:rPr>
        <w:t>#86bis)</w:t>
      </w:r>
    </w:p>
    <w:p w14:paraId="2583B38B" w14:textId="77777777" w:rsidR="00F24132" w:rsidRPr="00917962" w:rsidRDefault="00F24132" w:rsidP="00F24132">
      <w:pPr>
        <w:numPr>
          <w:ilvl w:val="0"/>
          <w:numId w:val="13"/>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The NR frame structure should support both slots and mini-slots</w:t>
      </w:r>
    </w:p>
    <w:p w14:paraId="488B95B7" w14:textId="77777777" w:rsidR="00F24132" w:rsidRPr="00917962" w:rsidRDefault="00F24132" w:rsidP="00F24132">
      <w:pPr>
        <w:numPr>
          <w:ilvl w:val="1"/>
          <w:numId w:val="13"/>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Timeline granularity for monitoring control of the mini-slot</w:t>
      </w:r>
    </w:p>
    <w:p w14:paraId="2DFB6C7E" w14:textId="77777777" w:rsidR="00F24132" w:rsidRPr="00917962" w:rsidRDefault="00F24132" w:rsidP="00F24132">
      <w:pPr>
        <w:numPr>
          <w:ilvl w:val="1"/>
          <w:numId w:val="13"/>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Terminologies of mini-slot</w:t>
      </w:r>
    </w:p>
    <w:p w14:paraId="217DDD8A" w14:textId="77777777" w:rsidR="00F24132" w:rsidRDefault="00F24132" w:rsidP="006E169B">
      <w:pPr>
        <w:spacing w:after="0"/>
        <w:jc w:val="both"/>
        <w:rPr>
          <w:bCs/>
        </w:rPr>
      </w:pPr>
    </w:p>
    <w:p w14:paraId="74A8C0B6" w14:textId="77777777" w:rsidR="00466498" w:rsidRPr="00D0038C" w:rsidRDefault="00466498" w:rsidP="00466498">
      <w:pPr>
        <w:spacing w:after="0"/>
        <w:ind w:firstLine="284"/>
        <w:rPr>
          <w:rFonts w:eastAsia="MS Mincho"/>
          <w:b/>
          <w:sz w:val="18"/>
          <w:u w:val="single"/>
          <w:lang w:val="en-US" w:eastAsia="ja-JP"/>
        </w:rPr>
      </w:pPr>
      <w:r w:rsidRPr="00305B7B">
        <w:rPr>
          <w:rFonts w:eastAsia="MS Mincho" w:hint="eastAsia"/>
          <w:b/>
          <w:sz w:val="18"/>
          <w:highlight w:val="green"/>
          <w:u w:val="single"/>
          <w:lang w:val="en-US" w:eastAsia="ja-JP"/>
        </w:rPr>
        <w:t>Agreements:</w:t>
      </w:r>
      <w:r w:rsidRPr="00D0038C">
        <w:rPr>
          <w:rFonts w:eastAsia="MS Mincho"/>
          <w:sz w:val="18"/>
          <w:lang w:val="en-US" w:eastAsia="ja-JP"/>
        </w:rPr>
        <w:t xml:space="preserve"> (RAN1# 87)</w:t>
      </w:r>
    </w:p>
    <w:p w14:paraId="08F5EE32" w14:textId="77777777" w:rsidR="00466498" w:rsidRPr="00917962" w:rsidRDefault="00466498" w:rsidP="00466498">
      <w:pPr>
        <w:numPr>
          <w:ilvl w:val="0"/>
          <w:numId w:val="15"/>
        </w:numPr>
        <w:tabs>
          <w:tab w:val="num" w:pos="2160"/>
        </w:tabs>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Mini-slots have the following lengths</w:t>
      </w:r>
    </w:p>
    <w:p w14:paraId="5DBFB32D" w14:textId="77777777" w:rsidR="00466498" w:rsidRPr="00917962" w:rsidRDefault="00466498" w:rsidP="00466498">
      <w:pPr>
        <w:numPr>
          <w:ilvl w:val="1"/>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At least above 6 GHz, mini-slot with length 1 symbol supported</w:t>
      </w:r>
    </w:p>
    <w:p w14:paraId="1E49BC56" w14:textId="77777777" w:rsidR="00466498" w:rsidRPr="00917962" w:rsidRDefault="00466498" w:rsidP="00466498">
      <w:pPr>
        <w:numPr>
          <w:ilvl w:val="2"/>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below 6 GHz including unlicensed band</w:t>
      </w:r>
    </w:p>
    <w:p w14:paraId="0DCAF3CE" w14:textId="77777777" w:rsidR="00466498" w:rsidRPr="00917962" w:rsidRDefault="00466498" w:rsidP="00466498">
      <w:pPr>
        <w:numPr>
          <w:ilvl w:val="2"/>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for URLLC use case regardless frequency band</w:t>
      </w:r>
    </w:p>
    <w:p w14:paraId="3DF7E108" w14:textId="77777777" w:rsidR="00466498" w:rsidRPr="00917962" w:rsidRDefault="00466498" w:rsidP="00466498">
      <w:pPr>
        <w:numPr>
          <w:ilvl w:val="1"/>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 xml:space="preserve">FFS whether DL control can be supported within one mini-slot of length 1 </w:t>
      </w:r>
    </w:p>
    <w:p w14:paraId="6980B669" w14:textId="77777777" w:rsidR="00466498" w:rsidRPr="00917962" w:rsidRDefault="00466498" w:rsidP="00466498">
      <w:pPr>
        <w:numPr>
          <w:ilvl w:val="1"/>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Lengths from 2 to slot length -1</w:t>
      </w:r>
    </w:p>
    <w:p w14:paraId="09E2D76E" w14:textId="77777777" w:rsidR="00466498" w:rsidRPr="00917962" w:rsidRDefault="00466498" w:rsidP="00466498">
      <w:pPr>
        <w:numPr>
          <w:ilvl w:val="2"/>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 xml:space="preserve">FFS on restrictions of mini-slot length based on restrictions on starting position </w:t>
      </w:r>
    </w:p>
    <w:p w14:paraId="5E6F3F0C" w14:textId="77777777" w:rsidR="00466498" w:rsidRPr="00917962" w:rsidRDefault="00466498" w:rsidP="00466498">
      <w:pPr>
        <w:numPr>
          <w:ilvl w:val="2"/>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 xml:space="preserve">For URLLC, 2 is supported, FFS other values </w:t>
      </w:r>
    </w:p>
    <w:p w14:paraId="6CD29004" w14:textId="77777777" w:rsidR="00466498" w:rsidRPr="00917962" w:rsidRDefault="00466498" w:rsidP="00466498">
      <w:pPr>
        <w:numPr>
          <w:ilvl w:val="1"/>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Note: Some UEs targeting certain use cases may not support all mini-slot lengths and all starting positions</w:t>
      </w:r>
    </w:p>
    <w:p w14:paraId="64EBCF6E" w14:textId="77777777" w:rsidR="00466498" w:rsidRPr="00917962" w:rsidRDefault="00466498" w:rsidP="00466498">
      <w:pPr>
        <w:numPr>
          <w:ilvl w:val="1"/>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Can start at any OFDM symbol, at least above 6 GHz</w:t>
      </w:r>
    </w:p>
    <w:p w14:paraId="4581910B" w14:textId="77777777" w:rsidR="00466498" w:rsidRPr="00917962" w:rsidRDefault="00466498" w:rsidP="00466498">
      <w:pPr>
        <w:numPr>
          <w:ilvl w:val="2"/>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below 6 GHz including unlicensed band</w:t>
      </w:r>
    </w:p>
    <w:p w14:paraId="16A623EC" w14:textId="77777777" w:rsidR="00466498" w:rsidRPr="00917962" w:rsidRDefault="00466498" w:rsidP="00466498">
      <w:pPr>
        <w:numPr>
          <w:ilvl w:val="2"/>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for URLLC use case regardless frequency band</w:t>
      </w:r>
    </w:p>
    <w:p w14:paraId="7EBCCECD" w14:textId="77777777" w:rsidR="00466498" w:rsidRPr="00917962" w:rsidRDefault="00466498" w:rsidP="00466498">
      <w:pPr>
        <w:numPr>
          <w:ilvl w:val="1"/>
          <w:numId w:val="15"/>
        </w:numPr>
        <w:overflowPunct/>
        <w:autoSpaceDE/>
        <w:autoSpaceDN/>
        <w:adjustRightInd/>
        <w:spacing w:after="0"/>
        <w:jc w:val="both"/>
        <w:textAlignment w:val="auto"/>
        <w:rPr>
          <w:bCs/>
          <w:i/>
          <w:lang w:val="en-US"/>
        </w:rPr>
      </w:pPr>
      <w:r w:rsidRPr="00917962">
        <w:rPr>
          <w:rFonts w:eastAsia="MS Mincho"/>
          <w:i/>
          <w:sz w:val="18"/>
          <w:lang w:val="en-US" w:eastAsia="ja-JP"/>
        </w:rPr>
        <w:t>A mini-slot contains DMRS at position(s) relative to the start of the mini-slot</w:t>
      </w:r>
    </w:p>
    <w:p w14:paraId="2C5685E9" w14:textId="77777777" w:rsidR="00466498" w:rsidRPr="00917962" w:rsidRDefault="00466498" w:rsidP="00466498">
      <w:pPr>
        <w:overflowPunct/>
        <w:autoSpaceDE/>
        <w:autoSpaceDN/>
        <w:adjustRightInd/>
        <w:spacing w:after="0"/>
        <w:ind w:left="1648"/>
        <w:jc w:val="both"/>
        <w:textAlignment w:val="auto"/>
        <w:rPr>
          <w:bCs/>
          <w:i/>
          <w:lang w:val="en-US"/>
        </w:rPr>
      </w:pPr>
    </w:p>
    <w:p w14:paraId="0E5C03CE" w14:textId="77777777" w:rsidR="00466498" w:rsidRPr="00917962" w:rsidRDefault="00466498" w:rsidP="00466498">
      <w:pPr>
        <w:numPr>
          <w:ilvl w:val="0"/>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NR-PDCCH monitoring at least for single-stage DCI design,</w:t>
      </w:r>
    </w:p>
    <w:p w14:paraId="7B0AA63D" w14:textId="77777777" w:rsidR="00466498" w:rsidRPr="00917962" w:rsidRDefault="00466498" w:rsidP="00466498">
      <w:pPr>
        <w:numPr>
          <w:ilvl w:val="1"/>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 xml:space="preserve">NR supports the following minimum granularity of the DCI monitoring occasion: </w:t>
      </w:r>
    </w:p>
    <w:p w14:paraId="62985909" w14:textId="77777777" w:rsidR="00466498" w:rsidRPr="00917962" w:rsidRDefault="00466498" w:rsidP="00466498">
      <w:pPr>
        <w:numPr>
          <w:ilvl w:val="2"/>
          <w:numId w:val="15"/>
        </w:numPr>
        <w:tabs>
          <w:tab w:val="num" w:pos="2160"/>
        </w:tabs>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For slots: once per slot</w:t>
      </w:r>
    </w:p>
    <w:p w14:paraId="099C973F" w14:textId="77777777" w:rsidR="00466498" w:rsidRPr="00917962" w:rsidRDefault="00466498" w:rsidP="00466498">
      <w:pPr>
        <w:numPr>
          <w:ilvl w:val="2"/>
          <w:numId w:val="15"/>
        </w:numPr>
        <w:tabs>
          <w:tab w:val="num" w:pos="2160"/>
        </w:tabs>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When  mini-slots are used: FFS if every symbol or every second symbol</w:t>
      </w:r>
    </w:p>
    <w:p w14:paraId="576311B8" w14:textId="77777777" w:rsidR="00466498" w:rsidRPr="00917962" w:rsidRDefault="00466498" w:rsidP="00466498">
      <w:pPr>
        <w:numPr>
          <w:ilvl w:val="3"/>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FFS with respect to which numerology if slot and mini-slot have different numerology (e.g. SCS, CP overhead)</w:t>
      </w:r>
    </w:p>
    <w:p w14:paraId="0EABA4C7" w14:textId="77777777" w:rsidR="00466498" w:rsidRPr="00917962" w:rsidRDefault="00466498" w:rsidP="00466498">
      <w:pPr>
        <w:numPr>
          <w:ilvl w:val="3"/>
          <w:numId w:val="15"/>
        </w:numPr>
        <w:overflowPunct/>
        <w:autoSpaceDE/>
        <w:autoSpaceDN/>
        <w:adjustRightInd/>
        <w:spacing w:after="0"/>
        <w:textAlignment w:val="auto"/>
        <w:rPr>
          <w:rFonts w:eastAsia="MS Mincho"/>
          <w:i/>
          <w:sz w:val="18"/>
          <w:lang w:val="en-US" w:eastAsia="ja-JP"/>
        </w:rPr>
      </w:pPr>
      <w:r w:rsidRPr="00917962">
        <w:rPr>
          <w:rFonts w:eastAsia="MS Mincho"/>
          <w:i/>
          <w:sz w:val="18"/>
          <w:lang w:val="en-US" w:eastAsia="ja-JP"/>
        </w:rPr>
        <w:t xml:space="preserve">Note: slot/mini-slot alignment is not assumed here </w:t>
      </w:r>
    </w:p>
    <w:p w14:paraId="69DD0D1B" w14:textId="77777777" w:rsidR="00466498" w:rsidRPr="00917962" w:rsidRDefault="00466498" w:rsidP="00466498">
      <w:pPr>
        <w:numPr>
          <w:ilvl w:val="3"/>
          <w:numId w:val="15"/>
        </w:numPr>
        <w:overflowPunct/>
        <w:autoSpaceDE/>
        <w:autoSpaceDN/>
        <w:adjustRightInd/>
        <w:spacing w:after="0"/>
        <w:textAlignment w:val="auto"/>
        <w:rPr>
          <w:rFonts w:eastAsia="MS Mincho"/>
          <w:b/>
          <w:i/>
          <w:sz w:val="18"/>
          <w:lang w:val="en-US" w:eastAsia="ja-JP"/>
        </w:rPr>
      </w:pPr>
      <w:r w:rsidRPr="00917962">
        <w:rPr>
          <w:rFonts w:eastAsia="MS Mincho"/>
          <w:i/>
          <w:sz w:val="18"/>
          <w:lang w:val="en-US" w:eastAsia="ja-JP"/>
        </w:rPr>
        <w:t>Note: This may not apply in all cases</w:t>
      </w:r>
    </w:p>
    <w:p w14:paraId="604CA218" w14:textId="77777777" w:rsidR="00466498" w:rsidRDefault="00466498" w:rsidP="006E169B">
      <w:pPr>
        <w:spacing w:after="0"/>
        <w:jc w:val="both"/>
        <w:rPr>
          <w:bCs/>
          <w:lang w:val="en-US"/>
        </w:rPr>
      </w:pPr>
    </w:p>
    <w:p w14:paraId="43939675" w14:textId="6974A86D" w:rsidR="00C758C6" w:rsidRDefault="00D0038C" w:rsidP="00C758C6">
      <w:pPr>
        <w:overflowPunct/>
        <w:autoSpaceDE/>
        <w:adjustRightInd/>
        <w:spacing w:after="120"/>
        <w:jc w:val="both"/>
        <w:rPr>
          <w:rFonts w:eastAsia="MS Mincho"/>
          <w:lang w:val="en-US" w:eastAsia="ja-JP"/>
        </w:rPr>
      </w:pPr>
      <w:r>
        <w:rPr>
          <w:bCs/>
          <w:lang w:val="en-US"/>
        </w:rPr>
        <w:t>We cover mini</w:t>
      </w:r>
      <w:r w:rsidR="00D14D82">
        <w:rPr>
          <w:bCs/>
        </w:rPr>
        <w:t>-slot design aspects by a companion contribution [</w:t>
      </w:r>
      <w:r w:rsidR="00FE15BF">
        <w:rPr>
          <w:bCs/>
        </w:rPr>
        <w:t>3</w:t>
      </w:r>
      <w:r w:rsidR="00D14D82">
        <w:rPr>
          <w:bCs/>
        </w:rPr>
        <w:t xml:space="preserve">].  </w:t>
      </w:r>
    </w:p>
    <w:p w14:paraId="0FFFDF72" w14:textId="453B76B9" w:rsidR="004B23AD" w:rsidRDefault="008D4B8A" w:rsidP="004B23AD">
      <w:pPr>
        <w:pStyle w:val="Heading1"/>
      </w:pPr>
      <w:r>
        <w:rPr>
          <w:color w:val="000000"/>
        </w:rPr>
        <w:t>2</w:t>
      </w:r>
      <w:r w:rsidR="004B23AD" w:rsidRPr="00A51522">
        <w:rPr>
          <w:color w:val="000000"/>
        </w:rPr>
        <w:tab/>
      </w:r>
      <w:r w:rsidR="00917962">
        <w:t>Discussion</w:t>
      </w:r>
    </w:p>
    <w:p w14:paraId="662BE331" w14:textId="6DE627A9" w:rsidR="00AF48D5" w:rsidRDefault="00AF48D5" w:rsidP="00105ED8">
      <w:pPr>
        <w:overflowPunct/>
        <w:autoSpaceDE/>
        <w:autoSpaceDN/>
        <w:adjustRightInd/>
        <w:spacing w:after="0"/>
        <w:textAlignment w:val="auto"/>
        <w:rPr>
          <w:rFonts w:eastAsia="MS Mincho"/>
          <w:lang w:val="en-US" w:eastAsia="ja-JP"/>
        </w:rPr>
      </w:pPr>
      <w:r>
        <w:rPr>
          <w:rFonts w:eastAsia="MS Mincho"/>
          <w:lang w:val="en-US" w:eastAsia="ja-JP"/>
        </w:rPr>
        <w:t>We think that t</w:t>
      </w:r>
      <w:r w:rsidR="00D0038C">
        <w:rPr>
          <w:rFonts w:eastAsia="MS Mincho"/>
          <w:lang w:val="en-US" w:eastAsia="ja-JP"/>
        </w:rPr>
        <w:t>hree</w:t>
      </w:r>
      <w:r>
        <w:rPr>
          <w:rFonts w:eastAsia="MS Mincho"/>
          <w:lang w:val="en-US" w:eastAsia="ja-JP"/>
        </w:rPr>
        <w:t xml:space="preserve"> main scenarios that could benefit from mini-slots are:</w:t>
      </w:r>
    </w:p>
    <w:p w14:paraId="3CB7B348" w14:textId="77777777" w:rsidR="00AF48D5" w:rsidRDefault="00AF48D5" w:rsidP="00AF48D5">
      <w:pPr>
        <w:pStyle w:val="ListParagraph"/>
        <w:numPr>
          <w:ilvl w:val="0"/>
          <w:numId w:val="9"/>
        </w:numPr>
        <w:rPr>
          <w:rFonts w:eastAsia="MS Mincho"/>
          <w:sz w:val="20"/>
          <w:lang w:val="en-US" w:eastAsia="ja-JP"/>
        </w:rPr>
      </w:pPr>
      <w:r>
        <w:rPr>
          <w:rFonts w:eastAsia="MS Mincho"/>
          <w:sz w:val="20"/>
          <w:lang w:val="en-US" w:eastAsia="ja-JP"/>
        </w:rPr>
        <w:lastRenderedPageBreak/>
        <w:t>Latency reduction</w:t>
      </w:r>
    </w:p>
    <w:p w14:paraId="3E56465A" w14:textId="77777777" w:rsidR="00BA3C59" w:rsidRDefault="00AF48D5" w:rsidP="00AF48D5">
      <w:pPr>
        <w:pStyle w:val="ListParagraph"/>
        <w:numPr>
          <w:ilvl w:val="0"/>
          <w:numId w:val="9"/>
        </w:numPr>
        <w:rPr>
          <w:rFonts w:eastAsia="MS Mincho"/>
          <w:sz w:val="20"/>
          <w:lang w:val="en-US" w:eastAsia="ja-JP"/>
        </w:rPr>
      </w:pPr>
      <w:r>
        <w:rPr>
          <w:rFonts w:eastAsia="MS Mincho"/>
          <w:sz w:val="20"/>
          <w:lang w:val="en-US" w:eastAsia="ja-JP"/>
        </w:rPr>
        <w:t>Unlicensed band operation</w:t>
      </w:r>
    </w:p>
    <w:p w14:paraId="6E659AE2" w14:textId="62D7B35A" w:rsidR="00AF48D5" w:rsidRDefault="00BA3C59" w:rsidP="00AF48D5">
      <w:pPr>
        <w:pStyle w:val="ListParagraph"/>
        <w:numPr>
          <w:ilvl w:val="0"/>
          <w:numId w:val="9"/>
        </w:numPr>
        <w:rPr>
          <w:rFonts w:eastAsia="MS Mincho"/>
          <w:sz w:val="20"/>
          <w:lang w:val="en-US" w:eastAsia="ja-JP"/>
        </w:rPr>
      </w:pPr>
      <w:r>
        <w:rPr>
          <w:rFonts w:eastAsia="MS Mincho"/>
          <w:sz w:val="20"/>
          <w:lang w:val="en-US" w:eastAsia="ja-JP"/>
        </w:rPr>
        <w:t>Operation in mm-wave bands</w:t>
      </w:r>
      <w:r w:rsidR="00AF48D5">
        <w:rPr>
          <w:rFonts w:eastAsia="MS Mincho"/>
          <w:sz w:val="20"/>
          <w:lang w:val="en-US" w:eastAsia="ja-JP"/>
        </w:rPr>
        <w:t xml:space="preserve"> </w:t>
      </w:r>
    </w:p>
    <w:p w14:paraId="4AF3C61D" w14:textId="6E25EAE0" w:rsidR="00AF48D5" w:rsidRDefault="00AF48D5" w:rsidP="00AF48D5">
      <w:pPr>
        <w:rPr>
          <w:rFonts w:eastAsia="MS Mincho"/>
          <w:lang w:val="en-US" w:eastAsia="ja-JP"/>
        </w:rPr>
      </w:pPr>
      <w:r>
        <w:rPr>
          <w:rFonts w:eastAsia="MS Mincho"/>
          <w:lang w:val="en-US" w:eastAsia="ja-JP"/>
        </w:rPr>
        <w:t>In the following we provide more details on these scenarios.</w:t>
      </w:r>
      <w:r w:rsidR="00917962">
        <w:rPr>
          <w:rFonts w:eastAsia="MS Mincho"/>
          <w:lang w:val="en-US" w:eastAsia="ja-JP"/>
        </w:rPr>
        <w:t xml:space="preserve"> Furthermore, we </w:t>
      </w:r>
      <w:r w:rsidR="00D0038C">
        <w:rPr>
          <w:rFonts w:eastAsia="MS Mincho"/>
          <w:lang w:val="en-US" w:eastAsia="ja-JP"/>
        </w:rPr>
        <w:t>discuss</w:t>
      </w:r>
      <w:r w:rsidR="00917962">
        <w:rPr>
          <w:rFonts w:eastAsia="MS Mincho"/>
          <w:lang w:val="en-US" w:eastAsia="ja-JP"/>
        </w:rPr>
        <w:t xml:space="preserve"> the connection between UL </w:t>
      </w:r>
      <w:r w:rsidR="00D14D82">
        <w:rPr>
          <w:rFonts w:eastAsia="MS Mincho"/>
          <w:lang w:val="en-US" w:eastAsia="ja-JP"/>
        </w:rPr>
        <w:t>w</w:t>
      </w:r>
      <w:r w:rsidR="00917962">
        <w:rPr>
          <w:rFonts w:eastAsia="MS Mincho"/>
          <w:lang w:val="en-US" w:eastAsia="ja-JP"/>
        </w:rPr>
        <w:t>aveform and mini-slot</w:t>
      </w:r>
      <w:r w:rsidR="00D0038C">
        <w:rPr>
          <w:rFonts w:eastAsia="MS Mincho"/>
          <w:lang w:val="en-US" w:eastAsia="ja-JP"/>
        </w:rPr>
        <w:t xml:space="preserve"> design in Section 2.4</w:t>
      </w:r>
      <w:r w:rsidR="00917962">
        <w:rPr>
          <w:rFonts w:eastAsia="MS Mincho"/>
          <w:lang w:val="en-US" w:eastAsia="ja-JP"/>
        </w:rPr>
        <w:t xml:space="preserve">. </w:t>
      </w:r>
    </w:p>
    <w:p w14:paraId="050423AD" w14:textId="77777777" w:rsidR="00AF48D5" w:rsidRPr="00917962" w:rsidRDefault="00575738" w:rsidP="00AF48D5">
      <w:pPr>
        <w:pStyle w:val="Heading2"/>
        <w:rPr>
          <w:sz w:val="24"/>
        </w:rPr>
      </w:pPr>
      <w:r w:rsidRPr="00917962">
        <w:rPr>
          <w:sz w:val="24"/>
          <w:lang w:eastAsia="zh-CN"/>
        </w:rPr>
        <w:t>2</w:t>
      </w:r>
      <w:r w:rsidR="00AF48D5" w:rsidRPr="00917962">
        <w:rPr>
          <w:sz w:val="24"/>
          <w:lang w:eastAsia="zh-CN"/>
        </w:rPr>
        <w:t>.</w:t>
      </w:r>
      <w:r w:rsidRPr="00917962">
        <w:rPr>
          <w:sz w:val="24"/>
          <w:lang w:eastAsia="zh-CN"/>
        </w:rPr>
        <w:t>1</w:t>
      </w:r>
      <w:r w:rsidR="00AF48D5" w:rsidRPr="00917962">
        <w:rPr>
          <w:sz w:val="24"/>
        </w:rPr>
        <w:tab/>
        <w:t>Latency reduction</w:t>
      </w:r>
    </w:p>
    <w:p w14:paraId="0AD94EDC" w14:textId="77777777" w:rsidR="00440FBC" w:rsidRDefault="00F70A64" w:rsidP="00440FBC">
      <w:pPr>
        <w:overflowPunct/>
        <w:autoSpaceDE/>
        <w:autoSpaceDN/>
        <w:adjustRightInd/>
        <w:spacing w:after="0"/>
        <w:jc w:val="both"/>
        <w:textAlignment w:val="auto"/>
        <w:rPr>
          <w:rFonts w:eastAsia="MS Mincho"/>
          <w:lang w:eastAsia="ja-JP"/>
        </w:rPr>
      </w:pPr>
      <w:r>
        <w:rPr>
          <w:rFonts w:eastAsia="MS Mincho"/>
          <w:lang w:val="en-US" w:eastAsia="ja-JP"/>
        </w:rPr>
        <w:t>As</w:t>
      </w:r>
      <w:r>
        <w:rPr>
          <w:rFonts w:eastAsia="MS Mincho"/>
          <w:lang w:eastAsia="ja-JP"/>
        </w:rPr>
        <w:t xml:space="preserve"> agreed in RAN1#86, two possible scheduling units being considered for the NR</w:t>
      </w:r>
      <w:r w:rsidR="00A51A87">
        <w:rPr>
          <w:rFonts w:eastAsia="MS Mincho"/>
          <w:lang w:eastAsia="ja-JP"/>
        </w:rPr>
        <w:t xml:space="preserve"> </w:t>
      </w:r>
      <w:r w:rsidR="00B752B7">
        <w:rPr>
          <w:rFonts w:eastAsia="MS Mincho"/>
          <w:lang w:eastAsia="ja-JP"/>
        </w:rPr>
        <w:t xml:space="preserve">are </w:t>
      </w:r>
      <w:r w:rsidR="00A51A87">
        <w:rPr>
          <w:rFonts w:eastAsia="MS Mincho"/>
          <w:lang w:eastAsia="ja-JP"/>
        </w:rPr>
        <w:t xml:space="preserve">1) </w:t>
      </w:r>
      <w:r>
        <w:rPr>
          <w:rFonts w:eastAsia="MS Mincho"/>
          <w:lang w:eastAsia="ja-JP"/>
        </w:rPr>
        <w:t xml:space="preserve">slot and </w:t>
      </w:r>
      <w:r w:rsidR="00A51A87">
        <w:rPr>
          <w:rFonts w:eastAsia="MS Mincho"/>
          <w:lang w:eastAsia="ja-JP"/>
        </w:rPr>
        <w:t xml:space="preserve">2) </w:t>
      </w:r>
      <w:r>
        <w:rPr>
          <w:rFonts w:eastAsia="MS Mincho"/>
          <w:lang w:eastAsia="ja-JP"/>
        </w:rPr>
        <w:t xml:space="preserve">mini-slot. </w:t>
      </w:r>
    </w:p>
    <w:p w14:paraId="4DB30B70" w14:textId="77777777" w:rsidR="00440FBC" w:rsidRDefault="00A51A87" w:rsidP="00440FBC">
      <w:pPr>
        <w:pStyle w:val="ListParagraph"/>
        <w:numPr>
          <w:ilvl w:val="0"/>
          <w:numId w:val="6"/>
        </w:numPr>
        <w:jc w:val="both"/>
        <w:rPr>
          <w:rFonts w:eastAsia="MS Mincho"/>
          <w:lang w:val="en-US" w:eastAsia="ja-JP"/>
        </w:rPr>
      </w:pPr>
      <w:r w:rsidRPr="00A51A87">
        <w:rPr>
          <w:rFonts w:eastAsia="MS Mincho"/>
          <w:sz w:val="20"/>
          <w:lang w:val="en-US" w:eastAsia="ja-JP"/>
        </w:rPr>
        <w:t xml:space="preserve">The length of </w:t>
      </w:r>
      <w:r w:rsidR="002A40F9">
        <w:rPr>
          <w:rFonts w:eastAsia="MS Mincho"/>
          <w:sz w:val="20"/>
          <w:lang w:val="en-US" w:eastAsia="ja-JP"/>
        </w:rPr>
        <w:t xml:space="preserve">a </w:t>
      </w:r>
      <w:r w:rsidRPr="00A51A87">
        <w:rPr>
          <w:rFonts w:eastAsia="MS Mincho"/>
          <w:sz w:val="20"/>
          <w:lang w:val="en-US" w:eastAsia="ja-JP"/>
        </w:rPr>
        <w:t>slot is either 7 or 14 OFDMA symbol</w:t>
      </w:r>
      <w:r>
        <w:rPr>
          <w:rFonts w:eastAsia="MS Mincho"/>
          <w:sz w:val="20"/>
          <w:lang w:val="en-US" w:eastAsia="ja-JP"/>
        </w:rPr>
        <w:t xml:space="preserve"> (y=7, or y=14)</w:t>
      </w:r>
    </w:p>
    <w:p w14:paraId="68CAA665" w14:textId="77777777" w:rsidR="00440FBC" w:rsidRDefault="00A51A87" w:rsidP="00440FBC">
      <w:pPr>
        <w:pStyle w:val="ListParagraph"/>
        <w:numPr>
          <w:ilvl w:val="0"/>
          <w:numId w:val="6"/>
        </w:numPr>
        <w:jc w:val="both"/>
        <w:rPr>
          <w:rFonts w:eastAsia="MS Mincho"/>
          <w:lang w:val="en-US" w:eastAsia="ja-JP"/>
        </w:rPr>
      </w:pPr>
      <w:r>
        <w:rPr>
          <w:rFonts w:eastAsia="MS Mincho"/>
          <w:sz w:val="20"/>
          <w:lang w:val="en-US" w:eastAsia="ja-JP"/>
        </w:rPr>
        <w:t xml:space="preserve">Provided that mini-slot should support transmission shorter than y OFDMA symbols, the mini-slot length </w:t>
      </w:r>
      <w:r w:rsidR="00F277EC">
        <w:rPr>
          <w:rFonts w:eastAsia="MS Mincho"/>
          <w:sz w:val="20"/>
          <w:lang w:val="en-US" w:eastAsia="ja-JP"/>
        </w:rPr>
        <w:t>may vary</w:t>
      </w:r>
      <w:r>
        <w:rPr>
          <w:rFonts w:eastAsia="MS Mincho"/>
          <w:sz w:val="20"/>
          <w:lang w:val="en-US" w:eastAsia="ja-JP"/>
        </w:rPr>
        <w:t xml:space="preserve"> between 1 and 6 OFDMA symbols</w:t>
      </w:r>
      <w:r w:rsidR="00575738">
        <w:rPr>
          <w:rFonts w:eastAsia="MS Mincho"/>
          <w:sz w:val="20"/>
          <w:lang w:val="en-US" w:eastAsia="ja-JP"/>
        </w:rPr>
        <w:t>.</w:t>
      </w:r>
    </w:p>
    <w:p w14:paraId="415E614F" w14:textId="77777777" w:rsidR="00440FBC" w:rsidRDefault="00440FBC" w:rsidP="00440FBC">
      <w:pPr>
        <w:pStyle w:val="ListParagraph"/>
        <w:jc w:val="both"/>
        <w:rPr>
          <w:rFonts w:eastAsia="MS Mincho"/>
          <w:lang w:val="en-US" w:eastAsia="ja-JP"/>
        </w:rPr>
      </w:pPr>
    </w:p>
    <w:p w14:paraId="5CC7EDC3" w14:textId="3B6E52B6" w:rsidR="00440FBC" w:rsidRDefault="00AF48D5" w:rsidP="00440FBC">
      <w:pPr>
        <w:overflowPunct/>
        <w:autoSpaceDE/>
        <w:autoSpaceDN/>
        <w:adjustRightInd/>
        <w:spacing w:after="0"/>
        <w:jc w:val="both"/>
        <w:textAlignment w:val="auto"/>
        <w:rPr>
          <w:bCs/>
        </w:rPr>
      </w:pPr>
      <w:r>
        <w:rPr>
          <w:bCs/>
        </w:rPr>
        <w:t>A</w:t>
      </w:r>
      <w:r w:rsidR="00F70A64">
        <w:rPr>
          <w:bCs/>
        </w:rPr>
        <w:t xml:space="preserve"> motivation </w:t>
      </w:r>
      <w:r w:rsidR="00A51A87">
        <w:rPr>
          <w:bCs/>
        </w:rPr>
        <w:t>behind</w:t>
      </w:r>
      <w:r w:rsidR="00F70A64">
        <w:rPr>
          <w:bCs/>
        </w:rPr>
        <w:t xml:space="preserve"> </w:t>
      </w:r>
      <w:r w:rsidR="00A51A87">
        <w:rPr>
          <w:bCs/>
        </w:rPr>
        <w:t xml:space="preserve">introduction of mini-slot on top of NR frame structure is </w:t>
      </w:r>
      <w:r w:rsidR="0053529E">
        <w:rPr>
          <w:bCs/>
        </w:rPr>
        <w:t>latency reduction. On the other hand, as</w:t>
      </w:r>
      <w:r w:rsidR="00A51A87">
        <w:rPr>
          <w:bCs/>
        </w:rPr>
        <w:t xml:space="preserve"> discussed </w:t>
      </w:r>
      <w:r w:rsidR="006E169B">
        <w:rPr>
          <w:bCs/>
        </w:rPr>
        <w:t xml:space="preserve">e.g. </w:t>
      </w:r>
      <w:r w:rsidR="00A51A87">
        <w:rPr>
          <w:bCs/>
        </w:rPr>
        <w:t>in [</w:t>
      </w:r>
      <w:r w:rsidR="00FE15BF">
        <w:rPr>
          <w:bCs/>
        </w:rPr>
        <w:t>4</w:t>
      </w:r>
      <w:r w:rsidR="00A51A87">
        <w:rPr>
          <w:bCs/>
        </w:rPr>
        <w:t>] s</w:t>
      </w:r>
      <w:r w:rsidR="00A51A87" w:rsidRPr="00A51A87">
        <w:rPr>
          <w:bCs/>
        </w:rPr>
        <w:t>hort symbol/</w:t>
      </w:r>
      <w:r w:rsidR="00A51A87">
        <w:rPr>
          <w:bCs/>
        </w:rPr>
        <w:t xml:space="preserve">slot duration </w:t>
      </w:r>
      <w:r w:rsidR="00A51A87" w:rsidRPr="00A51A87">
        <w:rPr>
          <w:bCs/>
        </w:rPr>
        <w:t>on top of bi-directional subframe pr</w:t>
      </w:r>
      <w:r w:rsidR="0053529E">
        <w:rPr>
          <w:bCs/>
        </w:rPr>
        <w:t>ovides inbuilt support for low latency</w:t>
      </w:r>
      <w:r w:rsidR="00A51A87" w:rsidRPr="00A51A87">
        <w:rPr>
          <w:bCs/>
        </w:rPr>
        <w:t>, provided that UE/eNB processing times are reduced accordingly.</w:t>
      </w:r>
      <w:r w:rsidR="00A51A87">
        <w:rPr>
          <w:bCs/>
        </w:rPr>
        <w:t xml:space="preserve"> </w:t>
      </w:r>
      <w:r w:rsidR="0053529E">
        <w:rPr>
          <w:bCs/>
        </w:rPr>
        <w:t xml:space="preserve">For example, </w:t>
      </w:r>
    </w:p>
    <w:p w14:paraId="7CF9386A" w14:textId="77777777" w:rsidR="00440FBC" w:rsidRDefault="0053529E" w:rsidP="00440FBC">
      <w:pPr>
        <w:pStyle w:val="ListParagraph"/>
        <w:numPr>
          <w:ilvl w:val="0"/>
          <w:numId w:val="8"/>
        </w:numPr>
        <w:jc w:val="both"/>
        <w:rPr>
          <w:bCs/>
          <w:lang w:val="en-US"/>
        </w:rPr>
      </w:pPr>
      <w:r w:rsidRPr="00C0656E">
        <w:rPr>
          <w:bCs/>
          <w:sz w:val="20"/>
          <w:lang w:val="en-GB"/>
        </w:rPr>
        <w:t xml:space="preserve">Assuming slot length of 7 OFDMA symbols and subcarrier spacing of 60 kHz, it is possible to achieve the URLLC 0.5ms user plane latency target for both </w:t>
      </w:r>
      <w:r w:rsidR="006E169B" w:rsidRPr="00C0656E">
        <w:rPr>
          <w:bCs/>
          <w:sz w:val="20"/>
          <w:lang w:val="en-GB"/>
        </w:rPr>
        <w:t>FDD and TDD.</w:t>
      </w:r>
      <w:r w:rsidR="003B2ABE" w:rsidRPr="00836FE9">
        <w:rPr>
          <w:bCs/>
          <w:lang w:val="en-US"/>
        </w:rPr>
        <w:t xml:space="preserve"> </w:t>
      </w:r>
      <w:r w:rsidR="00F432C7" w:rsidRPr="00C0656E">
        <w:rPr>
          <w:bCs/>
          <w:sz w:val="20"/>
          <w:lang w:val="en-GB"/>
        </w:rPr>
        <w:t>In this case, it is also very challenging from UE/eNB processing time perspective if the sch</w:t>
      </w:r>
      <w:r w:rsidR="00F432C7" w:rsidRPr="003B2ABE">
        <w:rPr>
          <w:bCs/>
          <w:sz w:val="20"/>
          <w:lang w:val="en-GB"/>
        </w:rPr>
        <w:t>eduling unit is further reduced to be less than 7 symbols.</w:t>
      </w:r>
    </w:p>
    <w:p w14:paraId="7FF62DE5" w14:textId="77777777" w:rsidR="00440FBC" w:rsidRDefault="0053529E" w:rsidP="00440FBC">
      <w:pPr>
        <w:pStyle w:val="ListParagraph"/>
        <w:numPr>
          <w:ilvl w:val="0"/>
          <w:numId w:val="8"/>
        </w:numPr>
        <w:jc w:val="both"/>
        <w:rPr>
          <w:bCs/>
          <w:lang w:val="en-US"/>
        </w:rPr>
      </w:pPr>
      <w:r w:rsidRPr="0053529E">
        <w:rPr>
          <w:bCs/>
          <w:sz w:val="20"/>
          <w:lang w:val="en-US"/>
        </w:rPr>
        <w:t xml:space="preserve">With slot length of 7 OFDMA symbols and subcarrier spacing of 60 kHz, it is possible to achieve URLLC latency target </w:t>
      </w:r>
      <w:r>
        <w:rPr>
          <w:bCs/>
          <w:sz w:val="20"/>
          <w:lang w:val="en-US"/>
        </w:rPr>
        <w:t xml:space="preserve">with reasonable processing times </w:t>
      </w:r>
      <w:r w:rsidRPr="0053529E">
        <w:rPr>
          <w:bCs/>
          <w:sz w:val="20"/>
          <w:lang w:val="en-US"/>
        </w:rPr>
        <w:t xml:space="preserve">also in the </w:t>
      </w:r>
      <w:r>
        <w:rPr>
          <w:bCs/>
          <w:sz w:val="20"/>
          <w:lang w:val="en-US"/>
        </w:rPr>
        <w:t>scenario</w:t>
      </w:r>
      <w:r w:rsidRPr="0053529E">
        <w:rPr>
          <w:bCs/>
          <w:sz w:val="20"/>
          <w:lang w:val="en-US"/>
        </w:rPr>
        <w:t xml:space="preserve"> of </w:t>
      </w:r>
      <w:r w:rsidR="004F718B">
        <w:rPr>
          <w:bCs/>
          <w:sz w:val="20"/>
          <w:lang w:val="en-US"/>
        </w:rPr>
        <w:t>dynamic scheduling based</w:t>
      </w:r>
      <w:r w:rsidRPr="0053529E">
        <w:rPr>
          <w:bCs/>
          <w:sz w:val="20"/>
          <w:lang w:val="en-US"/>
        </w:rPr>
        <w:t xml:space="preserve"> access</w:t>
      </w:r>
      <w:r>
        <w:rPr>
          <w:bCs/>
          <w:sz w:val="20"/>
          <w:lang w:val="en-US"/>
        </w:rPr>
        <w:t>.</w:t>
      </w:r>
    </w:p>
    <w:p w14:paraId="224B9FE8" w14:textId="77777777" w:rsidR="00440FBC" w:rsidRDefault="00440FBC" w:rsidP="00440FBC">
      <w:pPr>
        <w:pStyle w:val="ListParagraph"/>
        <w:jc w:val="both"/>
        <w:rPr>
          <w:bCs/>
          <w:lang w:val="en-US"/>
        </w:rPr>
      </w:pPr>
    </w:p>
    <w:p w14:paraId="4A42488B" w14:textId="1267E64A" w:rsidR="00440FBC" w:rsidRDefault="00540AA4" w:rsidP="00440FBC">
      <w:pPr>
        <w:jc w:val="both"/>
        <w:rPr>
          <w:bCs/>
          <w:lang w:val="en-US"/>
        </w:rPr>
      </w:pPr>
      <w:r>
        <w:rPr>
          <w:bCs/>
          <w:lang w:val="en-US"/>
        </w:rPr>
        <w:t xml:space="preserve">Based on the discussion above, it </w:t>
      </w:r>
      <w:r w:rsidR="0097587B">
        <w:rPr>
          <w:bCs/>
          <w:lang w:val="en-US"/>
        </w:rPr>
        <w:t xml:space="preserve">seems that when operating with large subcarrier spacings the need for mini-slot is quite limited </w:t>
      </w:r>
      <w:r w:rsidR="00B752B7">
        <w:rPr>
          <w:bCs/>
          <w:lang w:val="en-US"/>
        </w:rPr>
        <w:t xml:space="preserve">at least </w:t>
      </w:r>
      <w:r w:rsidR="0097587B">
        <w:rPr>
          <w:bCs/>
          <w:lang w:val="en-US"/>
        </w:rPr>
        <w:t>from latency reduction point of view. On the contrary, when operating with small</w:t>
      </w:r>
      <w:r w:rsidR="00B752B7">
        <w:rPr>
          <w:bCs/>
          <w:lang w:val="en-US"/>
        </w:rPr>
        <w:t>er</w:t>
      </w:r>
      <w:r w:rsidR="0097587B">
        <w:rPr>
          <w:bCs/>
          <w:lang w:val="en-US"/>
        </w:rPr>
        <w:t xml:space="preserve"> subcarrier spacings (such as 15 kHz), mini-slot can be seen as a reasonable option</w:t>
      </w:r>
      <w:r w:rsidR="00B752B7">
        <w:rPr>
          <w:bCs/>
          <w:lang w:val="en-US"/>
        </w:rPr>
        <w:t xml:space="preserve"> for latency reduction</w:t>
      </w:r>
      <w:r w:rsidR="00C758C6">
        <w:rPr>
          <w:bCs/>
          <w:lang w:val="en-US"/>
        </w:rPr>
        <w:t>, as discussed</w:t>
      </w:r>
      <w:r w:rsidR="00A72ABD">
        <w:rPr>
          <w:bCs/>
          <w:lang w:val="en-US"/>
        </w:rPr>
        <w:t xml:space="preserve"> e.g.</w:t>
      </w:r>
      <w:r w:rsidR="00C758C6">
        <w:rPr>
          <w:bCs/>
          <w:lang w:val="en-US"/>
        </w:rPr>
        <w:t xml:space="preserve"> in [</w:t>
      </w:r>
      <w:r w:rsidR="00FE15BF">
        <w:rPr>
          <w:bCs/>
          <w:lang w:val="en-US"/>
        </w:rPr>
        <w:t>4</w:t>
      </w:r>
      <w:r w:rsidR="00C758C6">
        <w:rPr>
          <w:bCs/>
          <w:lang w:val="en-US"/>
        </w:rPr>
        <w:t>].</w:t>
      </w:r>
    </w:p>
    <w:p w14:paraId="6BE5DE5A" w14:textId="476E7A9C" w:rsidR="00440FBC" w:rsidRPr="00FE15BF" w:rsidRDefault="006F512A" w:rsidP="00440FBC">
      <w:pPr>
        <w:jc w:val="both"/>
        <w:rPr>
          <w:bCs/>
          <w:lang w:val="en-US"/>
        </w:rPr>
      </w:pPr>
      <w:r>
        <w:rPr>
          <w:bCs/>
          <w:lang w:val="en-US"/>
        </w:rPr>
        <w:t>Also with eMBB traffic, we see system level gains</w:t>
      </w:r>
      <w:r w:rsidR="00440FBC" w:rsidRPr="00440FBC">
        <w:rPr>
          <w:bCs/>
          <w:lang w:val="en-US"/>
        </w:rPr>
        <w:t xml:space="preserve"> with </w:t>
      </w:r>
      <w:r>
        <w:rPr>
          <w:bCs/>
          <w:lang w:val="en-US"/>
        </w:rPr>
        <w:t xml:space="preserve">mini-slot with </w:t>
      </w:r>
      <w:r w:rsidR="000348E9">
        <w:rPr>
          <w:bCs/>
          <w:lang w:val="en-US"/>
        </w:rPr>
        <w:t xml:space="preserve">15 kHz </w:t>
      </w:r>
      <w:r>
        <w:rPr>
          <w:bCs/>
          <w:lang w:val="en-US"/>
        </w:rPr>
        <w:t>subcarrier spacing, in particular with 2-</w:t>
      </w:r>
      <w:r w:rsidR="00440FBC" w:rsidRPr="00FE15BF">
        <w:rPr>
          <w:bCs/>
          <w:lang w:val="en-US"/>
        </w:rPr>
        <w:t>symbol mini</w:t>
      </w:r>
      <w:r w:rsidRPr="00FE15BF">
        <w:rPr>
          <w:bCs/>
          <w:lang w:val="en-US"/>
        </w:rPr>
        <w:t>-</w:t>
      </w:r>
      <w:r w:rsidR="00440FBC" w:rsidRPr="00FE15BF">
        <w:rPr>
          <w:bCs/>
          <w:lang w:val="en-US"/>
        </w:rPr>
        <w:t xml:space="preserve">slot </w:t>
      </w:r>
      <w:r w:rsidRPr="00FE15BF">
        <w:rPr>
          <w:bCs/>
          <w:lang w:val="en-US"/>
        </w:rPr>
        <w:t>which offer</w:t>
      </w:r>
      <w:r w:rsidR="009633D3" w:rsidRPr="00FE15BF">
        <w:rPr>
          <w:bCs/>
          <w:lang w:val="en-US"/>
        </w:rPr>
        <w:t>s</w:t>
      </w:r>
      <w:r w:rsidRPr="00FE15BF">
        <w:rPr>
          <w:bCs/>
          <w:lang w:val="en-US"/>
        </w:rPr>
        <w:t xml:space="preserve"> a favorable trade-off between latency and spectrum efficiency (signaling overhead).</w:t>
      </w:r>
    </w:p>
    <w:p w14:paraId="28F88243" w14:textId="60AA1C27" w:rsidR="00A72ABD" w:rsidRPr="00C53569" w:rsidRDefault="00A72ABD" w:rsidP="00A72ABD">
      <w:pPr>
        <w:rPr>
          <w:rFonts w:ascii="Calibri" w:hAnsi="Calibri"/>
          <w:sz w:val="22"/>
          <w:szCs w:val="22"/>
          <w:lang w:val="en-US"/>
        </w:rPr>
      </w:pPr>
      <w:r w:rsidRPr="00C53569">
        <w:rPr>
          <w:b/>
          <w:bCs/>
        </w:rPr>
        <w:t>Observation #1</w:t>
      </w:r>
      <w:r w:rsidRPr="00C53569">
        <w:t xml:space="preserve">: </w:t>
      </w:r>
      <w:r w:rsidRPr="00C53569">
        <w:rPr>
          <w:i/>
          <w:iCs/>
        </w:rPr>
        <w:t>15 kHz subcarrier spacing can be seen as the most relevant mini-slot scenario from latency point of view</w:t>
      </w:r>
    </w:p>
    <w:p w14:paraId="6C900513" w14:textId="77777777" w:rsidR="006F512A" w:rsidRDefault="006F512A" w:rsidP="00836FE9">
      <w:pPr>
        <w:rPr>
          <w:bCs/>
        </w:rPr>
      </w:pPr>
    </w:p>
    <w:p w14:paraId="6C1F96C5" w14:textId="77777777" w:rsidR="00575738" w:rsidRPr="00917962" w:rsidRDefault="00575738" w:rsidP="00575738">
      <w:pPr>
        <w:pStyle w:val="Heading2"/>
        <w:rPr>
          <w:sz w:val="24"/>
        </w:rPr>
      </w:pPr>
      <w:r w:rsidRPr="00917962">
        <w:rPr>
          <w:sz w:val="24"/>
          <w:lang w:eastAsia="zh-CN"/>
        </w:rPr>
        <w:t>2.2</w:t>
      </w:r>
      <w:r w:rsidRPr="00917962">
        <w:rPr>
          <w:sz w:val="24"/>
        </w:rPr>
        <w:tab/>
      </w:r>
      <w:r w:rsidR="00F277EC" w:rsidRPr="00917962">
        <w:rPr>
          <w:sz w:val="24"/>
        </w:rPr>
        <w:t xml:space="preserve">Unlicensed band operation </w:t>
      </w:r>
    </w:p>
    <w:p w14:paraId="12E800ED" w14:textId="53EDE832" w:rsidR="00440FBC" w:rsidRDefault="0056599B" w:rsidP="00440FBC">
      <w:pPr>
        <w:overflowPunct/>
        <w:autoSpaceDE/>
        <w:autoSpaceDN/>
        <w:adjustRightInd/>
        <w:spacing w:after="0"/>
        <w:jc w:val="both"/>
        <w:textAlignment w:val="auto"/>
        <w:rPr>
          <w:rFonts w:eastAsia="MS Mincho"/>
          <w:lang w:eastAsia="ja-JP"/>
        </w:rPr>
      </w:pPr>
      <w:r>
        <w:rPr>
          <w:rFonts w:eastAsia="MS Mincho"/>
          <w:lang w:eastAsia="ja-JP"/>
        </w:rPr>
        <w:t xml:space="preserve">When NR is applied on unlicensed band requiring contention based channel access procedure, it is beneficial that </w:t>
      </w:r>
      <w:r w:rsidR="00BA3C59">
        <w:rPr>
          <w:rFonts w:eastAsia="MS Mincho"/>
          <w:lang w:eastAsia="ja-JP"/>
        </w:rPr>
        <w:t xml:space="preserve">gNB </w:t>
      </w:r>
      <w:r>
        <w:rPr>
          <w:rFonts w:eastAsia="MS Mincho"/>
          <w:lang w:eastAsia="ja-JP"/>
        </w:rPr>
        <w:t xml:space="preserve">or UE can swiftly </w:t>
      </w:r>
      <w:r w:rsidR="005F0F8E">
        <w:rPr>
          <w:rFonts w:eastAsia="MS Mincho"/>
          <w:lang w:eastAsia="ja-JP"/>
        </w:rPr>
        <w:t xml:space="preserve">occupy </w:t>
      </w:r>
      <w:r>
        <w:rPr>
          <w:rFonts w:eastAsia="MS Mincho"/>
          <w:lang w:eastAsia="ja-JP"/>
        </w:rPr>
        <w:t>channel once the channel access procedure indicates the channel to be vacant.</w:t>
      </w:r>
      <w:r w:rsidR="00B4147D">
        <w:rPr>
          <w:rFonts w:eastAsia="MS Mincho"/>
          <w:lang w:eastAsia="ja-JP"/>
        </w:rPr>
        <w:t xml:space="preserve"> If </w:t>
      </w:r>
      <w:r w:rsidR="00BA3C59">
        <w:rPr>
          <w:rFonts w:eastAsia="MS Mincho"/>
          <w:lang w:eastAsia="ja-JP"/>
        </w:rPr>
        <w:t xml:space="preserve">gNB </w:t>
      </w:r>
      <w:r w:rsidR="00B4147D">
        <w:rPr>
          <w:rFonts w:eastAsia="MS Mincho"/>
          <w:lang w:eastAsia="ja-JP"/>
        </w:rPr>
        <w:t xml:space="preserve">or UE waits for too long in self-deferral to align transmissions with slot boundary, more agile systems may occupy the channel in </w:t>
      </w:r>
      <w:r w:rsidR="00BC5A27">
        <w:rPr>
          <w:rFonts w:eastAsia="MS Mincho"/>
          <w:lang w:eastAsia="ja-JP"/>
        </w:rPr>
        <w:t xml:space="preserve">the </w:t>
      </w:r>
      <w:r w:rsidR="00B4147D">
        <w:rPr>
          <w:rFonts w:eastAsia="MS Mincho"/>
          <w:lang w:eastAsia="ja-JP"/>
        </w:rPr>
        <w:t xml:space="preserve">meanwhile. </w:t>
      </w:r>
    </w:p>
    <w:p w14:paraId="6978333A" w14:textId="77777777" w:rsidR="00440FBC" w:rsidRDefault="00440FBC" w:rsidP="00440FBC">
      <w:pPr>
        <w:overflowPunct/>
        <w:autoSpaceDE/>
        <w:autoSpaceDN/>
        <w:adjustRightInd/>
        <w:spacing w:after="0"/>
        <w:jc w:val="both"/>
        <w:textAlignment w:val="auto"/>
        <w:rPr>
          <w:rFonts w:eastAsia="MS Mincho"/>
          <w:lang w:eastAsia="ja-JP"/>
        </w:rPr>
      </w:pPr>
    </w:p>
    <w:p w14:paraId="43521B93" w14:textId="77777777" w:rsidR="00440FBC" w:rsidRDefault="00B4147D" w:rsidP="00440FBC">
      <w:pPr>
        <w:overflowPunct/>
        <w:autoSpaceDE/>
        <w:autoSpaceDN/>
        <w:adjustRightInd/>
        <w:spacing w:after="0"/>
        <w:jc w:val="both"/>
        <w:textAlignment w:val="auto"/>
        <w:rPr>
          <w:rFonts w:eastAsia="MS Mincho"/>
          <w:lang w:eastAsia="ja-JP"/>
        </w:rPr>
      </w:pPr>
      <w:r>
        <w:rPr>
          <w:rFonts w:eastAsia="MS Mincho"/>
          <w:lang w:eastAsia="ja-JP"/>
        </w:rPr>
        <w:t xml:space="preserve">There are </w:t>
      </w:r>
      <w:r w:rsidR="00BC5A27">
        <w:rPr>
          <w:rFonts w:eastAsia="MS Mincho"/>
          <w:lang w:eastAsia="ja-JP"/>
        </w:rPr>
        <w:t xml:space="preserve">a </w:t>
      </w:r>
      <w:r>
        <w:rPr>
          <w:rFonts w:eastAsia="MS Mincho"/>
          <w:lang w:eastAsia="ja-JP"/>
        </w:rPr>
        <w:t>few options to occupy</w:t>
      </w:r>
      <w:r w:rsidR="00BC5A27">
        <w:rPr>
          <w:rFonts w:eastAsia="MS Mincho"/>
          <w:lang w:eastAsia="ja-JP"/>
        </w:rPr>
        <w:t xml:space="preserve"> the</w:t>
      </w:r>
      <w:r>
        <w:rPr>
          <w:rFonts w:eastAsia="MS Mincho"/>
          <w:lang w:eastAsia="ja-JP"/>
        </w:rPr>
        <w:t xml:space="preserve"> channel in a swift manner: </w:t>
      </w:r>
    </w:p>
    <w:p w14:paraId="3FF8B8A2" w14:textId="77777777" w:rsidR="00440FBC" w:rsidRDefault="006B3497" w:rsidP="00440FBC">
      <w:pPr>
        <w:pStyle w:val="ListParagraph"/>
        <w:numPr>
          <w:ilvl w:val="0"/>
          <w:numId w:val="12"/>
        </w:numPr>
        <w:jc w:val="both"/>
        <w:rPr>
          <w:rFonts w:eastAsia="MS Mincho"/>
          <w:lang w:val="en-US" w:eastAsia="ja-JP"/>
        </w:rPr>
      </w:pPr>
      <w:r>
        <w:rPr>
          <w:rFonts w:eastAsia="MS Mincho"/>
          <w:sz w:val="20"/>
          <w:szCs w:val="20"/>
          <w:lang w:val="en-GB" w:eastAsia="ja-JP"/>
        </w:rPr>
        <w:t xml:space="preserve">Time scale between </w:t>
      </w:r>
      <w:r w:rsidR="00463F33">
        <w:rPr>
          <w:rFonts w:eastAsia="MS Mincho"/>
          <w:sz w:val="20"/>
          <w:szCs w:val="20"/>
          <w:lang w:val="en-GB" w:eastAsia="ja-JP"/>
        </w:rPr>
        <w:t xml:space="preserve">the </w:t>
      </w:r>
      <w:r>
        <w:rPr>
          <w:rFonts w:eastAsia="MS Mincho"/>
          <w:sz w:val="20"/>
          <w:szCs w:val="20"/>
          <w:lang w:val="en-GB" w:eastAsia="ja-JP"/>
        </w:rPr>
        <w:t xml:space="preserve">consecutive </w:t>
      </w:r>
      <w:r w:rsidR="00463F33">
        <w:rPr>
          <w:rFonts w:eastAsia="MS Mincho"/>
          <w:sz w:val="20"/>
          <w:szCs w:val="20"/>
          <w:lang w:val="en-GB" w:eastAsia="ja-JP"/>
        </w:rPr>
        <w:t xml:space="preserve">possible </w:t>
      </w:r>
      <w:r>
        <w:rPr>
          <w:rFonts w:eastAsia="MS Mincho"/>
          <w:sz w:val="20"/>
          <w:szCs w:val="20"/>
          <w:lang w:val="en-GB" w:eastAsia="ja-JP"/>
        </w:rPr>
        <w:t xml:space="preserve">transmission starting positions is </w:t>
      </w:r>
      <w:r w:rsidR="00FD721A">
        <w:rPr>
          <w:rFonts w:eastAsia="MS Mincho"/>
          <w:sz w:val="20"/>
          <w:szCs w:val="20"/>
          <w:lang w:val="en-GB" w:eastAsia="ja-JP"/>
        </w:rPr>
        <w:t>sufficiently short in light of</w:t>
      </w:r>
      <w:r>
        <w:rPr>
          <w:rFonts w:eastAsia="MS Mincho"/>
          <w:sz w:val="20"/>
          <w:szCs w:val="20"/>
          <w:lang w:val="en-GB" w:eastAsia="ja-JP"/>
        </w:rPr>
        <w:t xml:space="preserve"> the channel access procedure time scale</w:t>
      </w:r>
      <w:r w:rsidR="00FD721A">
        <w:rPr>
          <w:rFonts w:eastAsia="MS Mincho"/>
          <w:sz w:val="20"/>
          <w:szCs w:val="20"/>
          <w:lang w:val="en-GB" w:eastAsia="ja-JP"/>
        </w:rPr>
        <w:t>s</w:t>
      </w:r>
      <w:r>
        <w:rPr>
          <w:rFonts w:eastAsia="MS Mincho"/>
          <w:sz w:val="20"/>
          <w:szCs w:val="20"/>
          <w:lang w:val="en-GB" w:eastAsia="ja-JP"/>
        </w:rPr>
        <w:t xml:space="preserve"> determined e.g. in regulations.     </w:t>
      </w:r>
    </w:p>
    <w:p w14:paraId="43CFFDB6" w14:textId="77777777" w:rsidR="00440FBC" w:rsidRDefault="005F0F8E" w:rsidP="00440FBC">
      <w:pPr>
        <w:pStyle w:val="ListParagraph"/>
        <w:numPr>
          <w:ilvl w:val="0"/>
          <w:numId w:val="12"/>
        </w:numPr>
        <w:jc w:val="both"/>
        <w:rPr>
          <w:rFonts w:eastAsia="MS Mincho"/>
          <w:lang w:val="en-US" w:eastAsia="ja-JP"/>
        </w:rPr>
      </w:pPr>
      <w:r w:rsidRPr="00836FE9">
        <w:rPr>
          <w:rFonts w:eastAsia="MS Mincho"/>
          <w:sz w:val="20"/>
          <w:szCs w:val="20"/>
          <w:lang w:val="en-GB" w:eastAsia="ja-JP"/>
        </w:rPr>
        <w:t xml:space="preserve">Slot timing is made floating. </w:t>
      </w:r>
      <w:r>
        <w:rPr>
          <w:rFonts w:eastAsia="MS Mincho"/>
          <w:sz w:val="20"/>
          <w:szCs w:val="20"/>
          <w:lang w:val="en-GB" w:eastAsia="ja-JP"/>
        </w:rPr>
        <w:t>This approach significantly deviates from the basic paradigm of frame based access and, hence, introduces</w:t>
      </w:r>
      <w:r w:rsidR="00FB7FCA">
        <w:rPr>
          <w:rFonts w:eastAsia="MS Mincho"/>
          <w:sz w:val="20"/>
          <w:szCs w:val="20"/>
          <w:lang w:val="en-GB" w:eastAsia="ja-JP"/>
        </w:rPr>
        <w:t xml:space="preserve"> </w:t>
      </w:r>
      <w:r w:rsidR="006B3497">
        <w:rPr>
          <w:rFonts w:eastAsia="MS Mincho"/>
          <w:sz w:val="20"/>
          <w:szCs w:val="20"/>
          <w:lang w:val="en-GB" w:eastAsia="ja-JP"/>
        </w:rPr>
        <w:t>complexity e.g. in multiplexing of periodic signals bound to the frame structure</w:t>
      </w:r>
      <w:r w:rsidR="00DA7E5F">
        <w:rPr>
          <w:rFonts w:eastAsia="MS Mincho"/>
          <w:sz w:val="20"/>
          <w:szCs w:val="20"/>
          <w:lang w:val="en-GB" w:eastAsia="ja-JP"/>
        </w:rPr>
        <w:t xml:space="preserve"> and in control signal timing</w:t>
      </w:r>
      <w:r w:rsidR="00F87D1A">
        <w:rPr>
          <w:rFonts w:eastAsia="MS Mincho"/>
          <w:sz w:val="20"/>
          <w:szCs w:val="20"/>
          <w:lang w:val="en-GB" w:eastAsia="ja-JP"/>
        </w:rPr>
        <w:t>.</w:t>
      </w:r>
    </w:p>
    <w:p w14:paraId="1D45074F" w14:textId="77777777" w:rsidR="00440FBC" w:rsidRDefault="006B3497" w:rsidP="00440FBC">
      <w:pPr>
        <w:pStyle w:val="ListParagraph"/>
        <w:numPr>
          <w:ilvl w:val="0"/>
          <w:numId w:val="12"/>
        </w:numPr>
        <w:jc w:val="both"/>
        <w:rPr>
          <w:rFonts w:eastAsia="MS Mincho"/>
          <w:lang w:eastAsia="ja-JP"/>
        </w:rPr>
      </w:pPr>
      <w:r>
        <w:rPr>
          <w:rFonts w:eastAsia="MS Mincho"/>
          <w:sz w:val="20"/>
          <w:szCs w:val="20"/>
          <w:lang w:val="en-GB" w:eastAsia="ja-JP"/>
        </w:rPr>
        <w:t>eNB or UE transmits reservation signal from channel access to the next slot boundary. However, reservation signal is unnecessary overhead.</w:t>
      </w:r>
    </w:p>
    <w:p w14:paraId="7C363384" w14:textId="77777777" w:rsidR="00440FBC" w:rsidRDefault="00440FBC" w:rsidP="00440FBC">
      <w:pPr>
        <w:overflowPunct/>
        <w:autoSpaceDE/>
        <w:autoSpaceDN/>
        <w:adjustRightInd/>
        <w:spacing w:after="0"/>
        <w:jc w:val="both"/>
        <w:textAlignment w:val="auto"/>
        <w:rPr>
          <w:rFonts w:eastAsia="MS Mincho"/>
          <w:lang w:eastAsia="ja-JP"/>
        </w:rPr>
      </w:pPr>
    </w:p>
    <w:p w14:paraId="00B173B2" w14:textId="77777777" w:rsidR="00A72ABD" w:rsidRDefault="00463F33" w:rsidP="00440FBC">
      <w:pPr>
        <w:overflowPunct/>
        <w:autoSpaceDE/>
        <w:autoSpaceDN/>
        <w:adjustRightInd/>
        <w:spacing w:after="0"/>
        <w:jc w:val="both"/>
        <w:textAlignment w:val="auto"/>
        <w:rPr>
          <w:rFonts w:eastAsia="MS Mincho"/>
          <w:lang w:eastAsia="ja-JP"/>
        </w:rPr>
      </w:pPr>
      <w:r>
        <w:rPr>
          <w:rFonts w:eastAsia="MS Mincho"/>
          <w:lang w:eastAsia="ja-JP"/>
        </w:rPr>
        <w:t xml:space="preserve">Mini-slot presents </w:t>
      </w:r>
      <w:r w:rsidR="00BC5A27">
        <w:rPr>
          <w:rFonts w:eastAsia="MS Mincho"/>
          <w:lang w:eastAsia="ja-JP"/>
        </w:rPr>
        <w:t xml:space="preserve">an </w:t>
      </w:r>
      <w:r>
        <w:rPr>
          <w:rFonts w:eastAsia="MS Mincho"/>
          <w:lang w:eastAsia="ja-JP"/>
        </w:rPr>
        <w:t>efficient way to reduce the time between the consecutive possible transmission starting positions. However, more frequent transmission starting positions increase control channel blind</w:t>
      </w:r>
      <w:r w:rsidR="00DB459D">
        <w:rPr>
          <w:rFonts w:eastAsia="MS Mincho"/>
          <w:lang w:eastAsia="ja-JP"/>
        </w:rPr>
        <w:t xml:space="preserve"> dec</w:t>
      </w:r>
      <w:r w:rsidR="009B59E5">
        <w:rPr>
          <w:rFonts w:eastAsia="MS Mincho"/>
          <w:lang w:eastAsia="ja-JP"/>
        </w:rPr>
        <w:t>oding burden on the UE side</w:t>
      </w:r>
      <w:r w:rsidR="00DB459D">
        <w:rPr>
          <w:rFonts w:eastAsia="MS Mincho"/>
          <w:lang w:eastAsia="ja-JP"/>
        </w:rPr>
        <w:t xml:space="preserve"> and reasonable</w:t>
      </w:r>
      <w:r>
        <w:rPr>
          <w:rFonts w:eastAsia="MS Mincho"/>
          <w:lang w:eastAsia="ja-JP"/>
        </w:rPr>
        <w:t xml:space="preserve"> trade-off between the control channel decoding burden and frequency of tra</w:t>
      </w:r>
      <w:r w:rsidR="00DB459D">
        <w:rPr>
          <w:rFonts w:eastAsia="MS Mincho"/>
          <w:lang w:eastAsia="ja-JP"/>
        </w:rPr>
        <w:t>nsmission starting positions is needed</w:t>
      </w:r>
      <w:r>
        <w:rPr>
          <w:rFonts w:eastAsia="MS Mincho"/>
          <w:lang w:eastAsia="ja-JP"/>
        </w:rPr>
        <w:t xml:space="preserve">. </w:t>
      </w:r>
      <w:r w:rsidR="00DB459D">
        <w:rPr>
          <w:rFonts w:eastAsia="MS Mincho"/>
          <w:lang w:eastAsia="ja-JP"/>
        </w:rPr>
        <w:t xml:space="preserve">The benefit from having transmission starting position intervals in the order of Clear Channel Assessment observation time (9us – 20us) is unclear. Instead transmission starting position intervals </w:t>
      </w:r>
      <w:r w:rsidR="00C571B4">
        <w:rPr>
          <w:rFonts w:eastAsia="MS Mincho"/>
          <w:lang w:eastAsia="ja-JP"/>
        </w:rPr>
        <w:t xml:space="preserve">that are </w:t>
      </w:r>
      <w:r w:rsidR="00DB459D">
        <w:rPr>
          <w:rFonts w:eastAsia="MS Mincho"/>
          <w:lang w:eastAsia="ja-JP"/>
        </w:rPr>
        <w:t>roughly an order of magnitude longer than CCA observation time could be investigated. It can be noted that the slot duration</w:t>
      </w:r>
      <w:r w:rsidR="00B510FE">
        <w:rPr>
          <w:rFonts w:eastAsia="MS Mincho"/>
          <w:lang w:eastAsia="ja-JP"/>
        </w:rPr>
        <w:t xml:space="preserve"> is already in that kind of order of magnitude</w:t>
      </w:r>
      <w:r w:rsidR="00DB459D">
        <w:rPr>
          <w:rFonts w:eastAsia="MS Mincho"/>
          <w:lang w:eastAsia="ja-JP"/>
        </w:rPr>
        <w:t xml:space="preserve"> with a large subcarrier spacing, e.g. 60 kHz, and </w:t>
      </w:r>
      <w:r w:rsidR="00DB459D">
        <w:rPr>
          <w:bCs/>
        </w:rPr>
        <w:t>slot length of 7 OFDMA symbols</w:t>
      </w:r>
      <w:r w:rsidR="00B510FE">
        <w:rPr>
          <w:bCs/>
        </w:rPr>
        <w:t xml:space="preserve">. </w:t>
      </w:r>
      <w:r w:rsidR="00B510FE">
        <w:rPr>
          <w:bCs/>
          <w:lang w:val="en-US"/>
        </w:rPr>
        <w:t>However, when operating with smaller subcarrier spacing, e.g. 15 kHz, mini-slot may provide a reasonable option for increasing the number of potential transmission starting positions on unlicensed band operation.</w:t>
      </w:r>
      <w:r w:rsidR="00DB459D">
        <w:rPr>
          <w:rFonts w:eastAsia="MS Mincho"/>
          <w:lang w:eastAsia="ja-JP"/>
        </w:rPr>
        <w:t xml:space="preserve"> </w:t>
      </w:r>
    </w:p>
    <w:p w14:paraId="46635CA4" w14:textId="32B01469" w:rsidR="00440FBC" w:rsidRDefault="00463F33" w:rsidP="00440FBC">
      <w:pPr>
        <w:overflowPunct/>
        <w:autoSpaceDE/>
        <w:autoSpaceDN/>
        <w:adjustRightInd/>
        <w:spacing w:after="0"/>
        <w:jc w:val="both"/>
        <w:textAlignment w:val="auto"/>
        <w:rPr>
          <w:rFonts w:eastAsia="MS Mincho"/>
          <w:lang w:eastAsia="ja-JP"/>
        </w:rPr>
      </w:pPr>
      <w:r>
        <w:rPr>
          <w:rFonts w:eastAsia="MS Mincho"/>
          <w:lang w:eastAsia="ja-JP"/>
        </w:rPr>
        <w:t xml:space="preserve">  </w:t>
      </w:r>
    </w:p>
    <w:p w14:paraId="772A7D07" w14:textId="04903ECE" w:rsidR="00A72ABD" w:rsidRPr="00C53569" w:rsidRDefault="00A72ABD" w:rsidP="00A72ABD">
      <w:pPr>
        <w:rPr>
          <w:rFonts w:ascii="Calibri" w:hAnsi="Calibri"/>
          <w:sz w:val="22"/>
          <w:szCs w:val="22"/>
          <w:lang w:val="en-US"/>
        </w:rPr>
      </w:pPr>
      <w:r w:rsidRPr="00C53569">
        <w:rPr>
          <w:b/>
          <w:bCs/>
        </w:rPr>
        <w:lastRenderedPageBreak/>
        <w:t>Observation #2</w:t>
      </w:r>
      <w:r w:rsidRPr="00C53569">
        <w:t xml:space="preserve">: </w:t>
      </w:r>
      <w:r w:rsidRPr="00C53569">
        <w:rPr>
          <w:i/>
          <w:iCs/>
        </w:rPr>
        <w:t>Mini-slot provides a way to reduce the time between the consecutive possible transmission starting positions when operating on unlicensed band</w:t>
      </w:r>
    </w:p>
    <w:p w14:paraId="6CE5EBFF" w14:textId="77777777" w:rsidR="00440FBC" w:rsidRDefault="00440FBC" w:rsidP="00440FBC">
      <w:pPr>
        <w:overflowPunct/>
        <w:autoSpaceDE/>
        <w:autoSpaceDN/>
        <w:adjustRightInd/>
        <w:spacing w:after="0"/>
        <w:jc w:val="both"/>
        <w:textAlignment w:val="auto"/>
        <w:rPr>
          <w:rFonts w:eastAsia="MS Mincho"/>
          <w:lang w:eastAsia="ja-JP"/>
        </w:rPr>
      </w:pPr>
    </w:p>
    <w:p w14:paraId="102810A7" w14:textId="77777777" w:rsidR="00917962" w:rsidRDefault="00917962" w:rsidP="00917962">
      <w:pPr>
        <w:spacing w:after="120"/>
        <w:jc w:val="both"/>
      </w:pPr>
      <w:r>
        <w:t>When gNB is contending for channel access on unlicensed band, eNB needs to have a mini-slot or slot ready for transmission, but it does not know when it can access channel and transmit the prepared mini-slot/slot. If mini-slot structure depends on the time, e.g. in terms of scrambling or pilot positions, eNB needs to repeatedly re-build mini-slots with the same data while it is contending for channel access. A simpler implementation is achieved if eNB can build a mini-slot only once and then wait for channel access. This is possible if mini-slot structure/signal does not depend on time. Of course, this presents challenges for multiplexing of periodic signals to mini-slots, which requires further studies. Also uncompromised inter-cell interference randomization via scrambling may be needed in some scenarios, implying that the time dependency/independency of mini-slot structure could be a configurable option.</w:t>
      </w:r>
    </w:p>
    <w:p w14:paraId="6C137ED4" w14:textId="40D330F6" w:rsidR="00917962" w:rsidRDefault="00917962" w:rsidP="00917962">
      <w:pPr>
        <w:spacing w:after="120"/>
        <w:jc w:val="both"/>
        <w:rPr>
          <w:i/>
        </w:rPr>
      </w:pPr>
      <w:r>
        <w:rPr>
          <w:b/>
        </w:rPr>
        <w:t xml:space="preserve">Proposal </w:t>
      </w:r>
      <w:r w:rsidRPr="0097587B">
        <w:rPr>
          <w:b/>
        </w:rPr>
        <w:t>#</w:t>
      </w:r>
      <w:r>
        <w:rPr>
          <w:b/>
        </w:rPr>
        <w:t>1</w:t>
      </w:r>
      <w:r>
        <w:t xml:space="preserve">: </w:t>
      </w:r>
      <w:r>
        <w:rPr>
          <w:i/>
        </w:rPr>
        <w:t xml:space="preserve">Possibilities for mini-slot structure independent from time are investigated.  </w:t>
      </w:r>
    </w:p>
    <w:p w14:paraId="15699FE7" w14:textId="77777777" w:rsidR="00917962" w:rsidRDefault="00917962" w:rsidP="00440FBC">
      <w:pPr>
        <w:overflowPunct/>
        <w:autoSpaceDE/>
        <w:autoSpaceDN/>
        <w:adjustRightInd/>
        <w:spacing w:after="0"/>
        <w:jc w:val="both"/>
        <w:textAlignment w:val="auto"/>
        <w:rPr>
          <w:rFonts w:eastAsia="MS Mincho"/>
          <w:lang w:eastAsia="ja-JP"/>
        </w:rPr>
      </w:pPr>
    </w:p>
    <w:p w14:paraId="416B2DFA" w14:textId="50E50584" w:rsidR="00BA3C59" w:rsidRPr="00917962" w:rsidRDefault="00BA3C59" w:rsidP="00BA3C59">
      <w:pPr>
        <w:pStyle w:val="Heading2"/>
        <w:rPr>
          <w:sz w:val="24"/>
        </w:rPr>
      </w:pPr>
      <w:r w:rsidRPr="00917962">
        <w:rPr>
          <w:sz w:val="24"/>
          <w:lang w:eastAsia="zh-CN"/>
        </w:rPr>
        <w:t>2.3</w:t>
      </w:r>
      <w:r w:rsidRPr="00917962">
        <w:rPr>
          <w:sz w:val="24"/>
        </w:rPr>
        <w:tab/>
        <w:t xml:space="preserve">Mm-wave band operation </w:t>
      </w:r>
    </w:p>
    <w:p w14:paraId="729D6729" w14:textId="7230655A" w:rsidR="00BA3C59" w:rsidRPr="0035785F" w:rsidRDefault="00BA3C59" w:rsidP="00BA3C59">
      <w:pPr>
        <w:rPr>
          <w:lang w:val="en-US"/>
        </w:rPr>
      </w:pPr>
      <w:r>
        <w:t xml:space="preserve">The beamforming architecture used in the </w:t>
      </w:r>
      <w:r w:rsidR="00EF5929">
        <w:t>gNB</w:t>
      </w:r>
      <w:r>
        <w:t xml:space="preserve"> needs to be taken into account also in the mini-slot design. </w:t>
      </w:r>
      <w:r w:rsidRPr="0035785F">
        <w:rPr>
          <w:lang w:val="en-US"/>
        </w:rPr>
        <w:t>Typical characteristics for hybrid beamforming operating with limited number of RF beams in parallel</w:t>
      </w:r>
      <w:r>
        <w:rPr>
          <w:lang w:val="en-US"/>
        </w:rPr>
        <w:t xml:space="preserve"> is</w:t>
      </w:r>
      <w:r w:rsidRPr="0035785F">
        <w:rPr>
          <w:lang w:val="en-US"/>
        </w:rPr>
        <w:t xml:space="preserve"> that</w:t>
      </w:r>
      <w:r>
        <w:rPr>
          <w:lang w:val="en-US"/>
        </w:rPr>
        <w:t xml:space="preserve"> the beams</w:t>
      </w:r>
      <w:r w:rsidRPr="0035785F">
        <w:rPr>
          <w:lang w:val="en-US"/>
        </w:rPr>
        <w:t xml:space="preserve"> can cover only portion of the cell coverage at a time as shown </w:t>
      </w:r>
      <w:r>
        <w:rPr>
          <w:lang w:val="en-US"/>
        </w:rPr>
        <w:t xml:space="preserve">in Figure 1. In this example the </w:t>
      </w:r>
      <w:r w:rsidRPr="0035785F">
        <w:rPr>
          <w:lang w:val="en-US"/>
        </w:rPr>
        <w:t>BS has capability to form 2 RF beams at a time. The narrow</w:t>
      </w:r>
      <w:r>
        <w:rPr>
          <w:lang w:val="en-US"/>
        </w:rPr>
        <w:t>er a</w:t>
      </w:r>
      <w:r w:rsidRPr="0035785F">
        <w:rPr>
          <w:lang w:val="en-US"/>
        </w:rPr>
        <w:t xml:space="preserve"> beam the less UEs can share the same beam and thus given the low number of available high accuracy and large bandwidth TXRUs, the multiplexing capacity will be limited by the number of TXRUs. </w:t>
      </w:r>
    </w:p>
    <w:p w14:paraId="3B1A6FBA" w14:textId="0233F089" w:rsidR="00BA3C59" w:rsidRDefault="00BA3C59" w:rsidP="009F2493">
      <w:pPr>
        <w:rPr>
          <w:lang w:val="en-US"/>
        </w:rPr>
      </w:pPr>
      <w:r w:rsidRPr="0035785F">
        <w:rPr>
          <w:lang w:val="en-US"/>
        </w:rPr>
        <w:t xml:space="preserve">Considering </w:t>
      </w:r>
      <w:r>
        <w:rPr>
          <w:lang w:val="en-US"/>
        </w:rPr>
        <w:t>physical layer design, and taking into account the hardware limitation, it should be possible to facilitate efficient TDM within slot, in order to get reasonable payload</w:t>
      </w:r>
      <w:r w:rsidR="003F7904">
        <w:rPr>
          <w:lang w:val="en-US"/>
        </w:rPr>
        <w:t xml:space="preserve"> sizes</w:t>
      </w:r>
      <w:r>
        <w:rPr>
          <w:lang w:val="en-US"/>
        </w:rPr>
        <w:t xml:space="preserve"> for DL and UL shared channels. Mini-slot can be seen as a solution to facilitate TDM within a slot in an efficient manner.</w:t>
      </w:r>
    </w:p>
    <w:p w14:paraId="30F31CAF" w14:textId="77777777" w:rsidR="00BA3C59" w:rsidRPr="0035785F" w:rsidRDefault="00BA3C59" w:rsidP="00BA3C59">
      <w:pPr>
        <w:jc w:val="center"/>
      </w:pPr>
      <w:r w:rsidRPr="00CF393D">
        <w:rPr>
          <w:noProof/>
          <w:lang w:val="en-US"/>
        </w:rPr>
        <w:drawing>
          <wp:inline distT="0" distB="0" distL="0" distR="0" wp14:anchorId="79A02197" wp14:editId="06492A34">
            <wp:extent cx="596626" cy="1193251"/>
            <wp:effectExtent l="6350" t="0" r="63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rot="16200000">
                      <a:off x="0" y="0"/>
                      <a:ext cx="607642" cy="1215282"/>
                    </a:xfrm>
                    <a:prstGeom prst="rect">
                      <a:avLst/>
                    </a:prstGeom>
                  </pic:spPr>
                </pic:pic>
              </a:graphicData>
            </a:graphic>
          </wp:inline>
        </w:drawing>
      </w:r>
    </w:p>
    <w:p w14:paraId="44483FB5" w14:textId="5BF51B87" w:rsidR="00BA3C59" w:rsidRPr="0035785F" w:rsidRDefault="00DA2DFD" w:rsidP="00BA3C59">
      <w:pPr>
        <w:spacing w:before="120" w:after="120"/>
        <w:jc w:val="center"/>
        <w:rPr>
          <w:b/>
          <w:lang w:val="en-US" w:eastAsia="x-none"/>
        </w:rPr>
      </w:pPr>
      <w:r w:rsidRPr="00DA2DFD">
        <w:rPr>
          <w:b/>
        </w:rPr>
        <w:t xml:space="preserve">Figure </w:t>
      </w:r>
      <w:r w:rsidRPr="00DA2DFD">
        <w:rPr>
          <w:b/>
        </w:rPr>
        <w:fldChar w:fldCharType="begin"/>
      </w:r>
      <w:r w:rsidRPr="00DA2DFD">
        <w:rPr>
          <w:b/>
        </w:rPr>
        <w:instrText xml:space="preserve"> SEQ Figure \* ARABIC </w:instrText>
      </w:r>
      <w:r w:rsidRPr="00DA2DFD">
        <w:rPr>
          <w:b/>
        </w:rPr>
        <w:fldChar w:fldCharType="separate"/>
      </w:r>
      <w:r w:rsidRPr="00DA2DFD">
        <w:rPr>
          <w:b/>
          <w:noProof/>
        </w:rPr>
        <w:t>1</w:t>
      </w:r>
      <w:r w:rsidRPr="00DA2DFD">
        <w:rPr>
          <w:b/>
          <w:noProof/>
        </w:rPr>
        <w:fldChar w:fldCharType="end"/>
      </w:r>
      <w:r w:rsidRPr="00DA2DFD">
        <w:rPr>
          <w:b/>
          <w:lang w:val="en-US"/>
        </w:rPr>
        <w:t>.</w:t>
      </w:r>
      <w:r w:rsidRPr="00334CDE">
        <w:rPr>
          <w:lang w:val="en-US"/>
        </w:rPr>
        <w:t xml:space="preserve"> </w:t>
      </w:r>
      <w:r w:rsidR="00BA3C59" w:rsidRPr="0035785F">
        <w:rPr>
          <w:b/>
          <w:lang w:val="en-US" w:eastAsia="x-none"/>
        </w:rPr>
        <w:t>Sector coverage using limited number of narrow RF beams at a time.</w:t>
      </w:r>
    </w:p>
    <w:p w14:paraId="07928731" w14:textId="77777777" w:rsidR="00BA3C59" w:rsidRDefault="00BA3C59" w:rsidP="00440FBC">
      <w:pPr>
        <w:overflowPunct/>
        <w:autoSpaceDE/>
        <w:autoSpaceDN/>
        <w:adjustRightInd/>
        <w:spacing w:after="0"/>
        <w:jc w:val="both"/>
        <w:textAlignment w:val="auto"/>
        <w:rPr>
          <w:rFonts w:eastAsia="MS Mincho"/>
          <w:lang w:val="en-US" w:eastAsia="ja-JP"/>
        </w:rPr>
      </w:pPr>
    </w:p>
    <w:p w14:paraId="5F593EA6" w14:textId="36FA5403" w:rsidR="00BA3C59" w:rsidRDefault="00BA3C59" w:rsidP="00BA3C59">
      <w:pPr>
        <w:rPr>
          <w:i/>
        </w:rPr>
      </w:pPr>
      <w:r>
        <w:rPr>
          <w:b/>
          <w:i/>
        </w:rPr>
        <w:t>Observation #</w:t>
      </w:r>
      <w:r w:rsidR="00A72ABD">
        <w:rPr>
          <w:b/>
          <w:i/>
        </w:rPr>
        <w:t>3</w:t>
      </w:r>
      <w:r>
        <w:t>:</w:t>
      </w:r>
      <w:r w:rsidR="00EF5929">
        <w:rPr>
          <w:i/>
        </w:rPr>
        <w:t xml:space="preserve"> Mini-slot can be used to facilitate efficient TDM within a slot when operating in mm-wave band using hybrid beamforming architecture.  </w:t>
      </w:r>
      <w:r>
        <w:rPr>
          <w:i/>
        </w:rPr>
        <w:t xml:space="preserve"> </w:t>
      </w:r>
    </w:p>
    <w:p w14:paraId="141698D6" w14:textId="77777777" w:rsidR="00917962" w:rsidRDefault="00917962" w:rsidP="00BA3C59">
      <w:pPr>
        <w:rPr>
          <w:i/>
        </w:rPr>
      </w:pPr>
    </w:p>
    <w:p w14:paraId="40ECA9B7" w14:textId="703D92FF" w:rsidR="00917962" w:rsidRPr="00917962" w:rsidRDefault="00D0038C" w:rsidP="00917962">
      <w:pPr>
        <w:pStyle w:val="Heading2"/>
        <w:rPr>
          <w:sz w:val="24"/>
          <w:lang w:val="en-US" w:eastAsia="ja-JP"/>
        </w:rPr>
      </w:pPr>
      <w:r>
        <w:rPr>
          <w:sz w:val="24"/>
          <w:lang w:val="en-US" w:eastAsia="ja-JP"/>
        </w:rPr>
        <w:t>2</w:t>
      </w:r>
      <w:r w:rsidR="00917962" w:rsidRPr="00917962">
        <w:rPr>
          <w:sz w:val="24"/>
          <w:lang w:val="en-US" w:eastAsia="ja-JP"/>
        </w:rPr>
        <w:t>.</w:t>
      </w:r>
      <w:r w:rsidR="00917962">
        <w:rPr>
          <w:sz w:val="24"/>
          <w:lang w:val="en-US" w:eastAsia="ja-JP"/>
        </w:rPr>
        <w:t>4</w:t>
      </w:r>
      <w:r w:rsidR="00917962" w:rsidRPr="00917962">
        <w:rPr>
          <w:sz w:val="24"/>
          <w:lang w:val="en-US" w:eastAsia="ja-JP"/>
        </w:rPr>
        <w:tab/>
      </w:r>
      <w:r w:rsidR="00917962">
        <w:rPr>
          <w:sz w:val="24"/>
          <w:lang w:val="en-US" w:eastAsia="ja-JP"/>
        </w:rPr>
        <w:t>Connection between UL waveform and mini-slot</w:t>
      </w:r>
    </w:p>
    <w:p w14:paraId="2D558FE8" w14:textId="62A2A9A3" w:rsidR="00917962" w:rsidRDefault="00917962" w:rsidP="00917962">
      <w:pPr>
        <w:spacing w:after="120"/>
        <w:jc w:val="both"/>
        <w:rPr>
          <w:rFonts w:eastAsia="MS Mincho"/>
          <w:lang w:val="en-US" w:eastAsia="ja-JP"/>
        </w:rPr>
      </w:pPr>
      <w:r>
        <w:rPr>
          <w:bCs/>
        </w:rPr>
        <w:t>It was agreed in RAN1#86bis that “</w:t>
      </w:r>
      <w:r w:rsidRPr="00375420">
        <w:rPr>
          <w:rFonts w:eastAsia="MS Mincho"/>
          <w:i/>
          <w:lang w:val="en-US" w:eastAsia="ja-JP"/>
        </w:rPr>
        <w:t>NR Support DFT-S-OFDM based waveform complementary to CP-OFDM waveform, at least for eMBB uplink for up to 40GHz</w:t>
      </w:r>
      <w:r>
        <w:rPr>
          <w:rFonts w:eastAsia="MS Mincho"/>
          <w:lang w:val="en-US" w:eastAsia="ja-JP"/>
        </w:rPr>
        <w:t xml:space="preserve">”. The main motivation behind DFT-S-OFDM is to provide at least the same link budget (i.e. MCL) </w:t>
      </w:r>
      <w:r w:rsidR="008F5FD1">
        <w:rPr>
          <w:rFonts w:eastAsia="MS Mincho"/>
          <w:lang w:val="en-US" w:eastAsia="ja-JP"/>
        </w:rPr>
        <w:t>for the new radio compared to</w:t>
      </w:r>
      <w:r>
        <w:rPr>
          <w:rFonts w:eastAsia="MS Mincho"/>
          <w:lang w:val="en-US" w:eastAsia="ja-JP"/>
        </w:rPr>
        <w:t xml:space="preserve"> LTE UL. On the other hand, it is commonly understood, that mini-slot </w:t>
      </w:r>
      <w:r w:rsidR="008F5FD1">
        <w:rPr>
          <w:rFonts w:eastAsia="MS Mincho"/>
          <w:lang w:val="en-US" w:eastAsia="ja-JP"/>
        </w:rPr>
        <w:t xml:space="preserve">does not provide coverage benefit </w:t>
      </w:r>
      <w:r>
        <w:rPr>
          <w:rFonts w:eastAsia="MS Mincho"/>
          <w:lang w:val="en-US" w:eastAsia="ja-JP"/>
        </w:rPr>
        <w:t>for link budget limited scenarios</w:t>
      </w:r>
      <w:r w:rsidR="008F5FD1">
        <w:rPr>
          <w:rFonts w:eastAsia="MS Mincho"/>
          <w:lang w:val="en-US" w:eastAsia="ja-JP"/>
        </w:rPr>
        <w:t xml:space="preserve"> in UL (</w:t>
      </w:r>
      <w:r w:rsidR="00FE15BF">
        <w:rPr>
          <w:rFonts w:eastAsia="MS Mincho"/>
          <w:lang w:val="en-US" w:eastAsia="ja-JP"/>
        </w:rPr>
        <w:t xml:space="preserve">e.g. </w:t>
      </w:r>
      <w:r w:rsidR="008F5FD1">
        <w:rPr>
          <w:rFonts w:eastAsia="MS Mincho"/>
          <w:lang w:val="en-US" w:eastAsia="ja-JP"/>
        </w:rPr>
        <w:t>compared to slot based operation), simply because of the short transmission time</w:t>
      </w:r>
      <w:r>
        <w:rPr>
          <w:rFonts w:eastAsia="MS Mincho"/>
          <w:lang w:val="en-US" w:eastAsia="ja-JP"/>
        </w:rPr>
        <w:t xml:space="preserve">. Furthermore, single carrier limitation can be seen as a considerable constraint for the mini-slot design e.g. when considering multiplexing between control and data within the mini slot. </w:t>
      </w:r>
      <w:r w:rsidR="008F5FD1">
        <w:rPr>
          <w:rFonts w:eastAsia="MS Mincho"/>
          <w:lang w:val="en-US" w:eastAsia="ja-JP"/>
        </w:rPr>
        <w:t>Based on the discussion, we make the following proposal [</w:t>
      </w:r>
      <w:r w:rsidR="00FE15BF">
        <w:rPr>
          <w:rFonts w:eastAsia="MS Mincho"/>
          <w:lang w:val="en-US" w:eastAsia="ja-JP"/>
        </w:rPr>
        <w:t>5</w:t>
      </w:r>
      <w:r w:rsidR="008F5FD1">
        <w:rPr>
          <w:rFonts w:eastAsia="MS Mincho"/>
          <w:lang w:val="en-US" w:eastAsia="ja-JP"/>
        </w:rPr>
        <w:t>]</w:t>
      </w:r>
      <w:r w:rsidR="00FE15BF">
        <w:rPr>
          <w:rFonts w:eastAsia="MS Mincho"/>
          <w:lang w:val="en-US" w:eastAsia="ja-JP"/>
        </w:rPr>
        <w:t>.</w:t>
      </w:r>
    </w:p>
    <w:p w14:paraId="467E9398" w14:textId="0E2D3184" w:rsidR="00917962" w:rsidRDefault="00917962" w:rsidP="00917962">
      <w:pPr>
        <w:jc w:val="both"/>
        <w:rPr>
          <w:lang w:val="en-US"/>
        </w:rPr>
      </w:pPr>
      <w:r>
        <w:rPr>
          <w:b/>
          <w:i/>
        </w:rPr>
        <w:t>Proposal #2</w:t>
      </w:r>
      <w:r>
        <w:t xml:space="preserve">: </w:t>
      </w:r>
      <w:r w:rsidR="001B43FB">
        <w:rPr>
          <w:i/>
        </w:rPr>
        <w:t xml:space="preserve">Mini-slot </w:t>
      </w:r>
      <w:r w:rsidR="001B43FB" w:rsidRPr="001C5F88">
        <w:rPr>
          <w:i/>
        </w:rPr>
        <w:t>design is based on CP-OFDM, not DFT-S-OFDM, at least in NR Phase I</w:t>
      </w:r>
      <w:r w:rsidR="001B43FB">
        <w:rPr>
          <w:i/>
        </w:rPr>
        <w:t>.</w:t>
      </w:r>
      <w:bookmarkStart w:id="0" w:name="_GoBack"/>
      <w:bookmarkEnd w:id="0"/>
    </w:p>
    <w:p w14:paraId="2C0E7008" w14:textId="77777777" w:rsidR="00917962" w:rsidRDefault="00917962" w:rsidP="00BA3C59">
      <w:pPr>
        <w:rPr>
          <w:lang w:val="en-US"/>
        </w:rPr>
      </w:pPr>
    </w:p>
    <w:p w14:paraId="4A06725C" w14:textId="165E68B6" w:rsidR="0034111C" w:rsidRPr="00A51522" w:rsidRDefault="0091796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45E10EE" w14:textId="1F60299B" w:rsidR="00B07E52" w:rsidRDefault="003D3FBA" w:rsidP="00496E75">
      <w:pPr>
        <w:jc w:val="both"/>
      </w:pPr>
      <w:r w:rsidRPr="00A51522">
        <w:t xml:space="preserve">In this contribution we have discussed </w:t>
      </w:r>
      <w:r w:rsidR="00C01DD5">
        <w:rPr>
          <w:bCs/>
        </w:rPr>
        <w:t xml:space="preserve">the </w:t>
      </w:r>
      <w:r w:rsidR="00FE15BF">
        <w:rPr>
          <w:bCs/>
        </w:rPr>
        <w:t>mini-slot usage scenarios in the new radio</w:t>
      </w:r>
      <w:r w:rsidR="00B07E52" w:rsidRPr="00B07E52">
        <w:t>.</w:t>
      </w:r>
      <w:r w:rsidR="00B07E52">
        <w:t xml:space="preserve"> Based on the discussion, we make the following </w:t>
      </w:r>
      <w:r w:rsidR="00C01DD5">
        <w:t>observation</w:t>
      </w:r>
      <w:r w:rsidR="003F7904">
        <w:t>s</w:t>
      </w:r>
      <w:r w:rsidR="00FE15BF">
        <w:t xml:space="preserve"> and proposals</w:t>
      </w:r>
      <w:r w:rsidR="00B07E52">
        <w:t>:</w:t>
      </w:r>
    </w:p>
    <w:p w14:paraId="1CD142C1" w14:textId="77777777" w:rsidR="00A72ABD" w:rsidRPr="000D776F" w:rsidRDefault="00A72ABD" w:rsidP="00A72ABD">
      <w:pPr>
        <w:rPr>
          <w:rFonts w:ascii="Calibri" w:hAnsi="Calibri"/>
          <w:sz w:val="22"/>
          <w:szCs w:val="22"/>
          <w:lang w:val="en-US"/>
        </w:rPr>
      </w:pPr>
      <w:r w:rsidRPr="000D776F">
        <w:rPr>
          <w:b/>
          <w:bCs/>
        </w:rPr>
        <w:t>Observation #1</w:t>
      </w:r>
      <w:r w:rsidRPr="000D776F">
        <w:t xml:space="preserve">: </w:t>
      </w:r>
      <w:r w:rsidRPr="000D776F">
        <w:rPr>
          <w:i/>
          <w:iCs/>
        </w:rPr>
        <w:t>15 kHz subcarrier spacing can be seen as the most relevant mini-slot scenario from latency point of view</w:t>
      </w:r>
    </w:p>
    <w:p w14:paraId="5E89EB04" w14:textId="17F9C607" w:rsidR="00A72ABD" w:rsidRPr="000D776F" w:rsidRDefault="00A72ABD" w:rsidP="00A72ABD">
      <w:pPr>
        <w:rPr>
          <w:rFonts w:ascii="Calibri" w:hAnsi="Calibri"/>
          <w:sz w:val="22"/>
          <w:szCs w:val="22"/>
          <w:lang w:val="en-US"/>
        </w:rPr>
      </w:pPr>
      <w:r w:rsidRPr="000D776F">
        <w:rPr>
          <w:b/>
          <w:bCs/>
        </w:rPr>
        <w:lastRenderedPageBreak/>
        <w:t>Observation #2</w:t>
      </w:r>
      <w:r w:rsidRPr="000D776F">
        <w:t xml:space="preserve">: </w:t>
      </w:r>
      <w:r w:rsidRPr="000D776F">
        <w:rPr>
          <w:i/>
          <w:iCs/>
        </w:rPr>
        <w:t>Mini-slot provides a way to reduce the time between the consecutive possible transmission starting positions when operating on unlicensed band</w:t>
      </w:r>
    </w:p>
    <w:p w14:paraId="201FD05D" w14:textId="642EB236" w:rsidR="003F7904" w:rsidRDefault="003F7904" w:rsidP="003F7904">
      <w:pPr>
        <w:rPr>
          <w:i/>
        </w:rPr>
      </w:pPr>
      <w:r>
        <w:rPr>
          <w:b/>
          <w:i/>
        </w:rPr>
        <w:t>Observation #</w:t>
      </w:r>
      <w:r w:rsidR="00FE15BF">
        <w:rPr>
          <w:b/>
          <w:i/>
        </w:rPr>
        <w:t>3</w:t>
      </w:r>
      <w:r>
        <w:t>:</w:t>
      </w:r>
      <w:r>
        <w:rPr>
          <w:i/>
        </w:rPr>
        <w:t xml:space="preserve"> Mini-slot can be used to facilitate efficient TDM within a slot when operating in mm-wave band using hybrid beamforming architecture.   </w:t>
      </w:r>
    </w:p>
    <w:p w14:paraId="1C9C9FD3" w14:textId="77777777" w:rsidR="00D14D82" w:rsidRDefault="00D14D82" w:rsidP="00D14D82">
      <w:pPr>
        <w:spacing w:after="120"/>
        <w:jc w:val="both"/>
        <w:rPr>
          <w:i/>
        </w:rPr>
      </w:pPr>
      <w:r>
        <w:rPr>
          <w:b/>
        </w:rPr>
        <w:t xml:space="preserve">Proposal </w:t>
      </w:r>
      <w:r w:rsidRPr="00D14D82">
        <w:rPr>
          <w:b/>
          <w:i/>
        </w:rPr>
        <w:t>#1</w:t>
      </w:r>
      <w:r>
        <w:t xml:space="preserve">: </w:t>
      </w:r>
      <w:r>
        <w:rPr>
          <w:i/>
        </w:rPr>
        <w:t xml:space="preserve">Possibilities for mini-slot structure independent from time are investigated.  </w:t>
      </w:r>
    </w:p>
    <w:p w14:paraId="4A874569" w14:textId="46E76C34" w:rsidR="00D14D82" w:rsidRDefault="00D14D82" w:rsidP="00D14D82">
      <w:pPr>
        <w:jc w:val="both"/>
        <w:rPr>
          <w:lang w:val="en-US"/>
        </w:rPr>
      </w:pPr>
      <w:r>
        <w:rPr>
          <w:b/>
          <w:i/>
        </w:rPr>
        <w:t xml:space="preserve">Proposal </w:t>
      </w:r>
      <w:r w:rsidRPr="002D072A">
        <w:rPr>
          <w:b/>
          <w:i/>
        </w:rPr>
        <w:t>#2</w:t>
      </w:r>
      <w:r>
        <w:t xml:space="preserve">: </w:t>
      </w:r>
      <w:r w:rsidR="005A73E5">
        <w:rPr>
          <w:i/>
        </w:rPr>
        <w:t xml:space="preserve">Mini-slot </w:t>
      </w:r>
      <w:r w:rsidR="005A73E5" w:rsidRPr="001C5F88">
        <w:rPr>
          <w:i/>
        </w:rPr>
        <w:t>design is based on CP-OFDM, not DFT-S-OFDM, at least in NR Phase I</w:t>
      </w:r>
    </w:p>
    <w:p w14:paraId="068CBB2A" w14:textId="77777777" w:rsidR="0034111C" w:rsidRPr="00A51522" w:rsidRDefault="0034111C">
      <w:pPr>
        <w:pStyle w:val="Heading1"/>
      </w:pPr>
      <w:r w:rsidRPr="00A51522">
        <w:t>References</w:t>
      </w:r>
      <w:r w:rsidR="00A2459D" w:rsidRPr="00A51522">
        <w:t xml:space="preserve"> </w:t>
      </w:r>
    </w:p>
    <w:p w14:paraId="5FF4FBD2"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46D7EA8"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1F6B9354" w14:textId="557A1A9A" w:rsidR="00D14D82" w:rsidRPr="000A27D3" w:rsidRDefault="00D14D82" w:rsidP="00D14D82">
      <w:pPr>
        <w:pStyle w:val="ListParagraph"/>
        <w:numPr>
          <w:ilvl w:val="0"/>
          <w:numId w:val="1"/>
        </w:numPr>
        <w:rPr>
          <w:sz w:val="18"/>
          <w:szCs w:val="20"/>
          <w:lang w:val="en-US" w:eastAsia="en-US"/>
        </w:rPr>
      </w:pPr>
      <w:r w:rsidRPr="000A27D3">
        <w:rPr>
          <w:sz w:val="18"/>
          <w:szCs w:val="20"/>
          <w:lang w:val="en-US" w:eastAsia="en-US"/>
        </w:rPr>
        <w:t>R1-</w:t>
      </w:r>
      <w:r w:rsidR="007846A3" w:rsidRPr="000A27D3">
        <w:rPr>
          <w:sz w:val="18"/>
          <w:szCs w:val="20"/>
          <w:lang w:val="en-US" w:eastAsia="en-US"/>
        </w:rPr>
        <w:t>17</w:t>
      </w:r>
      <w:r w:rsidR="007846A3" w:rsidRPr="000A27D3">
        <w:rPr>
          <w:sz w:val="18"/>
          <w:szCs w:val="20"/>
          <w:lang w:val="en-US" w:eastAsia="en-US"/>
        </w:rPr>
        <w:t>01052</w:t>
      </w:r>
      <w:r w:rsidRPr="000A27D3">
        <w:rPr>
          <w:sz w:val="18"/>
          <w:szCs w:val="20"/>
          <w:lang w:val="en-US" w:eastAsia="en-US"/>
        </w:rPr>
        <w:t>, "</w:t>
      </w:r>
      <w:r w:rsidRPr="000A27D3">
        <w:rPr>
          <w:i/>
          <w:sz w:val="18"/>
          <w:szCs w:val="20"/>
          <w:lang w:val="en-US" w:eastAsia="en-US"/>
        </w:rPr>
        <w:t xml:space="preserve">On the mini-slot design in NR </w:t>
      </w:r>
      <w:r w:rsidRPr="000A27D3">
        <w:rPr>
          <w:sz w:val="18"/>
          <w:szCs w:val="20"/>
          <w:lang w:val="en-US" w:eastAsia="en-US"/>
        </w:rPr>
        <w:t>", Nokia, Alcatel-Lucent Shanghai Bell</w:t>
      </w:r>
    </w:p>
    <w:p w14:paraId="1D5A57F0" w14:textId="77777777" w:rsidR="00D14D82" w:rsidRPr="000A27D3" w:rsidRDefault="00D14D82" w:rsidP="00D14D82">
      <w:pPr>
        <w:pStyle w:val="ListParagraph"/>
        <w:ind w:left="357"/>
        <w:rPr>
          <w:sz w:val="18"/>
          <w:szCs w:val="20"/>
          <w:lang w:val="en-US" w:eastAsia="en-US"/>
        </w:rPr>
      </w:pPr>
    </w:p>
    <w:p w14:paraId="168F328E" w14:textId="77777777" w:rsidR="00FB1F5D" w:rsidRPr="000A27D3" w:rsidRDefault="00FB1F5D" w:rsidP="00FB1F5D">
      <w:pPr>
        <w:pStyle w:val="ListParagraph"/>
        <w:numPr>
          <w:ilvl w:val="0"/>
          <w:numId w:val="1"/>
        </w:numPr>
        <w:rPr>
          <w:sz w:val="18"/>
          <w:szCs w:val="20"/>
          <w:lang w:val="en-US" w:eastAsia="en-US"/>
        </w:rPr>
      </w:pPr>
      <w:r w:rsidRPr="000A27D3">
        <w:rPr>
          <w:sz w:val="18"/>
          <w:szCs w:val="20"/>
          <w:lang w:val="en-US" w:eastAsia="en-US"/>
        </w:rPr>
        <w:t>R1-</w:t>
      </w:r>
      <w:r w:rsidR="00375420" w:rsidRPr="000A27D3">
        <w:rPr>
          <w:sz w:val="18"/>
          <w:szCs w:val="20"/>
          <w:lang w:val="en-US" w:eastAsia="en-US"/>
        </w:rPr>
        <w:t>1612263</w:t>
      </w:r>
      <w:r w:rsidRPr="000A27D3">
        <w:rPr>
          <w:sz w:val="18"/>
          <w:szCs w:val="20"/>
          <w:lang w:val="en-US" w:eastAsia="en-US"/>
        </w:rPr>
        <w:t>, "</w:t>
      </w:r>
      <w:r w:rsidRPr="000A27D3">
        <w:rPr>
          <w:i/>
          <w:sz w:val="18"/>
          <w:szCs w:val="20"/>
          <w:lang w:val="en-US" w:eastAsia="en-US"/>
        </w:rPr>
        <w:t>Comparison of slot and mini-slot based approaches for URLLC</w:t>
      </w:r>
      <w:r w:rsidRPr="000A27D3">
        <w:rPr>
          <w:sz w:val="18"/>
          <w:szCs w:val="20"/>
          <w:lang w:val="en-US" w:eastAsia="en-US"/>
        </w:rPr>
        <w:t>", Nokia, Alcatel-Lucent Shanghai Bell</w:t>
      </w:r>
    </w:p>
    <w:p w14:paraId="2B5C32DA" w14:textId="77777777" w:rsidR="00E27730" w:rsidRPr="000A27D3" w:rsidRDefault="00E27730" w:rsidP="00375420">
      <w:pPr>
        <w:pStyle w:val="ListParagraph"/>
        <w:ind w:left="357"/>
        <w:rPr>
          <w:sz w:val="18"/>
          <w:szCs w:val="20"/>
          <w:lang w:val="en-US" w:eastAsia="en-US"/>
        </w:rPr>
      </w:pPr>
    </w:p>
    <w:p w14:paraId="0B179E1B" w14:textId="7792AFDD" w:rsidR="00E27730" w:rsidRDefault="007846A3">
      <w:pPr>
        <w:pStyle w:val="ListParagraph"/>
        <w:numPr>
          <w:ilvl w:val="0"/>
          <w:numId w:val="1"/>
        </w:numPr>
        <w:rPr>
          <w:sz w:val="18"/>
          <w:szCs w:val="20"/>
          <w:lang w:val="en-US" w:eastAsia="en-US"/>
        </w:rPr>
      </w:pPr>
      <w:r>
        <w:rPr>
          <w:sz w:val="18"/>
          <w:szCs w:val="20"/>
          <w:lang w:val="en-US" w:eastAsia="en-US"/>
        </w:rPr>
        <w:t>R1-</w:t>
      </w:r>
      <w:r w:rsidRPr="000A27D3">
        <w:rPr>
          <w:sz w:val="18"/>
          <w:szCs w:val="20"/>
          <w:lang w:val="en-US" w:eastAsia="en-US"/>
        </w:rPr>
        <w:t>1701017</w:t>
      </w:r>
      <w:r w:rsidR="00E27730" w:rsidRPr="000A27D3">
        <w:rPr>
          <w:sz w:val="18"/>
          <w:szCs w:val="20"/>
          <w:lang w:val="en-US" w:eastAsia="en-US"/>
        </w:rPr>
        <w:t>, "</w:t>
      </w:r>
      <w:r w:rsidR="00E27730" w:rsidRPr="000A27D3">
        <w:rPr>
          <w:i/>
          <w:sz w:val="18"/>
          <w:szCs w:val="20"/>
          <w:lang w:val="en-US" w:eastAsia="en-US"/>
        </w:rPr>
        <w:t>DFT</w:t>
      </w:r>
      <w:r w:rsidR="00E27730" w:rsidRPr="00375420">
        <w:rPr>
          <w:i/>
          <w:sz w:val="18"/>
          <w:szCs w:val="20"/>
          <w:lang w:val="en-US" w:eastAsia="en-US"/>
        </w:rPr>
        <w:t>-S-OFDM impacts in the NR UL design</w:t>
      </w:r>
      <w:r w:rsidR="00E27730" w:rsidRPr="00375420">
        <w:rPr>
          <w:sz w:val="18"/>
          <w:szCs w:val="20"/>
          <w:lang w:val="en-US" w:eastAsia="en-US"/>
        </w:rPr>
        <w:t>", Nokia, Alcatel-Lucent Shanghai Bell</w:t>
      </w:r>
    </w:p>
    <w:p w14:paraId="24191B2C" w14:textId="77777777" w:rsidR="00440FBC" w:rsidRDefault="00440FBC" w:rsidP="00440FBC">
      <w:pPr>
        <w:pStyle w:val="ListParagraph"/>
        <w:rPr>
          <w:sz w:val="18"/>
          <w:lang w:val="en-US"/>
        </w:rPr>
      </w:pPr>
    </w:p>
    <w:sectPr w:rsidR="00440FB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A61B1" w14:textId="77777777" w:rsidR="00452F3C" w:rsidRDefault="00452F3C">
      <w:r>
        <w:separator/>
      </w:r>
    </w:p>
  </w:endnote>
  <w:endnote w:type="continuationSeparator" w:id="0">
    <w:p w14:paraId="5549D2E4" w14:textId="77777777" w:rsidR="00452F3C" w:rsidRDefault="00452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53085" w14:textId="77777777" w:rsidR="00452F3C" w:rsidRDefault="00452F3C">
      <w:r>
        <w:separator/>
      </w:r>
    </w:p>
  </w:footnote>
  <w:footnote w:type="continuationSeparator" w:id="0">
    <w:p w14:paraId="63252104" w14:textId="77777777" w:rsidR="00452F3C" w:rsidRDefault="00452F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8C0C8A"/>
    <w:multiLevelType w:val="hybridMultilevel"/>
    <w:tmpl w:val="8820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C5213"/>
    <w:multiLevelType w:val="multilevel"/>
    <w:tmpl w:val="B442D9B4"/>
    <w:lvl w:ilvl="0">
      <w:start w:val="3"/>
      <w:numFmt w:val="decimal"/>
      <w:lvlText w:val="%1"/>
      <w:lvlJc w:val="left"/>
      <w:pPr>
        <w:ind w:left="450" w:hanging="450"/>
      </w:pPr>
      <w:rPr>
        <w:rFonts w:hint="default"/>
      </w:rPr>
    </w:lvl>
    <w:lvl w:ilvl="1">
      <w:start w:val="6"/>
      <w:numFmt w:val="decimal"/>
      <w:lvlText w:val="%1.%2"/>
      <w:lvlJc w:val="left"/>
      <w:pPr>
        <w:ind w:left="1590" w:hanging="45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280" w:hanging="72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4" w15:restartNumberingAfterBreak="0">
    <w:nsid w:val="132B0465"/>
    <w:multiLevelType w:val="multilevel"/>
    <w:tmpl w:val="66A8B8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7361D"/>
    <w:multiLevelType w:val="hybridMultilevel"/>
    <w:tmpl w:val="6BF89AD4"/>
    <w:lvl w:ilvl="0" w:tplc="01B01E00">
      <w:start w:val="1"/>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AD14C5B"/>
    <w:multiLevelType w:val="hybridMultilevel"/>
    <w:tmpl w:val="F53A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4CA6"/>
    <w:multiLevelType w:val="hybridMultilevel"/>
    <w:tmpl w:val="236A0E68"/>
    <w:lvl w:ilvl="0" w:tplc="1DB2A7F4">
      <w:start w:val="1"/>
      <w:numFmt w:val="bullet"/>
      <w:lvlText w:val="•"/>
      <w:lvlJc w:val="left"/>
      <w:pPr>
        <w:tabs>
          <w:tab w:val="num" w:pos="928"/>
        </w:tabs>
        <w:ind w:left="928" w:hanging="360"/>
      </w:pPr>
      <w:rPr>
        <w:rFonts w:ascii="Arial" w:hAnsi="Arial" w:hint="default"/>
      </w:rPr>
    </w:lvl>
    <w:lvl w:ilvl="1" w:tplc="C0F4D474">
      <w:start w:val="1"/>
      <w:numFmt w:val="bullet"/>
      <w:lvlText w:val="•"/>
      <w:lvlJc w:val="left"/>
      <w:pPr>
        <w:tabs>
          <w:tab w:val="num" w:pos="1648"/>
        </w:tabs>
        <w:ind w:left="1648" w:hanging="360"/>
      </w:pPr>
      <w:rPr>
        <w:rFonts w:ascii="Arial" w:hAnsi="Arial" w:hint="default"/>
      </w:rPr>
    </w:lvl>
    <w:lvl w:ilvl="2" w:tplc="DF381A8C">
      <w:start w:val="2387"/>
      <w:numFmt w:val="bullet"/>
      <w:lvlText w:val="•"/>
      <w:lvlJc w:val="left"/>
      <w:pPr>
        <w:tabs>
          <w:tab w:val="num" w:pos="2368"/>
        </w:tabs>
        <w:ind w:left="2368" w:hanging="360"/>
      </w:pPr>
      <w:rPr>
        <w:rFonts w:ascii="Arial" w:hAnsi="Arial" w:hint="default"/>
      </w:rPr>
    </w:lvl>
    <w:lvl w:ilvl="3" w:tplc="C6B0DFD0">
      <w:start w:val="2387"/>
      <w:numFmt w:val="bullet"/>
      <w:lvlText w:val="–"/>
      <w:lvlJc w:val="left"/>
      <w:pPr>
        <w:tabs>
          <w:tab w:val="num" w:pos="3088"/>
        </w:tabs>
        <w:ind w:left="3088" w:hanging="360"/>
      </w:pPr>
      <w:rPr>
        <w:rFonts w:ascii="Arial" w:hAnsi="Arial" w:hint="default"/>
      </w:rPr>
    </w:lvl>
    <w:lvl w:ilvl="4" w:tplc="F06A9B3C">
      <w:start w:val="1"/>
      <w:numFmt w:val="bullet"/>
      <w:lvlText w:val="•"/>
      <w:lvlJc w:val="left"/>
      <w:pPr>
        <w:tabs>
          <w:tab w:val="num" w:pos="3808"/>
        </w:tabs>
        <w:ind w:left="3808" w:hanging="360"/>
      </w:pPr>
      <w:rPr>
        <w:rFonts w:ascii="Arial" w:hAnsi="Arial" w:hint="default"/>
      </w:rPr>
    </w:lvl>
    <w:lvl w:ilvl="5" w:tplc="01F80496">
      <w:start w:val="3"/>
      <w:numFmt w:val="bullet"/>
      <w:lvlText w:val="-"/>
      <w:lvlJc w:val="left"/>
      <w:pPr>
        <w:ind w:left="4528" w:hanging="360"/>
      </w:pPr>
      <w:rPr>
        <w:rFonts w:ascii="Times New Roman" w:eastAsia="SimSun" w:hAnsi="Times New Roman" w:cs="Times New Roman" w:hint="default"/>
      </w:rPr>
    </w:lvl>
    <w:lvl w:ilvl="6" w:tplc="4E405E84" w:tentative="1">
      <w:start w:val="1"/>
      <w:numFmt w:val="bullet"/>
      <w:lvlText w:val="•"/>
      <w:lvlJc w:val="left"/>
      <w:pPr>
        <w:tabs>
          <w:tab w:val="num" w:pos="5248"/>
        </w:tabs>
        <w:ind w:left="5248" w:hanging="360"/>
      </w:pPr>
      <w:rPr>
        <w:rFonts w:ascii="Arial" w:hAnsi="Arial" w:hint="default"/>
      </w:rPr>
    </w:lvl>
    <w:lvl w:ilvl="7" w:tplc="813A0B78" w:tentative="1">
      <w:start w:val="1"/>
      <w:numFmt w:val="bullet"/>
      <w:lvlText w:val="•"/>
      <w:lvlJc w:val="left"/>
      <w:pPr>
        <w:tabs>
          <w:tab w:val="num" w:pos="5968"/>
        </w:tabs>
        <w:ind w:left="5968" w:hanging="360"/>
      </w:pPr>
      <w:rPr>
        <w:rFonts w:ascii="Arial" w:hAnsi="Arial" w:hint="default"/>
      </w:rPr>
    </w:lvl>
    <w:lvl w:ilvl="8" w:tplc="46DA8D22" w:tentative="1">
      <w:start w:val="1"/>
      <w:numFmt w:val="bullet"/>
      <w:lvlText w:val="•"/>
      <w:lvlJc w:val="left"/>
      <w:pPr>
        <w:tabs>
          <w:tab w:val="num" w:pos="6688"/>
        </w:tabs>
        <w:ind w:left="6688" w:hanging="360"/>
      </w:pPr>
      <w:rPr>
        <w:rFonts w:ascii="Arial" w:hAnsi="Arial"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FE3A9E"/>
    <w:multiLevelType w:val="hybridMultilevel"/>
    <w:tmpl w:val="F5A458D6"/>
    <w:lvl w:ilvl="0" w:tplc="01B01E00">
      <w:start w:val="1"/>
      <w:numFmt w:val="bullet"/>
      <w:lvlText w:val="•"/>
      <w:lvlJc w:val="left"/>
      <w:pPr>
        <w:ind w:left="720" w:hanging="360"/>
      </w:pPr>
      <w:rPr>
        <w:rFonts w:ascii="Times New Roman" w:hAnsi="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202EAC"/>
    <w:multiLevelType w:val="multilevel"/>
    <w:tmpl w:val="97064C88"/>
    <w:lvl w:ilvl="0">
      <w:start w:val="3"/>
      <w:numFmt w:val="decimal"/>
      <w:lvlText w:val="%1"/>
      <w:lvlJc w:val="left"/>
      <w:pPr>
        <w:ind w:left="450" w:hanging="450"/>
      </w:pPr>
      <w:rPr>
        <w:rFonts w:hint="default"/>
      </w:rPr>
    </w:lvl>
    <w:lvl w:ilvl="1">
      <w:start w:val="6"/>
      <w:numFmt w:val="decimal"/>
      <w:lvlText w:val="%1.%2"/>
      <w:lvlJc w:val="left"/>
      <w:pPr>
        <w:ind w:left="1590" w:hanging="45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280" w:hanging="72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7920" w:hanging="108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560" w:hanging="1440"/>
      </w:pPr>
      <w:rPr>
        <w:rFonts w:hint="default"/>
      </w:rPr>
    </w:lvl>
  </w:abstractNum>
  <w:abstractNum w:abstractNumId="15" w15:restartNumberingAfterBreak="0">
    <w:nsid w:val="471F36B1"/>
    <w:multiLevelType w:val="hybridMultilevel"/>
    <w:tmpl w:val="BF2A397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9E57F3"/>
    <w:multiLevelType w:val="hybridMultilevel"/>
    <w:tmpl w:val="9120D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31CE7"/>
    <w:multiLevelType w:val="hybridMultilevel"/>
    <w:tmpl w:val="FBC66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6E6951"/>
    <w:multiLevelType w:val="hybridMultilevel"/>
    <w:tmpl w:val="26AE609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6E07049"/>
    <w:multiLevelType w:val="hybridMultilevel"/>
    <w:tmpl w:val="F6AA7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7C52F0"/>
    <w:multiLevelType w:val="hybridMultilevel"/>
    <w:tmpl w:val="FED00170"/>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2" w15:restartNumberingAfterBreak="0">
    <w:nsid w:val="76712E8F"/>
    <w:multiLevelType w:val="hybridMultilevel"/>
    <w:tmpl w:val="70AAB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B67F73"/>
    <w:multiLevelType w:val="hybridMultilevel"/>
    <w:tmpl w:val="2C1EE2D0"/>
    <w:lvl w:ilvl="0" w:tplc="71D6B138">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A829A2"/>
    <w:multiLevelType w:val="hybridMultilevel"/>
    <w:tmpl w:val="CD5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5"/>
  </w:num>
  <w:num w:numId="4">
    <w:abstractNumId w:val="21"/>
  </w:num>
  <w:num w:numId="5">
    <w:abstractNumId w:val="1"/>
  </w:num>
  <w:num w:numId="6">
    <w:abstractNumId w:val="20"/>
  </w:num>
  <w:num w:numId="7">
    <w:abstractNumId w:val="17"/>
  </w:num>
  <w:num w:numId="8">
    <w:abstractNumId w:val="15"/>
  </w:num>
  <w:num w:numId="9">
    <w:abstractNumId w:val="22"/>
  </w:num>
  <w:num w:numId="10">
    <w:abstractNumId w:val="7"/>
  </w:num>
  <w:num w:numId="11">
    <w:abstractNumId w:val="19"/>
  </w:num>
  <w:num w:numId="12">
    <w:abstractNumId w:val="16"/>
  </w:num>
  <w:num w:numId="13">
    <w:abstractNumId w:val="13"/>
  </w:num>
  <w:num w:numId="14">
    <w:abstractNumId w:val="2"/>
  </w:num>
  <w:num w:numId="15">
    <w:abstractNumId w:val="10"/>
  </w:num>
  <w:num w:numId="16">
    <w:abstractNumId w:val="24"/>
  </w:num>
  <w:num w:numId="17">
    <w:abstractNumId w:val="23"/>
  </w:num>
  <w:num w:numId="18">
    <w:abstractNumId w:val="8"/>
  </w:num>
  <w:num w:numId="19">
    <w:abstractNumId w:val="3"/>
  </w:num>
  <w:num w:numId="20">
    <w:abstractNumId w:val="14"/>
  </w:num>
  <w:num w:numId="21">
    <w:abstractNumId w:val="0"/>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9"/>
  </w:num>
  <w:num w:numId="25">
    <w:abstractNumId w:val="25"/>
  </w:num>
  <w:num w:numId="26">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4B64"/>
    <w:rsid w:val="00006055"/>
    <w:rsid w:val="00006AD4"/>
    <w:rsid w:val="00006BF3"/>
    <w:rsid w:val="000074C4"/>
    <w:rsid w:val="000079A6"/>
    <w:rsid w:val="00010C14"/>
    <w:rsid w:val="00012057"/>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06C5"/>
    <w:rsid w:val="00024AEF"/>
    <w:rsid w:val="00026C65"/>
    <w:rsid w:val="00027755"/>
    <w:rsid w:val="00030048"/>
    <w:rsid w:val="0003072D"/>
    <w:rsid w:val="000314CD"/>
    <w:rsid w:val="00033544"/>
    <w:rsid w:val="0003479E"/>
    <w:rsid w:val="000348E9"/>
    <w:rsid w:val="00035691"/>
    <w:rsid w:val="00041038"/>
    <w:rsid w:val="0004132D"/>
    <w:rsid w:val="00044CFA"/>
    <w:rsid w:val="000459C7"/>
    <w:rsid w:val="00046630"/>
    <w:rsid w:val="00046C80"/>
    <w:rsid w:val="00050112"/>
    <w:rsid w:val="00050518"/>
    <w:rsid w:val="000505CC"/>
    <w:rsid w:val="000511F9"/>
    <w:rsid w:val="00052850"/>
    <w:rsid w:val="000528A2"/>
    <w:rsid w:val="00052BBA"/>
    <w:rsid w:val="00054D9D"/>
    <w:rsid w:val="00055676"/>
    <w:rsid w:val="00056544"/>
    <w:rsid w:val="00060D8E"/>
    <w:rsid w:val="000637E7"/>
    <w:rsid w:val="00063D9E"/>
    <w:rsid w:val="00064AD3"/>
    <w:rsid w:val="00065088"/>
    <w:rsid w:val="000652D3"/>
    <w:rsid w:val="000654A0"/>
    <w:rsid w:val="000707CA"/>
    <w:rsid w:val="00072BBA"/>
    <w:rsid w:val="00075FDA"/>
    <w:rsid w:val="00076386"/>
    <w:rsid w:val="00076D82"/>
    <w:rsid w:val="00081EC2"/>
    <w:rsid w:val="00083800"/>
    <w:rsid w:val="00084A65"/>
    <w:rsid w:val="00084A82"/>
    <w:rsid w:val="00090987"/>
    <w:rsid w:val="00091A92"/>
    <w:rsid w:val="00091B71"/>
    <w:rsid w:val="00093C49"/>
    <w:rsid w:val="00095A37"/>
    <w:rsid w:val="00095A80"/>
    <w:rsid w:val="000973E1"/>
    <w:rsid w:val="000A1402"/>
    <w:rsid w:val="000A20BA"/>
    <w:rsid w:val="000A262C"/>
    <w:rsid w:val="000A27D3"/>
    <w:rsid w:val="000A3C8D"/>
    <w:rsid w:val="000A40EC"/>
    <w:rsid w:val="000A4EDF"/>
    <w:rsid w:val="000A54EE"/>
    <w:rsid w:val="000A6A23"/>
    <w:rsid w:val="000A7BC5"/>
    <w:rsid w:val="000B04F3"/>
    <w:rsid w:val="000B16DB"/>
    <w:rsid w:val="000B1C5E"/>
    <w:rsid w:val="000B2282"/>
    <w:rsid w:val="000B2A11"/>
    <w:rsid w:val="000B2A5B"/>
    <w:rsid w:val="000B3B91"/>
    <w:rsid w:val="000B5F0A"/>
    <w:rsid w:val="000C74BA"/>
    <w:rsid w:val="000C7531"/>
    <w:rsid w:val="000C7C3F"/>
    <w:rsid w:val="000D0BD6"/>
    <w:rsid w:val="000D0C61"/>
    <w:rsid w:val="000D27AD"/>
    <w:rsid w:val="000D29D1"/>
    <w:rsid w:val="000D2B0A"/>
    <w:rsid w:val="000D3286"/>
    <w:rsid w:val="000D344D"/>
    <w:rsid w:val="000D40E7"/>
    <w:rsid w:val="000D584F"/>
    <w:rsid w:val="000D5DD5"/>
    <w:rsid w:val="000E02B7"/>
    <w:rsid w:val="000E071E"/>
    <w:rsid w:val="000E27AA"/>
    <w:rsid w:val="000E337A"/>
    <w:rsid w:val="000E4350"/>
    <w:rsid w:val="000E4408"/>
    <w:rsid w:val="000E5716"/>
    <w:rsid w:val="000E6650"/>
    <w:rsid w:val="000E7A79"/>
    <w:rsid w:val="000F15B2"/>
    <w:rsid w:val="000F19DE"/>
    <w:rsid w:val="000F24EC"/>
    <w:rsid w:val="000F2E1F"/>
    <w:rsid w:val="000F37B0"/>
    <w:rsid w:val="000F4595"/>
    <w:rsid w:val="000F4CB2"/>
    <w:rsid w:val="000F568D"/>
    <w:rsid w:val="00101C4F"/>
    <w:rsid w:val="00102C9F"/>
    <w:rsid w:val="001053E1"/>
    <w:rsid w:val="00105ED8"/>
    <w:rsid w:val="001068D2"/>
    <w:rsid w:val="001103BD"/>
    <w:rsid w:val="00111208"/>
    <w:rsid w:val="00111808"/>
    <w:rsid w:val="0011339F"/>
    <w:rsid w:val="001142F7"/>
    <w:rsid w:val="00114E96"/>
    <w:rsid w:val="001204DD"/>
    <w:rsid w:val="00122839"/>
    <w:rsid w:val="001237AC"/>
    <w:rsid w:val="00124E12"/>
    <w:rsid w:val="00124E16"/>
    <w:rsid w:val="0012512A"/>
    <w:rsid w:val="0012673D"/>
    <w:rsid w:val="001269B8"/>
    <w:rsid w:val="00127099"/>
    <w:rsid w:val="001305A3"/>
    <w:rsid w:val="00132B71"/>
    <w:rsid w:val="0013427A"/>
    <w:rsid w:val="001362C2"/>
    <w:rsid w:val="00136955"/>
    <w:rsid w:val="001371B2"/>
    <w:rsid w:val="00137D78"/>
    <w:rsid w:val="001409A0"/>
    <w:rsid w:val="001413DC"/>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6FD"/>
    <w:rsid w:val="00164E58"/>
    <w:rsid w:val="00165033"/>
    <w:rsid w:val="001670EA"/>
    <w:rsid w:val="001674A0"/>
    <w:rsid w:val="00170A50"/>
    <w:rsid w:val="00174FFD"/>
    <w:rsid w:val="001759CA"/>
    <w:rsid w:val="0017726A"/>
    <w:rsid w:val="001778DA"/>
    <w:rsid w:val="00180278"/>
    <w:rsid w:val="001818A7"/>
    <w:rsid w:val="00182725"/>
    <w:rsid w:val="001829C8"/>
    <w:rsid w:val="00186904"/>
    <w:rsid w:val="00186B0A"/>
    <w:rsid w:val="00186EEF"/>
    <w:rsid w:val="001905BD"/>
    <w:rsid w:val="00192FE6"/>
    <w:rsid w:val="00193986"/>
    <w:rsid w:val="00193B08"/>
    <w:rsid w:val="00194570"/>
    <w:rsid w:val="00196BF4"/>
    <w:rsid w:val="001972DA"/>
    <w:rsid w:val="001976AA"/>
    <w:rsid w:val="001A10E5"/>
    <w:rsid w:val="001A15C6"/>
    <w:rsid w:val="001A5E19"/>
    <w:rsid w:val="001B01FA"/>
    <w:rsid w:val="001B0832"/>
    <w:rsid w:val="001B18A7"/>
    <w:rsid w:val="001B36FC"/>
    <w:rsid w:val="001B41ED"/>
    <w:rsid w:val="001B43FB"/>
    <w:rsid w:val="001B4607"/>
    <w:rsid w:val="001B518E"/>
    <w:rsid w:val="001B5AB7"/>
    <w:rsid w:val="001B7402"/>
    <w:rsid w:val="001B7E0C"/>
    <w:rsid w:val="001C0674"/>
    <w:rsid w:val="001C1129"/>
    <w:rsid w:val="001C226F"/>
    <w:rsid w:val="001C66AC"/>
    <w:rsid w:val="001C6754"/>
    <w:rsid w:val="001C77F0"/>
    <w:rsid w:val="001D46A0"/>
    <w:rsid w:val="001D7CA4"/>
    <w:rsid w:val="001D7E58"/>
    <w:rsid w:val="001E4D4F"/>
    <w:rsid w:val="001E524C"/>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630"/>
    <w:rsid w:val="00206955"/>
    <w:rsid w:val="00207BAA"/>
    <w:rsid w:val="00210309"/>
    <w:rsid w:val="00212FB8"/>
    <w:rsid w:val="00213709"/>
    <w:rsid w:val="002149AF"/>
    <w:rsid w:val="00214A86"/>
    <w:rsid w:val="00215AAA"/>
    <w:rsid w:val="00221985"/>
    <w:rsid w:val="00221EC5"/>
    <w:rsid w:val="00222A7A"/>
    <w:rsid w:val="00224536"/>
    <w:rsid w:val="00224A2C"/>
    <w:rsid w:val="002256D9"/>
    <w:rsid w:val="0022687C"/>
    <w:rsid w:val="002306F8"/>
    <w:rsid w:val="00230D6F"/>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38"/>
    <w:rsid w:val="0024336B"/>
    <w:rsid w:val="0024424F"/>
    <w:rsid w:val="00244D28"/>
    <w:rsid w:val="00245720"/>
    <w:rsid w:val="00245FD5"/>
    <w:rsid w:val="002477DF"/>
    <w:rsid w:val="00250315"/>
    <w:rsid w:val="00251AD6"/>
    <w:rsid w:val="00252C17"/>
    <w:rsid w:val="0025307F"/>
    <w:rsid w:val="0025333C"/>
    <w:rsid w:val="002551BD"/>
    <w:rsid w:val="002568D0"/>
    <w:rsid w:val="00256C08"/>
    <w:rsid w:val="00261581"/>
    <w:rsid w:val="00261582"/>
    <w:rsid w:val="00262661"/>
    <w:rsid w:val="002632DF"/>
    <w:rsid w:val="002640BA"/>
    <w:rsid w:val="00264CF2"/>
    <w:rsid w:val="00267587"/>
    <w:rsid w:val="00271589"/>
    <w:rsid w:val="00273177"/>
    <w:rsid w:val="00275074"/>
    <w:rsid w:val="0027633F"/>
    <w:rsid w:val="002763E9"/>
    <w:rsid w:val="00276736"/>
    <w:rsid w:val="00277CCB"/>
    <w:rsid w:val="00284E32"/>
    <w:rsid w:val="002851EB"/>
    <w:rsid w:val="00285510"/>
    <w:rsid w:val="00285AE6"/>
    <w:rsid w:val="00285DE2"/>
    <w:rsid w:val="0028616D"/>
    <w:rsid w:val="00286965"/>
    <w:rsid w:val="0029136E"/>
    <w:rsid w:val="00291DBA"/>
    <w:rsid w:val="00292399"/>
    <w:rsid w:val="002930C3"/>
    <w:rsid w:val="00294445"/>
    <w:rsid w:val="00294B4D"/>
    <w:rsid w:val="002960D5"/>
    <w:rsid w:val="002A1062"/>
    <w:rsid w:val="002A2413"/>
    <w:rsid w:val="002A2F5E"/>
    <w:rsid w:val="002A352A"/>
    <w:rsid w:val="002A40F9"/>
    <w:rsid w:val="002A53DC"/>
    <w:rsid w:val="002A607D"/>
    <w:rsid w:val="002B132E"/>
    <w:rsid w:val="002B2813"/>
    <w:rsid w:val="002B2D29"/>
    <w:rsid w:val="002B2D5B"/>
    <w:rsid w:val="002B2DFA"/>
    <w:rsid w:val="002C1EEA"/>
    <w:rsid w:val="002C306D"/>
    <w:rsid w:val="002C3EAA"/>
    <w:rsid w:val="002C6034"/>
    <w:rsid w:val="002C635B"/>
    <w:rsid w:val="002C7CFF"/>
    <w:rsid w:val="002D072A"/>
    <w:rsid w:val="002D0BC6"/>
    <w:rsid w:val="002D17C5"/>
    <w:rsid w:val="002D365F"/>
    <w:rsid w:val="002D7B2E"/>
    <w:rsid w:val="002D7C86"/>
    <w:rsid w:val="002E0692"/>
    <w:rsid w:val="002E0B77"/>
    <w:rsid w:val="002E1D74"/>
    <w:rsid w:val="002E2943"/>
    <w:rsid w:val="002E2CF1"/>
    <w:rsid w:val="002E34AF"/>
    <w:rsid w:val="002E4AAC"/>
    <w:rsid w:val="002E53DE"/>
    <w:rsid w:val="002E563B"/>
    <w:rsid w:val="002E62D2"/>
    <w:rsid w:val="002E6B21"/>
    <w:rsid w:val="002E74AF"/>
    <w:rsid w:val="002E7581"/>
    <w:rsid w:val="002F1038"/>
    <w:rsid w:val="002F1D32"/>
    <w:rsid w:val="002F22FF"/>
    <w:rsid w:val="002F2D8F"/>
    <w:rsid w:val="002F695B"/>
    <w:rsid w:val="002F72DA"/>
    <w:rsid w:val="002F76B1"/>
    <w:rsid w:val="002F7D66"/>
    <w:rsid w:val="002F7DBE"/>
    <w:rsid w:val="0030090B"/>
    <w:rsid w:val="00302AE8"/>
    <w:rsid w:val="00302BB1"/>
    <w:rsid w:val="00304210"/>
    <w:rsid w:val="003048D7"/>
    <w:rsid w:val="00304AD2"/>
    <w:rsid w:val="00304C3E"/>
    <w:rsid w:val="003062E6"/>
    <w:rsid w:val="00306794"/>
    <w:rsid w:val="003068B6"/>
    <w:rsid w:val="003071F6"/>
    <w:rsid w:val="00311C08"/>
    <w:rsid w:val="00312D50"/>
    <w:rsid w:val="00312ECE"/>
    <w:rsid w:val="0031393C"/>
    <w:rsid w:val="00313CB0"/>
    <w:rsid w:val="00313F96"/>
    <w:rsid w:val="00314FE9"/>
    <w:rsid w:val="003150CE"/>
    <w:rsid w:val="00315AAB"/>
    <w:rsid w:val="00316A97"/>
    <w:rsid w:val="003175E1"/>
    <w:rsid w:val="00320299"/>
    <w:rsid w:val="00321154"/>
    <w:rsid w:val="003211B0"/>
    <w:rsid w:val="00321EDA"/>
    <w:rsid w:val="003224E7"/>
    <w:rsid w:val="00324516"/>
    <w:rsid w:val="00325C54"/>
    <w:rsid w:val="00325D7A"/>
    <w:rsid w:val="00326145"/>
    <w:rsid w:val="00327163"/>
    <w:rsid w:val="00327305"/>
    <w:rsid w:val="00327531"/>
    <w:rsid w:val="00330187"/>
    <w:rsid w:val="00331C77"/>
    <w:rsid w:val="00331F96"/>
    <w:rsid w:val="00332B55"/>
    <w:rsid w:val="00334CDE"/>
    <w:rsid w:val="00335EA8"/>
    <w:rsid w:val="003363DD"/>
    <w:rsid w:val="00340361"/>
    <w:rsid w:val="00340795"/>
    <w:rsid w:val="003407A1"/>
    <w:rsid w:val="00340F80"/>
    <w:rsid w:val="0034111C"/>
    <w:rsid w:val="00341E60"/>
    <w:rsid w:val="0034217F"/>
    <w:rsid w:val="00343954"/>
    <w:rsid w:val="00345405"/>
    <w:rsid w:val="00345DDD"/>
    <w:rsid w:val="00346FED"/>
    <w:rsid w:val="003473AD"/>
    <w:rsid w:val="00350508"/>
    <w:rsid w:val="00351E01"/>
    <w:rsid w:val="00352D21"/>
    <w:rsid w:val="0035443D"/>
    <w:rsid w:val="00354FEE"/>
    <w:rsid w:val="00356C0B"/>
    <w:rsid w:val="00357B9C"/>
    <w:rsid w:val="00361412"/>
    <w:rsid w:val="003615CA"/>
    <w:rsid w:val="003642A6"/>
    <w:rsid w:val="00367337"/>
    <w:rsid w:val="00367FD8"/>
    <w:rsid w:val="0037085C"/>
    <w:rsid w:val="00370B63"/>
    <w:rsid w:val="00370FCC"/>
    <w:rsid w:val="003711AF"/>
    <w:rsid w:val="00373478"/>
    <w:rsid w:val="00374848"/>
    <w:rsid w:val="00375420"/>
    <w:rsid w:val="00375D09"/>
    <w:rsid w:val="003765E7"/>
    <w:rsid w:val="0037739D"/>
    <w:rsid w:val="0037751C"/>
    <w:rsid w:val="00380F3F"/>
    <w:rsid w:val="00382232"/>
    <w:rsid w:val="00382F1A"/>
    <w:rsid w:val="00383282"/>
    <w:rsid w:val="00383658"/>
    <w:rsid w:val="00383B56"/>
    <w:rsid w:val="0038412E"/>
    <w:rsid w:val="00386053"/>
    <w:rsid w:val="0038771D"/>
    <w:rsid w:val="003910F4"/>
    <w:rsid w:val="003933EE"/>
    <w:rsid w:val="00393E44"/>
    <w:rsid w:val="00395C48"/>
    <w:rsid w:val="00396DFB"/>
    <w:rsid w:val="00397AB6"/>
    <w:rsid w:val="00397ACA"/>
    <w:rsid w:val="003A10C3"/>
    <w:rsid w:val="003A597F"/>
    <w:rsid w:val="003A71A8"/>
    <w:rsid w:val="003B00CA"/>
    <w:rsid w:val="003B030B"/>
    <w:rsid w:val="003B0432"/>
    <w:rsid w:val="003B0821"/>
    <w:rsid w:val="003B0BE9"/>
    <w:rsid w:val="003B2ABE"/>
    <w:rsid w:val="003B2E9B"/>
    <w:rsid w:val="003B2F8D"/>
    <w:rsid w:val="003B37BD"/>
    <w:rsid w:val="003B4FAA"/>
    <w:rsid w:val="003B547A"/>
    <w:rsid w:val="003B5F1C"/>
    <w:rsid w:val="003B75B9"/>
    <w:rsid w:val="003C1A18"/>
    <w:rsid w:val="003C25AD"/>
    <w:rsid w:val="003C5C41"/>
    <w:rsid w:val="003C7461"/>
    <w:rsid w:val="003D0788"/>
    <w:rsid w:val="003D0B90"/>
    <w:rsid w:val="003D132A"/>
    <w:rsid w:val="003D1517"/>
    <w:rsid w:val="003D2938"/>
    <w:rsid w:val="003D3FBA"/>
    <w:rsid w:val="003D402B"/>
    <w:rsid w:val="003D565B"/>
    <w:rsid w:val="003D764F"/>
    <w:rsid w:val="003E0667"/>
    <w:rsid w:val="003E0AD8"/>
    <w:rsid w:val="003E0BCE"/>
    <w:rsid w:val="003E13E0"/>
    <w:rsid w:val="003E1660"/>
    <w:rsid w:val="003E1CD1"/>
    <w:rsid w:val="003E2A2D"/>
    <w:rsid w:val="003E64A9"/>
    <w:rsid w:val="003E7905"/>
    <w:rsid w:val="003F0336"/>
    <w:rsid w:val="003F5547"/>
    <w:rsid w:val="003F5C40"/>
    <w:rsid w:val="003F6E12"/>
    <w:rsid w:val="003F714E"/>
    <w:rsid w:val="003F75ED"/>
    <w:rsid w:val="003F7904"/>
    <w:rsid w:val="004002B7"/>
    <w:rsid w:val="00400F31"/>
    <w:rsid w:val="00406B4D"/>
    <w:rsid w:val="00411649"/>
    <w:rsid w:val="0041443C"/>
    <w:rsid w:val="004154F7"/>
    <w:rsid w:val="004176FF"/>
    <w:rsid w:val="004240D2"/>
    <w:rsid w:val="004241C5"/>
    <w:rsid w:val="00424DAF"/>
    <w:rsid w:val="00424FA7"/>
    <w:rsid w:val="004258C8"/>
    <w:rsid w:val="00426A87"/>
    <w:rsid w:val="004309D8"/>
    <w:rsid w:val="004313D1"/>
    <w:rsid w:val="00432110"/>
    <w:rsid w:val="00433EBE"/>
    <w:rsid w:val="00434406"/>
    <w:rsid w:val="00436C8E"/>
    <w:rsid w:val="0044045D"/>
    <w:rsid w:val="00440FBC"/>
    <w:rsid w:val="00441B92"/>
    <w:rsid w:val="0044474B"/>
    <w:rsid w:val="00445FF7"/>
    <w:rsid w:val="00452F3C"/>
    <w:rsid w:val="00453341"/>
    <w:rsid w:val="004545C6"/>
    <w:rsid w:val="00454DCA"/>
    <w:rsid w:val="00456544"/>
    <w:rsid w:val="00456649"/>
    <w:rsid w:val="004567B7"/>
    <w:rsid w:val="00456856"/>
    <w:rsid w:val="00461210"/>
    <w:rsid w:val="004613B9"/>
    <w:rsid w:val="00462490"/>
    <w:rsid w:val="00463F33"/>
    <w:rsid w:val="00465299"/>
    <w:rsid w:val="00466498"/>
    <w:rsid w:val="00466A0F"/>
    <w:rsid w:val="0046795B"/>
    <w:rsid w:val="00471863"/>
    <w:rsid w:val="00473A14"/>
    <w:rsid w:val="00474CA8"/>
    <w:rsid w:val="00474E43"/>
    <w:rsid w:val="00475229"/>
    <w:rsid w:val="00481D90"/>
    <w:rsid w:val="00482CD4"/>
    <w:rsid w:val="00483261"/>
    <w:rsid w:val="00485B23"/>
    <w:rsid w:val="004871AE"/>
    <w:rsid w:val="004874E4"/>
    <w:rsid w:val="0049070D"/>
    <w:rsid w:val="00491468"/>
    <w:rsid w:val="00491DB2"/>
    <w:rsid w:val="00492877"/>
    <w:rsid w:val="00492B96"/>
    <w:rsid w:val="00493B3D"/>
    <w:rsid w:val="00496DC2"/>
    <w:rsid w:val="00496E75"/>
    <w:rsid w:val="004A014C"/>
    <w:rsid w:val="004A0AA8"/>
    <w:rsid w:val="004A1FE4"/>
    <w:rsid w:val="004A2CA9"/>
    <w:rsid w:val="004A3CB5"/>
    <w:rsid w:val="004A537D"/>
    <w:rsid w:val="004A67F0"/>
    <w:rsid w:val="004A71C3"/>
    <w:rsid w:val="004A7769"/>
    <w:rsid w:val="004B23AD"/>
    <w:rsid w:val="004B2965"/>
    <w:rsid w:val="004B4224"/>
    <w:rsid w:val="004B4647"/>
    <w:rsid w:val="004B7455"/>
    <w:rsid w:val="004B74FF"/>
    <w:rsid w:val="004B7CE4"/>
    <w:rsid w:val="004C0401"/>
    <w:rsid w:val="004C08C1"/>
    <w:rsid w:val="004C0D9C"/>
    <w:rsid w:val="004C183D"/>
    <w:rsid w:val="004C3EEE"/>
    <w:rsid w:val="004C483D"/>
    <w:rsid w:val="004C5CE9"/>
    <w:rsid w:val="004C795A"/>
    <w:rsid w:val="004C7F93"/>
    <w:rsid w:val="004D26B8"/>
    <w:rsid w:val="004D38C2"/>
    <w:rsid w:val="004D471A"/>
    <w:rsid w:val="004D4C81"/>
    <w:rsid w:val="004D4FBD"/>
    <w:rsid w:val="004D4FC0"/>
    <w:rsid w:val="004D7DA8"/>
    <w:rsid w:val="004E2892"/>
    <w:rsid w:val="004E362B"/>
    <w:rsid w:val="004E3681"/>
    <w:rsid w:val="004E39CF"/>
    <w:rsid w:val="004E3D74"/>
    <w:rsid w:val="004E4131"/>
    <w:rsid w:val="004E4650"/>
    <w:rsid w:val="004E784B"/>
    <w:rsid w:val="004F0224"/>
    <w:rsid w:val="004F0DB4"/>
    <w:rsid w:val="004F0E04"/>
    <w:rsid w:val="004F1EBC"/>
    <w:rsid w:val="004F3B71"/>
    <w:rsid w:val="004F438E"/>
    <w:rsid w:val="004F5154"/>
    <w:rsid w:val="004F5835"/>
    <w:rsid w:val="004F661C"/>
    <w:rsid w:val="004F6D99"/>
    <w:rsid w:val="004F718B"/>
    <w:rsid w:val="00500572"/>
    <w:rsid w:val="00501304"/>
    <w:rsid w:val="00501425"/>
    <w:rsid w:val="00502544"/>
    <w:rsid w:val="00502A90"/>
    <w:rsid w:val="00504311"/>
    <w:rsid w:val="0050485C"/>
    <w:rsid w:val="00504AC6"/>
    <w:rsid w:val="00511079"/>
    <w:rsid w:val="00512829"/>
    <w:rsid w:val="0051423C"/>
    <w:rsid w:val="00514C91"/>
    <w:rsid w:val="00516241"/>
    <w:rsid w:val="00516FD9"/>
    <w:rsid w:val="0051791D"/>
    <w:rsid w:val="00523E75"/>
    <w:rsid w:val="005243E0"/>
    <w:rsid w:val="005256F3"/>
    <w:rsid w:val="005265A3"/>
    <w:rsid w:val="00526783"/>
    <w:rsid w:val="00527FB1"/>
    <w:rsid w:val="0053009D"/>
    <w:rsid w:val="005302C1"/>
    <w:rsid w:val="0053162F"/>
    <w:rsid w:val="00531777"/>
    <w:rsid w:val="00531DD3"/>
    <w:rsid w:val="0053281C"/>
    <w:rsid w:val="00533544"/>
    <w:rsid w:val="00533AAC"/>
    <w:rsid w:val="005340C9"/>
    <w:rsid w:val="0053529E"/>
    <w:rsid w:val="005375FE"/>
    <w:rsid w:val="00540AA4"/>
    <w:rsid w:val="005420DE"/>
    <w:rsid w:val="0054268D"/>
    <w:rsid w:val="00543707"/>
    <w:rsid w:val="00543EBB"/>
    <w:rsid w:val="00544213"/>
    <w:rsid w:val="005453F3"/>
    <w:rsid w:val="00545549"/>
    <w:rsid w:val="005469F5"/>
    <w:rsid w:val="00550211"/>
    <w:rsid w:val="005518ED"/>
    <w:rsid w:val="00552093"/>
    <w:rsid w:val="00554E4B"/>
    <w:rsid w:val="00555F67"/>
    <w:rsid w:val="005606A4"/>
    <w:rsid w:val="005607B8"/>
    <w:rsid w:val="00560CF5"/>
    <w:rsid w:val="0056272D"/>
    <w:rsid w:val="0056308E"/>
    <w:rsid w:val="00563F67"/>
    <w:rsid w:val="005649BF"/>
    <w:rsid w:val="005650ED"/>
    <w:rsid w:val="00565869"/>
    <w:rsid w:val="0056599B"/>
    <w:rsid w:val="005670C6"/>
    <w:rsid w:val="00567415"/>
    <w:rsid w:val="00567610"/>
    <w:rsid w:val="00570D9F"/>
    <w:rsid w:val="00571CA8"/>
    <w:rsid w:val="00572849"/>
    <w:rsid w:val="00575738"/>
    <w:rsid w:val="00580793"/>
    <w:rsid w:val="00581470"/>
    <w:rsid w:val="00582087"/>
    <w:rsid w:val="005831DD"/>
    <w:rsid w:val="00583F7F"/>
    <w:rsid w:val="00584320"/>
    <w:rsid w:val="00587229"/>
    <w:rsid w:val="00587503"/>
    <w:rsid w:val="005902EB"/>
    <w:rsid w:val="00590E8D"/>
    <w:rsid w:val="00591511"/>
    <w:rsid w:val="0059331A"/>
    <w:rsid w:val="0059693F"/>
    <w:rsid w:val="00596BBA"/>
    <w:rsid w:val="005975C4"/>
    <w:rsid w:val="00597ED8"/>
    <w:rsid w:val="005A0865"/>
    <w:rsid w:val="005A34D5"/>
    <w:rsid w:val="005A4904"/>
    <w:rsid w:val="005A515A"/>
    <w:rsid w:val="005A5CBB"/>
    <w:rsid w:val="005A704D"/>
    <w:rsid w:val="005A73E5"/>
    <w:rsid w:val="005B3C6D"/>
    <w:rsid w:val="005B609E"/>
    <w:rsid w:val="005B6DF6"/>
    <w:rsid w:val="005B7B7D"/>
    <w:rsid w:val="005C119B"/>
    <w:rsid w:val="005C1948"/>
    <w:rsid w:val="005C263C"/>
    <w:rsid w:val="005C2679"/>
    <w:rsid w:val="005D07C5"/>
    <w:rsid w:val="005D2CE7"/>
    <w:rsid w:val="005D4302"/>
    <w:rsid w:val="005D5A20"/>
    <w:rsid w:val="005D786C"/>
    <w:rsid w:val="005E049F"/>
    <w:rsid w:val="005E3073"/>
    <w:rsid w:val="005E316A"/>
    <w:rsid w:val="005E53BD"/>
    <w:rsid w:val="005F0108"/>
    <w:rsid w:val="005F0ECC"/>
    <w:rsid w:val="005F0F8E"/>
    <w:rsid w:val="005F1CF0"/>
    <w:rsid w:val="005F21A5"/>
    <w:rsid w:val="005F2470"/>
    <w:rsid w:val="005F28C6"/>
    <w:rsid w:val="005F3F16"/>
    <w:rsid w:val="005F52CC"/>
    <w:rsid w:val="005F6BD4"/>
    <w:rsid w:val="005F7484"/>
    <w:rsid w:val="005F7985"/>
    <w:rsid w:val="00600CEB"/>
    <w:rsid w:val="0060124B"/>
    <w:rsid w:val="006014CC"/>
    <w:rsid w:val="00602AA1"/>
    <w:rsid w:val="00604367"/>
    <w:rsid w:val="006044BE"/>
    <w:rsid w:val="0060475F"/>
    <w:rsid w:val="00604B31"/>
    <w:rsid w:val="00605359"/>
    <w:rsid w:val="00605A5F"/>
    <w:rsid w:val="00606A26"/>
    <w:rsid w:val="00607D81"/>
    <w:rsid w:val="00610747"/>
    <w:rsid w:val="0061176E"/>
    <w:rsid w:val="00614651"/>
    <w:rsid w:val="00614CD1"/>
    <w:rsid w:val="0061567B"/>
    <w:rsid w:val="00616C15"/>
    <w:rsid w:val="00620781"/>
    <w:rsid w:val="0062152A"/>
    <w:rsid w:val="00623583"/>
    <w:rsid w:val="0062462F"/>
    <w:rsid w:val="00624BA1"/>
    <w:rsid w:val="0062661B"/>
    <w:rsid w:val="00630118"/>
    <w:rsid w:val="006310AE"/>
    <w:rsid w:val="00632196"/>
    <w:rsid w:val="006329ED"/>
    <w:rsid w:val="00633BF2"/>
    <w:rsid w:val="00633F67"/>
    <w:rsid w:val="006345C3"/>
    <w:rsid w:val="006362F9"/>
    <w:rsid w:val="006373CD"/>
    <w:rsid w:val="0064165D"/>
    <w:rsid w:val="00642619"/>
    <w:rsid w:val="006427E0"/>
    <w:rsid w:val="006433BD"/>
    <w:rsid w:val="00643784"/>
    <w:rsid w:val="0064465A"/>
    <w:rsid w:val="00644A21"/>
    <w:rsid w:val="00645C9F"/>
    <w:rsid w:val="00646A6C"/>
    <w:rsid w:val="006508B9"/>
    <w:rsid w:val="00650CA1"/>
    <w:rsid w:val="00651854"/>
    <w:rsid w:val="00651C32"/>
    <w:rsid w:val="00654FE2"/>
    <w:rsid w:val="006565D8"/>
    <w:rsid w:val="00656B96"/>
    <w:rsid w:val="00657AE5"/>
    <w:rsid w:val="006619B0"/>
    <w:rsid w:val="00662012"/>
    <w:rsid w:val="00662543"/>
    <w:rsid w:val="006626D0"/>
    <w:rsid w:val="00664E8C"/>
    <w:rsid w:val="00665F7C"/>
    <w:rsid w:val="00666DFC"/>
    <w:rsid w:val="00666EBB"/>
    <w:rsid w:val="0066779E"/>
    <w:rsid w:val="00667E03"/>
    <w:rsid w:val="0067269D"/>
    <w:rsid w:val="00672988"/>
    <w:rsid w:val="00672FCB"/>
    <w:rsid w:val="00674E6A"/>
    <w:rsid w:val="006763BE"/>
    <w:rsid w:val="00676809"/>
    <w:rsid w:val="00676A64"/>
    <w:rsid w:val="00677925"/>
    <w:rsid w:val="00680699"/>
    <w:rsid w:val="00680F46"/>
    <w:rsid w:val="00682B53"/>
    <w:rsid w:val="00682F27"/>
    <w:rsid w:val="00690238"/>
    <w:rsid w:val="00690E2E"/>
    <w:rsid w:val="006932E7"/>
    <w:rsid w:val="00693347"/>
    <w:rsid w:val="0069334C"/>
    <w:rsid w:val="00696D63"/>
    <w:rsid w:val="006A032F"/>
    <w:rsid w:val="006A41AE"/>
    <w:rsid w:val="006A4856"/>
    <w:rsid w:val="006A4FF7"/>
    <w:rsid w:val="006A564B"/>
    <w:rsid w:val="006B1545"/>
    <w:rsid w:val="006B2DA7"/>
    <w:rsid w:val="006B2F4D"/>
    <w:rsid w:val="006B3497"/>
    <w:rsid w:val="006B3682"/>
    <w:rsid w:val="006B48CB"/>
    <w:rsid w:val="006B4DB9"/>
    <w:rsid w:val="006B52BB"/>
    <w:rsid w:val="006C1445"/>
    <w:rsid w:val="006C3F6B"/>
    <w:rsid w:val="006C4FC1"/>
    <w:rsid w:val="006C529D"/>
    <w:rsid w:val="006C6454"/>
    <w:rsid w:val="006D0E6B"/>
    <w:rsid w:val="006D2146"/>
    <w:rsid w:val="006D3F1C"/>
    <w:rsid w:val="006D4261"/>
    <w:rsid w:val="006E094A"/>
    <w:rsid w:val="006E12B1"/>
    <w:rsid w:val="006E13D1"/>
    <w:rsid w:val="006E169B"/>
    <w:rsid w:val="006E4D0C"/>
    <w:rsid w:val="006E5B78"/>
    <w:rsid w:val="006E6BA3"/>
    <w:rsid w:val="006F1116"/>
    <w:rsid w:val="006F3196"/>
    <w:rsid w:val="006F3C54"/>
    <w:rsid w:val="006F5050"/>
    <w:rsid w:val="006F512A"/>
    <w:rsid w:val="006F5E64"/>
    <w:rsid w:val="006F60DE"/>
    <w:rsid w:val="006F7914"/>
    <w:rsid w:val="006F7E46"/>
    <w:rsid w:val="00700AB4"/>
    <w:rsid w:val="00700FCA"/>
    <w:rsid w:val="00701645"/>
    <w:rsid w:val="00701DF9"/>
    <w:rsid w:val="00702D5A"/>
    <w:rsid w:val="00702EF7"/>
    <w:rsid w:val="00703989"/>
    <w:rsid w:val="007042E9"/>
    <w:rsid w:val="0071118B"/>
    <w:rsid w:val="00711E13"/>
    <w:rsid w:val="007120BB"/>
    <w:rsid w:val="00712EDA"/>
    <w:rsid w:val="007136D0"/>
    <w:rsid w:val="007136EF"/>
    <w:rsid w:val="007155A9"/>
    <w:rsid w:val="007158E1"/>
    <w:rsid w:val="00715D07"/>
    <w:rsid w:val="0071705B"/>
    <w:rsid w:val="00720505"/>
    <w:rsid w:val="007236A3"/>
    <w:rsid w:val="007239B6"/>
    <w:rsid w:val="0072490A"/>
    <w:rsid w:val="0072517D"/>
    <w:rsid w:val="00725974"/>
    <w:rsid w:val="00726878"/>
    <w:rsid w:val="0072799E"/>
    <w:rsid w:val="0073124A"/>
    <w:rsid w:val="00733893"/>
    <w:rsid w:val="00734A05"/>
    <w:rsid w:val="00735C6F"/>
    <w:rsid w:val="00752002"/>
    <w:rsid w:val="00753BB5"/>
    <w:rsid w:val="00756832"/>
    <w:rsid w:val="007626D0"/>
    <w:rsid w:val="007626FB"/>
    <w:rsid w:val="007651CA"/>
    <w:rsid w:val="00767519"/>
    <w:rsid w:val="007704E1"/>
    <w:rsid w:val="00772569"/>
    <w:rsid w:val="00772E8C"/>
    <w:rsid w:val="007736D3"/>
    <w:rsid w:val="0077500F"/>
    <w:rsid w:val="0077548E"/>
    <w:rsid w:val="00777315"/>
    <w:rsid w:val="00780919"/>
    <w:rsid w:val="007826C8"/>
    <w:rsid w:val="00784190"/>
    <w:rsid w:val="0078457B"/>
    <w:rsid w:val="007846A3"/>
    <w:rsid w:val="00784756"/>
    <w:rsid w:val="0078539D"/>
    <w:rsid w:val="007856C1"/>
    <w:rsid w:val="00787051"/>
    <w:rsid w:val="0079018D"/>
    <w:rsid w:val="00791A00"/>
    <w:rsid w:val="00792CEE"/>
    <w:rsid w:val="007933FD"/>
    <w:rsid w:val="007A138F"/>
    <w:rsid w:val="007A1640"/>
    <w:rsid w:val="007A39DF"/>
    <w:rsid w:val="007A43ED"/>
    <w:rsid w:val="007A4BDD"/>
    <w:rsid w:val="007A5DC6"/>
    <w:rsid w:val="007A72EE"/>
    <w:rsid w:val="007B0397"/>
    <w:rsid w:val="007B18D5"/>
    <w:rsid w:val="007B1AFE"/>
    <w:rsid w:val="007B3502"/>
    <w:rsid w:val="007B44ED"/>
    <w:rsid w:val="007B491A"/>
    <w:rsid w:val="007B5370"/>
    <w:rsid w:val="007B61F5"/>
    <w:rsid w:val="007B63FA"/>
    <w:rsid w:val="007B7496"/>
    <w:rsid w:val="007C0802"/>
    <w:rsid w:val="007C12BE"/>
    <w:rsid w:val="007C2739"/>
    <w:rsid w:val="007C4B0F"/>
    <w:rsid w:val="007C4DAD"/>
    <w:rsid w:val="007C57B0"/>
    <w:rsid w:val="007C5830"/>
    <w:rsid w:val="007C5DB8"/>
    <w:rsid w:val="007C6CA2"/>
    <w:rsid w:val="007D05B2"/>
    <w:rsid w:val="007D0C44"/>
    <w:rsid w:val="007D1972"/>
    <w:rsid w:val="007D1F33"/>
    <w:rsid w:val="007D3307"/>
    <w:rsid w:val="007D5E27"/>
    <w:rsid w:val="007D6F64"/>
    <w:rsid w:val="007E79C5"/>
    <w:rsid w:val="007F28B6"/>
    <w:rsid w:val="007F43BC"/>
    <w:rsid w:val="007F4740"/>
    <w:rsid w:val="007F65E6"/>
    <w:rsid w:val="007F73CC"/>
    <w:rsid w:val="007F7900"/>
    <w:rsid w:val="007F7F0D"/>
    <w:rsid w:val="008006C6"/>
    <w:rsid w:val="0080153E"/>
    <w:rsid w:val="008019F7"/>
    <w:rsid w:val="0080742D"/>
    <w:rsid w:val="0081151E"/>
    <w:rsid w:val="00812498"/>
    <w:rsid w:val="008127E6"/>
    <w:rsid w:val="0081336E"/>
    <w:rsid w:val="00813928"/>
    <w:rsid w:val="00820DC7"/>
    <w:rsid w:val="00821698"/>
    <w:rsid w:val="008221FE"/>
    <w:rsid w:val="00822BF5"/>
    <w:rsid w:val="00824894"/>
    <w:rsid w:val="00826C7B"/>
    <w:rsid w:val="00826DD9"/>
    <w:rsid w:val="00826E01"/>
    <w:rsid w:val="008277A8"/>
    <w:rsid w:val="008278B6"/>
    <w:rsid w:val="008307ED"/>
    <w:rsid w:val="0083350F"/>
    <w:rsid w:val="00834358"/>
    <w:rsid w:val="008346BD"/>
    <w:rsid w:val="00836B7A"/>
    <w:rsid w:val="00836FE9"/>
    <w:rsid w:val="00837E13"/>
    <w:rsid w:val="008409AA"/>
    <w:rsid w:val="00840FB8"/>
    <w:rsid w:val="0084383C"/>
    <w:rsid w:val="00843A7A"/>
    <w:rsid w:val="008447F5"/>
    <w:rsid w:val="00846292"/>
    <w:rsid w:val="00847934"/>
    <w:rsid w:val="008506E1"/>
    <w:rsid w:val="008515EE"/>
    <w:rsid w:val="008528D3"/>
    <w:rsid w:val="00854553"/>
    <w:rsid w:val="00855B86"/>
    <w:rsid w:val="00860732"/>
    <w:rsid w:val="00860874"/>
    <w:rsid w:val="00862008"/>
    <w:rsid w:val="00862720"/>
    <w:rsid w:val="008628C8"/>
    <w:rsid w:val="00862B2A"/>
    <w:rsid w:val="008630B9"/>
    <w:rsid w:val="00863F37"/>
    <w:rsid w:val="0086406B"/>
    <w:rsid w:val="00864C8C"/>
    <w:rsid w:val="00867651"/>
    <w:rsid w:val="00873371"/>
    <w:rsid w:val="008743F3"/>
    <w:rsid w:val="0087444A"/>
    <w:rsid w:val="00875139"/>
    <w:rsid w:val="00875410"/>
    <w:rsid w:val="00877DF8"/>
    <w:rsid w:val="00883D4D"/>
    <w:rsid w:val="008850BA"/>
    <w:rsid w:val="00885876"/>
    <w:rsid w:val="00886185"/>
    <w:rsid w:val="008861D9"/>
    <w:rsid w:val="0088638C"/>
    <w:rsid w:val="008908E5"/>
    <w:rsid w:val="00891216"/>
    <w:rsid w:val="00893E87"/>
    <w:rsid w:val="00894FDC"/>
    <w:rsid w:val="0089628B"/>
    <w:rsid w:val="008A16F9"/>
    <w:rsid w:val="008A1D3E"/>
    <w:rsid w:val="008A4B16"/>
    <w:rsid w:val="008A4D63"/>
    <w:rsid w:val="008A6D62"/>
    <w:rsid w:val="008B3B51"/>
    <w:rsid w:val="008B4057"/>
    <w:rsid w:val="008B4145"/>
    <w:rsid w:val="008B5290"/>
    <w:rsid w:val="008C2CFD"/>
    <w:rsid w:val="008C603A"/>
    <w:rsid w:val="008C71C8"/>
    <w:rsid w:val="008D02BC"/>
    <w:rsid w:val="008D167D"/>
    <w:rsid w:val="008D4B58"/>
    <w:rsid w:val="008D4B8A"/>
    <w:rsid w:val="008D50D3"/>
    <w:rsid w:val="008D7D7B"/>
    <w:rsid w:val="008E0F52"/>
    <w:rsid w:val="008E2316"/>
    <w:rsid w:val="008E34BE"/>
    <w:rsid w:val="008E42F4"/>
    <w:rsid w:val="008E5657"/>
    <w:rsid w:val="008E5E51"/>
    <w:rsid w:val="008F00DB"/>
    <w:rsid w:val="008F0944"/>
    <w:rsid w:val="008F1264"/>
    <w:rsid w:val="008F2531"/>
    <w:rsid w:val="008F47C6"/>
    <w:rsid w:val="008F5207"/>
    <w:rsid w:val="008F5FD1"/>
    <w:rsid w:val="008F73EB"/>
    <w:rsid w:val="009006A2"/>
    <w:rsid w:val="0090102B"/>
    <w:rsid w:val="00901448"/>
    <w:rsid w:val="00905C47"/>
    <w:rsid w:val="00906379"/>
    <w:rsid w:val="009101EA"/>
    <w:rsid w:val="009106FC"/>
    <w:rsid w:val="009118BB"/>
    <w:rsid w:val="009157D1"/>
    <w:rsid w:val="00915B81"/>
    <w:rsid w:val="00915D6B"/>
    <w:rsid w:val="009160DF"/>
    <w:rsid w:val="009162C7"/>
    <w:rsid w:val="00916EC2"/>
    <w:rsid w:val="00917962"/>
    <w:rsid w:val="009213BD"/>
    <w:rsid w:val="009221F5"/>
    <w:rsid w:val="00924627"/>
    <w:rsid w:val="009250A8"/>
    <w:rsid w:val="00925BE6"/>
    <w:rsid w:val="0092612E"/>
    <w:rsid w:val="00926F61"/>
    <w:rsid w:val="0093123D"/>
    <w:rsid w:val="00933040"/>
    <w:rsid w:val="009330E9"/>
    <w:rsid w:val="00935D15"/>
    <w:rsid w:val="009411FB"/>
    <w:rsid w:val="009414A9"/>
    <w:rsid w:val="00941B71"/>
    <w:rsid w:val="009421AD"/>
    <w:rsid w:val="0094221C"/>
    <w:rsid w:val="0094409C"/>
    <w:rsid w:val="00944103"/>
    <w:rsid w:val="00944159"/>
    <w:rsid w:val="009449B2"/>
    <w:rsid w:val="00944A82"/>
    <w:rsid w:val="00946C4D"/>
    <w:rsid w:val="0095285B"/>
    <w:rsid w:val="00953011"/>
    <w:rsid w:val="00953085"/>
    <w:rsid w:val="00953495"/>
    <w:rsid w:val="009538FA"/>
    <w:rsid w:val="00953F35"/>
    <w:rsid w:val="00953FE9"/>
    <w:rsid w:val="0095481C"/>
    <w:rsid w:val="009567E6"/>
    <w:rsid w:val="00957076"/>
    <w:rsid w:val="00957132"/>
    <w:rsid w:val="009576FD"/>
    <w:rsid w:val="009578EB"/>
    <w:rsid w:val="009578FF"/>
    <w:rsid w:val="00960446"/>
    <w:rsid w:val="009610ED"/>
    <w:rsid w:val="009633BB"/>
    <w:rsid w:val="009633D3"/>
    <w:rsid w:val="0096485F"/>
    <w:rsid w:val="00965710"/>
    <w:rsid w:val="00967354"/>
    <w:rsid w:val="009676A1"/>
    <w:rsid w:val="00971592"/>
    <w:rsid w:val="00971DDF"/>
    <w:rsid w:val="009731D6"/>
    <w:rsid w:val="00974746"/>
    <w:rsid w:val="00975119"/>
    <w:rsid w:val="0097587B"/>
    <w:rsid w:val="00976F04"/>
    <w:rsid w:val="009777F4"/>
    <w:rsid w:val="00977AD8"/>
    <w:rsid w:val="00980A10"/>
    <w:rsid w:val="00981130"/>
    <w:rsid w:val="0098140E"/>
    <w:rsid w:val="009818A7"/>
    <w:rsid w:val="00982A6E"/>
    <w:rsid w:val="00983D46"/>
    <w:rsid w:val="00983DCA"/>
    <w:rsid w:val="00985EF7"/>
    <w:rsid w:val="00986CF9"/>
    <w:rsid w:val="00990C0E"/>
    <w:rsid w:val="00990D75"/>
    <w:rsid w:val="00991093"/>
    <w:rsid w:val="0099163B"/>
    <w:rsid w:val="00992343"/>
    <w:rsid w:val="00996306"/>
    <w:rsid w:val="00996744"/>
    <w:rsid w:val="00997CF4"/>
    <w:rsid w:val="009A1169"/>
    <w:rsid w:val="009A3789"/>
    <w:rsid w:val="009A6919"/>
    <w:rsid w:val="009A6AC7"/>
    <w:rsid w:val="009B0408"/>
    <w:rsid w:val="009B0843"/>
    <w:rsid w:val="009B08A5"/>
    <w:rsid w:val="009B1E47"/>
    <w:rsid w:val="009B2CED"/>
    <w:rsid w:val="009B59E5"/>
    <w:rsid w:val="009B7A72"/>
    <w:rsid w:val="009B7BB8"/>
    <w:rsid w:val="009C126A"/>
    <w:rsid w:val="009C1D4C"/>
    <w:rsid w:val="009C2DD2"/>
    <w:rsid w:val="009C3BBF"/>
    <w:rsid w:val="009C3C7F"/>
    <w:rsid w:val="009C441F"/>
    <w:rsid w:val="009C4A07"/>
    <w:rsid w:val="009C4B8E"/>
    <w:rsid w:val="009C51D5"/>
    <w:rsid w:val="009C599A"/>
    <w:rsid w:val="009C5C3B"/>
    <w:rsid w:val="009C650E"/>
    <w:rsid w:val="009C70DB"/>
    <w:rsid w:val="009D19BC"/>
    <w:rsid w:val="009D1FA3"/>
    <w:rsid w:val="009D2348"/>
    <w:rsid w:val="009D2F0C"/>
    <w:rsid w:val="009D3578"/>
    <w:rsid w:val="009D3A5F"/>
    <w:rsid w:val="009D5193"/>
    <w:rsid w:val="009D5C32"/>
    <w:rsid w:val="009D6472"/>
    <w:rsid w:val="009D79F4"/>
    <w:rsid w:val="009E3CD1"/>
    <w:rsid w:val="009E5AF5"/>
    <w:rsid w:val="009E5EB5"/>
    <w:rsid w:val="009E74F0"/>
    <w:rsid w:val="009F0768"/>
    <w:rsid w:val="009F0CF1"/>
    <w:rsid w:val="009F2493"/>
    <w:rsid w:val="009F5B48"/>
    <w:rsid w:val="009F7867"/>
    <w:rsid w:val="009F7D66"/>
    <w:rsid w:val="00A00BD2"/>
    <w:rsid w:val="00A00E56"/>
    <w:rsid w:val="00A00F52"/>
    <w:rsid w:val="00A027F3"/>
    <w:rsid w:val="00A03978"/>
    <w:rsid w:val="00A07E08"/>
    <w:rsid w:val="00A12798"/>
    <w:rsid w:val="00A14F13"/>
    <w:rsid w:val="00A153BE"/>
    <w:rsid w:val="00A15C9C"/>
    <w:rsid w:val="00A15DEE"/>
    <w:rsid w:val="00A16163"/>
    <w:rsid w:val="00A167B5"/>
    <w:rsid w:val="00A16DBE"/>
    <w:rsid w:val="00A17C4F"/>
    <w:rsid w:val="00A20A39"/>
    <w:rsid w:val="00A238BD"/>
    <w:rsid w:val="00A2459D"/>
    <w:rsid w:val="00A24E23"/>
    <w:rsid w:val="00A24EFB"/>
    <w:rsid w:val="00A25F05"/>
    <w:rsid w:val="00A311AE"/>
    <w:rsid w:val="00A312A6"/>
    <w:rsid w:val="00A3130E"/>
    <w:rsid w:val="00A324CF"/>
    <w:rsid w:val="00A32E8B"/>
    <w:rsid w:val="00A32ED6"/>
    <w:rsid w:val="00A344A5"/>
    <w:rsid w:val="00A346C3"/>
    <w:rsid w:val="00A37D95"/>
    <w:rsid w:val="00A42D07"/>
    <w:rsid w:val="00A450C0"/>
    <w:rsid w:val="00A4510F"/>
    <w:rsid w:val="00A45468"/>
    <w:rsid w:val="00A4791B"/>
    <w:rsid w:val="00A50A48"/>
    <w:rsid w:val="00A51522"/>
    <w:rsid w:val="00A51573"/>
    <w:rsid w:val="00A51A5E"/>
    <w:rsid w:val="00A51A87"/>
    <w:rsid w:val="00A52895"/>
    <w:rsid w:val="00A53DA0"/>
    <w:rsid w:val="00A54155"/>
    <w:rsid w:val="00A5765D"/>
    <w:rsid w:val="00A607CB"/>
    <w:rsid w:val="00A6351F"/>
    <w:rsid w:val="00A65A70"/>
    <w:rsid w:val="00A66F36"/>
    <w:rsid w:val="00A676D9"/>
    <w:rsid w:val="00A67EFC"/>
    <w:rsid w:val="00A7031E"/>
    <w:rsid w:val="00A71140"/>
    <w:rsid w:val="00A72ABD"/>
    <w:rsid w:val="00A73537"/>
    <w:rsid w:val="00A74692"/>
    <w:rsid w:val="00A7618B"/>
    <w:rsid w:val="00A7640B"/>
    <w:rsid w:val="00A7778B"/>
    <w:rsid w:val="00A803BC"/>
    <w:rsid w:val="00A80969"/>
    <w:rsid w:val="00A867AE"/>
    <w:rsid w:val="00A86EA7"/>
    <w:rsid w:val="00A92776"/>
    <w:rsid w:val="00A93161"/>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357D"/>
    <w:rsid w:val="00AC429F"/>
    <w:rsid w:val="00AC43FB"/>
    <w:rsid w:val="00AC51CB"/>
    <w:rsid w:val="00AC60B4"/>
    <w:rsid w:val="00AD00C5"/>
    <w:rsid w:val="00AD0492"/>
    <w:rsid w:val="00AD165F"/>
    <w:rsid w:val="00AD2794"/>
    <w:rsid w:val="00AD2DC5"/>
    <w:rsid w:val="00AD3455"/>
    <w:rsid w:val="00AD3CAD"/>
    <w:rsid w:val="00AD69FF"/>
    <w:rsid w:val="00AD702B"/>
    <w:rsid w:val="00AD72E6"/>
    <w:rsid w:val="00AD7C95"/>
    <w:rsid w:val="00AE3BC6"/>
    <w:rsid w:val="00AE3DE1"/>
    <w:rsid w:val="00AF2D54"/>
    <w:rsid w:val="00AF3458"/>
    <w:rsid w:val="00AF3F7B"/>
    <w:rsid w:val="00AF42B4"/>
    <w:rsid w:val="00AF44EC"/>
    <w:rsid w:val="00AF48D5"/>
    <w:rsid w:val="00AF4B8A"/>
    <w:rsid w:val="00AF4F1B"/>
    <w:rsid w:val="00AF5EC6"/>
    <w:rsid w:val="00AF6E8A"/>
    <w:rsid w:val="00AF7213"/>
    <w:rsid w:val="00AF7D92"/>
    <w:rsid w:val="00B005DA"/>
    <w:rsid w:val="00B011CC"/>
    <w:rsid w:val="00B03FFE"/>
    <w:rsid w:val="00B04048"/>
    <w:rsid w:val="00B04F3D"/>
    <w:rsid w:val="00B05702"/>
    <w:rsid w:val="00B06DD9"/>
    <w:rsid w:val="00B07CD6"/>
    <w:rsid w:val="00B07E52"/>
    <w:rsid w:val="00B10010"/>
    <w:rsid w:val="00B11775"/>
    <w:rsid w:val="00B1302D"/>
    <w:rsid w:val="00B1513F"/>
    <w:rsid w:val="00B1746F"/>
    <w:rsid w:val="00B20725"/>
    <w:rsid w:val="00B2628E"/>
    <w:rsid w:val="00B266B0"/>
    <w:rsid w:val="00B27921"/>
    <w:rsid w:val="00B3000E"/>
    <w:rsid w:val="00B326A8"/>
    <w:rsid w:val="00B329EB"/>
    <w:rsid w:val="00B33508"/>
    <w:rsid w:val="00B3377E"/>
    <w:rsid w:val="00B35DA4"/>
    <w:rsid w:val="00B4068C"/>
    <w:rsid w:val="00B40A96"/>
    <w:rsid w:val="00B40B14"/>
    <w:rsid w:val="00B4147D"/>
    <w:rsid w:val="00B422A7"/>
    <w:rsid w:val="00B42A32"/>
    <w:rsid w:val="00B42FA6"/>
    <w:rsid w:val="00B4399E"/>
    <w:rsid w:val="00B43A16"/>
    <w:rsid w:val="00B45CE1"/>
    <w:rsid w:val="00B46A75"/>
    <w:rsid w:val="00B500CD"/>
    <w:rsid w:val="00B510FE"/>
    <w:rsid w:val="00B5239C"/>
    <w:rsid w:val="00B53893"/>
    <w:rsid w:val="00B548C2"/>
    <w:rsid w:val="00B55118"/>
    <w:rsid w:val="00B55428"/>
    <w:rsid w:val="00B570BF"/>
    <w:rsid w:val="00B571E1"/>
    <w:rsid w:val="00B63337"/>
    <w:rsid w:val="00B6369F"/>
    <w:rsid w:val="00B639D7"/>
    <w:rsid w:val="00B64898"/>
    <w:rsid w:val="00B67074"/>
    <w:rsid w:val="00B6720A"/>
    <w:rsid w:val="00B67805"/>
    <w:rsid w:val="00B7267A"/>
    <w:rsid w:val="00B726FF"/>
    <w:rsid w:val="00B72AA4"/>
    <w:rsid w:val="00B752B7"/>
    <w:rsid w:val="00B76BCD"/>
    <w:rsid w:val="00B76EE9"/>
    <w:rsid w:val="00B77880"/>
    <w:rsid w:val="00B80D90"/>
    <w:rsid w:val="00B81054"/>
    <w:rsid w:val="00B82613"/>
    <w:rsid w:val="00B828B5"/>
    <w:rsid w:val="00B84E9C"/>
    <w:rsid w:val="00B85522"/>
    <w:rsid w:val="00B90E2A"/>
    <w:rsid w:val="00B90F2A"/>
    <w:rsid w:val="00B9198D"/>
    <w:rsid w:val="00B93008"/>
    <w:rsid w:val="00B9406D"/>
    <w:rsid w:val="00B94BA7"/>
    <w:rsid w:val="00B94E0E"/>
    <w:rsid w:val="00B95247"/>
    <w:rsid w:val="00B96944"/>
    <w:rsid w:val="00B97CA3"/>
    <w:rsid w:val="00BA0E82"/>
    <w:rsid w:val="00BA3C59"/>
    <w:rsid w:val="00BA658E"/>
    <w:rsid w:val="00BA70B6"/>
    <w:rsid w:val="00BA76A9"/>
    <w:rsid w:val="00BB360C"/>
    <w:rsid w:val="00BB3E2B"/>
    <w:rsid w:val="00BB5D1C"/>
    <w:rsid w:val="00BB6552"/>
    <w:rsid w:val="00BB6B9B"/>
    <w:rsid w:val="00BB754F"/>
    <w:rsid w:val="00BC07D4"/>
    <w:rsid w:val="00BC0A5D"/>
    <w:rsid w:val="00BC0BE3"/>
    <w:rsid w:val="00BC1AD9"/>
    <w:rsid w:val="00BC32E7"/>
    <w:rsid w:val="00BC5074"/>
    <w:rsid w:val="00BC58B9"/>
    <w:rsid w:val="00BC5A27"/>
    <w:rsid w:val="00BD08B1"/>
    <w:rsid w:val="00BD1AC1"/>
    <w:rsid w:val="00BD3E68"/>
    <w:rsid w:val="00BD598A"/>
    <w:rsid w:val="00BD7217"/>
    <w:rsid w:val="00BD75B4"/>
    <w:rsid w:val="00BD7D14"/>
    <w:rsid w:val="00BE02B4"/>
    <w:rsid w:val="00BE631E"/>
    <w:rsid w:val="00BE7288"/>
    <w:rsid w:val="00BF0CCF"/>
    <w:rsid w:val="00BF0FC5"/>
    <w:rsid w:val="00BF10BC"/>
    <w:rsid w:val="00BF21AC"/>
    <w:rsid w:val="00BF2E53"/>
    <w:rsid w:val="00BF3669"/>
    <w:rsid w:val="00BF3C0D"/>
    <w:rsid w:val="00BF6AFD"/>
    <w:rsid w:val="00C01DD5"/>
    <w:rsid w:val="00C02628"/>
    <w:rsid w:val="00C02CBD"/>
    <w:rsid w:val="00C03309"/>
    <w:rsid w:val="00C037B1"/>
    <w:rsid w:val="00C0656E"/>
    <w:rsid w:val="00C072FE"/>
    <w:rsid w:val="00C1147E"/>
    <w:rsid w:val="00C12E39"/>
    <w:rsid w:val="00C14164"/>
    <w:rsid w:val="00C15D8E"/>
    <w:rsid w:val="00C17012"/>
    <w:rsid w:val="00C178FB"/>
    <w:rsid w:val="00C218C1"/>
    <w:rsid w:val="00C257B7"/>
    <w:rsid w:val="00C272E8"/>
    <w:rsid w:val="00C30695"/>
    <w:rsid w:val="00C31417"/>
    <w:rsid w:val="00C33359"/>
    <w:rsid w:val="00C348D6"/>
    <w:rsid w:val="00C36E34"/>
    <w:rsid w:val="00C404EE"/>
    <w:rsid w:val="00C4171B"/>
    <w:rsid w:val="00C42689"/>
    <w:rsid w:val="00C42988"/>
    <w:rsid w:val="00C42BD4"/>
    <w:rsid w:val="00C43FF0"/>
    <w:rsid w:val="00C44641"/>
    <w:rsid w:val="00C45EF5"/>
    <w:rsid w:val="00C461F1"/>
    <w:rsid w:val="00C46B7E"/>
    <w:rsid w:val="00C50A4E"/>
    <w:rsid w:val="00C51E5F"/>
    <w:rsid w:val="00C520B1"/>
    <w:rsid w:val="00C522D6"/>
    <w:rsid w:val="00C53569"/>
    <w:rsid w:val="00C54020"/>
    <w:rsid w:val="00C545C5"/>
    <w:rsid w:val="00C55F85"/>
    <w:rsid w:val="00C571B4"/>
    <w:rsid w:val="00C61D4B"/>
    <w:rsid w:val="00C62B0A"/>
    <w:rsid w:val="00C63F08"/>
    <w:rsid w:val="00C6528C"/>
    <w:rsid w:val="00C661E8"/>
    <w:rsid w:val="00C70084"/>
    <w:rsid w:val="00C7183E"/>
    <w:rsid w:val="00C7235B"/>
    <w:rsid w:val="00C72E18"/>
    <w:rsid w:val="00C7380B"/>
    <w:rsid w:val="00C73872"/>
    <w:rsid w:val="00C74421"/>
    <w:rsid w:val="00C758C6"/>
    <w:rsid w:val="00C75F2F"/>
    <w:rsid w:val="00C75FEE"/>
    <w:rsid w:val="00C76F1D"/>
    <w:rsid w:val="00C77080"/>
    <w:rsid w:val="00C77D26"/>
    <w:rsid w:val="00C84D39"/>
    <w:rsid w:val="00C85277"/>
    <w:rsid w:val="00C856DE"/>
    <w:rsid w:val="00C85D76"/>
    <w:rsid w:val="00C873AC"/>
    <w:rsid w:val="00C93462"/>
    <w:rsid w:val="00C94384"/>
    <w:rsid w:val="00C94545"/>
    <w:rsid w:val="00C94A34"/>
    <w:rsid w:val="00C94C2B"/>
    <w:rsid w:val="00C957F4"/>
    <w:rsid w:val="00C96F79"/>
    <w:rsid w:val="00C97CF9"/>
    <w:rsid w:val="00CA17DD"/>
    <w:rsid w:val="00CA1863"/>
    <w:rsid w:val="00CA391D"/>
    <w:rsid w:val="00CA3ACD"/>
    <w:rsid w:val="00CA4F8B"/>
    <w:rsid w:val="00CB09DA"/>
    <w:rsid w:val="00CB0BD9"/>
    <w:rsid w:val="00CB1CAC"/>
    <w:rsid w:val="00CB1DE8"/>
    <w:rsid w:val="00CB1E3B"/>
    <w:rsid w:val="00CB1F1D"/>
    <w:rsid w:val="00CB71F8"/>
    <w:rsid w:val="00CC26DB"/>
    <w:rsid w:val="00CC3DAA"/>
    <w:rsid w:val="00CC4C2C"/>
    <w:rsid w:val="00CC5057"/>
    <w:rsid w:val="00CC5921"/>
    <w:rsid w:val="00CD078F"/>
    <w:rsid w:val="00CD121E"/>
    <w:rsid w:val="00CD3ED8"/>
    <w:rsid w:val="00CD74BB"/>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38C"/>
    <w:rsid w:val="00D00BB7"/>
    <w:rsid w:val="00D01EAD"/>
    <w:rsid w:val="00D035B9"/>
    <w:rsid w:val="00D060FF"/>
    <w:rsid w:val="00D064E8"/>
    <w:rsid w:val="00D06572"/>
    <w:rsid w:val="00D065CD"/>
    <w:rsid w:val="00D12325"/>
    <w:rsid w:val="00D13D06"/>
    <w:rsid w:val="00D14487"/>
    <w:rsid w:val="00D14D82"/>
    <w:rsid w:val="00D158F7"/>
    <w:rsid w:val="00D15E7E"/>
    <w:rsid w:val="00D1614D"/>
    <w:rsid w:val="00D20016"/>
    <w:rsid w:val="00D20AD3"/>
    <w:rsid w:val="00D2279F"/>
    <w:rsid w:val="00D22AF1"/>
    <w:rsid w:val="00D22E93"/>
    <w:rsid w:val="00D242DA"/>
    <w:rsid w:val="00D26448"/>
    <w:rsid w:val="00D264CE"/>
    <w:rsid w:val="00D26670"/>
    <w:rsid w:val="00D27B8B"/>
    <w:rsid w:val="00D31B6E"/>
    <w:rsid w:val="00D3232B"/>
    <w:rsid w:val="00D3239F"/>
    <w:rsid w:val="00D324A4"/>
    <w:rsid w:val="00D328F6"/>
    <w:rsid w:val="00D33569"/>
    <w:rsid w:val="00D3462C"/>
    <w:rsid w:val="00D35198"/>
    <w:rsid w:val="00D3584B"/>
    <w:rsid w:val="00D42240"/>
    <w:rsid w:val="00D427C3"/>
    <w:rsid w:val="00D42EB8"/>
    <w:rsid w:val="00D44932"/>
    <w:rsid w:val="00D46111"/>
    <w:rsid w:val="00D47C16"/>
    <w:rsid w:val="00D50165"/>
    <w:rsid w:val="00D502AF"/>
    <w:rsid w:val="00D50764"/>
    <w:rsid w:val="00D50C12"/>
    <w:rsid w:val="00D51A77"/>
    <w:rsid w:val="00D52498"/>
    <w:rsid w:val="00D53830"/>
    <w:rsid w:val="00D55889"/>
    <w:rsid w:val="00D57AF0"/>
    <w:rsid w:val="00D62ECD"/>
    <w:rsid w:val="00D638EC"/>
    <w:rsid w:val="00D64426"/>
    <w:rsid w:val="00D67BC5"/>
    <w:rsid w:val="00D7021B"/>
    <w:rsid w:val="00D70D33"/>
    <w:rsid w:val="00D71ACC"/>
    <w:rsid w:val="00D73077"/>
    <w:rsid w:val="00D73A61"/>
    <w:rsid w:val="00D73C57"/>
    <w:rsid w:val="00D742FF"/>
    <w:rsid w:val="00D758B3"/>
    <w:rsid w:val="00D76ADC"/>
    <w:rsid w:val="00D77413"/>
    <w:rsid w:val="00D8044A"/>
    <w:rsid w:val="00D81F10"/>
    <w:rsid w:val="00D84A57"/>
    <w:rsid w:val="00D874DF"/>
    <w:rsid w:val="00D87A12"/>
    <w:rsid w:val="00D930E1"/>
    <w:rsid w:val="00D9415C"/>
    <w:rsid w:val="00D942CC"/>
    <w:rsid w:val="00D94D87"/>
    <w:rsid w:val="00D962DC"/>
    <w:rsid w:val="00DA0C66"/>
    <w:rsid w:val="00DA180C"/>
    <w:rsid w:val="00DA2235"/>
    <w:rsid w:val="00DA2DFD"/>
    <w:rsid w:val="00DA2F9E"/>
    <w:rsid w:val="00DA451D"/>
    <w:rsid w:val="00DA56DB"/>
    <w:rsid w:val="00DA6452"/>
    <w:rsid w:val="00DA6FE9"/>
    <w:rsid w:val="00DA7925"/>
    <w:rsid w:val="00DA7E5F"/>
    <w:rsid w:val="00DB02DE"/>
    <w:rsid w:val="00DB0AB8"/>
    <w:rsid w:val="00DB0D2A"/>
    <w:rsid w:val="00DB0F30"/>
    <w:rsid w:val="00DB1DAB"/>
    <w:rsid w:val="00DB39D4"/>
    <w:rsid w:val="00DB3A47"/>
    <w:rsid w:val="00DB459D"/>
    <w:rsid w:val="00DB4E06"/>
    <w:rsid w:val="00DB6A80"/>
    <w:rsid w:val="00DB6C06"/>
    <w:rsid w:val="00DB722B"/>
    <w:rsid w:val="00DB7B06"/>
    <w:rsid w:val="00DC3A9D"/>
    <w:rsid w:val="00DC4ACD"/>
    <w:rsid w:val="00DC6C1E"/>
    <w:rsid w:val="00DC7951"/>
    <w:rsid w:val="00DD1C4B"/>
    <w:rsid w:val="00DD1F7B"/>
    <w:rsid w:val="00DD229E"/>
    <w:rsid w:val="00DD48B0"/>
    <w:rsid w:val="00DD55E0"/>
    <w:rsid w:val="00DE1904"/>
    <w:rsid w:val="00DE3DBB"/>
    <w:rsid w:val="00DE43A2"/>
    <w:rsid w:val="00DE4A74"/>
    <w:rsid w:val="00DE541C"/>
    <w:rsid w:val="00DE737B"/>
    <w:rsid w:val="00DE74BD"/>
    <w:rsid w:val="00DF100B"/>
    <w:rsid w:val="00DF4359"/>
    <w:rsid w:val="00E0456C"/>
    <w:rsid w:val="00E0576C"/>
    <w:rsid w:val="00E068BC"/>
    <w:rsid w:val="00E073F0"/>
    <w:rsid w:val="00E10761"/>
    <w:rsid w:val="00E11D7A"/>
    <w:rsid w:val="00E11EEB"/>
    <w:rsid w:val="00E128F2"/>
    <w:rsid w:val="00E16463"/>
    <w:rsid w:val="00E24589"/>
    <w:rsid w:val="00E26727"/>
    <w:rsid w:val="00E26970"/>
    <w:rsid w:val="00E27730"/>
    <w:rsid w:val="00E27749"/>
    <w:rsid w:val="00E27791"/>
    <w:rsid w:val="00E319DB"/>
    <w:rsid w:val="00E31AFC"/>
    <w:rsid w:val="00E3409E"/>
    <w:rsid w:val="00E34F76"/>
    <w:rsid w:val="00E37BE5"/>
    <w:rsid w:val="00E41A27"/>
    <w:rsid w:val="00E4208C"/>
    <w:rsid w:val="00E44319"/>
    <w:rsid w:val="00E4608B"/>
    <w:rsid w:val="00E46A91"/>
    <w:rsid w:val="00E501D3"/>
    <w:rsid w:val="00E537BA"/>
    <w:rsid w:val="00E53A01"/>
    <w:rsid w:val="00E564C4"/>
    <w:rsid w:val="00E567C9"/>
    <w:rsid w:val="00E604C4"/>
    <w:rsid w:val="00E60809"/>
    <w:rsid w:val="00E61300"/>
    <w:rsid w:val="00E635B9"/>
    <w:rsid w:val="00E65D15"/>
    <w:rsid w:val="00E67EE5"/>
    <w:rsid w:val="00E7013A"/>
    <w:rsid w:val="00E72461"/>
    <w:rsid w:val="00E74F5D"/>
    <w:rsid w:val="00E76034"/>
    <w:rsid w:val="00E77060"/>
    <w:rsid w:val="00E7722E"/>
    <w:rsid w:val="00E80440"/>
    <w:rsid w:val="00E817E0"/>
    <w:rsid w:val="00E82EE4"/>
    <w:rsid w:val="00E831E7"/>
    <w:rsid w:val="00E843B5"/>
    <w:rsid w:val="00E84A3B"/>
    <w:rsid w:val="00E85307"/>
    <w:rsid w:val="00E907E4"/>
    <w:rsid w:val="00E90A24"/>
    <w:rsid w:val="00E90C34"/>
    <w:rsid w:val="00E90CC9"/>
    <w:rsid w:val="00E919AC"/>
    <w:rsid w:val="00E91C8D"/>
    <w:rsid w:val="00E946A6"/>
    <w:rsid w:val="00E947E4"/>
    <w:rsid w:val="00E96A29"/>
    <w:rsid w:val="00E96FE6"/>
    <w:rsid w:val="00EA158D"/>
    <w:rsid w:val="00EA1D43"/>
    <w:rsid w:val="00EA2B81"/>
    <w:rsid w:val="00EA4EC9"/>
    <w:rsid w:val="00EA5E0F"/>
    <w:rsid w:val="00EA6FE4"/>
    <w:rsid w:val="00EA7F4C"/>
    <w:rsid w:val="00EB128B"/>
    <w:rsid w:val="00EB1D47"/>
    <w:rsid w:val="00EB2317"/>
    <w:rsid w:val="00EB279B"/>
    <w:rsid w:val="00EB2ABB"/>
    <w:rsid w:val="00EB5D88"/>
    <w:rsid w:val="00EB661B"/>
    <w:rsid w:val="00EB7307"/>
    <w:rsid w:val="00EC14B0"/>
    <w:rsid w:val="00EC204E"/>
    <w:rsid w:val="00EC249E"/>
    <w:rsid w:val="00EC2CFF"/>
    <w:rsid w:val="00EC5F2F"/>
    <w:rsid w:val="00EC651E"/>
    <w:rsid w:val="00EC692E"/>
    <w:rsid w:val="00EC745E"/>
    <w:rsid w:val="00EC7728"/>
    <w:rsid w:val="00EC7EAF"/>
    <w:rsid w:val="00ED27C3"/>
    <w:rsid w:val="00ED33AE"/>
    <w:rsid w:val="00ED3775"/>
    <w:rsid w:val="00ED4A6D"/>
    <w:rsid w:val="00ED6D4A"/>
    <w:rsid w:val="00ED738C"/>
    <w:rsid w:val="00ED7918"/>
    <w:rsid w:val="00ED7FD3"/>
    <w:rsid w:val="00EE3663"/>
    <w:rsid w:val="00EE3833"/>
    <w:rsid w:val="00EE3FA9"/>
    <w:rsid w:val="00EE41C4"/>
    <w:rsid w:val="00EE76A9"/>
    <w:rsid w:val="00EE799E"/>
    <w:rsid w:val="00EE7CA8"/>
    <w:rsid w:val="00EE7FA7"/>
    <w:rsid w:val="00EF1093"/>
    <w:rsid w:val="00EF1B70"/>
    <w:rsid w:val="00EF1FCB"/>
    <w:rsid w:val="00EF21C3"/>
    <w:rsid w:val="00EF5929"/>
    <w:rsid w:val="00F0030E"/>
    <w:rsid w:val="00F00CD1"/>
    <w:rsid w:val="00F01E6B"/>
    <w:rsid w:val="00F0241C"/>
    <w:rsid w:val="00F025E1"/>
    <w:rsid w:val="00F05759"/>
    <w:rsid w:val="00F10CB9"/>
    <w:rsid w:val="00F110D5"/>
    <w:rsid w:val="00F12351"/>
    <w:rsid w:val="00F16739"/>
    <w:rsid w:val="00F16DE2"/>
    <w:rsid w:val="00F2052B"/>
    <w:rsid w:val="00F2260F"/>
    <w:rsid w:val="00F24132"/>
    <w:rsid w:val="00F242AD"/>
    <w:rsid w:val="00F247F2"/>
    <w:rsid w:val="00F265F7"/>
    <w:rsid w:val="00F277EC"/>
    <w:rsid w:val="00F27FA6"/>
    <w:rsid w:val="00F31429"/>
    <w:rsid w:val="00F32865"/>
    <w:rsid w:val="00F33DC8"/>
    <w:rsid w:val="00F34444"/>
    <w:rsid w:val="00F353D9"/>
    <w:rsid w:val="00F35617"/>
    <w:rsid w:val="00F360CE"/>
    <w:rsid w:val="00F4275C"/>
    <w:rsid w:val="00F432C7"/>
    <w:rsid w:val="00F52339"/>
    <w:rsid w:val="00F5277A"/>
    <w:rsid w:val="00F532E8"/>
    <w:rsid w:val="00F537FF"/>
    <w:rsid w:val="00F560FE"/>
    <w:rsid w:val="00F60C1D"/>
    <w:rsid w:val="00F6111C"/>
    <w:rsid w:val="00F614C0"/>
    <w:rsid w:val="00F61647"/>
    <w:rsid w:val="00F62387"/>
    <w:rsid w:val="00F657CF"/>
    <w:rsid w:val="00F679CF"/>
    <w:rsid w:val="00F70A64"/>
    <w:rsid w:val="00F713A3"/>
    <w:rsid w:val="00F71A8F"/>
    <w:rsid w:val="00F75330"/>
    <w:rsid w:val="00F76BD9"/>
    <w:rsid w:val="00F80318"/>
    <w:rsid w:val="00F80703"/>
    <w:rsid w:val="00F80948"/>
    <w:rsid w:val="00F81387"/>
    <w:rsid w:val="00F822E3"/>
    <w:rsid w:val="00F82866"/>
    <w:rsid w:val="00F84421"/>
    <w:rsid w:val="00F8449B"/>
    <w:rsid w:val="00F85691"/>
    <w:rsid w:val="00F87094"/>
    <w:rsid w:val="00F87AB3"/>
    <w:rsid w:val="00F87D1A"/>
    <w:rsid w:val="00F913DC"/>
    <w:rsid w:val="00F91DDA"/>
    <w:rsid w:val="00F9397A"/>
    <w:rsid w:val="00F93A37"/>
    <w:rsid w:val="00F94182"/>
    <w:rsid w:val="00F944D9"/>
    <w:rsid w:val="00F94DB3"/>
    <w:rsid w:val="00F96500"/>
    <w:rsid w:val="00FA181D"/>
    <w:rsid w:val="00FA413A"/>
    <w:rsid w:val="00FA4144"/>
    <w:rsid w:val="00FA4DDF"/>
    <w:rsid w:val="00FA6E7F"/>
    <w:rsid w:val="00FA7114"/>
    <w:rsid w:val="00FB0218"/>
    <w:rsid w:val="00FB13D1"/>
    <w:rsid w:val="00FB1F5D"/>
    <w:rsid w:val="00FB2379"/>
    <w:rsid w:val="00FB4B8A"/>
    <w:rsid w:val="00FB4F04"/>
    <w:rsid w:val="00FB5152"/>
    <w:rsid w:val="00FB680E"/>
    <w:rsid w:val="00FB7FCA"/>
    <w:rsid w:val="00FC0065"/>
    <w:rsid w:val="00FC3AEE"/>
    <w:rsid w:val="00FC6238"/>
    <w:rsid w:val="00FD33FC"/>
    <w:rsid w:val="00FD3730"/>
    <w:rsid w:val="00FD3ADE"/>
    <w:rsid w:val="00FD3B08"/>
    <w:rsid w:val="00FD4806"/>
    <w:rsid w:val="00FD534E"/>
    <w:rsid w:val="00FD56C7"/>
    <w:rsid w:val="00FD5CBB"/>
    <w:rsid w:val="00FD6B74"/>
    <w:rsid w:val="00FD721A"/>
    <w:rsid w:val="00FE002E"/>
    <w:rsid w:val="00FE15BF"/>
    <w:rsid w:val="00FE2398"/>
    <w:rsid w:val="00FE515A"/>
    <w:rsid w:val="00FE5624"/>
    <w:rsid w:val="00FE5D2C"/>
    <w:rsid w:val="00FE5FBF"/>
    <w:rsid w:val="00FE6C25"/>
    <w:rsid w:val="00FF033A"/>
    <w:rsid w:val="00FF0964"/>
    <w:rsid w:val="00FF16F2"/>
    <w:rsid w:val="00FF2B42"/>
    <w:rsid w:val="00FF3B7F"/>
    <w:rsid w:val="00FF484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E0119"/>
  <w15:docId w15:val="{D32100B9-6534-4746-98AA-C202BB85B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91987279">
      <w:bodyDiv w:val="1"/>
      <w:marLeft w:val="0"/>
      <w:marRight w:val="0"/>
      <w:marTop w:val="0"/>
      <w:marBottom w:val="0"/>
      <w:divBdr>
        <w:top w:val="none" w:sz="0" w:space="0" w:color="auto"/>
        <w:left w:val="none" w:sz="0" w:space="0" w:color="auto"/>
        <w:bottom w:val="none" w:sz="0" w:space="0" w:color="auto"/>
        <w:right w:val="none" w:sz="0" w:space="0" w:color="auto"/>
      </w:divBdr>
    </w:div>
    <w:div w:id="49276548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1779917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6802BB-2220-4CC9-BD3A-725387AB5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54</TotalTime>
  <Pages>4</Pages>
  <Words>1735</Words>
  <Characters>9895</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11607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12</cp:revision>
  <cp:lastPrinted>2016-06-16T05:17:00Z</cp:lastPrinted>
  <dcterms:created xsi:type="dcterms:W3CDTF">2017-01-03T13:14:00Z</dcterms:created>
  <dcterms:modified xsi:type="dcterms:W3CDTF">2017-01-09T11:48:00Z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