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A84" w:rsidRPr="007C1B33" w:rsidRDefault="006A1A84" w:rsidP="006A1A84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3GPP TSG RAN WG1 Meeting </w:t>
      </w:r>
      <w:r w:rsidR="009B6B19">
        <w:rPr>
          <w:rFonts w:eastAsia="Times New Roman" w:cs="Arial"/>
          <w:bCs/>
          <w:noProof/>
          <w:sz w:val="20"/>
          <w:szCs w:val="18"/>
          <w:lang w:val="en-US" w:eastAsia="zh-CN"/>
        </w:rPr>
        <w:t>NR AH</w:t>
      </w:r>
      <w:r w:rsidR="00EA18C4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ab/>
      </w:r>
      <w:r w:rsidR="00F0269B" w:rsidRPr="00F0269B">
        <w:rPr>
          <w:rFonts w:eastAsia="Times New Roman" w:cs="Arial"/>
          <w:bCs/>
          <w:noProof/>
          <w:sz w:val="20"/>
          <w:szCs w:val="18"/>
          <w:lang w:val="en-US" w:eastAsia="zh-CN"/>
        </w:rPr>
        <w:t>R1-</w:t>
      </w:r>
      <w:r w:rsidR="009B6B19">
        <w:rPr>
          <w:rFonts w:eastAsia="Times New Roman" w:cs="Arial"/>
          <w:bCs/>
          <w:noProof/>
          <w:sz w:val="20"/>
          <w:szCs w:val="18"/>
          <w:lang w:val="en-US" w:eastAsia="zh-CN"/>
        </w:rPr>
        <w:t>1700700</w:t>
      </w:r>
    </w:p>
    <w:p w:rsidR="00E12BE8" w:rsidRDefault="00E12BE8" w:rsidP="00E12BE8">
      <w:pPr>
        <w:pStyle w:val="TdocHeader2"/>
        <w:rPr>
          <w:sz w:val="20"/>
          <w:lang w:val="en-US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Spokane, WA, 16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– 20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January 2017</w:t>
      </w:r>
    </w:p>
    <w:p w:rsidR="00F85CF4" w:rsidRDefault="00F85CF4" w:rsidP="006A1A84">
      <w:pPr>
        <w:pStyle w:val="TdocHeader2"/>
        <w:rPr>
          <w:sz w:val="20"/>
          <w:lang w:val="en-US"/>
        </w:rPr>
      </w:pPr>
    </w:p>
    <w:p w:rsidR="006A1A84" w:rsidRPr="008979AC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 xml:space="preserve">DISH Network, </w:t>
      </w:r>
      <w:r w:rsidR="0035022C">
        <w:rPr>
          <w:sz w:val="20"/>
          <w:lang w:val="en-US"/>
        </w:rPr>
        <w:t>Thales</w:t>
      </w:r>
      <w:r w:rsidR="003C6BA7">
        <w:rPr>
          <w:sz w:val="20"/>
          <w:lang w:val="en-US"/>
        </w:rPr>
        <w:t xml:space="preserve">, </w:t>
      </w:r>
      <w:proofErr w:type="spellStart"/>
      <w:r w:rsidR="003C6BA7">
        <w:rPr>
          <w:sz w:val="20"/>
          <w:lang w:val="en-US"/>
        </w:rPr>
        <w:t>Fraunhofer</w:t>
      </w:r>
      <w:proofErr w:type="spellEnd"/>
      <w:r w:rsidR="003C6BA7">
        <w:rPr>
          <w:sz w:val="20"/>
          <w:lang w:val="en-US"/>
        </w:rPr>
        <w:t xml:space="preserve"> IIS</w:t>
      </w:r>
      <w:r w:rsidR="00654360">
        <w:rPr>
          <w:sz w:val="20"/>
          <w:lang w:val="en-US"/>
        </w:rPr>
        <w:t>, SES S.A.</w:t>
      </w:r>
    </w:p>
    <w:p w:rsidR="006A1A84" w:rsidRPr="0027658D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1B53EC">
        <w:rPr>
          <w:sz w:val="20"/>
          <w:lang w:val="en-US"/>
        </w:rPr>
        <w:t xml:space="preserve">Satellite Aspects- Forward Compatibility Consideration for </w:t>
      </w:r>
      <w:r w:rsidR="00C80B2A">
        <w:rPr>
          <w:sz w:val="20"/>
          <w:lang w:val="en-US"/>
        </w:rPr>
        <w:t xml:space="preserve">Random Access </w:t>
      </w:r>
      <w:r w:rsidR="00A16970">
        <w:rPr>
          <w:sz w:val="20"/>
          <w:lang w:val="en-US"/>
        </w:rPr>
        <w:t>Preamble Format</w:t>
      </w:r>
      <w:r w:rsidR="001B53EC">
        <w:rPr>
          <w:sz w:val="20"/>
          <w:lang w:val="en-US"/>
        </w:rPr>
        <w:t xml:space="preserve"> </w:t>
      </w:r>
    </w:p>
    <w:p w:rsidR="006A1A84" w:rsidRPr="002D72B0" w:rsidRDefault="006A1A84" w:rsidP="006A1A84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9B6B19">
        <w:rPr>
          <w:sz w:val="20"/>
          <w:lang w:val="en-US"/>
        </w:rPr>
        <w:t>5.1.12</w:t>
      </w:r>
    </w:p>
    <w:p w:rsidR="006A1A84" w:rsidRDefault="006A1A84" w:rsidP="006A1A84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9B6B19" w:rsidRDefault="009B6B19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Heading1"/>
        <w:numPr>
          <w:ilvl w:val="0"/>
          <w:numId w:val="4"/>
        </w:numPr>
        <w:textAlignment w:val="auto"/>
        <w:rPr>
          <w:lang w:val="en-US"/>
        </w:rPr>
      </w:pPr>
      <w:bookmarkStart w:id="3" w:name="_Ref298777854"/>
      <w:bookmarkEnd w:id="0"/>
      <w:bookmarkEnd w:id="1"/>
      <w:r>
        <w:rPr>
          <w:lang w:val="en-US"/>
        </w:rPr>
        <w:t>Introduction</w:t>
      </w:r>
      <w:bookmarkEnd w:id="3"/>
    </w:p>
    <w:p w:rsidR="001712ED" w:rsidRDefault="007C3C38" w:rsidP="008F5EDE">
      <w:pPr>
        <w:jc w:val="both"/>
        <w:rPr>
          <w:sz w:val="24"/>
          <w:szCs w:val="24"/>
        </w:rPr>
      </w:pPr>
      <w:r w:rsidRPr="0002546D">
        <w:rPr>
          <w:sz w:val="24"/>
          <w:szCs w:val="24"/>
        </w:rPr>
        <w:t>This contribution</w:t>
      </w:r>
      <w:r>
        <w:rPr>
          <w:sz w:val="24"/>
          <w:szCs w:val="24"/>
        </w:rPr>
        <w:t xml:space="preserve"> </w:t>
      </w:r>
      <w:r w:rsidR="00EA18C4">
        <w:rPr>
          <w:sz w:val="24"/>
          <w:szCs w:val="24"/>
        </w:rPr>
        <w:t xml:space="preserve">studies the </w:t>
      </w:r>
      <w:r w:rsidR="00B1454B">
        <w:rPr>
          <w:sz w:val="24"/>
          <w:szCs w:val="24"/>
        </w:rPr>
        <w:t xml:space="preserve">satellite considerations </w:t>
      </w:r>
      <w:r w:rsidR="0029466A">
        <w:rPr>
          <w:sz w:val="24"/>
          <w:szCs w:val="24"/>
        </w:rPr>
        <w:t>of</w:t>
      </w:r>
      <w:r w:rsidR="00B1454B">
        <w:rPr>
          <w:sz w:val="24"/>
          <w:szCs w:val="24"/>
        </w:rPr>
        <w:t xml:space="preserve"> </w:t>
      </w:r>
      <w:r w:rsidR="00EA18C4">
        <w:rPr>
          <w:sz w:val="24"/>
          <w:szCs w:val="24"/>
        </w:rPr>
        <w:t xml:space="preserve">the </w:t>
      </w:r>
      <w:r w:rsidR="00CC3045">
        <w:rPr>
          <w:sz w:val="24"/>
          <w:szCs w:val="24"/>
        </w:rPr>
        <w:t>physical random access channel (</w:t>
      </w:r>
      <w:r w:rsidR="00A16970">
        <w:rPr>
          <w:sz w:val="24"/>
          <w:szCs w:val="24"/>
        </w:rPr>
        <w:t>PRACH</w:t>
      </w:r>
      <w:r w:rsidR="00CC3045">
        <w:rPr>
          <w:sz w:val="24"/>
          <w:szCs w:val="24"/>
        </w:rPr>
        <w:t>)</w:t>
      </w:r>
      <w:r w:rsidR="00A16970">
        <w:rPr>
          <w:sz w:val="24"/>
          <w:szCs w:val="24"/>
        </w:rPr>
        <w:t xml:space="preserve"> preamble format </w:t>
      </w:r>
      <w:r w:rsidR="00EA18C4">
        <w:rPr>
          <w:sz w:val="24"/>
          <w:szCs w:val="24"/>
        </w:rPr>
        <w:t xml:space="preserve">for the New Radio (NR) access technology </w:t>
      </w:r>
      <w:r w:rsidR="00B1454B">
        <w:rPr>
          <w:sz w:val="24"/>
          <w:szCs w:val="24"/>
        </w:rPr>
        <w:t xml:space="preserve">to ensure forward compatibility </w:t>
      </w:r>
      <w:r w:rsidR="0029466A">
        <w:rPr>
          <w:sz w:val="24"/>
          <w:szCs w:val="24"/>
        </w:rPr>
        <w:t xml:space="preserve">for </w:t>
      </w:r>
      <w:r w:rsidR="00D537E7">
        <w:rPr>
          <w:sz w:val="24"/>
          <w:szCs w:val="24"/>
        </w:rPr>
        <w:t xml:space="preserve">support via satellite </w:t>
      </w:r>
      <w:r w:rsidR="0029466A">
        <w:rPr>
          <w:sz w:val="24"/>
          <w:szCs w:val="24"/>
        </w:rPr>
        <w:t xml:space="preserve">in </w:t>
      </w:r>
      <w:r w:rsidR="007B3ACC">
        <w:rPr>
          <w:sz w:val="24"/>
          <w:szCs w:val="24"/>
        </w:rPr>
        <w:t>Phase II</w:t>
      </w:r>
      <w:r w:rsidR="00EA18C4">
        <w:rPr>
          <w:sz w:val="24"/>
          <w:szCs w:val="24"/>
        </w:rPr>
        <w:t xml:space="preserve">. </w:t>
      </w:r>
    </w:p>
    <w:p w:rsidR="003B47A7" w:rsidRPr="006A1A84" w:rsidRDefault="003B47A7" w:rsidP="006A1A84">
      <w:pPr>
        <w:pStyle w:val="Heading1"/>
        <w:numPr>
          <w:ilvl w:val="0"/>
          <w:numId w:val="4"/>
        </w:numPr>
        <w:textAlignment w:val="auto"/>
        <w:rPr>
          <w:lang w:val="en-US"/>
        </w:rPr>
      </w:pPr>
      <w:r w:rsidRPr="006A1A84">
        <w:rPr>
          <w:lang w:val="en-US"/>
        </w:rPr>
        <w:t>Discussion</w:t>
      </w:r>
    </w:p>
    <w:p w:rsidR="00CA004B" w:rsidRDefault="002D293F" w:rsidP="002B4623">
      <w:pPr>
        <w:jc w:val="both"/>
        <w:rPr>
          <w:sz w:val="24"/>
          <w:szCs w:val="24"/>
        </w:rPr>
      </w:pPr>
      <w:r w:rsidRPr="006D7BD2">
        <w:rPr>
          <w:sz w:val="24"/>
          <w:szCs w:val="24"/>
        </w:rPr>
        <w:t xml:space="preserve">R1-1609781 addressed the forward compatibility </w:t>
      </w:r>
      <w:r w:rsidR="00A80DE2" w:rsidRPr="006D7BD2">
        <w:rPr>
          <w:sz w:val="24"/>
          <w:szCs w:val="24"/>
        </w:rPr>
        <w:t xml:space="preserve">of NR access technology Phase I design with satellite links with </w:t>
      </w:r>
      <w:r w:rsidR="00041657" w:rsidRPr="006D7BD2">
        <w:rPr>
          <w:sz w:val="24"/>
          <w:szCs w:val="24"/>
        </w:rPr>
        <w:t xml:space="preserve">long latency, latency variation, </w:t>
      </w:r>
      <w:r w:rsidR="00EA6035" w:rsidRPr="006D7BD2">
        <w:rPr>
          <w:sz w:val="24"/>
          <w:szCs w:val="24"/>
        </w:rPr>
        <w:t xml:space="preserve">and </w:t>
      </w:r>
      <w:r w:rsidR="00041657" w:rsidRPr="006D7BD2">
        <w:rPr>
          <w:sz w:val="24"/>
          <w:szCs w:val="24"/>
        </w:rPr>
        <w:t>Doppler shift</w:t>
      </w:r>
      <w:r w:rsidR="00A80DE2">
        <w:rPr>
          <w:sz w:val="24"/>
          <w:szCs w:val="24"/>
        </w:rPr>
        <w:t xml:space="preserve"> </w:t>
      </w:r>
      <w:r>
        <w:rPr>
          <w:sz w:val="24"/>
          <w:szCs w:val="24"/>
        </w:rPr>
        <w:t>[1]. This contribution</w:t>
      </w:r>
      <w:r w:rsidR="00CC3045">
        <w:rPr>
          <w:sz w:val="24"/>
          <w:szCs w:val="24"/>
        </w:rPr>
        <w:t xml:space="preserve"> </w:t>
      </w:r>
      <w:proofErr w:type="gramStart"/>
      <w:r w:rsidR="00CC3045">
        <w:rPr>
          <w:sz w:val="24"/>
          <w:szCs w:val="24"/>
        </w:rPr>
        <w:t>addresses</w:t>
      </w:r>
      <w:proofErr w:type="gramEnd"/>
      <w:r w:rsidR="00CC3045">
        <w:rPr>
          <w:sz w:val="24"/>
          <w:szCs w:val="24"/>
        </w:rPr>
        <w:t xml:space="preserve"> the </w:t>
      </w:r>
      <w:r>
        <w:rPr>
          <w:sz w:val="24"/>
          <w:szCs w:val="24"/>
        </w:rPr>
        <w:t xml:space="preserve">forward compatibility </w:t>
      </w:r>
      <w:r w:rsidR="00EE737C">
        <w:rPr>
          <w:sz w:val="24"/>
          <w:szCs w:val="24"/>
        </w:rPr>
        <w:t xml:space="preserve">of the </w:t>
      </w:r>
      <w:r>
        <w:rPr>
          <w:sz w:val="24"/>
          <w:szCs w:val="24"/>
        </w:rPr>
        <w:t xml:space="preserve">NR </w:t>
      </w:r>
      <w:r w:rsidR="00A16970">
        <w:rPr>
          <w:sz w:val="24"/>
          <w:szCs w:val="24"/>
        </w:rPr>
        <w:t xml:space="preserve">PRACH preamble format </w:t>
      </w:r>
      <w:r w:rsidR="00A80DE2">
        <w:rPr>
          <w:sz w:val="24"/>
          <w:szCs w:val="24"/>
        </w:rPr>
        <w:t>with</w:t>
      </w:r>
      <w:r>
        <w:rPr>
          <w:sz w:val="24"/>
          <w:szCs w:val="24"/>
        </w:rPr>
        <w:t xml:space="preserve"> the satellite links. </w:t>
      </w:r>
    </w:p>
    <w:p w:rsidR="008001D2" w:rsidRDefault="0029466A" w:rsidP="00C87E6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CC3045" w:rsidRPr="00041657">
        <w:rPr>
          <w:sz w:val="24"/>
          <w:szCs w:val="24"/>
        </w:rPr>
        <w:t>PRACH</w:t>
      </w:r>
      <w:r>
        <w:rPr>
          <w:sz w:val="24"/>
          <w:szCs w:val="24"/>
        </w:rPr>
        <w:t xml:space="preserve"> of NR is expected to</w:t>
      </w:r>
      <w:r w:rsidR="00CC3045" w:rsidRPr="00041657">
        <w:rPr>
          <w:sz w:val="24"/>
          <w:szCs w:val="24"/>
        </w:rPr>
        <w:t xml:space="preserve"> provide a sufficient number of random access opportunities, support the desired cell ranges in terms of path loss and uplink timing uncertainty, and allow for sufficiently accurate timing estimation.</w:t>
      </w:r>
      <w:r w:rsidR="00041657">
        <w:rPr>
          <w:sz w:val="24"/>
          <w:szCs w:val="24"/>
        </w:rPr>
        <w:t xml:space="preserve"> </w:t>
      </w:r>
      <w:r w:rsidR="00C87E68" w:rsidRPr="00C87E68">
        <w:rPr>
          <w:sz w:val="24"/>
          <w:szCs w:val="24"/>
        </w:rPr>
        <w:t xml:space="preserve">One goal of </w:t>
      </w:r>
      <w:r w:rsidR="00C87E68" w:rsidRPr="00147201">
        <w:rPr>
          <w:sz w:val="24"/>
          <w:szCs w:val="24"/>
        </w:rPr>
        <w:t xml:space="preserve">random </w:t>
      </w:r>
      <w:r w:rsidR="00056294">
        <w:rPr>
          <w:sz w:val="24"/>
          <w:szCs w:val="24"/>
        </w:rPr>
        <w:t xml:space="preserve">process </w:t>
      </w:r>
      <w:r w:rsidR="009B5CF4">
        <w:rPr>
          <w:sz w:val="24"/>
          <w:szCs w:val="24"/>
        </w:rPr>
        <w:t xml:space="preserve">(RA) </w:t>
      </w:r>
      <w:r w:rsidR="00056294">
        <w:rPr>
          <w:sz w:val="24"/>
          <w:szCs w:val="24"/>
        </w:rPr>
        <w:t xml:space="preserve">is </w:t>
      </w:r>
      <w:r w:rsidR="009B5CF4">
        <w:rPr>
          <w:sz w:val="24"/>
          <w:szCs w:val="24"/>
        </w:rPr>
        <w:t xml:space="preserve">UE uplink </w:t>
      </w:r>
      <w:r w:rsidR="00056294">
        <w:rPr>
          <w:sz w:val="24"/>
          <w:szCs w:val="24"/>
        </w:rPr>
        <w:t>tim</w:t>
      </w:r>
      <w:r w:rsidR="00C150D0">
        <w:rPr>
          <w:sz w:val="24"/>
          <w:szCs w:val="24"/>
        </w:rPr>
        <w:t>ing</w:t>
      </w:r>
      <w:r w:rsidR="00056294">
        <w:rPr>
          <w:sz w:val="24"/>
          <w:szCs w:val="24"/>
        </w:rPr>
        <w:t xml:space="preserve"> synchronization based on </w:t>
      </w:r>
      <w:r w:rsidR="00056294" w:rsidRPr="00056294">
        <w:rPr>
          <w:sz w:val="24"/>
          <w:szCs w:val="24"/>
        </w:rPr>
        <w:t>estimation of</w:t>
      </w:r>
      <w:r w:rsidR="00C87E68" w:rsidRPr="00147201">
        <w:rPr>
          <w:sz w:val="24"/>
          <w:szCs w:val="24"/>
        </w:rPr>
        <w:t xml:space="preserve"> the distance between the </w:t>
      </w:r>
      <w:r w:rsidR="00C87E68" w:rsidRPr="00C87E68">
        <w:rPr>
          <w:sz w:val="24"/>
          <w:szCs w:val="24"/>
        </w:rPr>
        <w:t>UE</w:t>
      </w:r>
      <w:r w:rsidR="00C87E68" w:rsidRPr="00147201">
        <w:rPr>
          <w:sz w:val="24"/>
          <w:szCs w:val="24"/>
        </w:rPr>
        <w:t xml:space="preserve"> and </w:t>
      </w:r>
      <w:r w:rsidR="00C87E68">
        <w:rPr>
          <w:sz w:val="24"/>
          <w:szCs w:val="24"/>
        </w:rPr>
        <w:t xml:space="preserve">the </w:t>
      </w:r>
      <w:proofErr w:type="spellStart"/>
      <w:r w:rsidR="00C87E68">
        <w:rPr>
          <w:sz w:val="24"/>
          <w:szCs w:val="24"/>
        </w:rPr>
        <w:t>gN</w:t>
      </w:r>
      <w:r w:rsidR="003C6BA7">
        <w:rPr>
          <w:sz w:val="24"/>
          <w:szCs w:val="24"/>
        </w:rPr>
        <w:t>B</w:t>
      </w:r>
      <w:proofErr w:type="spellEnd"/>
      <w:r w:rsidR="00C87E68" w:rsidRPr="00147201">
        <w:rPr>
          <w:sz w:val="24"/>
          <w:szCs w:val="24"/>
        </w:rPr>
        <w:t xml:space="preserve">. </w:t>
      </w:r>
      <w:r w:rsidR="00C87E68">
        <w:rPr>
          <w:sz w:val="24"/>
          <w:szCs w:val="24"/>
        </w:rPr>
        <w:t xml:space="preserve">However, </w:t>
      </w:r>
      <w:r w:rsidR="009B5CF4">
        <w:rPr>
          <w:sz w:val="24"/>
          <w:szCs w:val="24"/>
        </w:rPr>
        <w:t xml:space="preserve">large transmission latencies </w:t>
      </w:r>
      <w:r w:rsidR="00041657">
        <w:rPr>
          <w:sz w:val="24"/>
          <w:szCs w:val="24"/>
        </w:rPr>
        <w:t xml:space="preserve">and long differential propagation delay </w:t>
      </w:r>
      <w:r w:rsidR="009B5CF4">
        <w:rPr>
          <w:sz w:val="24"/>
          <w:szCs w:val="24"/>
        </w:rPr>
        <w:t xml:space="preserve">of satellite links provides challenges in accurate </w:t>
      </w:r>
      <w:r w:rsidR="00C150D0">
        <w:rPr>
          <w:sz w:val="24"/>
          <w:szCs w:val="24"/>
        </w:rPr>
        <w:t>timing adjustment</w:t>
      </w:r>
      <w:r w:rsidR="00F56B3C">
        <w:rPr>
          <w:sz w:val="24"/>
          <w:szCs w:val="24"/>
        </w:rPr>
        <w:t xml:space="preserve">. It is estimated that </w:t>
      </w:r>
      <w:r w:rsidR="008001D2">
        <w:rPr>
          <w:sz w:val="24"/>
          <w:szCs w:val="24"/>
        </w:rPr>
        <w:t xml:space="preserve">the largest maximum differential propagation delay for a GEO satellite could be as high as 3 </w:t>
      </w:r>
      <w:proofErr w:type="spellStart"/>
      <w:r w:rsidR="008001D2">
        <w:rPr>
          <w:sz w:val="24"/>
          <w:szCs w:val="24"/>
        </w:rPr>
        <w:t>msec</w:t>
      </w:r>
      <w:proofErr w:type="spellEnd"/>
      <w:r w:rsidR="008001D2">
        <w:rPr>
          <w:sz w:val="24"/>
          <w:szCs w:val="24"/>
        </w:rPr>
        <w:t xml:space="preserve"> (depending on spot beam size and the latitudes and the longitudes of the satellite spot beam foot print).</w:t>
      </w:r>
    </w:p>
    <w:p w:rsidR="00EB2F69" w:rsidRDefault="00F56B3C" w:rsidP="00EB2F6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addition to </w:t>
      </w:r>
      <w:r w:rsidR="00C150D0">
        <w:rPr>
          <w:sz w:val="24"/>
          <w:szCs w:val="24"/>
        </w:rPr>
        <w:t>the large latency</w:t>
      </w:r>
      <w:r w:rsidR="00041657">
        <w:rPr>
          <w:sz w:val="24"/>
          <w:szCs w:val="24"/>
        </w:rPr>
        <w:t xml:space="preserve"> and long differential propagation delay</w:t>
      </w:r>
      <w:r w:rsidR="00C150D0">
        <w:rPr>
          <w:sz w:val="24"/>
          <w:szCs w:val="24"/>
        </w:rPr>
        <w:t xml:space="preserve">, Doppler shift of an MSS satellite </w:t>
      </w:r>
      <w:r>
        <w:rPr>
          <w:sz w:val="24"/>
          <w:szCs w:val="24"/>
        </w:rPr>
        <w:t xml:space="preserve">may present additional </w:t>
      </w:r>
      <w:r w:rsidR="00C150D0">
        <w:rPr>
          <w:sz w:val="24"/>
          <w:szCs w:val="24"/>
        </w:rPr>
        <w:t xml:space="preserve">challenges for RA process of NR over satellite links. </w:t>
      </w:r>
      <w:r w:rsidR="00D01AEE">
        <w:rPr>
          <w:sz w:val="24"/>
          <w:szCs w:val="24"/>
        </w:rPr>
        <w:t>A l</w:t>
      </w:r>
      <w:r w:rsidR="00C150D0">
        <w:rPr>
          <w:sz w:val="24"/>
          <w:szCs w:val="24"/>
        </w:rPr>
        <w:t xml:space="preserve">arge Doppler </w:t>
      </w:r>
      <w:r w:rsidR="00D01AEE">
        <w:rPr>
          <w:sz w:val="24"/>
          <w:szCs w:val="24"/>
        </w:rPr>
        <w:t xml:space="preserve">can cause false peak in correlation function of </w:t>
      </w:r>
      <w:proofErr w:type="spellStart"/>
      <w:r w:rsidR="00D01AEE">
        <w:rPr>
          <w:sz w:val="24"/>
          <w:szCs w:val="24"/>
        </w:rPr>
        <w:t>Zadoff</w:t>
      </w:r>
      <w:proofErr w:type="spellEnd"/>
      <w:r w:rsidR="00D01AEE">
        <w:rPr>
          <w:sz w:val="24"/>
          <w:szCs w:val="24"/>
        </w:rPr>
        <w:t>-Chu (ZC), and may lead to a mistake in the detection [</w:t>
      </w:r>
      <w:r w:rsidR="004F764B">
        <w:rPr>
          <w:sz w:val="24"/>
          <w:szCs w:val="24"/>
        </w:rPr>
        <w:t>3</w:t>
      </w:r>
      <w:r w:rsidR="00D01AEE">
        <w:rPr>
          <w:sz w:val="24"/>
          <w:szCs w:val="24"/>
        </w:rPr>
        <w:t xml:space="preserve">]. </w:t>
      </w:r>
      <w:r w:rsidR="00A82468">
        <w:rPr>
          <w:sz w:val="24"/>
          <w:szCs w:val="24"/>
        </w:rPr>
        <w:t xml:space="preserve">Assuming </w:t>
      </w:r>
      <w:r w:rsidR="00D01AEE">
        <w:rPr>
          <w:sz w:val="24"/>
          <w:szCs w:val="24"/>
        </w:rPr>
        <w:t xml:space="preserve">a GEO </w:t>
      </w:r>
      <w:r w:rsidR="00A82468">
        <w:rPr>
          <w:sz w:val="24"/>
          <w:szCs w:val="24"/>
        </w:rPr>
        <w:t>satellite operating on 2 GHz</w:t>
      </w:r>
      <w:r w:rsidR="00D01AEE">
        <w:rPr>
          <w:sz w:val="24"/>
          <w:szCs w:val="24"/>
        </w:rPr>
        <w:t xml:space="preserve"> frequency</w:t>
      </w:r>
      <w:r w:rsidR="00A82468">
        <w:rPr>
          <w:sz w:val="24"/>
          <w:szCs w:val="24"/>
        </w:rPr>
        <w:t xml:space="preserve">, the maximum Doppler shift </w:t>
      </w:r>
      <w:r w:rsidR="00D01AEE">
        <w:rPr>
          <w:sz w:val="24"/>
          <w:szCs w:val="24"/>
        </w:rPr>
        <w:t xml:space="preserve">for a UE with speed of 350 km/h </w:t>
      </w:r>
      <w:r w:rsidR="006025E5">
        <w:rPr>
          <w:sz w:val="24"/>
          <w:szCs w:val="24"/>
        </w:rPr>
        <w:t>could be as high as 570 Hz</w:t>
      </w:r>
      <w:r w:rsidR="00897E23">
        <w:rPr>
          <w:sz w:val="24"/>
          <w:szCs w:val="24"/>
        </w:rPr>
        <w:t xml:space="preserve"> [3]</w:t>
      </w:r>
      <w:r w:rsidR="006025E5">
        <w:rPr>
          <w:sz w:val="24"/>
          <w:szCs w:val="24"/>
        </w:rPr>
        <w:t>.</w:t>
      </w:r>
      <w:r w:rsidR="00D8564C">
        <w:rPr>
          <w:sz w:val="24"/>
          <w:szCs w:val="24"/>
        </w:rPr>
        <w:t xml:space="preserve"> </w:t>
      </w:r>
      <w:r w:rsidR="002B5306">
        <w:rPr>
          <w:sz w:val="24"/>
          <w:szCs w:val="24"/>
        </w:rPr>
        <w:t>(</w:t>
      </w:r>
      <w:r w:rsidR="006B7DBC">
        <w:rPr>
          <w:sz w:val="24"/>
          <w:szCs w:val="24"/>
        </w:rPr>
        <w:t xml:space="preserve">The Doppler shift depends on the elevation angle and 569 Hz is in the case of China. </w:t>
      </w:r>
      <w:r w:rsidR="002B5306">
        <w:rPr>
          <w:sz w:val="24"/>
          <w:szCs w:val="24"/>
        </w:rPr>
        <w:t xml:space="preserve">For GEO, the Doppler shift will be the same as for the high speed UEs in terrestrial networks. However, for LEO/MEO, the Doppler shift will be exacerbated by the motion of the satellite.) </w:t>
      </w:r>
      <w:r w:rsidR="00EB2F69">
        <w:rPr>
          <w:sz w:val="24"/>
          <w:szCs w:val="24"/>
        </w:rPr>
        <w:t xml:space="preserve">This contribution recommends 3GPP RAN1 to define flexible preamble formats to ensure forward compatibility of NR with satellite access. </w:t>
      </w:r>
    </w:p>
    <w:p w:rsidR="003B47A7" w:rsidRDefault="00A16970" w:rsidP="006A1A84">
      <w:pPr>
        <w:pStyle w:val="Heading2"/>
      </w:pPr>
      <w:r>
        <w:lastRenderedPageBreak/>
        <w:t>Agreements on RA Preamble</w:t>
      </w:r>
      <w:r w:rsidR="00D932EA">
        <w:t xml:space="preserve"> for NR</w:t>
      </w:r>
    </w:p>
    <w:p w:rsidR="00430D3F" w:rsidRDefault="00430D3F" w:rsidP="00B640CF">
      <w:pPr>
        <w:spacing w:before="120"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The status report to TSG [</w:t>
      </w:r>
      <w:r w:rsidR="004F764B">
        <w:rPr>
          <w:sz w:val="24"/>
          <w:szCs w:val="24"/>
        </w:rPr>
        <w:t>2</w:t>
      </w:r>
      <w:r>
        <w:rPr>
          <w:sz w:val="24"/>
          <w:szCs w:val="24"/>
        </w:rPr>
        <w:t xml:space="preserve">] </w:t>
      </w:r>
      <w:r w:rsidR="005B65CA">
        <w:rPr>
          <w:sz w:val="24"/>
          <w:szCs w:val="24"/>
        </w:rPr>
        <w:t xml:space="preserve">of 3GPP RAN Plenary meeting #74 </w:t>
      </w:r>
      <w:r>
        <w:rPr>
          <w:sz w:val="24"/>
          <w:szCs w:val="24"/>
        </w:rPr>
        <w:t xml:space="preserve">has the agreements on the initial access and </w:t>
      </w:r>
      <w:r w:rsidR="00E04CBF">
        <w:rPr>
          <w:sz w:val="24"/>
          <w:szCs w:val="24"/>
        </w:rPr>
        <w:t>RACH</w:t>
      </w:r>
      <w:r>
        <w:rPr>
          <w:sz w:val="24"/>
          <w:szCs w:val="24"/>
        </w:rPr>
        <w:t xml:space="preserve"> process. </w:t>
      </w:r>
      <w:r w:rsidR="005B65CA">
        <w:rPr>
          <w:sz w:val="24"/>
          <w:szCs w:val="24"/>
        </w:rPr>
        <w:t>Based on these agreements, “</w:t>
      </w:r>
      <w:r w:rsidR="005B65CA" w:rsidRPr="00FB416D">
        <w:rPr>
          <w:i/>
          <w:sz w:val="24"/>
        </w:rPr>
        <w:t>detailed design for RACH preamble should be further studied</w:t>
      </w:r>
      <w:r w:rsidR="005B65CA">
        <w:rPr>
          <w:sz w:val="24"/>
          <w:szCs w:val="24"/>
        </w:rPr>
        <w:t xml:space="preserve">”. Here are the relevant agreements to the NR preamble formats.  </w:t>
      </w:r>
    </w:p>
    <w:p w:rsidR="003367CA" w:rsidRDefault="003367CA" w:rsidP="003367CA">
      <w:pPr>
        <w:spacing w:before="120" w:after="120" w:line="240" w:lineRule="auto"/>
        <w:jc w:val="both"/>
        <w:rPr>
          <w:sz w:val="24"/>
          <w:szCs w:val="24"/>
        </w:rPr>
      </w:pPr>
    </w:p>
    <w:p w:rsidR="00EF7507" w:rsidRDefault="00EF7507" w:rsidP="00336803">
      <w:pPr>
        <w:tabs>
          <w:tab w:val="left" w:pos="8325"/>
        </w:tabs>
        <w:spacing w:after="0"/>
        <w:rPr>
          <w:b/>
          <w:sz w:val="24"/>
          <w:highlight w:val="green"/>
          <w:u w:val="single"/>
        </w:rPr>
      </w:pPr>
      <w:r w:rsidRPr="00211821">
        <w:rPr>
          <w:rFonts w:hint="eastAsia"/>
          <w:b/>
          <w:sz w:val="24"/>
          <w:highlight w:val="green"/>
          <w:u w:val="single"/>
        </w:rPr>
        <w:t>Agreements:</w:t>
      </w:r>
    </w:p>
    <w:p w:rsidR="0072444E" w:rsidRPr="00211821" w:rsidRDefault="0072444E" w:rsidP="0072444E">
      <w:pPr>
        <w:numPr>
          <w:ilvl w:val="0"/>
          <w:numId w:val="10"/>
        </w:numPr>
        <w:spacing w:after="0" w:line="240" w:lineRule="auto"/>
        <w:rPr>
          <w:i/>
          <w:sz w:val="24"/>
        </w:rPr>
      </w:pPr>
      <w:r w:rsidRPr="00211821">
        <w:rPr>
          <w:i/>
          <w:sz w:val="24"/>
        </w:rPr>
        <w:t>NR supports multiple RACH preamble formats, including at least</w:t>
      </w:r>
    </w:p>
    <w:p w:rsidR="0072444E" w:rsidRPr="00211821" w:rsidRDefault="0072444E" w:rsidP="0072444E">
      <w:pPr>
        <w:numPr>
          <w:ilvl w:val="1"/>
          <w:numId w:val="10"/>
        </w:numPr>
        <w:spacing w:after="0" w:line="240" w:lineRule="auto"/>
        <w:rPr>
          <w:i/>
          <w:sz w:val="24"/>
        </w:rPr>
      </w:pPr>
      <w:r w:rsidRPr="00211821">
        <w:rPr>
          <w:i/>
          <w:sz w:val="24"/>
        </w:rPr>
        <w:t xml:space="preserve">RACH preamble format with longer preamble length </w:t>
      </w:r>
    </w:p>
    <w:p w:rsidR="0072444E" w:rsidRPr="00211821" w:rsidRDefault="0072444E" w:rsidP="0072444E">
      <w:pPr>
        <w:numPr>
          <w:ilvl w:val="1"/>
          <w:numId w:val="10"/>
        </w:numPr>
        <w:spacing w:after="0" w:line="240" w:lineRule="auto"/>
        <w:rPr>
          <w:i/>
          <w:sz w:val="24"/>
        </w:rPr>
      </w:pPr>
      <w:r w:rsidRPr="00211821">
        <w:rPr>
          <w:i/>
          <w:sz w:val="24"/>
        </w:rPr>
        <w:t>RACH preamble format with shorter preamble length</w:t>
      </w:r>
    </w:p>
    <w:p w:rsidR="0072444E" w:rsidRPr="00211821" w:rsidRDefault="0072444E" w:rsidP="0072444E">
      <w:pPr>
        <w:numPr>
          <w:ilvl w:val="1"/>
          <w:numId w:val="10"/>
        </w:numPr>
        <w:spacing w:after="0" w:line="240" w:lineRule="auto"/>
        <w:rPr>
          <w:i/>
          <w:sz w:val="24"/>
        </w:rPr>
      </w:pPr>
      <w:r w:rsidRPr="00211821">
        <w:rPr>
          <w:i/>
          <w:sz w:val="24"/>
        </w:rPr>
        <w:t>FFS how many signatures (e.g. number of RACH sequences, payload size, etc.)</w:t>
      </w:r>
    </w:p>
    <w:p w:rsidR="0072444E" w:rsidRPr="00211821" w:rsidRDefault="0072444E" w:rsidP="0072444E">
      <w:pPr>
        <w:numPr>
          <w:ilvl w:val="0"/>
          <w:numId w:val="10"/>
        </w:numPr>
        <w:spacing w:after="0" w:line="240" w:lineRule="auto"/>
        <w:rPr>
          <w:i/>
          <w:sz w:val="24"/>
        </w:rPr>
      </w:pPr>
      <w:r w:rsidRPr="00211821">
        <w:rPr>
          <w:rFonts w:hint="eastAsia"/>
          <w:i/>
          <w:sz w:val="24"/>
        </w:rPr>
        <w:t>Multiple/repeated</w:t>
      </w:r>
      <w:r w:rsidRPr="00211821">
        <w:rPr>
          <w:i/>
          <w:sz w:val="24"/>
        </w:rPr>
        <w:t xml:space="preserve"> RACH preamble</w:t>
      </w:r>
      <w:r w:rsidRPr="00211821">
        <w:rPr>
          <w:rFonts w:hint="eastAsia"/>
          <w:i/>
          <w:sz w:val="24"/>
        </w:rPr>
        <w:t>s</w:t>
      </w:r>
      <w:r w:rsidRPr="00211821">
        <w:rPr>
          <w:i/>
          <w:sz w:val="24"/>
        </w:rPr>
        <w:t xml:space="preserve"> in a RACH resource is supported</w:t>
      </w:r>
    </w:p>
    <w:p w:rsidR="0072444E" w:rsidRPr="00211821" w:rsidRDefault="0072444E" w:rsidP="0072444E">
      <w:pPr>
        <w:numPr>
          <w:ilvl w:val="1"/>
          <w:numId w:val="10"/>
        </w:numPr>
        <w:spacing w:after="0" w:line="240" w:lineRule="auto"/>
        <w:rPr>
          <w:i/>
          <w:sz w:val="24"/>
        </w:rPr>
      </w:pPr>
      <w:r w:rsidRPr="00211821">
        <w:rPr>
          <w:i/>
          <w:sz w:val="24"/>
        </w:rPr>
        <w:t xml:space="preserve">FFS: </w:t>
      </w:r>
      <w:r w:rsidRPr="00211821">
        <w:rPr>
          <w:rFonts w:hint="eastAsia"/>
          <w:i/>
          <w:sz w:val="24"/>
        </w:rPr>
        <w:t>H</w:t>
      </w:r>
      <w:r w:rsidRPr="00211821">
        <w:rPr>
          <w:i/>
          <w:sz w:val="24"/>
        </w:rPr>
        <w:t xml:space="preserve">ow to support </w:t>
      </w:r>
      <w:r w:rsidRPr="00211821">
        <w:rPr>
          <w:rFonts w:hint="eastAsia"/>
          <w:i/>
          <w:sz w:val="24"/>
        </w:rPr>
        <w:t xml:space="preserve">single-beam and/or </w:t>
      </w:r>
      <w:r w:rsidRPr="00211821">
        <w:rPr>
          <w:i/>
          <w:sz w:val="24"/>
        </w:rPr>
        <w:t>multi-beam operation</w:t>
      </w:r>
    </w:p>
    <w:p w:rsidR="0072444E" w:rsidRPr="00211821" w:rsidRDefault="0072444E" w:rsidP="0072444E">
      <w:pPr>
        <w:numPr>
          <w:ilvl w:val="1"/>
          <w:numId w:val="10"/>
        </w:numPr>
        <w:spacing w:after="0" w:line="240" w:lineRule="auto"/>
        <w:rPr>
          <w:i/>
          <w:sz w:val="24"/>
        </w:rPr>
      </w:pPr>
      <w:r w:rsidRPr="00211821">
        <w:rPr>
          <w:rFonts w:hint="eastAsia"/>
          <w:i/>
          <w:sz w:val="24"/>
        </w:rPr>
        <w:t>FFS: Preamble could be the same or different</w:t>
      </w:r>
    </w:p>
    <w:p w:rsidR="0072444E" w:rsidRPr="00211821" w:rsidRDefault="0072444E" w:rsidP="0072444E">
      <w:pPr>
        <w:numPr>
          <w:ilvl w:val="0"/>
          <w:numId w:val="10"/>
        </w:numPr>
        <w:spacing w:after="0" w:line="240" w:lineRule="auto"/>
        <w:rPr>
          <w:i/>
          <w:sz w:val="24"/>
        </w:rPr>
      </w:pPr>
      <w:r w:rsidRPr="00211821">
        <w:rPr>
          <w:i/>
          <w:sz w:val="24"/>
        </w:rPr>
        <w:t>Numerology for RACH preamble can be different depending on frequency ranges</w:t>
      </w:r>
    </w:p>
    <w:p w:rsidR="0072444E" w:rsidRPr="00211821" w:rsidRDefault="0072444E" w:rsidP="0072444E">
      <w:pPr>
        <w:numPr>
          <w:ilvl w:val="1"/>
          <w:numId w:val="10"/>
        </w:numPr>
        <w:spacing w:after="0" w:line="240" w:lineRule="auto"/>
        <w:rPr>
          <w:i/>
          <w:sz w:val="24"/>
        </w:rPr>
      </w:pPr>
      <w:r w:rsidRPr="00211821">
        <w:rPr>
          <w:rFonts w:hint="eastAsia"/>
          <w:i/>
          <w:sz w:val="24"/>
        </w:rPr>
        <w:t>FFS: How many numerologies will be supported per frequency range</w:t>
      </w:r>
    </w:p>
    <w:p w:rsidR="0072444E" w:rsidRPr="00211821" w:rsidRDefault="0072444E" w:rsidP="0072444E">
      <w:pPr>
        <w:numPr>
          <w:ilvl w:val="0"/>
          <w:numId w:val="10"/>
        </w:numPr>
        <w:spacing w:after="0" w:line="240" w:lineRule="auto"/>
        <w:rPr>
          <w:sz w:val="24"/>
        </w:rPr>
      </w:pPr>
      <w:r w:rsidRPr="00211821">
        <w:rPr>
          <w:i/>
          <w:sz w:val="24"/>
        </w:rPr>
        <w:t xml:space="preserve">Numerology for RACH preamble can be different </w:t>
      </w:r>
      <w:r w:rsidRPr="00211821">
        <w:rPr>
          <w:rFonts w:hint="eastAsia"/>
          <w:i/>
          <w:sz w:val="24"/>
        </w:rPr>
        <w:t xml:space="preserve">or the same </w:t>
      </w:r>
      <w:r w:rsidRPr="00211821">
        <w:rPr>
          <w:i/>
          <w:sz w:val="24"/>
        </w:rPr>
        <w:t>from that for the other UL data/control channels</w:t>
      </w:r>
      <w:r w:rsidRPr="00211821">
        <w:rPr>
          <w:sz w:val="24"/>
        </w:rPr>
        <w:tab/>
      </w:r>
    </w:p>
    <w:p w:rsidR="00364728" w:rsidRDefault="00364728" w:rsidP="00B24BBE">
      <w:pPr>
        <w:spacing w:before="120" w:after="120" w:line="240" w:lineRule="auto"/>
        <w:jc w:val="both"/>
        <w:rPr>
          <w:sz w:val="24"/>
          <w:szCs w:val="24"/>
        </w:rPr>
      </w:pPr>
    </w:p>
    <w:p w:rsidR="00364728" w:rsidRDefault="00211821" w:rsidP="00B24BBE">
      <w:pPr>
        <w:spacing w:before="120"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Th</w:t>
      </w:r>
      <w:r w:rsidR="00654FBC">
        <w:rPr>
          <w:sz w:val="24"/>
          <w:szCs w:val="24"/>
        </w:rPr>
        <w:t>is contribution discusses that th</w:t>
      </w:r>
      <w:r>
        <w:rPr>
          <w:sz w:val="24"/>
          <w:szCs w:val="24"/>
        </w:rPr>
        <w:t>e</w:t>
      </w:r>
      <w:r w:rsidR="005B65CA">
        <w:rPr>
          <w:sz w:val="24"/>
          <w:szCs w:val="24"/>
        </w:rPr>
        <w:t xml:space="preserve"> NR </w:t>
      </w:r>
      <w:r>
        <w:rPr>
          <w:sz w:val="24"/>
          <w:szCs w:val="24"/>
        </w:rPr>
        <w:t xml:space="preserve">access technology </w:t>
      </w:r>
      <w:r w:rsidR="005B65CA">
        <w:rPr>
          <w:sz w:val="24"/>
          <w:szCs w:val="24"/>
        </w:rPr>
        <w:t>need</w:t>
      </w:r>
      <w:r>
        <w:rPr>
          <w:sz w:val="24"/>
          <w:szCs w:val="24"/>
        </w:rPr>
        <w:t>s</w:t>
      </w:r>
      <w:r w:rsidR="005B65CA">
        <w:rPr>
          <w:sz w:val="24"/>
          <w:szCs w:val="24"/>
        </w:rPr>
        <w:t xml:space="preserve"> specific preamble formats with longer lengths in order to support forward compatibility with satellite links.</w:t>
      </w:r>
      <w:r w:rsidR="002B5306">
        <w:rPr>
          <w:sz w:val="24"/>
          <w:szCs w:val="24"/>
        </w:rPr>
        <w:t xml:space="preserve"> Study is needed for the minimum numerology that is required for satellite.</w:t>
      </w:r>
    </w:p>
    <w:p w:rsidR="007B3ACC" w:rsidRDefault="007B3ACC" w:rsidP="007B3ACC">
      <w:pPr>
        <w:rPr>
          <w:lang w:eastAsia="x-none"/>
        </w:rPr>
      </w:pPr>
    </w:p>
    <w:p w:rsidR="009352EF" w:rsidRDefault="005902A7" w:rsidP="00544162">
      <w:pPr>
        <w:pStyle w:val="Heading2"/>
      </w:pPr>
      <w:r>
        <w:rPr>
          <w:rFonts w:eastAsiaTheme="minorEastAsia"/>
          <w:lang w:eastAsia="ko-KR"/>
        </w:rPr>
        <w:t xml:space="preserve">Implication of Satellite Link on </w:t>
      </w:r>
      <w:r w:rsidR="00A201FA">
        <w:rPr>
          <w:rFonts w:eastAsiaTheme="minorEastAsia"/>
          <w:lang w:eastAsia="ko-KR"/>
        </w:rPr>
        <w:t>RA</w:t>
      </w:r>
      <w:r w:rsidR="00515E12">
        <w:rPr>
          <w:rFonts w:eastAsiaTheme="minorEastAsia"/>
          <w:lang w:eastAsia="ko-KR"/>
        </w:rPr>
        <w:t xml:space="preserve"> Preamble </w:t>
      </w:r>
      <w:r w:rsidR="00502054">
        <w:rPr>
          <w:rFonts w:eastAsiaTheme="minorEastAsia"/>
          <w:lang w:eastAsia="ko-KR"/>
        </w:rPr>
        <w:t xml:space="preserve">Formats </w:t>
      </w:r>
    </w:p>
    <w:p w:rsidR="00DC7B31" w:rsidRPr="00B600B1" w:rsidRDefault="00515E12" w:rsidP="00B600B1">
      <w:pPr>
        <w:spacing w:before="120" w:after="120" w:line="240" w:lineRule="auto"/>
        <w:jc w:val="both"/>
        <w:rPr>
          <w:sz w:val="24"/>
          <w:lang w:eastAsia="ko-KR"/>
        </w:rPr>
      </w:pPr>
      <w:bookmarkStart w:id="4" w:name="_GoBack"/>
      <w:bookmarkEnd w:id="4"/>
      <w:r w:rsidRPr="00B600B1">
        <w:rPr>
          <w:sz w:val="24"/>
          <w:lang w:eastAsia="ko-KR"/>
        </w:rPr>
        <w:t xml:space="preserve">The </w:t>
      </w:r>
      <w:r w:rsidR="00467709" w:rsidRPr="00B600B1">
        <w:rPr>
          <w:sz w:val="24"/>
          <w:lang w:eastAsia="ko-KR"/>
        </w:rPr>
        <w:t>goal to have</w:t>
      </w:r>
      <w:r w:rsidR="00862CC3" w:rsidRPr="00B600B1">
        <w:rPr>
          <w:sz w:val="24"/>
          <w:lang w:eastAsia="ko-KR"/>
        </w:rPr>
        <w:t xml:space="preserve"> </w:t>
      </w:r>
      <w:r w:rsidRPr="00B600B1">
        <w:rPr>
          <w:sz w:val="24"/>
          <w:lang w:eastAsia="ko-KR"/>
        </w:rPr>
        <w:t>new random access</w:t>
      </w:r>
      <w:r w:rsidR="00862CC3" w:rsidRPr="00B600B1">
        <w:rPr>
          <w:sz w:val="24"/>
          <w:lang w:eastAsia="ko-KR"/>
        </w:rPr>
        <w:t xml:space="preserve"> preamble </w:t>
      </w:r>
      <w:r w:rsidR="00467709" w:rsidRPr="00B600B1">
        <w:rPr>
          <w:sz w:val="24"/>
          <w:lang w:eastAsia="ko-KR"/>
        </w:rPr>
        <w:t xml:space="preserve">formats </w:t>
      </w:r>
      <w:r w:rsidR="00862CC3" w:rsidRPr="00B600B1">
        <w:rPr>
          <w:sz w:val="24"/>
          <w:lang w:eastAsia="ko-KR"/>
        </w:rPr>
        <w:t xml:space="preserve">for satellite is </w:t>
      </w:r>
      <w:r w:rsidR="00A57CE0" w:rsidRPr="00B600B1">
        <w:rPr>
          <w:sz w:val="24"/>
          <w:lang w:eastAsia="ko-KR"/>
        </w:rPr>
        <w:t xml:space="preserve">for timing synchronization over satellite links with long latencies and </w:t>
      </w:r>
      <w:r w:rsidR="00862CC3" w:rsidRPr="00B600B1">
        <w:rPr>
          <w:sz w:val="24"/>
          <w:lang w:eastAsia="ko-KR"/>
        </w:rPr>
        <w:t>to</w:t>
      </w:r>
      <w:r w:rsidRPr="00B600B1">
        <w:rPr>
          <w:sz w:val="24"/>
          <w:lang w:eastAsia="ko-KR"/>
        </w:rPr>
        <w:t xml:space="preserve"> </w:t>
      </w:r>
      <w:r w:rsidR="00862CC3" w:rsidRPr="00B600B1">
        <w:rPr>
          <w:sz w:val="24"/>
          <w:lang w:eastAsia="ko-KR"/>
        </w:rPr>
        <w:t>adjust</w:t>
      </w:r>
      <w:r w:rsidRPr="00B600B1">
        <w:rPr>
          <w:sz w:val="24"/>
          <w:lang w:eastAsia="ko-KR"/>
        </w:rPr>
        <w:t xml:space="preserve"> the system capacity of </w:t>
      </w:r>
      <w:r w:rsidR="00862CC3" w:rsidRPr="00B600B1">
        <w:rPr>
          <w:sz w:val="24"/>
          <w:lang w:eastAsia="ko-KR"/>
        </w:rPr>
        <w:t xml:space="preserve">the random access system for a </w:t>
      </w:r>
      <w:r w:rsidRPr="00B600B1">
        <w:rPr>
          <w:sz w:val="24"/>
          <w:lang w:eastAsia="ko-KR"/>
        </w:rPr>
        <w:t xml:space="preserve">satellite with very large </w:t>
      </w:r>
      <w:r w:rsidR="00F56B3C">
        <w:rPr>
          <w:sz w:val="24"/>
          <w:lang w:eastAsia="ko-KR"/>
        </w:rPr>
        <w:t xml:space="preserve">spot </w:t>
      </w:r>
      <w:r w:rsidRPr="00B600B1">
        <w:rPr>
          <w:sz w:val="24"/>
          <w:lang w:eastAsia="ko-KR"/>
        </w:rPr>
        <w:t xml:space="preserve">beam. </w:t>
      </w:r>
      <w:r w:rsidR="00F87188" w:rsidRPr="00B600B1">
        <w:rPr>
          <w:rFonts w:hint="eastAsia"/>
          <w:sz w:val="24"/>
          <w:lang w:eastAsia="ko-KR"/>
        </w:rPr>
        <w:t xml:space="preserve">The </w:t>
      </w:r>
      <w:r w:rsidR="00F87188" w:rsidRPr="00B600B1">
        <w:rPr>
          <w:sz w:val="24"/>
          <w:lang w:eastAsia="ko-KR"/>
        </w:rPr>
        <w:t xml:space="preserve">PRACH </w:t>
      </w:r>
      <w:r w:rsidR="00F87188" w:rsidRPr="00B600B1">
        <w:rPr>
          <w:rFonts w:hint="eastAsia"/>
          <w:sz w:val="24"/>
          <w:lang w:eastAsia="ko-KR"/>
        </w:rPr>
        <w:t>preamble</w:t>
      </w:r>
      <w:r w:rsidR="00DC7B31" w:rsidRPr="00B600B1">
        <w:rPr>
          <w:sz w:val="24"/>
          <w:lang w:eastAsia="ko-KR"/>
        </w:rPr>
        <w:t xml:space="preserve"> </w:t>
      </w:r>
      <w:r w:rsidR="00F87188" w:rsidRPr="00B600B1">
        <w:rPr>
          <w:rFonts w:hint="eastAsia"/>
          <w:sz w:val="24"/>
          <w:lang w:eastAsia="ko-KR"/>
        </w:rPr>
        <w:t xml:space="preserve">consists of a cyclic prefix </w:t>
      </w:r>
      <w:r w:rsidR="00DC7B31" w:rsidRPr="00B600B1">
        <w:rPr>
          <w:sz w:val="24"/>
          <w:lang w:eastAsia="ko-KR"/>
        </w:rPr>
        <w:t>(CP)</w:t>
      </w:r>
      <w:r w:rsidR="00F87188" w:rsidRPr="00B600B1">
        <w:rPr>
          <w:rFonts w:hint="eastAsia"/>
          <w:sz w:val="24"/>
          <w:lang w:eastAsia="ko-KR"/>
        </w:rPr>
        <w:t xml:space="preserve"> and a sequence part. </w:t>
      </w:r>
      <w:r w:rsidR="00DC7B31" w:rsidRPr="00B600B1">
        <w:rPr>
          <w:sz w:val="24"/>
          <w:lang w:eastAsia="ko-KR"/>
        </w:rPr>
        <w:t xml:space="preserve">There is also a guard time in order to avoid collision of RA preambles with the other resources. </w:t>
      </w:r>
    </w:p>
    <w:p w:rsidR="00467709" w:rsidRDefault="00862CC3" w:rsidP="00CE345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Figure 1 </w:t>
      </w:r>
      <w:r w:rsidR="00CE345A">
        <w:rPr>
          <w:sz w:val="24"/>
          <w:szCs w:val="24"/>
        </w:rPr>
        <w:t xml:space="preserve">and Figure 2 </w:t>
      </w:r>
      <w:r w:rsidR="00DC7B31">
        <w:rPr>
          <w:sz w:val="24"/>
          <w:szCs w:val="24"/>
        </w:rPr>
        <w:t xml:space="preserve">show </w:t>
      </w:r>
      <w:r>
        <w:rPr>
          <w:sz w:val="24"/>
          <w:szCs w:val="24"/>
        </w:rPr>
        <w:t>a random access slot with two random access preambles one from a UE with the shortest path to the satellite and the other one from a UE with the longest path to the satellite.</w:t>
      </w:r>
      <w:r w:rsidR="002C4D5E">
        <w:rPr>
          <w:sz w:val="24"/>
          <w:szCs w:val="24"/>
        </w:rPr>
        <w:t xml:space="preserve"> </w:t>
      </w:r>
    </w:p>
    <w:p w:rsidR="00CE345A" w:rsidRDefault="00CE345A" w:rsidP="00CE345A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7F9742B3" wp14:editId="68E6DBD7">
            <wp:extent cx="3114675" cy="2086688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259" cy="20977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E345A" w:rsidRDefault="00CE345A" w:rsidP="00CE345A">
      <w:pPr>
        <w:jc w:val="center"/>
        <w:rPr>
          <w:sz w:val="24"/>
          <w:szCs w:val="24"/>
        </w:rPr>
      </w:pPr>
      <w:r>
        <w:rPr>
          <w:sz w:val="24"/>
          <w:szCs w:val="24"/>
        </w:rPr>
        <w:t>Figure 1: The maximum differential latency for UEs in a satellite beam</w:t>
      </w:r>
    </w:p>
    <w:p w:rsidR="002C4D5E" w:rsidRDefault="002C4D5E" w:rsidP="00515E12">
      <w:pPr>
        <w:rPr>
          <w:sz w:val="24"/>
          <w:szCs w:val="24"/>
        </w:rPr>
      </w:pPr>
    </w:p>
    <w:p w:rsidR="00E80D19" w:rsidRDefault="008964B6" w:rsidP="004B7836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B8CA909" wp14:editId="5E3DA79E">
            <wp:extent cx="4562475" cy="1870114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1010" cy="188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0D19" w:rsidRDefault="00E80D19" w:rsidP="004B783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Figure </w:t>
      </w:r>
      <w:r w:rsidR="00CE345A">
        <w:rPr>
          <w:sz w:val="24"/>
          <w:szCs w:val="24"/>
        </w:rPr>
        <w:t>2</w:t>
      </w:r>
      <w:r>
        <w:rPr>
          <w:sz w:val="24"/>
          <w:szCs w:val="24"/>
        </w:rPr>
        <w:t xml:space="preserve"> – </w:t>
      </w:r>
      <w:r w:rsidR="008964B6">
        <w:rPr>
          <w:sz w:val="24"/>
          <w:szCs w:val="24"/>
        </w:rPr>
        <w:t xml:space="preserve">preambles of different UEs in a </w:t>
      </w:r>
      <w:r>
        <w:rPr>
          <w:sz w:val="24"/>
          <w:szCs w:val="24"/>
        </w:rPr>
        <w:t xml:space="preserve">PRACH </w:t>
      </w:r>
      <w:r w:rsidR="008964B6">
        <w:rPr>
          <w:sz w:val="24"/>
          <w:szCs w:val="24"/>
        </w:rPr>
        <w:t>time slot</w:t>
      </w:r>
    </w:p>
    <w:p w:rsidR="00D434D2" w:rsidRPr="00B600B1" w:rsidRDefault="00F56B3C" w:rsidP="00CC3045">
      <w:p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5G</w:t>
      </w:r>
      <w:r w:rsidRPr="00B600B1">
        <w:rPr>
          <w:sz w:val="24"/>
          <w:szCs w:val="24"/>
          <w:lang w:eastAsia="ko-KR"/>
        </w:rPr>
        <w:t xml:space="preserve"> will need to define new specific preamble formats to support satellite links; these preamble format</w:t>
      </w:r>
      <w:r w:rsidR="00F21A0B">
        <w:rPr>
          <w:sz w:val="24"/>
          <w:szCs w:val="24"/>
          <w:lang w:eastAsia="ko-KR"/>
        </w:rPr>
        <w:t>s</w:t>
      </w:r>
      <w:r w:rsidRPr="00B600B1">
        <w:rPr>
          <w:sz w:val="24"/>
          <w:szCs w:val="24"/>
          <w:lang w:eastAsia="ko-KR"/>
        </w:rPr>
        <w:t xml:space="preserve"> have to have larger T</w:t>
      </w:r>
      <w:r w:rsidRPr="00B600B1">
        <w:rPr>
          <w:sz w:val="24"/>
          <w:szCs w:val="24"/>
          <w:vertAlign w:val="subscript"/>
          <w:lang w:eastAsia="ko-KR"/>
        </w:rPr>
        <w:t>CP</w:t>
      </w:r>
      <w:r w:rsidRPr="00B600B1">
        <w:rPr>
          <w:sz w:val="24"/>
          <w:szCs w:val="24"/>
          <w:lang w:eastAsia="ko-KR"/>
        </w:rPr>
        <w:t xml:space="preserve">, </w:t>
      </w:r>
      <w:proofErr w:type="spellStart"/>
      <w:r w:rsidRPr="00B600B1">
        <w:rPr>
          <w:sz w:val="24"/>
          <w:szCs w:val="24"/>
          <w:lang w:eastAsia="ko-KR"/>
        </w:rPr>
        <w:t>T</w:t>
      </w:r>
      <w:r w:rsidRPr="00B600B1">
        <w:rPr>
          <w:sz w:val="24"/>
          <w:szCs w:val="24"/>
          <w:vertAlign w:val="subscript"/>
          <w:lang w:eastAsia="ko-KR"/>
        </w:rPr>
        <w:t>seq</w:t>
      </w:r>
      <w:proofErr w:type="spellEnd"/>
      <w:r w:rsidRPr="00B600B1">
        <w:rPr>
          <w:sz w:val="24"/>
          <w:szCs w:val="24"/>
          <w:lang w:eastAsia="ko-KR"/>
        </w:rPr>
        <w:t>, and T</w:t>
      </w:r>
      <w:r w:rsidRPr="00B600B1">
        <w:rPr>
          <w:sz w:val="24"/>
          <w:szCs w:val="24"/>
          <w:vertAlign w:val="subscript"/>
          <w:lang w:eastAsia="ko-KR"/>
        </w:rPr>
        <w:t>GT</w:t>
      </w:r>
      <w:r w:rsidR="00707567">
        <w:rPr>
          <w:sz w:val="24"/>
          <w:szCs w:val="24"/>
          <w:lang w:eastAsia="ko-KR"/>
        </w:rPr>
        <w:t xml:space="preserve"> to support higher differential latencies</w:t>
      </w:r>
      <w:r w:rsidR="00F21A0B">
        <w:rPr>
          <w:sz w:val="24"/>
          <w:szCs w:val="24"/>
          <w:lang w:eastAsia="ko-KR"/>
        </w:rPr>
        <w:t xml:space="preserve"> and larger Doppler shifts</w:t>
      </w:r>
      <w:r w:rsidR="00707567">
        <w:rPr>
          <w:sz w:val="24"/>
          <w:szCs w:val="24"/>
          <w:lang w:eastAsia="ko-KR"/>
        </w:rPr>
        <w:t>.</w:t>
      </w:r>
      <w:r w:rsidRPr="00B600B1">
        <w:rPr>
          <w:sz w:val="24"/>
          <w:szCs w:val="24"/>
          <w:lang w:eastAsia="ko-KR"/>
        </w:rPr>
        <w:t xml:space="preserve"> </w:t>
      </w:r>
      <w:r w:rsidR="00FC11A1" w:rsidRPr="00B600B1">
        <w:rPr>
          <w:sz w:val="24"/>
          <w:szCs w:val="24"/>
          <w:lang w:eastAsia="ko-KR"/>
        </w:rPr>
        <w:t>The timing synchronization of RA process</w:t>
      </w:r>
      <w:r w:rsidR="004F764B">
        <w:rPr>
          <w:sz w:val="24"/>
          <w:szCs w:val="24"/>
          <w:lang w:eastAsia="ko-KR"/>
        </w:rPr>
        <w:t xml:space="preserve"> </w:t>
      </w:r>
      <w:r w:rsidR="00FC11A1" w:rsidRPr="00B600B1">
        <w:rPr>
          <w:sz w:val="24"/>
          <w:szCs w:val="24"/>
          <w:lang w:eastAsia="ko-KR"/>
        </w:rPr>
        <w:t>of an LTE network over satellite</w:t>
      </w:r>
      <w:r>
        <w:rPr>
          <w:sz w:val="24"/>
          <w:szCs w:val="24"/>
          <w:lang w:eastAsia="ko-KR"/>
        </w:rPr>
        <w:t xml:space="preserve"> is studied in </w:t>
      </w:r>
      <w:r w:rsidRPr="00B600B1">
        <w:rPr>
          <w:sz w:val="24"/>
          <w:szCs w:val="24"/>
          <w:lang w:eastAsia="ko-KR"/>
        </w:rPr>
        <w:t>[</w:t>
      </w:r>
      <w:r w:rsidR="004F764B">
        <w:rPr>
          <w:sz w:val="24"/>
          <w:szCs w:val="24"/>
          <w:lang w:eastAsia="ko-KR"/>
        </w:rPr>
        <w:t>3</w:t>
      </w:r>
      <w:r w:rsidRPr="00B600B1">
        <w:rPr>
          <w:sz w:val="24"/>
          <w:szCs w:val="24"/>
          <w:lang w:eastAsia="ko-KR"/>
        </w:rPr>
        <w:t>]</w:t>
      </w:r>
      <w:r w:rsidR="00FC11A1" w:rsidRPr="00B600B1">
        <w:rPr>
          <w:sz w:val="24"/>
          <w:szCs w:val="24"/>
          <w:lang w:eastAsia="ko-KR"/>
        </w:rPr>
        <w:t>.</w:t>
      </w:r>
      <w:r w:rsidR="00D434D2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A</w:t>
      </w:r>
      <w:r w:rsidR="00D434D2">
        <w:rPr>
          <w:sz w:val="24"/>
          <w:szCs w:val="24"/>
          <w:lang w:eastAsia="ko-KR"/>
        </w:rPr>
        <w:t xml:space="preserve"> two-step time delay difference estimation scheme for OFDM based technologies (e.g., LTE and NR) over satellite</w:t>
      </w:r>
      <w:r>
        <w:rPr>
          <w:sz w:val="24"/>
          <w:szCs w:val="24"/>
          <w:lang w:eastAsia="ko-KR"/>
        </w:rPr>
        <w:t xml:space="preserve"> is proposed</w:t>
      </w:r>
      <w:r w:rsidR="00D434D2">
        <w:rPr>
          <w:sz w:val="24"/>
          <w:szCs w:val="24"/>
          <w:lang w:eastAsia="ko-KR"/>
        </w:rPr>
        <w:t>.</w:t>
      </w:r>
      <w:r w:rsidR="00FC11A1" w:rsidRPr="00B600B1">
        <w:rPr>
          <w:sz w:val="24"/>
          <w:szCs w:val="24"/>
          <w:lang w:eastAsia="ko-KR"/>
        </w:rPr>
        <w:t xml:space="preserve"> </w:t>
      </w:r>
    </w:p>
    <w:p w:rsidR="00BC109C" w:rsidRDefault="00F56B3C" w:rsidP="00CC3045">
      <w:p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Below</w:t>
      </w:r>
      <w:r w:rsidR="00FF484A">
        <w:rPr>
          <w:sz w:val="24"/>
          <w:szCs w:val="24"/>
          <w:lang w:eastAsia="ko-KR"/>
        </w:rPr>
        <w:t xml:space="preserve"> are </w:t>
      </w:r>
      <w:r>
        <w:rPr>
          <w:sz w:val="24"/>
          <w:szCs w:val="24"/>
          <w:lang w:eastAsia="ko-KR"/>
        </w:rPr>
        <w:t xml:space="preserve">two </w:t>
      </w:r>
      <w:r w:rsidR="00FF484A">
        <w:rPr>
          <w:sz w:val="24"/>
          <w:szCs w:val="24"/>
          <w:lang w:eastAsia="ko-KR"/>
        </w:rPr>
        <w:t xml:space="preserve">examples of </w:t>
      </w:r>
      <w:r w:rsidR="00A900D9" w:rsidRPr="00B600B1">
        <w:rPr>
          <w:sz w:val="24"/>
          <w:szCs w:val="24"/>
          <w:lang w:eastAsia="ko-KR"/>
        </w:rPr>
        <w:t>preamble formats for LTE over GEO satellite</w:t>
      </w:r>
      <w:r>
        <w:rPr>
          <w:sz w:val="24"/>
          <w:szCs w:val="24"/>
          <w:lang w:eastAsia="ko-KR"/>
        </w:rPr>
        <w:t xml:space="preserve"> that may be used for 5G</w:t>
      </w:r>
      <w:r w:rsidR="00A900D9" w:rsidRPr="00B600B1">
        <w:rPr>
          <w:sz w:val="24"/>
          <w:szCs w:val="24"/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2"/>
        <w:gridCol w:w="3132"/>
        <w:gridCol w:w="3132"/>
      </w:tblGrid>
      <w:tr w:rsidR="00BC109C" w:rsidTr="008A6F84">
        <w:trPr>
          <w:trHeight w:val="328"/>
        </w:trPr>
        <w:tc>
          <w:tcPr>
            <w:tcW w:w="3132" w:type="dxa"/>
          </w:tcPr>
          <w:p w:rsidR="00BC109C" w:rsidRPr="00491475" w:rsidRDefault="00BC109C" w:rsidP="008A6F84">
            <w:pPr>
              <w:jc w:val="center"/>
              <w:rPr>
                <w:b/>
                <w:sz w:val="24"/>
                <w:szCs w:val="24"/>
              </w:rPr>
            </w:pPr>
            <w:r w:rsidRPr="00491475">
              <w:rPr>
                <w:b/>
                <w:sz w:val="24"/>
                <w:szCs w:val="24"/>
              </w:rPr>
              <w:t>Preamble Format</w:t>
            </w:r>
          </w:p>
        </w:tc>
        <w:tc>
          <w:tcPr>
            <w:tcW w:w="3132" w:type="dxa"/>
          </w:tcPr>
          <w:p w:rsidR="00BC109C" w:rsidRPr="00491475" w:rsidRDefault="00BC109C" w:rsidP="008A6F84">
            <w:pPr>
              <w:jc w:val="center"/>
              <w:rPr>
                <w:b/>
                <w:i/>
                <w:sz w:val="24"/>
                <w:szCs w:val="24"/>
                <w:vertAlign w:val="subscript"/>
              </w:rPr>
            </w:pPr>
            <w:r w:rsidRPr="00491475">
              <w:rPr>
                <w:b/>
                <w:i/>
                <w:sz w:val="24"/>
                <w:szCs w:val="24"/>
              </w:rPr>
              <w:t>T</w:t>
            </w:r>
            <w:r w:rsidRPr="00491475">
              <w:rPr>
                <w:b/>
                <w:i/>
                <w:sz w:val="24"/>
                <w:szCs w:val="24"/>
                <w:vertAlign w:val="subscript"/>
              </w:rPr>
              <w:t>CP</w:t>
            </w:r>
          </w:p>
        </w:tc>
        <w:tc>
          <w:tcPr>
            <w:tcW w:w="3132" w:type="dxa"/>
          </w:tcPr>
          <w:p w:rsidR="00BC109C" w:rsidRPr="00491475" w:rsidRDefault="00BC109C" w:rsidP="008A6F84">
            <w:pPr>
              <w:jc w:val="center"/>
              <w:rPr>
                <w:b/>
                <w:i/>
                <w:sz w:val="24"/>
                <w:szCs w:val="24"/>
                <w:vertAlign w:val="subscript"/>
              </w:rPr>
            </w:pPr>
            <w:proofErr w:type="spellStart"/>
            <w:r w:rsidRPr="00491475">
              <w:rPr>
                <w:b/>
                <w:i/>
                <w:sz w:val="24"/>
                <w:szCs w:val="24"/>
              </w:rPr>
              <w:t>T</w:t>
            </w:r>
            <w:r w:rsidRPr="00491475">
              <w:rPr>
                <w:b/>
                <w:i/>
                <w:sz w:val="24"/>
                <w:szCs w:val="24"/>
                <w:vertAlign w:val="subscript"/>
              </w:rPr>
              <w:t>seq</w:t>
            </w:r>
            <w:proofErr w:type="spellEnd"/>
          </w:p>
        </w:tc>
      </w:tr>
      <w:tr w:rsidR="00BC109C" w:rsidTr="008A6F84">
        <w:trPr>
          <w:trHeight w:val="211"/>
        </w:trPr>
        <w:tc>
          <w:tcPr>
            <w:tcW w:w="3132" w:type="dxa"/>
          </w:tcPr>
          <w:p w:rsidR="00BC109C" w:rsidRPr="00491475" w:rsidRDefault="00BC109C" w:rsidP="008A6F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206E46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</w:tcPr>
          <w:p w:rsidR="00BC109C" w:rsidRPr="00491475" w:rsidRDefault="00BC109C" w:rsidP="006406D8">
            <w:pPr>
              <w:jc w:val="center"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</w:rPr>
              <w:t>9</w:t>
            </w:r>
            <w:r w:rsidR="006406D8">
              <w:rPr>
                <w:sz w:val="24"/>
                <w:szCs w:val="24"/>
              </w:rPr>
              <w:t>×</w:t>
            </w:r>
            <w:r>
              <w:rPr>
                <w:sz w:val="24"/>
                <w:szCs w:val="24"/>
              </w:rPr>
              <w:t>6240</w:t>
            </w:r>
            <w:r w:rsidR="006406D8">
              <w:rPr>
                <w:sz w:val="24"/>
                <w:szCs w:val="24"/>
              </w:rPr>
              <w:t>×</w:t>
            </w:r>
            <w:r w:rsidRPr="00491475">
              <w:rPr>
                <w:i/>
                <w:sz w:val="24"/>
                <w:szCs w:val="24"/>
              </w:rPr>
              <w:t>T</w:t>
            </w:r>
            <w:r w:rsidRPr="00491475">
              <w:rPr>
                <w:i/>
                <w:sz w:val="24"/>
                <w:szCs w:val="24"/>
                <w:vertAlign w:val="subscript"/>
              </w:rPr>
              <w:t>s</w:t>
            </w:r>
          </w:p>
        </w:tc>
        <w:tc>
          <w:tcPr>
            <w:tcW w:w="3132" w:type="dxa"/>
          </w:tcPr>
          <w:p w:rsidR="00BC109C" w:rsidRDefault="00BC109C" w:rsidP="00640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406D8">
              <w:rPr>
                <w:sz w:val="24"/>
                <w:szCs w:val="24"/>
              </w:rPr>
              <w:t>×</w:t>
            </w:r>
            <w:r>
              <w:rPr>
                <w:sz w:val="24"/>
                <w:szCs w:val="24"/>
              </w:rPr>
              <w:t>24576</w:t>
            </w:r>
            <w:r w:rsidR="006406D8">
              <w:rPr>
                <w:sz w:val="24"/>
                <w:szCs w:val="24"/>
              </w:rPr>
              <w:t>×</w:t>
            </w:r>
            <w:r w:rsidRPr="00491475">
              <w:rPr>
                <w:i/>
                <w:sz w:val="24"/>
                <w:szCs w:val="24"/>
              </w:rPr>
              <w:t>T</w:t>
            </w:r>
            <w:r w:rsidRPr="00491475">
              <w:rPr>
                <w:i/>
                <w:sz w:val="24"/>
                <w:szCs w:val="24"/>
                <w:vertAlign w:val="subscript"/>
              </w:rPr>
              <w:t>s</w:t>
            </w:r>
          </w:p>
        </w:tc>
      </w:tr>
      <w:tr w:rsidR="00BC109C" w:rsidTr="008A6F84">
        <w:tc>
          <w:tcPr>
            <w:tcW w:w="3132" w:type="dxa"/>
          </w:tcPr>
          <w:p w:rsidR="00BC109C" w:rsidRPr="00491475" w:rsidRDefault="00BC109C" w:rsidP="00BC10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206E46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32" w:type="dxa"/>
          </w:tcPr>
          <w:p w:rsidR="00BC109C" w:rsidRPr="00491475" w:rsidRDefault="00BC109C" w:rsidP="006406D8">
            <w:pPr>
              <w:jc w:val="center"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</w:rPr>
              <w:t>3</w:t>
            </w:r>
            <w:r w:rsidR="006406D8">
              <w:rPr>
                <w:sz w:val="24"/>
                <w:szCs w:val="24"/>
              </w:rPr>
              <w:t>×</w:t>
            </w:r>
            <w:r>
              <w:rPr>
                <w:sz w:val="24"/>
                <w:szCs w:val="24"/>
              </w:rPr>
              <w:t>21024</w:t>
            </w:r>
            <w:r w:rsidR="006406D8">
              <w:rPr>
                <w:sz w:val="24"/>
                <w:szCs w:val="24"/>
              </w:rPr>
              <w:t>×</w:t>
            </w:r>
            <w:r w:rsidRPr="00491475">
              <w:rPr>
                <w:i/>
                <w:sz w:val="24"/>
                <w:szCs w:val="24"/>
              </w:rPr>
              <w:t>T</w:t>
            </w:r>
            <w:r w:rsidRPr="00491475">
              <w:rPr>
                <w:i/>
                <w:sz w:val="24"/>
                <w:szCs w:val="24"/>
                <w:vertAlign w:val="subscript"/>
              </w:rPr>
              <w:t>s</w:t>
            </w:r>
          </w:p>
        </w:tc>
        <w:tc>
          <w:tcPr>
            <w:tcW w:w="3132" w:type="dxa"/>
          </w:tcPr>
          <w:p w:rsidR="00BC109C" w:rsidRDefault="00BC109C" w:rsidP="00640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406D8">
              <w:rPr>
                <w:sz w:val="24"/>
                <w:szCs w:val="24"/>
              </w:rPr>
              <w:t>×</w:t>
            </w:r>
            <w:r>
              <w:rPr>
                <w:sz w:val="24"/>
                <w:szCs w:val="24"/>
              </w:rPr>
              <w:t>24576</w:t>
            </w:r>
            <w:r w:rsidR="006406D8">
              <w:rPr>
                <w:sz w:val="24"/>
                <w:szCs w:val="24"/>
              </w:rPr>
              <w:t>×</w:t>
            </w:r>
            <w:r w:rsidRPr="00491475">
              <w:rPr>
                <w:i/>
                <w:sz w:val="24"/>
                <w:szCs w:val="24"/>
              </w:rPr>
              <w:t>T</w:t>
            </w:r>
            <w:r w:rsidRPr="00491475">
              <w:rPr>
                <w:i/>
                <w:sz w:val="24"/>
                <w:szCs w:val="24"/>
                <w:vertAlign w:val="subscript"/>
              </w:rPr>
              <w:t>s</w:t>
            </w:r>
          </w:p>
        </w:tc>
      </w:tr>
    </w:tbl>
    <w:p w:rsidR="00BC109C" w:rsidRPr="00BC109C" w:rsidRDefault="00BC109C" w:rsidP="00BC109C">
      <w:pPr>
        <w:jc w:val="center"/>
      </w:pPr>
      <w:r w:rsidRPr="00BC109C">
        <w:t xml:space="preserve">Table </w:t>
      </w:r>
      <w:r w:rsidR="00057E68">
        <w:t>2</w:t>
      </w:r>
      <w:r w:rsidRPr="00BC109C">
        <w:t xml:space="preserve">: The </w:t>
      </w:r>
      <w:r w:rsidR="00206E46">
        <w:t xml:space="preserve">two examples of </w:t>
      </w:r>
      <w:r w:rsidRPr="00BC109C">
        <w:t>RA preamble formats for satellite</w:t>
      </w:r>
      <w:r w:rsidR="00FE1EBF">
        <w:t xml:space="preserve"> LTE</w:t>
      </w:r>
    </w:p>
    <w:p w:rsidR="00061AE4" w:rsidRPr="00D9726C" w:rsidRDefault="00FC11A1" w:rsidP="00515E12">
      <w:pPr>
        <w:rPr>
          <w:sz w:val="28"/>
          <w:szCs w:val="24"/>
        </w:rPr>
      </w:pPr>
      <w:r w:rsidRPr="00D9726C">
        <w:rPr>
          <w:sz w:val="24"/>
        </w:rPr>
        <w:t xml:space="preserve">Where </w:t>
      </w:r>
      <w:proofErr w:type="spellStart"/>
      <w:r w:rsidRPr="00D9726C">
        <w:rPr>
          <w:sz w:val="24"/>
        </w:rPr>
        <w:t>T</w:t>
      </w:r>
      <w:r w:rsidR="006406D8">
        <w:rPr>
          <w:sz w:val="24"/>
          <w:vertAlign w:val="subscript"/>
        </w:rPr>
        <w:t>s</w:t>
      </w:r>
      <w:proofErr w:type="spellEnd"/>
      <w:r w:rsidRPr="00D9726C">
        <w:rPr>
          <w:sz w:val="24"/>
        </w:rPr>
        <w:t xml:space="preserve"> is the basic time unit in LTE, </w:t>
      </w:r>
      <w:proofErr w:type="spellStart"/>
      <w:r w:rsidRPr="00D9726C">
        <w:rPr>
          <w:sz w:val="24"/>
        </w:rPr>
        <w:t>T</w:t>
      </w:r>
      <w:r w:rsidR="006406D8">
        <w:rPr>
          <w:sz w:val="24"/>
          <w:vertAlign w:val="subscript"/>
        </w:rPr>
        <w:t>s</w:t>
      </w:r>
      <w:proofErr w:type="spellEnd"/>
      <w:r w:rsidRPr="00D9726C">
        <w:rPr>
          <w:sz w:val="24"/>
        </w:rPr>
        <w:t xml:space="preserve"> = 1</w:t>
      </w:r>
      <w:proofErr w:type="gramStart"/>
      <w:r w:rsidRPr="00D9726C">
        <w:rPr>
          <w:sz w:val="24"/>
        </w:rPr>
        <w:t>/(</w:t>
      </w:r>
      <w:proofErr w:type="gramEnd"/>
      <w:r w:rsidRPr="00D9726C">
        <w:rPr>
          <w:sz w:val="24"/>
        </w:rPr>
        <w:t>15000</w:t>
      </w:r>
      <w:r w:rsidR="006406D8">
        <w:rPr>
          <w:sz w:val="24"/>
        </w:rPr>
        <w:t>×</w:t>
      </w:r>
      <w:r w:rsidRPr="00D9726C">
        <w:rPr>
          <w:sz w:val="24"/>
        </w:rPr>
        <w:t>2048) s</w:t>
      </w:r>
      <w:r w:rsidR="006406D8">
        <w:rPr>
          <w:sz w:val="24"/>
        </w:rPr>
        <w:t>ec</w:t>
      </w:r>
      <w:r w:rsidRPr="00D9726C">
        <w:rPr>
          <w:sz w:val="24"/>
        </w:rPr>
        <w:t xml:space="preserve"> = 3.25521 </w:t>
      </w:r>
      <w:r w:rsidR="006406D8">
        <w:rPr>
          <w:sz w:val="24"/>
        </w:rPr>
        <w:t>×</w:t>
      </w:r>
      <w:r w:rsidRPr="00D9726C">
        <w:rPr>
          <w:sz w:val="24"/>
        </w:rPr>
        <w:t xml:space="preserve"> 10</w:t>
      </w:r>
      <w:r w:rsidR="006406D8">
        <w:rPr>
          <w:sz w:val="24"/>
          <w:vertAlign w:val="superscript"/>
        </w:rPr>
        <w:t>-5</w:t>
      </w:r>
      <w:r w:rsidRPr="00D9726C">
        <w:rPr>
          <w:sz w:val="24"/>
        </w:rPr>
        <w:t xml:space="preserve"> ms</w:t>
      </w:r>
      <w:r w:rsidR="006406D8">
        <w:rPr>
          <w:sz w:val="24"/>
        </w:rPr>
        <w:t>ec</w:t>
      </w:r>
      <w:r w:rsidRPr="00D9726C">
        <w:rPr>
          <w:sz w:val="24"/>
        </w:rPr>
        <w:t>.</w:t>
      </w:r>
    </w:p>
    <w:p w:rsidR="00FC11A1" w:rsidRDefault="00FC11A1" w:rsidP="00515E12">
      <w:pPr>
        <w:rPr>
          <w:sz w:val="24"/>
          <w:szCs w:val="24"/>
        </w:rPr>
      </w:pPr>
    </w:p>
    <w:p w:rsidR="00061AE4" w:rsidRDefault="00061AE4" w:rsidP="006F02F7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7E544138" wp14:editId="015705F9">
            <wp:extent cx="5050006" cy="132397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1254" cy="1361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09C" w:rsidRDefault="00BC109C" w:rsidP="00BC109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Figure </w:t>
      </w:r>
      <w:r w:rsidR="00FE1EBF">
        <w:rPr>
          <w:sz w:val="24"/>
          <w:szCs w:val="24"/>
        </w:rPr>
        <w:t xml:space="preserve">3 </w:t>
      </w:r>
      <w:r>
        <w:rPr>
          <w:sz w:val="24"/>
          <w:szCs w:val="24"/>
        </w:rPr>
        <w:t xml:space="preserve">– Two </w:t>
      </w:r>
      <w:r w:rsidR="00FE1EBF">
        <w:rPr>
          <w:sz w:val="24"/>
          <w:szCs w:val="24"/>
        </w:rPr>
        <w:t xml:space="preserve">examples of </w:t>
      </w:r>
      <w:r>
        <w:rPr>
          <w:sz w:val="24"/>
          <w:szCs w:val="24"/>
        </w:rPr>
        <w:t>RA preamble</w:t>
      </w:r>
      <w:r w:rsidR="00FE1EBF">
        <w:rPr>
          <w:sz w:val="24"/>
          <w:szCs w:val="24"/>
        </w:rPr>
        <w:t xml:space="preserve"> format</w:t>
      </w:r>
      <w:r>
        <w:rPr>
          <w:sz w:val="24"/>
          <w:szCs w:val="24"/>
        </w:rPr>
        <w:t>s for satellite</w:t>
      </w:r>
      <w:r w:rsidR="00FE1EBF">
        <w:rPr>
          <w:sz w:val="24"/>
          <w:szCs w:val="24"/>
        </w:rPr>
        <w:t xml:space="preserve"> LTE</w:t>
      </w:r>
    </w:p>
    <w:p w:rsidR="005902A7" w:rsidRPr="005902A7" w:rsidRDefault="005902A7" w:rsidP="0086464C">
      <w:pPr>
        <w:jc w:val="both"/>
        <w:rPr>
          <w:i/>
          <w:sz w:val="28"/>
          <w:szCs w:val="24"/>
        </w:rPr>
      </w:pPr>
      <w:r>
        <w:rPr>
          <w:rFonts w:eastAsiaTheme="minorEastAsia"/>
          <w:b/>
          <w:i/>
          <w:sz w:val="24"/>
          <w:szCs w:val="24"/>
          <w:lang w:eastAsia="ko-KR"/>
        </w:rPr>
        <w:t>Proposal 1</w:t>
      </w:r>
      <w:r w:rsidRPr="00D9726C">
        <w:rPr>
          <w:rFonts w:eastAsiaTheme="minorEastAsia"/>
          <w:b/>
          <w:i/>
          <w:sz w:val="24"/>
          <w:szCs w:val="24"/>
          <w:lang w:eastAsia="ko-KR"/>
        </w:rPr>
        <w:t>:</w:t>
      </w:r>
      <w:r w:rsidRPr="00D9726C">
        <w:rPr>
          <w:rFonts w:eastAsiaTheme="minorEastAsia"/>
          <w:i/>
          <w:sz w:val="24"/>
          <w:szCs w:val="24"/>
          <w:lang w:eastAsia="ko-KR"/>
        </w:rPr>
        <w:t xml:space="preserve"> </w:t>
      </w:r>
      <w:r>
        <w:rPr>
          <w:rFonts w:eastAsiaTheme="minorEastAsia"/>
          <w:i/>
          <w:sz w:val="24"/>
          <w:szCs w:val="24"/>
          <w:lang w:eastAsia="ko-KR"/>
        </w:rPr>
        <w:t>Flexible</w:t>
      </w:r>
      <w:r w:rsidRPr="00D9726C">
        <w:rPr>
          <w:rFonts w:eastAsiaTheme="minorEastAsia"/>
          <w:i/>
          <w:sz w:val="24"/>
          <w:szCs w:val="24"/>
          <w:lang w:eastAsia="ko-KR"/>
        </w:rPr>
        <w:t xml:space="preserve"> preamble formats with longer length are needed in order to support the forward compatibility of NR with satellite.</w:t>
      </w:r>
    </w:p>
    <w:p w:rsidR="00FE1EBF" w:rsidRDefault="00FE1EBF" w:rsidP="008646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order to support the NR random access procedure over satellite links, new RA preamble formats are needed. </w:t>
      </w:r>
      <w:r w:rsidR="00336803">
        <w:rPr>
          <w:sz w:val="24"/>
          <w:szCs w:val="24"/>
        </w:rPr>
        <w:t>The new preamble formats should</w:t>
      </w:r>
      <w:r>
        <w:rPr>
          <w:sz w:val="24"/>
          <w:szCs w:val="24"/>
        </w:rPr>
        <w:t xml:space="preserve"> be flexible </w:t>
      </w:r>
      <w:r w:rsidR="00336803">
        <w:rPr>
          <w:sz w:val="24"/>
          <w:szCs w:val="24"/>
        </w:rPr>
        <w:t xml:space="preserve">to support larger differential latencies of UEs and larger Doppler shifts in a satellite system compared to the terrestrial </w:t>
      </w:r>
      <w:r w:rsidR="00F1234C">
        <w:rPr>
          <w:sz w:val="24"/>
          <w:szCs w:val="24"/>
        </w:rPr>
        <w:t xml:space="preserve">based cellular </w:t>
      </w:r>
      <w:r w:rsidR="00336803">
        <w:rPr>
          <w:sz w:val="24"/>
          <w:szCs w:val="24"/>
        </w:rPr>
        <w:t xml:space="preserve">systems. </w:t>
      </w:r>
    </w:p>
    <w:p w:rsidR="00F95EFB" w:rsidRPr="006A1A84" w:rsidRDefault="00F95EFB" w:rsidP="006A1A84">
      <w:pPr>
        <w:pStyle w:val="Heading1"/>
        <w:numPr>
          <w:ilvl w:val="0"/>
          <w:numId w:val="4"/>
        </w:numPr>
        <w:textAlignment w:val="auto"/>
        <w:rPr>
          <w:lang w:val="en-US"/>
        </w:rPr>
      </w:pPr>
      <w:r w:rsidRPr="006A1A84">
        <w:rPr>
          <w:lang w:val="en-US"/>
        </w:rPr>
        <w:t>Summary</w:t>
      </w:r>
    </w:p>
    <w:p w:rsidR="000852A4" w:rsidRDefault="00F95EFB" w:rsidP="000852A4">
      <w:pPr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0852A4">
        <w:rPr>
          <w:sz w:val="24"/>
          <w:szCs w:val="24"/>
        </w:rPr>
        <w:t>his</w:t>
      </w:r>
      <w:r w:rsidR="000852A4" w:rsidRPr="000852A4">
        <w:rPr>
          <w:sz w:val="24"/>
          <w:szCs w:val="24"/>
        </w:rPr>
        <w:t xml:space="preserve"> contribution</w:t>
      </w:r>
      <w:r w:rsidR="00F85CF4">
        <w:rPr>
          <w:sz w:val="24"/>
          <w:szCs w:val="24"/>
        </w:rPr>
        <w:t xml:space="preserve"> </w:t>
      </w:r>
      <w:r w:rsidR="00A16970">
        <w:rPr>
          <w:sz w:val="24"/>
          <w:szCs w:val="24"/>
        </w:rPr>
        <w:t xml:space="preserve">discusses </w:t>
      </w:r>
      <w:r w:rsidR="00431057">
        <w:rPr>
          <w:sz w:val="24"/>
          <w:szCs w:val="24"/>
        </w:rPr>
        <w:t xml:space="preserve">the </w:t>
      </w:r>
      <w:r w:rsidR="00A16970">
        <w:rPr>
          <w:sz w:val="24"/>
          <w:szCs w:val="24"/>
        </w:rPr>
        <w:t>forward compatibility of NR random access preamble</w:t>
      </w:r>
      <w:r w:rsidR="0072444E">
        <w:rPr>
          <w:sz w:val="24"/>
          <w:szCs w:val="24"/>
        </w:rPr>
        <w:t xml:space="preserve"> format</w:t>
      </w:r>
      <w:r w:rsidR="00A16970">
        <w:rPr>
          <w:sz w:val="24"/>
          <w:szCs w:val="24"/>
        </w:rPr>
        <w:t>s with</w:t>
      </w:r>
      <w:r w:rsidR="00F85CF4">
        <w:rPr>
          <w:sz w:val="24"/>
          <w:szCs w:val="24"/>
        </w:rPr>
        <w:t xml:space="preserve"> satellite links</w:t>
      </w:r>
      <w:r w:rsidR="000852A4" w:rsidRPr="000852A4">
        <w:rPr>
          <w:sz w:val="24"/>
          <w:szCs w:val="24"/>
        </w:rPr>
        <w:t>.</w:t>
      </w:r>
      <w:r w:rsidR="00E20837">
        <w:rPr>
          <w:sz w:val="24"/>
          <w:szCs w:val="24"/>
        </w:rPr>
        <w:t xml:space="preserve"> </w:t>
      </w:r>
    </w:p>
    <w:p w:rsidR="005902A7" w:rsidRPr="00D9726C" w:rsidRDefault="005902A7" w:rsidP="005902A7">
      <w:pPr>
        <w:jc w:val="both"/>
        <w:rPr>
          <w:i/>
          <w:sz w:val="28"/>
          <w:szCs w:val="24"/>
        </w:rPr>
      </w:pPr>
      <w:r>
        <w:rPr>
          <w:rFonts w:eastAsiaTheme="minorEastAsia"/>
          <w:b/>
          <w:i/>
          <w:sz w:val="24"/>
          <w:szCs w:val="24"/>
          <w:lang w:eastAsia="ko-KR"/>
        </w:rPr>
        <w:t>Proposal 1</w:t>
      </w:r>
      <w:r w:rsidRPr="00D9726C">
        <w:rPr>
          <w:rFonts w:eastAsiaTheme="minorEastAsia"/>
          <w:b/>
          <w:i/>
          <w:sz w:val="24"/>
          <w:szCs w:val="24"/>
          <w:lang w:eastAsia="ko-KR"/>
        </w:rPr>
        <w:t>:</w:t>
      </w:r>
      <w:r w:rsidRPr="00D9726C">
        <w:rPr>
          <w:rFonts w:eastAsiaTheme="minorEastAsia"/>
          <w:i/>
          <w:sz w:val="24"/>
          <w:szCs w:val="24"/>
          <w:lang w:eastAsia="ko-KR"/>
        </w:rPr>
        <w:t xml:space="preserve"> </w:t>
      </w:r>
      <w:r>
        <w:rPr>
          <w:rFonts w:eastAsiaTheme="minorEastAsia"/>
          <w:i/>
          <w:sz w:val="24"/>
          <w:szCs w:val="24"/>
          <w:lang w:eastAsia="ko-KR"/>
        </w:rPr>
        <w:t>Flexible</w:t>
      </w:r>
      <w:r w:rsidRPr="00D9726C">
        <w:rPr>
          <w:rFonts w:eastAsiaTheme="minorEastAsia"/>
          <w:i/>
          <w:sz w:val="24"/>
          <w:szCs w:val="24"/>
          <w:lang w:eastAsia="ko-KR"/>
        </w:rPr>
        <w:t xml:space="preserve"> preamble formats </w:t>
      </w:r>
      <w:r w:rsidR="00F1234C">
        <w:rPr>
          <w:rFonts w:eastAsiaTheme="minorEastAsia"/>
          <w:i/>
          <w:sz w:val="24"/>
          <w:szCs w:val="24"/>
          <w:lang w:eastAsia="ko-KR"/>
        </w:rPr>
        <w:t xml:space="preserve">allowing different </w:t>
      </w:r>
      <w:r w:rsidRPr="00D9726C">
        <w:rPr>
          <w:rFonts w:eastAsiaTheme="minorEastAsia"/>
          <w:i/>
          <w:sz w:val="24"/>
          <w:szCs w:val="24"/>
          <w:lang w:eastAsia="ko-KR"/>
        </w:rPr>
        <w:t>length are needed in order to support the forward compatibility of NR with satellite</w:t>
      </w:r>
      <w:r w:rsidR="00F1234C">
        <w:rPr>
          <w:rFonts w:eastAsiaTheme="minorEastAsia"/>
          <w:i/>
          <w:sz w:val="24"/>
          <w:szCs w:val="24"/>
          <w:lang w:eastAsia="ko-KR"/>
        </w:rPr>
        <w:t xml:space="preserve"> systems</w:t>
      </w:r>
      <w:r w:rsidRPr="00D9726C">
        <w:rPr>
          <w:rFonts w:eastAsiaTheme="minorEastAsia"/>
          <w:i/>
          <w:sz w:val="24"/>
          <w:szCs w:val="24"/>
          <w:lang w:eastAsia="ko-KR"/>
        </w:rPr>
        <w:t>.</w:t>
      </w:r>
    </w:p>
    <w:p w:rsidR="00F1234C" w:rsidRDefault="00C745F6" w:rsidP="00336803">
      <w:pPr>
        <w:pStyle w:val="CommentText"/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FE1EBF">
        <w:rPr>
          <w:sz w:val="24"/>
          <w:szCs w:val="24"/>
        </w:rPr>
        <w:t xml:space="preserve">NR </w:t>
      </w:r>
      <w:r>
        <w:rPr>
          <w:sz w:val="24"/>
          <w:szCs w:val="24"/>
        </w:rPr>
        <w:t xml:space="preserve">should </w:t>
      </w:r>
      <w:r w:rsidR="00E65395">
        <w:rPr>
          <w:sz w:val="24"/>
          <w:szCs w:val="24"/>
        </w:rPr>
        <w:t xml:space="preserve">provide </w:t>
      </w:r>
      <w:r>
        <w:rPr>
          <w:sz w:val="24"/>
          <w:szCs w:val="24"/>
        </w:rPr>
        <w:t>flexib</w:t>
      </w:r>
      <w:r w:rsidR="00F1234C">
        <w:rPr>
          <w:sz w:val="24"/>
          <w:szCs w:val="24"/>
        </w:rPr>
        <w:t>le</w:t>
      </w:r>
      <w:r>
        <w:rPr>
          <w:sz w:val="24"/>
          <w:szCs w:val="24"/>
        </w:rPr>
        <w:t xml:space="preserve"> preamble formats, </w:t>
      </w:r>
      <w:r w:rsidR="00E65395">
        <w:rPr>
          <w:sz w:val="24"/>
          <w:szCs w:val="24"/>
        </w:rPr>
        <w:t xml:space="preserve">to </w:t>
      </w:r>
      <w:r>
        <w:rPr>
          <w:sz w:val="24"/>
          <w:szCs w:val="24"/>
        </w:rPr>
        <w:t xml:space="preserve">support </w:t>
      </w:r>
      <w:r w:rsidR="009A4D40" w:rsidRPr="006B316C">
        <w:rPr>
          <w:sz w:val="24"/>
          <w:szCs w:val="24"/>
        </w:rPr>
        <w:t xml:space="preserve">satellite specific </w:t>
      </w:r>
      <w:r w:rsidR="00F1234C">
        <w:rPr>
          <w:sz w:val="24"/>
          <w:szCs w:val="24"/>
        </w:rPr>
        <w:t>constraints</w:t>
      </w:r>
      <w:r w:rsidR="00F1234C" w:rsidRPr="00C745F6">
        <w:rPr>
          <w:sz w:val="24"/>
          <w:szCs w:val="24"/>
        </w:rPr>
        <w:t xml:space="preserve"> </w:t>
      </w:r>
      <w:r w:rsidRPr="00C745F6">
        <w:rPr>
          <w:sz w:val="24"/>
          <w:szCs w:val="24"/>
        </w:rPr>
        <w:t xml:space="preserve">(e.g. differential latency) </w:t>
      </w:r>
      <w:r w:rsidR="00F1234C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="009A4D40" w:rsidRPr="006B316C">
        <w:rPr>
          <w:sz w:val="24"/>
          <w:szCs w:val="24"/>
        </w:rPr>
        <w:t>large</w:t>
      </w:r>
      <w:r>
        <w:rPr>
          <w:sz w:val="24"/>
          <w:szCs w:val="24"/>
        </w:rPr>
        <w:t>r</w:t>
      </w:r>
      <w:r w:rsidR="009A4D40" w:rsidRPr="006B316C">
        <w:rPr>
          <w:sz w:val="24"/>
          <w:szCs w:val="24"/>
        </w:rPr>
        <w:t xml:space="preserve"> Doppl</w:t>
      </w:r>
      <w:r w:rsidRPr="00C745F6">
        <w:rPr>
          <w:sz w:val="24"/>
          <w:szCs w:val="24"/>
        </w:rPr>
        <w:t>er shifts</w:t>
      </w:r>
      <w:r w:rsidR="009A4D40" w:rsidRPr="006B316C">
        <w:rPr>
          <w:sz w:val="24"/>
          <w:szCs w:val="24"/>
        </w:rPr>
        <w:t xml:space="preserve"> compared to </w:t>
      </w:r>
      <w:r w:rsidR="00F1234C">
        <w:rPr>
          <w:sz w:val="24"/>
          <w:szCs w:val="24"/>
        </w:rPr>
        <w:t>ones in cellular systems</w:t>
      </w:r>
      <w:r w:rsidRPr="00C745F6">
        <w:rPr>
          <w:sz w:val="24"/>
          <w:szCs w:val="24"/>
        </w:rPr>
        <w:t xml:space="preserve">. </w:t>
      </w:r>
      <w:r w:rsidR="00E65395">
        <w:rPr>
          <w:sz w:val="24"/>
          <w:szCs w:val="24"/>
        </w:rPr>
        <w:t>I</w:t>
      </w:r>
      <w:r w:rsidR="00707567">
        <w:rPr>
          <w:sz w:val="24"/>
          <w:szCs w:val="24"/>
        </w:rPr>
        <w:t>n</w:t>
      </w:r>
      <w:r w:rsidR="00E65395">
        <w:rPr>
          <w:sz w:val="24"/>
          <w:szCs w:val="24"/>
        </w:rPr>
        <w:t xml:space="preserve"> addition, t</w:t>
      </w:r>
      <w:r w:rsidR="006B316C">
        <w:rPr>
          <w:sz w:val="24"/>
          <w:szCs w:val="24"/>
        </w:rPr>
        <w:t xml:space="preserve">he RA Response window for satellite needs to be flexible to support large RTDs of satellite links. </w:t>
      </w:r>
      <w:r w:rsidR="00E65395">
        <w:rPr>
          <w:sz w:val="24"/>
          <w:szCs w:val="24"/>
        </w:rPr>
        <w:t>The</w:t>
      </w:r>
      <w:r w:rsidR="00F1234C">
        <w:rPr>
          <w:sz w:val="24"/>
          <w:szCs w:val="24"/>
        </w:rPr>
        <w:t xml:space="preserve"> signaling field indicating the preamble length supported by the </w:t>
      </w:r>
      <w:proofErr w:type="spellStart"/>
      <w:r w:rsidR="00F1234C">
        <w:rPr>
          <w:sz w:val="24"/>
          <w:szCs w:val="24"/>
        </w:rPr>
        <w:t>gNB</w:t>
      </w:r>
      <w:proofErr w:type="spellEnd"/>
      <w:r w:rsidR="00E65395">
        <w:rPr>
          <w:sz w:val="24"/>
          <w:szCs w:val="24"/>
        </w:rPr>
        <w:t xml:space="preserve"> whether terrestrial or satellite based should then be updated accordingly</w:t>
      </w:r>
      <w:r w:rsidR="00F1234C">
        <w:rPr>
          <w:sz w:val="24"/>
          <w:szCs w:val="24"/>
        </w:rPr>
        <w:t>.</w:t>
      </w:r>
    </w:p>
    <w:p w:rsidR="00F1234C" w:rsidRDefault="00C745F6" w:rsidP="00336803">
      <w:pPr>
        <w:pStyle w:val="CommentText"/>
        <w:spacing w:line="259" w:lineRule="auto"/>
        <w:jc w:val="both"/>
      </w:pPr>
      <w:r>
        <w:rPr>
          <w:sz w:val="24"/>
          <w:szCs w:val="24"/>
        </w:rPr>
        <w:t xml:space="preserve">Study is required for minimum numerology of satellite specific RA preamble formats. The new numerology should support comparable missed and false detection to that for terrestrial networks. </w:t>
      </w:r>
    </w:p>
    <w:p w:rsidR="007B6675" w:rsidRDefault="007B6675" w:rsidP="007B6675">
      <w:pPr>
        <w:pStyle w:val="Heading1"/>
        <w:numPr>
          <w:ilvl w:val="0"/>
          <w:numId w:val="4"/>
        </w:numPr>
        <w:textAlignment w:val="auto"/>
        <w:rPr>
          <w:lang w:val="en-US"/>
        </w:rPr>
      </w:pPr>
      <w:r>
        <w:rPr>
          <w:lang w:val="en-US"/>
        </w:rPr>
        <w:t>References</w:t>
      </w:r>
    </w:p>
    <w:p w:rsidR="00D50225" w:rsidRDefault="00751161" w:rsidP="007B6675">
      <w:pPr>
        <w:rPr>
          <w:sz w:val="24"/>
        </w:rPr>
      </w:pPr>
      <w:r w:rsidRPr="00144667">
        <w:rPr>
          <w:sz w:val="24"/>
        </w:rPr>
        <w:t xml:space="preserve">[1] R1-1609781, “Satellite Aspects- Forward Compatibility Consideration,” 3GPP TSG RAN WG1 Meeting #86 </w:t>
      </w:r>
      <w:proofErr w:type="spellStart"/>
      <w:r w:rsidRPr="00144667">
        <w:rPr>
          <w:sz w:val="24"/>
        </w:rPr>
        <w:t>bis</w:t>
      </w:r>
      <w:proofErr w:type="spellEnd"/>
      <w:r w:rsidRPr="00144667">
        <w:rPr>
          <w:sz w:val="24"/>
        </w:rPr>
        <w:t xml:space="preserve">, Lisbon, Portugal, 10th – 15th Oct 2016, DISH Network, Thales, </w:t>
      </w:r>
      <w:proofErr w:type="spellStart"/>
      <w:r w:rsidRPr="00144667">
        <w:rPr>
          <w:sz w:val="24"/>
        </w:rPr>
        <w:t>Fraunhofer</w:t>
      </w:r>
      <w:proofErr w:type="spellEnd"/>
      <w:r w:rsidR="00D50225">
        <w:rPr>
          <w:sz w:val="24"/>
        </w:rPr>
        <w:t>,</w:t>
      </w:r>
      <w:r w:rsidRPr="00144667">
        <w:rPr>
          <w:sz w:val="24"/>
        </w:rPr>
        <w:t xml:space="preserve"> IIS, SES, </w:t>
      </w:r>
      <w:proofErr w:type="spellStart"/>
      <w:r w:rsidRPr="00144667">
        <w:rPr>
          <w:sz w:val="24"/>
        </w:rPr>
        <w:t>Ligado</w:t>
      </w:r>
      <w:proofErr w:type="spellEnd"/>
      <w:r w:rsidR="008E3B56">
        <w:rPr>
          <w:sz w:val="24"/>
        </w:rPr>
        <w:t>.</w:t>
      </w:r>
    </w:p>
    <w:p w:rsidR="00431FAC" w:rsidRPr="00CC3045" w:rsidRDefault="00C05511" w:rsidP="00FC11A1">
      <w:pPr>
        <w:jc w:val="both"/>
        <w:rPr>
          <w:sz w:val="24"/>
        </w:rPr>
      </w:pPr>
      <w:r>
        <w:rPr>
          <w:sz w:val="24"/>
        </w:rPr>
        <w:t>[</w:t>
      </w:r>
      <w:r w:rsidR="004F764B">
        <w:rPr>
          <w:sz w:val="24"/>
        </w:rPr>
        <w:t>2</w:t>
      </w:r>
      <w:r>
        <w:rPr>
          <w:sz w:val="24"/>
        </w:rPr>
        <w:t xml:space="preserve">] </w:t>
      </w:r>
      <w:r w:rsidRPr="00C05511">
        <w:rPr>
          <w:sz w:val="24"/>
        </w:rPr>
        <w:t>RP-16</w:t>
      </w:r>
      <w:r w:rsidRPr="00C05511">
        <w:rPr>
          <w:rFonts w:hint="eastAsia"/>
          <w:sz w:val="24"/>
        </w:rPr>
        <w:t>2201</w:t>
      </w:r>
      <w:r>
        <w:rPr>
          <w:sz w:val="24"/>
        </w:rPr>
        <w:t>, “</w:t>
      </w:r>
      <w:r w:rsidRPr="00C05511">
        <w:rPr>
          <w:sz w:val="24"/>
        </w:rPr>
        <w:t>Status Report to TSG</w:t>
      </w:r>
      <w:r>
        <w:rPr>
          <w:sz w:val="24"/>
        </w:rPr>
        <w:t xml:space="preserve">,” </w:t>
      </w:r>
      <w:r w:rsidRPr="00C05511">
        <w:rPr>
          <w:sz w:val="24"/>
        </w:rPr>
        <w:t>3GPP TSG RAN meeting #74</w:t>
      </w:r>
      <w:r>
        <w:rPr>
          <w:sz w:val="24"/>
        </w:rPr>
        <w:t xml:space="preserve">, December 5-8, 2016 </w:t>
      </w:r>
      <w:r w:rsidRPr="00C05511">
        <w:rPr>
          <w:sz w:val="24"/>
        </w:rPr>
        <w:t>Vienna, Austria</w:t>
      </w:r>
      <w:r>
        <w:rPr>
          <w:sz w:val="24"/>
        </w:rPr>
        <w:t xml:space="preserve">. </w:t>
      </w:r>
    </w:p>
    <w:p w:rsidR="00636998" w:rsidRPr="00B640CF" w:rsidRDefault="00431FAC" w:rsidP="00636998">
      <w:pPr>
        <w:jc w:val="both"/>
        <w:rPr>
          <w:sz w:val="24"/>
        </w:rPr>
      </w:pPr>
      <w:r>
        <w:rPr>
          <w:sz w:val="24"/>
        </w:rPr>
        <w:lastRenderedPageBreak/>
        <w:t>[</w:t>
      </w:r>
      <w:r w:rsidR="004F764B">
        <w:rPr>
          <w:sz w:val="24"/>
        </w:rPr>
        <w:t>3</w:t>
      </w:r>
      <w:r>
        <w:rPr>
          <w:sz w:val="24"/>
        </w:rPr>
        <w:t xml:space="preserve">] </w:t>
      </w:r>
      <w:r w:rsidRPr="008A6F84">
        <w:rPr>
          <w:sz w:val="24"/>
        </w:rPr>
        <w:t>C</w:t>
      </w:r>
      <w:r>
        <w:rPr>
          <w:sz w:val="24"/>
        </w:rPr>
        <w:t>.</w:t>
      </w:r>
      <w:r w:rsidRPr="008A6F84">
        <w:rPr>
          <w:sz w:val="24"/>
        </w:rPr>
        <w:t xml:space="preserve"> Li, H</w:t>
      </w:r>
      <w:r>
        <w:rPr>
          <w:sz w:val="24"/>
        </w:rPr>
        <w:t>.</w:t>
      </w:r>
      <w:r w:rsidRPr="008A6F84">
        <w:rPr>
          <w:sz w:val="24"/>
        </w:rPr>
        <w:t xml:space="preserve"> Ba, H</w:t>
      </w:r>
      <w:r>
        <w:rPr>
          <w:sz w:val="24"/>
        </w:rPr>
        <w:t>.</w:t>
      </w:r>
      <w:r w:rsidRPr="00431FAC">
        <w:rPr>
          <w:sz w:val="24"/>
        </w:rPr>
        <w:t xml:space="preserve"> </w:t>
      </w:r>
      <w:proofErr w:type="spellStart"/>
      <w:r w:rsidRPr="00431FAC">
        <w:rPr>
          <w:sz w:val="24"/>
        </w:rPr>
        <w:t>Duan</w:t>
      </w:r>
      <w:proofErr w:type="spellEnd"/>
      <w:r w:rsidRPr="008A6F84">
        <w:rPr>
          <w:sz w:val="24"/>
        </w:rPr>
        <w:t>, Y</w:t>
      </w:r>
      <w:r>
        <w:rPr>
          <w:sz w:val="24"/>
        </w:rPr>
        <w:t>.</w:t>
      </w:r>
      <w:r w:rsidRPr="008A6F84">
        <w:rPr>
          <w:sz w:val="24"/>
        </w:rPr>
        <w:t xml:space="preserve"> Gao, J</w:t>
      </w:r>
      <w:r>
        <w:rPr>
          <w:sz w:val="24"/>
        </w:rPr>
        <w:t>.</w:t>
      </w:r>
      <w:r w:rsidRPr="008A6F84">
        <w:rPr>
          <w:sz w:val="24"/>
        </w:rPr>
        <w:t xml:space="preserve"> Wu</w:t>
      </w:r>
      <w:r>
        <w:rPr>
          <w:sz w:val="24"/>
        </w:rPr>
        <w:t>,</w:t>
      </w:r>
      <w:r w:rsidRPr="00CC3045">
        <w:rPr>
          <w:sz w:val="24"/>
        </w:rPr>
        <w:t xml:space="preserve"> </w:t>
      </w:r>
      <w:r>
        <w:rPr>
          <w:sz w:val="24"/>
        </w:rPr>
        <w:t>“</w:t>
      </w:r>
      <w:r w:rsidRPr="00CC3045">
        <w:rPr>
          <w:i/>
          <w:sz w:val="24"/>
        </w:rPr>
        <w:t>A Two-Step Time Delay Difference Estimation Method for Initial Random Access in Satellite LTE System,</w:t>
      </w:r>
      <w:r>
        <w:rPr>
          <w:sz w:val="24"/>
        </w:rPr>
        <w:t>”</w:t>
      </w:r>
      <w:r w:rsidRPr="00CC3045">
        <w:rPr>
          <w:sz w:val="24"/>
        </w:rPr>
        <w:t xml:space="preserve"> </w:t>
      </w:r>
      <w:r>
        <w:rPr>
          <w:sz w:val="24"/>
        </w:rPr>
        <w:t>ICACT 2014, Feb 16-19 2014.</w:t>
      </w:r>
    </w:p>
    <w:sectPr w:rsidR="00636998" w:rsidRPr="00B640CF"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E68" w:rsidRDefault="002B0E68" w:rsidP="000519FA">
      <w:pPr>
        <w:spacing w:after="0" w:line="240" w:lineRule="auto"/>
      </w:pPr>
      <w:r>
        <w:separator/>
      </w:r>
    </w:p>
  </w:endnote>
  <w:endnote w:type="continuationSeparator" w:id="0">
    <w:p w:rsidR="002B0E68" w:rsidRDefault="002B0E68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4CD6" w:rsidRDefault="00D34CD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5ED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34CD6" w:rsidRDefault="00D34C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E68" w:rsidRDefault="002B0E68" w:rsidP="000519FA">
      <w:pPr>
        <w:spacing w:after="0" w:line="240" w:lineRule="auto"/>
      </w:pPr>
      <w:r>
        <w:separator/>
      </w:r>
    </w:p>
  </w:footnote>
  <w:footnote w:type="continuationSeparator" w:id="0">
    <w:p w:rsidR="002B0E68" w:rsidRDefault="002B0E68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087376"/>
    <w:multiLevelType w:val="hybridMultilevel"/>
    <w:tmpl w:val="DA8CC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B79C8"/>
    <w:multiLevelType w:val="multilevel"/>
    <w:tmpl w:val="8798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54D4B"/>
    <w:multiLevelType w:val="hybridMultilevel"/>
    <w:tmpl w:val="1954218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AF5B6C"/>
    <w:multiLevelType w:val="hybridMultilevel"/>
    <w:tmpl w:val="B1C45916"/>
    <w:lvl w:ilvl="0" w:tplc="9BE2BC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74594"/>
    <w:multiLevelType w:val="hybridMultilevel"/>
    <w:tmpl w:val="AA6A3B2A"/>
    <w:lvl w:ilvl="0" w:tplc="2FB48284">
      <w:start w:val="3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CD5035"/>
    <w:multiLevelType w:val="hybridMultilevel"/>
    <w:tmpl w:val="A1AE1894"/>
    <w:lvl w:ilvl="0" w:tplc="66C27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6218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8672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C0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2C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8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8F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0A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D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74A73EF"/>
    <w:multiLevelType w:val="hybridMultilevel"/>
    <w:tmpl w:val="ECDC48D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BF170B3"/>
    <w:multiLevelType w:val="hybridMultilevel"/>
    <w:tmpl w:val="98CA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AE5718"/>
    <w:multiLevelType w:val="hybridMultilevel"/>
    <w:tmpl w:val="403A5A60"/>
    <w:lvl w:ilvl="0" w:tplc="39E8D08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292FC7"/>
    <w:multiLevelType w:val="hybridMultilevel"/>
    <w:tmpl w:val="3E301D3C"/>
    <w:lvl w:ilvl="0" w:tplc="34E8FC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C5643A7"/>
    <w:multiLevelType w:val="hybridMultilevel"/>
    <w:tmpl w:val="2FA41BD6"/>
    <w:lvl w:ilvl="0" w:tplc="68BA13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883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7E75F6">
      <w:start w:val="12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625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C49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E51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5B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620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F6FA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  <w:num w:numId="11">
    <w:abstractNumId w:val="12"/>
  </w:num>
  <w:num w:numId="12">
    <w:abstractNumId w:val="13"/>
  </w:num>
  <w:num w:numId="13">
    <w:abstractNumId w:val="4"/>
  </w:num>
  <w:num w:numId="14">
    <w:abstractNumId w:val="5"/>
  </w:num>
  <w:num w:numId="15">
    <w:abstractNumId w:val="2"/>
  </w:num>
  <w:num w:numId="16">
    <w:abstractNumId w:val="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35F9"/>
    <w:rsid w:val="000236DD"/>
    <w:rsid w:val="00027E68"/>
    <w:rsid w:val="000330CB"/>
    <w:rsid w:val="00041657"/>
    <w:rsid w:val="00042C03"/>
    <w:rsid w:val="000519FA"/>
    <w:rsid w:val="000549D5"/>
    <w:rsid w:val="00056294"/>
    <w:rsid w:val="00057E68"/>
    <w:rsid w:val="00061AE4"/>
    <w:rsid w:val="000648F1"/>
    <w:rsid w:val="00072A13"/>
    <w:rsid w:val="000746F1"/>
    <w:rsid w:val="00074772"/>
    <w:rsid w:val="00080069"/>
    <w:rsid w:val="000836E2"/>
    <w:rsid w:val="000852A4"/>
    <w:rsid w:val="00094199"/>
    <w:rsid w:val="000A4533"/>
    <w:rsid w:val="000C7447"/>
    <w:rsid w:val="000D0D93"/>
    <w:rsid w:val="000D403A"/>
    <w:rsid w:val="000E20D5"/>
    <w:rsid w:val="000E6009"/>
    <w:rsid w:val="000E79B1"/>
    <w:rsid w:val="000E7F24"/>
    <w:rsid w:val="000F05B2"/>
    <w:rsid w:val="0010616A"/>
    <w:rsid w:val="00110759"/>
    <w:rsid w:val="0013288C"/>
    <w:rsid w:val="00132E99"/>
    <w:rsid w:val="001418C6"/>
    <w:rsid w:val="00144667"/>
    <w:rsid w:val="00147201"/>
    <w:rsid w:val="00147D27"/>
    <w:rsid w:val="001557C1"/>
    <w:rsid w:val="00160717"/>
    <w:rsid w:val="0016652F"/>
    <w:rsid w:val="00166CA6"/>
    <w:rsid w:val="001712ED"/>
    <w:rsid w:val="00187C6F"/>
    <w:rsid w:val="00193810"/>
    <w:rsid w:val="001A5D61"/>
    <w:rsid w:val="001A6D9F"/>
    <w:rsid w:val="001B20D7"/>
    <w:rsid w:val="001B30BA"/>
    <w:rsid w:val="001B53EC"/>
    <w:rsid w:val="001C66D9"/>
    <w:rsid w:val="001D7850"/>
    <w:rsid w:val="001D7C16"/>
    <w:rsid w:val="001E1EC4"/>
    <w:rsid w:val="001F46A7"/>
    <w:rsid w:val="00206E46"/>
    <w:rsid w:val="00211821"/>
    <w:rsid w:val="0021618C"/>
    <w:rsid w:val="00225856"/>
    <w:rsid w:val="0022777D"/>
    <w:rsid w:val="00231EB5"/>
    <w:rsid w:val="00235B85"/>
    <w:rsid w:val="0023711F"/>
    <w:rsid w:val="0024363B"/>
    <w:rsid w:val="00253FFC"/>
    <w:rsid w:val="00264714"/>
    <w:rsid w:val="00264C75"/>
    <w:rsid w:val="00281A49"/>
    <w:rsid w:val="0029466A"/>
    <w:rsid w:val="002A5488"/>
    <w:rsid w:val="002B0B4B"/>
    <w:rsid w:val="002B0E68"/>
    <w:rsid w:val="002B4623"/>
    <w:rsid w:val="002B5306"/>
    <w:rsid w:val="002C4D5E"/>
    <w:rsid w:val="002D293F"/>
    <w:rsid w:val="002D6E8E"/>
    <w:rsid w:val="002E1513"/>
    <w:rsid w:val="002F64BF"/>
    <w:rsid w:val="00303ED4"/>
    <w:rsid w:val="003327A4"/>
    <w:rsid w:val="003367CA"/>
    <w:rsid w:val="00336803"/>
    <w:rsid w:val="00340733"/>
    <w:rsid w:val="00343E11"/>
    <w:rsid w:val="0035022C"/>
    <w:rsid w:val="00360C68"/>
    <w:rsid w:val="00364728"/>
    <w:rsid w:val="00364CD5"/>
    <w:rsid w:val="0037598E"/>
    <w:rsid w:val="0037633E"/>
    <w:rsid w:val="003810A3"/>
    <w:rsid w:val="0038318A"/>
    <w:rsid w:val="00391CDC"/>
    <w:rsid w:val="0039273B"/>
    <w:rsid w:val="003939D2"/>
    <w:rsid w:val="00395995"/>
    <w:rsid w:val="00396DE0"/>
    <w:rsid w:val="003A3307"/>
    <w:rsid w:val="003B47A7"/>
    <w:rsid w:val="003B5995"/>
    <w:rsid w:val="003C0B0D"/>
    <w:rsid w:val="003C61F5"/>
    <w:rsid w:val="003C6BA7"/>
    <w:rsid w:val="003D467F"/>
    <w:rsid w:val="003D5B1B"/>
    <w:rsid w:val="003D7128"/>
    <w:rsid w:val="003D7F2C"/>
    <w:rsid w:val="003E7A77"/>
    <w:rsid w:val="003F44BB"/>
    <w:rsid w:val="003F6482"/>
    <w:rsid w:val="00402832"/>
    <w:rsid w:val="004032E4"/>
    <w:rsid w:val="0041109B"/>
    <w:rsid w:val="00413E0F"/>
    <w:rsid w:val="00420E1D"/>
    <w:rsid w:val="004226D5"/>
    <w:rsid w:val="004246FC"/>
    <w:rsid w:val="004277D7"/>
    <w:rsid w:val="00430D3F"/>
    <w:rsid w:val="00431057"/>
    <w:rsid w:val="00431FAC"/>
    <w:rsid w:val="00437422"/>
    <w:rsid w:val="004401EA"/>
    <w:rsid w:val="00456005"/>
    <w:rsid w:val="00456552"/>
    <w:rsid w:val="00460E5F"/>
    <w:rsid w:val="00467709"/>
    <w:rsid w:val="00477824"/>
    <w:rsid w:val="00484AF8"/>
    <w:rsid w:val="004910C5"/>
    <w:rsid w:val="00491475"/>
    <w:rsid w:val="00491B2F"/>
    <w:rsid w:val="00492CF5"/>
    <w:rsid w:val="00493C1E"/>
    <w:rsid w:val="004B7836"/>
    <w:rsid w:val="004C327F"/>
    <w:rsid w:val="004C5F6D"/>
    <w:rsid w:val="004F0260"/>
    <w:rsid w:val="004F0DA1"/>
    <w:rsid w:val="004F764B"/>
    <w:rsid w:val="005016E6"/>
    <w:rsid w:val="00502054"/>
    <w:rsid w:val="0050412A"/>
    <w:rsid w:val="0050678E"/>
    <w:rsid w:val="00515E12"/>
    <w:rsid w:val="00530DCF"/>
    <w:rsid w:val="0053790E"/>
    <w:rsid w:val="00544162"/>
    <w:rsid w:val="005457D6"/>
    <w:rsid w:val="00557C8D"/>
    <w:rsid w:val="00560492"/>
    <w:rsid w:val="00580250"/>
    <w:rsid w:val="0058246B"/>
    <w:rsid w:val="0058372F"/>
    <w:rsid w:val="00584949"/>
    <w:rsid w:val="005902A7"/>
    <w:rsid w:val="00591F38"/>
    <w:rsid w:val="005B4121"/>
    <w:rsid w:val="005B43A0"/>
    <w:rsid w:val="005B5E6C"/>
    <w:rsid w:val="005B65CA"/>
    <w:rsid w:val="005D0E2E"/>
    <w:rsid w:val="005D1725"/>
    <w:rsid w:val="005D3854"/>
    <w:rsid w:val="005D456F"/>
    <w:rsid w:val="005E7812"/>
    <w:rsid w:val="005F4680"/>
    <w:rsid w:val="005F51CE"/>
    <w:rsid w:val="006025E5"/>
    <w:rsid w:val="00612FC9"/>
    <w:rsid w:val="00614777"/>
    <w:rsid w:val="00616E43"/>
    <w:rsid w:val="0062332A"/>
    <w:rsid w:val="006253FE"/>
    <w:rsid w:val="00631DC3"/>
    <w:rsid w:val="00636998"/>
    <w:rsid w:val="006406D8"/>
    <w:rsid w:val="00651485"/>
    <w:rsid w:val="00654360"/>
    <w:rsid w:val="00654FBC"/>
    <w:rsid w:val="00664BA3"/>
    <w:rsid w:val="00672217"/>
    <w:rsid w:val="00680649"/>
    <w:rsid w:val="00685F29"/>
    <w:rsid w:val="006950E0"/>
    <w:rsid w:val="006A00C7"/>
    <w:rsid w:val="006A1A84"/>
    <w:rsid w:val="006B0179"/>
    <w:rsid w:val="006B0598"/>
    <w:rsid w:val="006B316C"/>
    <w:rsid w:val="006B7DBC"/>
    <w:rsid w:val="006D06E3"/>
    <w:rsid w:val="006D7BD2"/>
    <w:rsid w:val="006F02F7"/>
    <w:rsid w:val="006F1B31"/>
    <w:rsid w:val="00706472"/>
    <w:rsid w:val="00706536"/>
    <w:rsid w:val="00707567"/>
    <w:rsid w:val="00714CCC"/>
    <w:rsid w:val="00721283"/>
    <w:rsid w:val="00723CA1"/>
    <w:rsid w:val="0072444E"/>
    <w:rsid w:val="007252BF"/>
    <w:rsid w:val="00734E52"/>
    <w:rsid w:val="0073591F"/>
    <w:rsid w:val="00746BCC"/>
    <w:rsid w:val="00751161"/>
    <w:rsid w:val="00752017"/>
    <w:rsid w:val="00753519"/>
    <w:rsid w:val="00757CDB"/>
    <w:rsid w:val="00763492"/>
    <w:rsid w:val="00767BF8"/>
    <w:rsid w:val="00770025"/>
    <w:rsid w:val="007762C7"/>
    <w:rsid w:val="00777A45"/>
    <w:rsid w:val="00777C69"/>
    <w:rsid w:val="007A1AA8"/>
    <w:rsid w:val="007B0187"/>
    <w:rsid w:val="007B02FF"/>
    <w:rsid w:val="007B3ACC"/>
    <w:rsid w:val="007B5680"/>
    <w:rsid w:val="007B6675"/>
    <w:rsid w:val="007C3153"/>
    <w:rsid w:val="007C3C38"/>
    <w:rsid w:val="007C70C7"/>
    <w:rsid w:val="007D7E09"/>
    <w:rsid w:val="007E46B1"/>
    <w:rsid w:val="007F443B"/>
    <w:rsid w:val="008001D2"/>
    <w:rsid w:val="008230F0"/>
    <w:rsid w:val="008344EF"/>
    <w:rsid w:val="0084609F"/>
    <w:rsid w:val="00851A74"/>
    <w:rsid w:val="008620EC"/>
    <w:rsid w:val="00862CC3"/>
    <w:rsid w:val="0086464C"/>
    <w:rsid w:val="0087550C"/>
    <w:rsid w:val="00877AF9"/>
    <w:rsid w:val="00881A84"/>
    <w:rsid w:val="0088279C"/>
    <w:rsid w:val="00891A8D"/>
    <w:rsid w:val="008964B6"/>
    <w:rsid w:val="008964D6"/>
    <w:rsid w:val="00897E23"/>
    <w:rsid w:val="008A495C"/>
    <w:rsid w:val="008A4E94"/>
    <w:rsid w:val="008B75C8"/>
    <w:rsid w:val="008C4DE5"/>
    <w:rsid w:val="008C5086"/>
    <w:rsid w:val="008D2A29"/>
    <w:rsid w:val="008D3E9E"/>
    <w:rsid w:val="008E04E0"/>
    <w:rsid w:val="008E0CDD"/>
    <w:rsid w:val="008E1265"/>
    <w:rsid w:val="008E3B56"/>
    <w:rsid w:val="008E4A26"/>
    <w:rsid w:val="008F5EDE"/>
    <w:rsid w:val="008F7FBF"/>
    <w:rsid w:val="00911ADB"/>
    <w:rsid w:val="009137CF"/>
    <w:rsid w:val="00917303"/>
    <w:rsid w:val="0092132D"/>
    <w:rsid w:val="00924280"/>
    <w:rsid w:val="0092536C"/>
    <w:rsid w:val="009352EF"/>
    <w:rsid w:val="00943363"/>
    <w:rsid w:val="009502F0"/>
    <w:rsid w:val="00956142"/>
    <w:rsid w:val="0096122A"/>
    <w:rsid w:val="00962155"/>
    <w:rsid w:val="00967373"/>
    <w:rsid w:val="00967F85"/>
    <w:rsid w:val="0097359C"/>
    <w:rsid w:val="009838B8"/>
    <w:rsid w:val="0098573A"/>
    <w:rsid w:val="00991B97"/>
    <w:rsid w:val="00992673"/>
    <w:rsid w:val="00997121"/>
    <w:rsid w:val="00997C2D"/>
    <w:rsid w:val="009A4D40"/>
    <w:rsid w:val="009A661A"/>
    <w:rsid w:val="009A7DF6"/>
    <w:rsid w:val="009B5CF4"/>
    <w:rsid w:val="009B6B19"/>
    <w:rsid w:val="009D49BC"/>
    <w:rsid w:val="009E448C"/>
    <w:rsid w:val="009F110A"/>
    <w:rsid w:val="009F1F01"/>
    <w:rsid w:val="009F56DA"/>
    <w:rsid w:val="009F5955"/>
    <w:rsid w:val="00A16970"/>
    <w:rsid w:val="00A16DF0"/>
    <w:rsid w:val="00A201FA"/>
    <w:rsid w:val="00A26DF2"/>
    <w:rsid w:val="00A415B6"/>
    <w:rsid w:val="00A45C80"/>
    <w:rsid w:val="00A4633B"/>
    <w:rsid w:val="00A4783D"/>
    <w:rsid w:val="00A54F44"/>
    <w:rsid w:val="00A57CE0"/>
    <w:rsid w:val="00A80DE2"/>
    <w:rsid w:val="00A82468"/>
    <w:rsid w:val="00A82539"/>
    <w:rsid w:val="00A900CC"/>
    <w:rsid w:val="00A900D9"/>
    <w:rsid w:val="00A97255"/>
    <w:rsid w:val="00AA5AE5"/>
    <w:rsid w:val="00AA68EC"/>
    <w:rsid w:val="00AD179E"/>
    <w:rsid w:val="00AD411B"/>
    <w:rsid w:val="00AD6E30"/>
    <w:rsid w:val="00AD7E4C"/>
    <w:rsid w:val="00AE3206"/>
    <w:rsid w:val="00AE380E"/>
    <w:rsid w:val="00AE4B14"/>
    <w:rsid w:val="00AE73EA"/>
    <w:rsid w:val="00B00552"/>
    <w:rsid w:val="00B044EA"/>
    <w:rsid w:val="00B07C17"/>
    <w:rsid w:val="00B1454B"/>
    <w:rsid w:val="00B2320A"/>
    <w:rsid w:val="00B24BBE"/>
    <w:rsid w:val="00B33A02"/>
    <w:rsid w:val="00B346E7"/>
    <w:rsid w:val="00B415A8"/>
    <w:rsid w:val="00B45124"/>
    <w:rsid w:val="00B5221A"/>
    <w:rsid w:val="00B600B1"/>
    <w:rsid w:val="00B61BFF"/>
    <w:rsid w:val="00B640CF"/>
    <w:rsid w:val="00B72DF0"/>
    <w:rsid w:val="00B740D5"/>
    <w:rsid w:val="00B8023E"/>
    <w:rsid w:val="00B87EFA"/>
    <w:rsid w:val="00BA52D2"/>
    <w:rsid w:val="00BB2868"/>
    <w:rsid w:val="00BB7706"/>
    <w:rsid w:val="00BC109C"/>
    <w:rsid w:val="00BC30F0"/>
    <w:rsid w:val="00BF550E"/>
    <w:rsid w:val="00BF7226"/>
    <w:rsid w:val="00C03C52"/>
    <w:rsid w:val="00C05511"/>
    <w:rsid w:val="00C150D0"/>
    <w:rsid w:val="00C240C4"/>
    <w:rsid w:val="00C2446A"/>
    <w:rsid w:val="00C248AB"/>
    <w:rsid w:val="00C254BC"/>
    <w:rsid w:val="00C26631"/>
    <w:rsid w:val="00C32840"/>
    <w:rsid w:val="00C4425D"/>
    <w:rsid w:val="00C44667"/>
    <w:rsid w:val="00C55C86"/>
    <w:rsid w:val="00C745F6"/>
    <w:rsid w:val="00C80B2A"/>
    <w:rsid w:val="00C85BDC"/>
    <w:rsid w:val="00C87E68"/>
    <w:rsid w:val="00C9106F"/>
    <w:rsid w:val="00C93D08"/>
    <w:rsid w:val="00C969BD"/>
    <w:rsid w:val="00CA004B"/>
    <w:rsid w:val="00CC3045"/>
    <w:rsid w:val="00CD08BD"/>
    <w:rsid w:val="00CD6150"/>
    <w:rsid w:val="00CD78CD"/>
    <w:rsid w:val="00CE0752"/>
    <w:rsid w:val="00CE345A"/>
    <w:rsid w:val="00CF3B36"/>
    <w:rsid w:val="00D00BA5"/>
    <w:rsid w:val="00D01AEE"/>
    <w:rsid w:val="00D03B4D"/>
    <w:rsid w:val="00D34CD6"/>
    <w:rsid w:val="00D37FBA"/>
    <w:rsid w:val="00D4032D"/>
    <w:rsid w:val="00D42D92"/>
    <w:rsid w:val="00D434D2"/>
    <w:rsid w:val="00D43C01"/>
    <w:rsid w:val="00D46C0D"/>
    <w:rsid w:val="00D50225"/>
    <w:rsid w:val="00D537E7"/>
    <w:rsid w:val="00D57819"/>
    <w:rsid w:val="00D8564C"/>
    <w:rsid w:val="00D90826"/>
    <w:rsid w:val="00D92AA4"/>
    <w:rsid w:val="00D932EA"/>
    <w:rsid w:val="00D9398F"/>
    <w:rsid w:val="00D94AA5"/>
    <w:rsid w:val="00D9646E"/>
    <w:rsid w:val="00D9650F"/>
    <w:rsid w:val="00D96534"/>
    <w:rsid w:val="00D9726C"/>
    <w:rsid w:val="00DA0225"/>
    <w:rsid w:val="00DA3F93"/>
    <w:rsid w:val="00DA6DC7"/>
    <w:rsid w:val="00DB459A"/>
    <w:rsid w:val="00DC7B31"/>
    <w:rsid w:val="00DD62DD"/>
    <w:rsid w:val="00DD7407"/>
    <w:rsid w:val="00DE0934"/>
    <w:rsid w:val="00DE3805"/>
    <w:rsid w:val="00DF2100"/>
    <w:rsid w:val="00DF436E"/>
    <w:rsid w:val="00DF546B"/>
    <w:rsid w:val="00DF5A67"/>
    <w:rsid w:val="00E023EA"/>
    <w:rsid w:val="00E04CBF"/>
    <w:rsid w:val="00E07BFC"/>
    <w:rsid w:val="00E12084"/>
    <w:rsid w:val="00E12BE8"/>
    <w:rsid w:val="00E20837"/>
    <w:rsid w:val="00E22F3B"/>
    <w:rsid w:val="00E33D59"/>
    <w:rsid w:val="00E447DE"/>
    <w:rsid w:val="00E64234"/>
    <w:rsid w:val="00E65395"/>
    <w:rsid w:val="00E66C0F"/>
    <w:rsid w:val="00E8020D"/>
    <w:rsid w:val="00E80D19"/>
    <w:rsid w:val="00E824AC"/>
    <w:rsid w:val="00E84024"/>
    <w:rsid w:val="00EA18C4"/>
    <w:rsid w:val="00EA4DF6"/>
    <w:rsid w:val="00EA6035"/>
    <w:rsid w:val="00EB10BE"/>
    <w:rsid w:val="00EB250B"/>
    <w:rsid w:val="00EB2EAD"/>
    <w:rsid w:val="00EB2F69"/>
    <w:rsid w:val="00EC0444"/>
    <w:rsid w:val="00EC67BA"/>
    <w:rsid w:val="00EC73D5"/>
    <w:rsid w:val="00ED7FEC"/>
    <w:rsid w:val="00EE1B60"/>
    <w:rsid w:val="00EE4EB4"/>
    <w:rsid w:val="00EE6065"/>
    <w:rsid w:val="00EE62D3"/>
    <w:rsid w:val="00EE737C"/>
    <w:rsid w:val="00EF7507"/>
    <w:rsid w:val="00F0269B"/>
    <w:rsid w:val="00F04115"/>
    <w:rsid w:val="00F06DF9"/>
    <w:rsid w:val="00F1234C"/>
    <w:rsid w:val="00F15CD3"/>
    <w:rsid w:val="00F21A0B"/>
    <w:rsid w:val="00F36660"/>
    <w:rsid w:val="00F37519"/>
    <w:rsid w:val="00F43B29"/>
    <w:rsid w:val="00F56B3C"/>
    <w:rsid w:val="00F618AD"/>
    <w:rsid w:val="00F81C3F"/>
    <w:rsid w:val="00F85CF4"/>
    <w:rsid w:val="00F87188"/>
    <w:rsid w:val="00F95EFB"/>
    <w:rsid w:val="00FA27F3"/>
    <w:rsid w:val="00FA3DF2"/>
    <w:rsid w:val="00FB416D"/>
    <w:rsid w:val="00FC11A1"/>
    <w:rsid w:val="00FE1EBF"/>
    <w:rsid w:val="00FE2DE3"/>
    <w:rsid w:val="00FE5597"/>
    <w:rsid w:val="00FF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83184D9-3F10-4239-88A5-7C2144CED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6A1A84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"/>
    <w:link w:val="Caption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basedOn w:val="Table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link w:val="ListParagraph"/>
    <w:uiPriority w:val="34"/>
    <w:locked/>
    <w:rsid w:val="00AD179E"/>
  </w:style>
  <w:style w:type="character" w:styleId="CommentReference">
    <w:name w:val="annotation reference"/>
    <w:basedOn w:val="DefaultParagraphFont"/>
    <w:unhideWhenUsed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5D6FD-999F-433C-AA63-CE51EA2E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1068</Words>
  <Characters>6094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7148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Mehdi Alasti</cp:lastModifiedBy>
  <cp:revision>6</cp:revision>
  <cp:lastPrinted>2016-11-04T10:26:00Z</cp:lastPrinted>
  <dcterms:created xsi:type="dcterms:W3CDTF">2017-01-09T14:48:00Z</dcterms:created>
  <dcterms:modified xsi:type="dcterms:W3CDTF">2017-01-09T19:49:00Z</dcterms:modified>
</cp:coreProperties>
</file>