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A0CC4" w14:textId="728B742C" w:rsidR="00407725" w:rsidRPr="00446F9D" w:rsidRDefault="00407725" w:rsidP="00407725">
      <w:pPr>
        <w:pStyle w:val="Header"/>
        <w:tabs>
          <w:tab w:val="clear" w:pos="4536"/>
        </w:tabs>
        <w:rPr>
          <w:i/>
        </w:rPr>
      </w:pPr>
      <w:r w:rsidRPr="005C575B">
        <w:t>3GPP TSG RAN WG1 AH_NR Meeting</w:t>
      </w:r>
      <w:r w:rsidRPr="00A8199B" w:rsidDel="005C575B">
        <w:t xml:space="preserve"> </w:t>
      </w:r>
      <w:r w:rsidRPr="00446F9D">
        <w:tab/>
      </w:r>
      <w:r w:rsidR="008625B7" w:rsidRPr="008625B7">
        <w:t>R1-1700697</w:t>
      </w:r>
    </w:p>
    <w:p w14:paraId="288C0066" w14:textId="53BDB49A" w:rsidR="00F618ED" w:rsidRDefault="00407725" w:rsidP="00407725">
      <w:pPr>
        <w:pStyle w:val="Header"/>
      </w:pPr>
      <w:r w:rsidRPr="007E365D">
        <w:t>Spokane</w:t>
      </w:r>
      <w:r w:rsidRPr="00630F42">
        <w:t xml:space="preserve">, </w:t>
      </w:r>
      <w:r w:rsidRPr="007E365D">
        <w:t>Washington</w:t>
      </w:r>
      <w:r>
        <w:t>,</w:t>
      </w:r>
      <w:r w:rsidRPr="00630F42">
        <w:t xml:space="preserve"> US</w:t>
      </w:r>
      <w:r w:rsidRPr="000833FA">
        <w:t>,</w:t>
      </w:r>
      <w:r>
        <w:t xml:space="preserve"> January 16 – 20,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35DD6FD7" w:rsidR="00F618ED" w:rsidRPr="00E220C0" w:rsidRDefault="00F618ED" w:rsidP="00F618ED">
      <w:pPr>
        <w:pStyle w:val="Header"/>
        <w:tabs>
          <w:tab w:val="clear" w:pos="4536"/>
          <w:tab w:val="left" w:pos="1800"/>
        </w:tabs>
      </w:pPr>
      <w:r w:rsidRPr="0003368D">
        <w:t>Title:</w:t>
      </w:r>
      <w:bookmarkStart w:id="0" w:name="Title"/>
      <w:bookmarkEnd w:id="0"/>
      <w:r w:rsidRPr="0003368D">
        <w:tab/>
      </w:r>
      <w:r w:rsidR="00B97DE2">
        <w:t xml:space="preserve">On </w:t>
      </w:r>
      <w:r w:rsidR="00B97DE2">
        <w:rPr>
          <w:rFonts w:hint="eastAsia"/>
          <w:lang w:eastAsia="ja-JP"/>
        </w:rPr>
        <w:t>w</w:t>
      </w:r>
      <w:r w:rsidR="00B97DE2" w:rsidRPr="008929B4">
        <w:rPr>
          <w:rFonts w:hint="eastAsia"/>
          <w:lang w:eastAsia="ja-JP"/>
        </w:rPr>
        <w:t>ider bandwidth operations</w:t>
      </w:r>
    </w:p>
    <w:p w14:paraId="0DB675C4" w14:textId="44924CAF" w:rsidR="00F618ED" w:rsidRPr="00E220C0" w:rsidRDefault="00F618ED" w:rsidP="00F618ED">
      <w:pPr>
        <w:pStyle w:val="Header"/>
        <w:tabs>
          <w:tab w:val="left" w:pos="1800"/>
        </w:tabs>
      </w:pPr>
      <w:r w:rsidRPr="00E220C0">
        <w:t>Agenda Item:</w:t>
      </w:r>
      <w:bookmarkStart w:id="1" w:name="Source"/>
      <w:bookmarkEnd w:id="1"/>
      <w:r w:rsidRPr="00E220C0">
        <w:tab/>
      </w:r>
      <w:r w:rsidR="00B97DE2">
        <w:t>5.1.8</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C4198EF" w14:textId="77777777" w:rsidR="00CC3994" w:rsidRDefault="00CC3994" w:rsidP="0022072F">
      <w:pPr>
        <w:pStyle w:val="BodyText"/>
      </w:pPr>
      <w:r>
        <w:t>In RAN1 #87 the following was agreed:</w:t>
      </w:r>
    </w:p>
    <w:p w14:paraId="066437BF" w14:textId="77777777" w:rsidR="00CC3994" w:rsidRPr="00CC3994" w:rsidRDefault="00CC3994" w:rsidP="00CC3994">
      <w:pPr>
        <w:ind w:left="1080"/>
        <w:rPr>
          <w:rFonts w:eastAsia="MS Mincho"/>
          <w:b/>
          <w:szCs w:val="20"/>
          <w:u w:val="single"/>
          <w:lang w:eastAsia="ja-JP"/>
        </w:rPr>
      </w:pPr>
      <w:r w:rsidRPr="00CC3994">
        <w:rPr>
          <w:rFonts w:eastAsia="MS Mincho"/>
          <w:b/>
          <w:szCs w:val="20"/>
          <w:highlight w:val="green"/>
          <w:u w:val="single"/>
          <w:lang w:eastAsia="ja-JP"/>
        </w:rPr>
        <w:t>Agreements:</w:t>
      </w:r>
    </w:p>
    <w:p w14:paraId="4DBB45B2" w14:textId="77777777" w:rsidR="00CC3994" w:rsidRPr="00CC3994" w:rsidRDefault="00CC3994" w:rsidP="00CC3994">
      <w:pPr>
        <w:pStyle w:val="BodyText"/>
        <w:numPr>
          <w:ilvl w:val="0"/>
          <w:numId w:val="27"/>
        </w:numPr>
        <w:ind w:left="1800"/>
        <w:rPr>
          <w:szCs w:val="20"/>
        </w:rPr>
      </w:pPr>
      <w:r w:rsidRPr="00CC3994">
        <w:rPr>
          <w:szCs w:val="20"/>
        </w:rPr>
        <w:t>NR should provide support for carrier aggregation, including different carriers having same or different numerologies.</w:t>
      </w:r>
    </w:p>
    <w:p w14:paraId="599DFDD8" w14:textId="77777777" w:rsidR="00CC3994" w:rsidRPr="002450DE" w:rsidRDefault="00CC3994" w:rsidP="00CC3994">
      <w:pPr>
        <w:ind w:left="1080"/>
        <w:rPr>
          <w:rFonts w:eastAsia="MS Mincho"/>
          <w:b/>
          <w:u w:val="single"/>
          <w:lang w:eastAsia="ja-JP"/>
        </w:rPr>
      </w:pPr>
      <w:r w:rsidRPr="00492067">
        <w:rPr>
          <w:rFonts w:eastAsia="MS Mincho" w:hint="eastAsia"/>
          <w:b/>
          <w:highlight w:val="green"/>
          <w:u w:val="single"/>
          <w:lang w:eastAsia="ja-JP"/>
        </w:rPr>
        <w:t>Agreements:</w:t>
      </w:r>
    </w:p>
    <w:p w14:paraId="1D202009" w14:textId="1FAB8DFA" w:rsidR="00CC3994" w:rsidRPr="0002634D" w:rsidRDefault="00CC3994" w:rsidP="00CC3994">
      <w:pPr>
        <w:numPr>
          <w:ilvl w:val="0"/>
          <w:numId w:val="28"/>
        </w:numPr>
        <w:tabs>
          <w:tab w:val="clear" w:pos="360"/>
          <w:tab w:val="num" w:pos="1440"/>
        </w:tabs>
        <w:ind w:left="1440"/>
        <w:rPr>
          <w:rFonts w:eastAsia="MS Mincho"/>
          <w:lang w:eastAsia="ja-JP"/>
        </w:rPr>
      </w:pPr>
      <w:r w:rsidRPr="0002634D">
        <w:rPr>
          <w:rFonts w:eastAsia="MS Mincho"/>
          <w:bCs/>
          <w:iCs/>
          <w:lang w:eastAsia="ja-JP"/>
        </w:rPr>
        <w:t xml:space="preserve">For phase 1, carrier aggregation/dual connectivity operation </w:t>
      </w:r>
      <w:r>
        <w:rPr>
          <w:rFonts w:eastAsia="MS Mincho" w:hint="eastAsia"/>
          <w:bCs/>
          <w:iCs/>
          <w:lang w:eastAsia="ja-JP"/>
        </w:rPr>
        <w:t xml:space="preserve">within NR carriers </w:t>
      </w:r>
      <w:r w:rsidRPr="0002634D">
        <w:rPr>
          <w:rFonts w:eastAsia="MS Mincho"/>
          <w:bCs/>
          <w:iCs/>
          <w:lang w:eastAsia="ja-JP"/>
        </w:rPr>
        <w:t xml:space="preserve">over e.g. </w:t>
      </w:r>
      <w:r w:rsidR="00DC6A18">
        <w:rPr>
          <w:rFonts w:eastAsia="MS Mincho"/>
          <w:bCs/>
          <w:iCs/>
          <w:lang w:eastAsia="ja-JP"/>
        </w:rPr>
        <w:t>around 1GHz contiguous and non-</w:t>
      </w:r>
      <w:r w:rsidRPr="0002634D">
        <w:rPr>
          <w:rFonts w:eastAsia="MS Mincho"/>
          <w:bCs/>
          <w:iCs/>
          <w:lang w:eastAsia="ja-JP"/>
        </w:rPr>
        <w:t>contiguous spectrum from both NW and UE perspectives is supported</w:t>
      </w:r>
    </w:p>
    <w:p w14:paraId="7479C791" w14:textId="77777777" w:rsidR="00CC3994" w:rsidRDefault="00CC3994" w:rsidP="00CC3994">
      <w:pPr>
        <w:numPr>
          <w:ilvl w:val="1"/>
          <w:numId w:val="28"/>
        </w:numPr>
        <w:tabs>
          <w:tab w:val="clear" w:pos="1080"/>
          <w:tab w:val="num" w:pos="2160"/>
        </w:tabs>
        <w:ind w:left="2160"/>
        <w:rPr>
          <w:rFonts w:eastAsia="MS Mincho"/>
          <w:lang w:eastAsia="ja-JP"/>
        </w:rPr>
      </w:pPr>
      <w:r>
        <w:rPr>
          <w:rFonts w:eastAsia="MS Mincho" w:hint="eastAsia"/>
          <w:lang w:eastAsia="ja-JP"/>
        </w:rPr>
        <w:t>[4 - 32] should be assumed for further study of the maximum number of NR carriers</w:t>
      </w:r>
    </w:p>
    <w:p w14:paraId="7EE9FEC2" w14:textId="77777777" w:rsidR="00CC3994" w:rsidRDefault="00CC3994" w:rsidP="00CC3994">
      <w:pPr>
        <w:numPr>
          <w:ilvl w:val="2"/>
          <w:numId w:val="28"/>
        </w:numPr>
        <w:tabs>
          <w:tab w:val="clear" w:pos="1800"/>
          <w:tab w:val="num" w:pos="2880"/>
        </w:tabs>
        <w:ind w:left="2880"/>
        <w:rPr>
          <w:rFonts w:eastAsia="MS Mincho"/>
          <w:lang w:eastAsia="ja-JP"/>
        </w:rPr>
      </w:pPr>
      <w:r>
        <w:rPr>
          <w:rFonts w:eastAsia="MS Mincho" w:hint="eastAsia"/>
          <w:lang w:eastAsia="ja-JP"/>
        </w:rPr>
        <w:t>RAN1 will try to decide the exact number in this week</w:t>
      </w:r>
    </w:p>
    <w:p w14:paraId="71DF46B2" w14:textId="77777777" w:rsidR="00CC3994" w:rsidRPr="0002634D" w:rsidRDefault="00CC3994" w:rsidP="00CC3994">
      <w:pPr>
        <w:numPr>
          <w:ilvl w:val="1"/>
          <w:numId w:val="28"/>
        </w:numPr>
        <w:tabs>
          <w:tab w:val="clear" w:pos="1080"/>
          <w:tab w:val="num" w:pos="2160"/>
        </w:tabs>
        <w:ind w:left="2160"/>
        <w:rPr>
          <w:rFonts w:eastAsia="MS Mincho"/>
          <w:lang w:eastAsia="ja-JP"/>
        </w:rPr>
      </w:pPr>
      <w:r w:rsidRPr="0002634D">
        <w:rPr>
          <w:rFonts w:eastAsia="MS Mincho"/>
          <w:bCs/>
          <w:iCs/>
          <w:lang w:eastAsia="ja-JP"/>
        </w:rPr>
        <w:t>Cross-carrier scheduling and joint UCI feedback are supported</w:t>
      </w:r>
    </w:p>
    <w:p w14:paraId="5E770CA2" w14:textId="77777777" w:rsidR="00CC3994" w:rsidRPr="00CC3994" w:rsidRDefault="00CC3994" w:rsidP="00CC3994">
      <w:pPr>
        <w:numPr>
          <w:ilvl w:val="1"/>
          <w:numId w:val="28"/>
        </w:numPr>
        <w:tabs>
          <w:tab w:val="clear" w:pos="1080"/>
          <w:tab w:val="num" w:pos="2160"/>
        </w:tabs>
        <w:ind w:left="2160"/>
      </w:pPr>
      <w:r w:rsidRPr="00CC3994">
        <w:rPr>
          <w:rFonts w:eastAsia="MS Mincho"/>
          <w:bCs/>
          <w:iCs/>
          <w:lang w:eastAsia="ja-JP"/>
        </w:rPr>
        <w:t>Per-carrier TB mapping is supported</w:t>
      </w:r>
    </w:p>
    <w:p w14:paraId="307F088B" w14:textId="51C06F34" w:rsidR="00A057EA" w:rsidRDefault="00CC3994" w:rsidP="00CC3994">
      <w:pPr>
        <w:numPr>
          <w:ilvl w:val="1"/>
          <w:numId w:val="28"/>
        </w:numPr>
        <w:tabs>
          <w:tab w:val="clear" w:pos="1080"/>
          <w:tab w:val="num" w:pos="2160"/>
        </w:tabs>
        <w:ind w:left="2160"/>
      </w:pPr>
      <w:r w:rsidRPr="00CC3994">
        <w:rPr>
          <w:rFonts w:eastAsia="MS Mincho"/>
          <w:bCs/>
          <w:iCs/>
          <w:lang w:eastAsia="ja-JP"/>
        </w:rPr>
        <w:t>FFS TB mapping across multiple carriers</w:t>
      </w:r>
    </w:p>
    <w:p w14:paraId="2BC60DCE" w14:textId="77777777" w:rsidR="004E08BF" w:rsidRDefault="004E08BF" w:rsidP="0022072F">
      <w:pPr>
        <w:pStyle w:val="BodyText"/>
      </w:pPr>
    </w:p>
    <w:p w14:paraId="00648533" w14:textId="775C5216" w:rsidR="00CC3994" w:rsidRPr="0022072F" w:rsidRDefault="00CC3994" w:rsidP="0022072F">
      <w:pPr>
        <w:pStyle w:val="BodyText"/>
      </w:pPr>
      <w:r>
        <w:t xml:space="preserve">In this contribution we continue the discussion on </w:t>
      </w:r>
      <w:r w:rsidR="00DC6A18">
        <w:t>CA support in general.</w:t>
      </w:r>
    </w:p>
    <w:p w14:paraId="635F5223" w14:textId="2D83E804" w:rsidR="004B1C8B" w:rsidRDefault="00230310" w:rsidP="00230310">
      <w:pPr>
        <w:pStyle w:val="Heading1"/>
        <w:spacing w:before="180"/>
        <w:ind w:left="562" w:hanging="562"/>
      </w:pPr>
      <w:r>
        <w:t>Discussion</w:t>
      </w:r>
    </w:p>
    <w:p w14:paraId="27815C13" w14:textId="1FCD49D6" w:rsidR="00DC6A18" w:rsidRDefault="00DC6A18" w:rsidP="00A96D77">
      <w:pPr>
        <w:pStyle w:val="BodyText"/>
      </w:pPr>
      <w:r>
        <w:t>CA and dual connectivity design are centric design in the framework of NR and consequently should be considered in the design from the beginning. Most of the detailed design work will be designing the control channel aspects, sc</w:t>
      </w:r>
      <w:r w:rsidR="00133560">
        <w:t>heduling and power control. Hence, the</w:t>
      </w:r>
      <w:r>
        <w:t xml:space="preserve"> design details should be considered within each specific </w:t>
      </w:r>
      <w:r w:rsidR="00133560">
        <w:t>area</w:t>
      </w:r>
      <w:r>
        <w:t>.</w:t>
      </w:r>
    </w:p>
    <w:p w14:paraId="014309EE" w14:textId="7362F3FB" w:rsidR="00DC6A18" w:rsidRPr="00DC6A18" w:rsidRDefault="00DC6A18" w:rsidP="00DC6A18">
      <w:pPr>
        <w:pStyle w:val="BodyText"/>
        <w:rPr>
          <w:b/>
        </w:rPr>
      </w:pPr>
      <w:r w:rsidRPr="00DC6A18">
        <w:rPr>
          <w:b/>
        </w:rPr>
        <w:t>Proposal</w:t>
      </w:r>
    </w:p>
    <w:p w14:paraId="6133DE21" w14:textId="7CEF839B" w:rsidR="00DC6A18" w:rsidRDefault="00DC6A18" w:rsidP="00DC6A18">
      <w:pPr>
        <w:pStyle w:val="BodyText"/>
        <w:numPr>
          <w:ilvl w:val="0"/>
          <w:numId w:val="30"/>
        </w:numPr>
      </w:pPr>
      <w:r>
        <w:t xml:space="preserve">CA and dual connectivity design aspect should be mainly considering within each area of design, e.g. control channel, power control, … </w:t>
      </w:r>
    </w:p>
    <w:p w14:paraId="0B98C467" w14:textId="0BEA988A" w:rsidR="00DC6A18" w:rsidRDefault="00DC6A18" w:rsidP="00DC6A18">
      <w:pPr>
        <w:pStyle w:val="BodyText"/>
      </w:pPr>
      <w:r>
        <w:t xml:space="preserve">A generic part that is good to determine is the number of supported carriers as this will affect the design in many places following in the details, for example in the control channel design. At RAN1 #87 a range between 4 and 32 </w:t>
      </w:r>
      <w:r w:rsidR="00133560">
        <w:t xml:space="preserve">of the maximum supported number of </w:t>
      </w:r>
      <w:r>
        <w:t xml:space="preserve">carriers was highlighted. </w:t>
      </w:r>
      <w:r w:rsidR="00133560">
        <w:t xml:space="preserve">From a physical layer point a view it would be good if the design early on is generic enough so that it does not need to be </w:t>
      </w:r>
      <w:r>
        <w:t xml:space="preserve">incrementally </w:t>
      </w:r>
      <w:r w:rsidR="00133560">
        <w:t xml:space="preserve">added on to later on. </w:t>
      </w:r>
      <w:r w:rsidR="00F31D53">
        <w:t xml:space="preserve">At the same time, we should consider not to over design either. </w:t>
      </w:r>
      <w:r>
        <w:t xml:space="preserve">Based on such an approach </w:t>
      </w:r>
      <w:r w:rsidR="00F31D53">
        <w:t xml:space="preserve">a value in-between would be good that would allow for good support for the foreseeable future. </w:t>
      </w:r>
    </w:p>
    <w:p w14:paraId="2F57A691" w14:textId="1E66B30F" w:rsidR="00DC6A18" w:rsidRDefault="00DC6A18" w:rsidP="00DC6A18">
      <w:pPr>
        <w:pStyle w:val="BodyText"/>
        <w:rPr>
          <w:b/>
        </w:rPr>
      </w:pPr>
      <w:r w:rsidRPr="00DC6A18">
        <w:rPr>
          <w:b/>
        </w:rPr>
        <w:t>Proposal</w:t>
      </w:r>
    </w:p>
    <w:p w14:paraId="64F00E4E" w14:textId="5085466B" w:rsidR="00DC6A18" w:rsidRPr="00DC6A18" w:rsidRDefault="00F31D53" w:rsidP="00DC6A18">
      <w:pPr>
        <w:pStyle w:val="BodyText"/>
        <w:numPr>
          <w:ilvl w:val="0"/>
          <w:numId w:val="30"/>
        </w:numPr>
        <w:rPr>
          <w:b/>
        </w:rPr>
      </w:pPr>
      <w:r>
        <w:rPr>
          <w:lang w:eastAsia="ja-JP"/>
        </w:rPr>
        <w:t>16</w:t>
      </w:r>
      <w:r w:rsidR="00DC6A18">
        <w:rPr>
          <w:rFonts w:hint="eastAsia"/>
          <w:lang w:eastAsia="ja-JP"/>
        </w:rPr>
        <w:t xml:space="preserve"> should be assumed for further study of the maximum number of NR carriers</w:t>
      </w:r>
    </w:p>
    <w:p w14:paraId="464C1FE7" w14:textId="2C8894CA" w:rsidR="00DC6A18" w:rsidRDefault="004E08BF" w:rsidP="00A96D77">
      <w:pPr>
        <w:pStyle w:val="BodyText"/>
      </w:pPr>
      <w:r>
        <w:t xml:space="preserve">The second aspect that was left open from last RAN1 meeting was whether </w:t>
      </w:r>
      <w:r w:rsidR="00DC6A18" w:rsidRPr="00CC3994">
        <w:rPr>
          <w:bCs/>
          <w:iCs/>
          <w:lang w:eastAsia="ja-JP"/>
        </w:rPr>
        <w:t>TB mapping across multiple carriers</w:t>
      </w:r>
      <w:r>
        <w:rPr>
          <w:bCs/>
          <w:iCs/>
          <w:lang w:eastAsia="ja-JP"/>
        </w:rPr>
        <w:t xml:space="preserve">. </w:t>
      </w:r>
      <w:r w:rsidR="00F31D53">
        <w:rPr>
          <w:bCs/>
          <w:iCs/>
          <w:lang w:eastAsia="ja-JP"/>
        </w:rPr>
        <w:t xml:space="preserve">From a generic perspective it cannot be ensured that the block error rate will be the same on multiple aggregated carriers and this was one of the design aspects considered within LTE. Correspondingly it would be preferred if the TBs are not mapped across multiple carriers. </w:t>
      </w:r>
    </w:p>
    <w:p w14:paraId="0D531144" w14:textId="59B3C5C7" w:rsidR="00DC6A18" w:rsidRPr="004E08BF" w:rsidRDefault="004E08BF" w:rsidP="00A96D77">
      <w:pPr>
        <w:pStyle w:val="BodyText"/>
        <w:rPr>
          <w:b/>
        </w:rPr>
      </w:pPr>
      <w:r w:rsidRPr="004E08BF">
        <w:rPr>
          <w:b/>
        </w:rPr>
        <w:t>Proposal</w:t>
      </w:r>
    </w:p>
    <w:p w14:paraId="4FE27051" w14:textId="02A3D272" w:rsidR="00DC6A18" w:rsidRPr="004E08BF" w:rsidRDefault="004E08BF" w:rsidP="004E08BF">
      <w:pPr>
        <w:pStyle w:val="BodyText"/>
        <w:numPr>
          <w:ilvl w:val="0"/>
          <w:numId w:val="30"/>
        </w:numPr>
      </w:pPr>
      <w:r w:rsidRPr="00CC3994">
        <w:rPr>
          <w:bCs/>
          <w:iCs/>
          <w:lang w:eastAsia="ja-JP"/>
        </w:rPr>
        <w:t xml:space="preserve">TB </w:t>
      </w:r>
      <w:r w:rsidR="00F31D53">
        <w:rPr>
          <w:bCs/>
          <w:iCs/>
          <w:lang w:eastAsia="ja-JP"/>
        </w:rPr>
        <w:t xml:space="preserve">are not </w:t>
      </w:r>
      <w:r w:rsidRPr="00CC3994">
        <w:rPr>
          <w:bCs/>
          <w:iCs/>
          <w:lang w:eastAsia="ja-JP"/>
        </w:rPr>
        <w:t>mapp</w:t>
      </w:r>
      <w:r w:rsidR="00F31D53">
        <w:rPr>
          <w:bCs/>
          <w:iCs/>
          <w:lang w:eastAsia="ja-JP"/>
        </w:rPr>
        <w:t>ed</w:t>
      </w:r>
      <w:r w:rsidRPr="00CC3994">
        <w:rPr>
          <w:bCs/>
          <w:iCs/>
          <w:lang w:eastAsia="ja-JP"/>
        </w:rPr>
        <w:t xml:space="preserve"> across multiple carriers</w:t>
      </w:r>
    </w:p>
    <w:p w14:paraId="6C34731C" w14:textId="7EA8DFB1" w:rsidR="00DA7D33" w:rsidRDefault="00DA7D33" w:rsidP="00DA7D33">
      <w:pPr>
        <w:pStyle w:val="Heading1"/>
        <w:spacing w:before="180"/>
        <w:ind w:left="562" w:hanging="562"/>
      </w:pPr>
      <w:r>
        <w:t>Conclusion</w:t>
      </w:r>
    </w:p>
    <w:p w14:paraId="1786FB39" w14:textId="174244A9" w:rsidR="004A5A0F" w:rsidRDefault="004E08BF" w:rsidP="004E08BF">
      <w:pPr>
        <w:pStyle w:val="BodyText"/>
      </w:pPr>
      <w:r w:rsidRPr="004E08BF">
        <w:t xml:space="preserve">In this </w:t>
      </w:r>
      <w:r>
        <w:t>contribution we have discussed aspects related to carrier aggregation and dual connectivity and propose the following:</w:t>
      </w:r>
    </w:p>
    <w:p w14:paraId="6450D492" w14:textId="4232ED00" w:rsidR="004E08BF" w:rsidRDefault="004E08BF" w:rsidP="004E08BF">
      <w:pPr>
        <w:pStyle w:val="BodyText"/>
        <w:numPr>
          <w:ilvl w:val="0"/>
          <w:numId w:val="30"/>
        </w:numPr>
      </w:pPr>
      <w:r>
        <w:lastRenderedPageBreak/>
        <w:t>CA and dual connectivity design aspect should be mainly considering within each area of design, e.g. control channel, power control, …</w:t>
      </w:r>
    </w:p>
    <w:p w14:paraId="36BB0353" w14:textId="1ECC99B5" w:rsidR="004E08BF" w:rsidRDefault="00F31D53" w:rsidP="004E08BF">
      <w:pPr>
        <w:pStyle w:val="BodyText"/>
        <w:numPr>
          <w:ilvl w:val="0"/>
          <w:numId w:val="30"/>
        </w:numPr>
        <w:rPr>
          <w:lang w:eastAsia="ja-JP"/>
        </w:rPr>
      </w:pPr>
      <w:r>
        <w:rPr>
          <w:lang w:eastAsia="ja-JP"/>
        </w:rPr>
        <w:t>16</w:t>
      </w:r>
      <w:r w:rsidR="004E08BF">
        <w:rPr>
          <w:rFonts w:hint="eastAsia"/>
          <w:lang w:eastAsia="ja-JP"/>
        </w:rPr>
        <w:t xml:space="preserve"> should be assumed for further study of the maximum number of NR carriers</w:t>
      </w:r>
    </w:p>
    <w:p w14:paraId="2FC82977" w14:textId="0A8799C6" w:rsidR="004E08BF" w:rsidRPr="004E08BF" w:rsidRDefault="00F31D53" w:rsidP="004E08BF">
      <w:pPr>
        <w:pStyle w:val="BodyText"/>
        <w:numPr>
          <w:ilvl w:val="0"/>
          <w:numId w:val="30"/>
        </w:numPr>
      </w:pPr>
      <w:r w:rsidRPr="00CC3994">
        <w:rPr>
          <w:bCs/>
          <w:iCs/>
          <w:lang w:eastAsia="ja-JP"/>
        </w:rPr>
        <w:t xml:space="preserve">TB </w:t>
      </w:r>
      <w:r>
        <w:rPr>
          <w:bCs/>
          <w:iCs/>
          <w:lang w:eastAsia="ja-JP"/>
        </w:rPr>
        <w:t xml:space="preserve">are not </w:t>
      </w:r>
      <w:r w:rsidRPr="00CC3994">
        <w:rPr>
          <w:bCs/>
          <w:iCs/>
          <w:lang w:eastAsia="ja-JP"/>
        </w:rPr>
        <w:t>mapp</w:t>
      </w:r>
      <w:r>
        <w:rPr>
          <w:bCs/>
          <w:iCs/>
          <w:lang w:eastAsia="ja-JP"/>
        </w:rPr>
        <w:t>ed</w:t>
      </w:r>
      <w:r w:rsidRPr="00CC3994">
        <w:rPr>
          <w:bCs/>
          <w:iCs/>
          <w:lang w:eastAsia="ja-JP"/>
        </w:rPr>
        <w:t xml:space="preserve"> across multiple carriers</w:t>
      </w:r>
      <w:bookmarkStart w:id="3" w:name="_GoBack"/>
      <w:bookmarkEnd w:id="3"/>
    </w:p>
    <w:sectPr w:rsidR="004E08BF" w:rsidRPr="004E08B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A0F55"/>
    <w:multiLevelType w:val="hybridMultilevel"/>
    <w:tmpl w:val="C85CF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660"/>
    <w:multiLevelType w:val="hybridMultilevel"/>
    <w:tmpl w:val="D82236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2"/>
  </w:num>
  <w:num w:numId="4">
    <w:abstractNumId w:val="26"/>
  </w:num>
  <w:num w:numId="5">
    <w:abstractNumId w:val="23"/>
  </w:num>
  <w:num w:numId="6">
    <w:abstractNumId w:val="20"/>
  </w:num>
  <w:num w:numId="7">
    <w:abstractNumId w:val="25"/>
  </w:num>
  <w:num w:numId="8">
    <w:abstractNumId w:val="24"/>
  </w:num>
  <w:num w:numId="9">
    <w:abstractNumId w:val="11"/>
  </w:num>
  <w:num w:numId="10">
    <w:abstractNumId w:val="5"/>
  </w:num>
  <w:num w:numId="11">
    <w:abstractNumId w:val="18"/>
  </w:num>
  <w:num w:numId="12">
    <w:abstractNumId w:val="27"/>
  </w:num>
  <w:num w:numId="13">
    <w:abstractNumId w:val="4"/>
  </w:num>
  <w:num w:numId="14">
    <w:abstractNumId w:val="6"/>
  </w:num>
  <w:num w:numId="15">
    <w:abstractNumId w:val="14"/>
  </w:num>
  <w:num w:numId="16">
    <w:abstractNumId w:val="7"/>
  </w:num>
  <w:num w:numId="17">
    <w:abstractNumId w:val="26"/>
  </w:num>
  <w:num w:numId="18">
    <w:abstractNumId w:val="17"/>
  </w:num>
  <w:num w:numId="19">
    <w:abstractNumId w:val="21"/>
  </w:num>
  <w:num w:numId="20">
    <w:abstractNumId w:val="10"/>
  </w:num>
  <w:num w:numId="21">
    <w:abstractNumId w:val="9"/>
  </w:num>
  <w:num w:numId="22">
    <w:abstractNumId w:val="22"/>
  </w:num>
  <w:num w:numId="23">
    <w:abstractNumId w:val="13"/>
  </w:num>
  <w:num w:numId="24">
    <w:abstractNumId w:val="12"/>
  </w:num>
  <w:num w:numId="25">
    <w:abstractNumId w:val="15"/>
  </w:num>
  <w:num w:numId="26">
    <w:abstractNumId w:val="19"/>
  </w:num>
  <w:num w:numId="27">
    <w:abstractNumId w:val="3"/>
  </w:num>
  <w:num w:numId="28">
    <w:abstractNumId w:val="0"/>
  </w:num>
  <w:num w:numId="29">
    <w:abstractNumId w:val="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93FC4"/>
    <w:rsid w:val="00106ABF"/>
    <w:rsid w:val="00133560"/>
    <w:rsid w:val="001B243C"/>
    <w:rsid w:val="001F0CAF"/>
    <w:rsid w:val="00213303"/>
    <w:rsid w:val="0022072F"/>
    <w:rsid w:val="00230310"/>
    <w:rsid w:val="00247FAB"/>
    <w:rsid w:val="0028065B"/>
    <w:rsid w:val="00286B6D"/>
    <w:rsid w:val="002E444B"/>
    <w:rsid w:val="0034475B"/>
    <w:rsid w:val="003F33ED"/>
    <w:rsid w:val="00407725"/>
    <w:rsid w:val="00434CD6"/>
    <w:rsid w:val="0048093F"/>
    <w:rsid w:val="0049799A"/>
    <w:rsid w:val="004A5A0F"/>
    <w:rsid w:val="004B1C8B"/>
    <w:rsid w:val="004E08BF"/>
    <w:rsid w:val="0052140E"/>
    <w:rsid w:val="00546EB1"/>
    <w:rsid w:val="005514B5"/>
    <w:rsid w:val="005838EA"/>
    <w:rsid w:val="00627565"/>
    <w:rsid w:val="00655332"/>
    <w:rsid w:val="006A286A"/>
    <w:rsid w:val="006B1453"/>
    <w:rsid w:val="006B481E"/>
    <w:rsid w:val="006D4A4B"/>
    <w:rsid w:val="007059CD"/>
    <w:rsid w:val="007C7533"/>
    <w:rsid w:val="00813D98"/>
    <w:rsid w:val="008625B7"/>
    <w:rsid w:val="008A0342"/>
    <w:rsid w:val="008D5332"/>
    <w:rsid w:val="00916E30"/>
    <w:rsid w:val="00924E96"/>
    <w:rsid w:val="00942F98"/>
    <w:rsid w:val="009867D7"/>
    <w:rsid w:val="009A0611"/>
    <w:rsid w:val="009E46CD"/>
    <w:rsid w:val="00A057EA"/>
    <w:rsid w:val="00A96D77"/>
    <w:rsid w:val="00AC1F7D"/>
    <w:rsid w:val="00B03ED8"/>
    <w:rsid w:val="00B368D9"/>
    <w:rsid w:val="00B97DE2"/>
    <w:rsid w:val="00BA4CC0"/>
    <w:rsid w:val="00BB2430"/>
    <w:rsid w:val="00BB7B54"/>
    <w:rsid w:val="00BC0FFC"/>
    <w:rsid w:val="00BE4063"/>
    <w:rsid w:val="00C1560A"/>
    <w:rsid w:val="00C62894"/>
    <w:rsid w:val="00C8496C"/>
    <w:rsid w:val="00CA5E5D"/>
    <w:rsid w:val="00CB3C3F"/>
    <w:rsid w:val="00CB5A40"/>
    <w:rsid w:val="00CC1CA7"/>
    <w:rsid w:val="00CC260C"/>
    <w:rsid w:val="00CC3994"/>
    <w:rsid w:val="00CE6CB0"/>
    <w:rsid w:val="00D03072"/>
    <w:rsid w:val="00D03E47"/>
    <w:rsid w:val="00D577BB"/>
    <w:rsid w:val="00D84D5E"/>
    <w:rsid w:val="00DA7D33"/>
    <w:rsid w:val="00DB6F36"/>
    <w:rsid w:val="00DC6A18"/>
    <w:rsid w:val="00DD11CB"/>
    <w:rsid w:val="00DE0D8A"/>
    <w:rsid w:val="00DE1BAA"/>
    <w:rsid w:val="00E10C1F"/>
    <w:rsid w:val="00E20E32"/>
    <w:rsid w:val="00EB26FB"/>
    <w:rsid w:val="00EC06DD"/>
    <w:rsid w:val="00F31D53"/>
    <w:rsid w:val="00F33C5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customStyle="1" w:styleId="TdocHeader1">
    <w:name w:val="Tdoc_Header_1"/>
    <w:basedOn w:val="Header"/>
    <w:rsid w:val="00CC3994"/>
    <w:pPr>
      <w:widowControl w:val="0"/>
      <w:tabs>
        <w:tab w:val="clear" w:pos="4536"/>
        <w:tab w:val="right" w:pos="10206"/>
      </w:tabs>
      <w:ind w:left="1440" w:hanging="1440"/>
      <w:jc w:val="both"/>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01E8-AEF3-45A2-9BD6-A82FE584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471</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Daniel Larsson</cp:lastModifiedBy>
  <cp:revision>14</cp:revision>
  <dcterms:created xsi:type="dcterms:W3CDTF">2016-11-04T12:48:00Z</dcterms:created>
  <dcterms:modified xsi:type="dcterms:W3CDTF">2017-01-09T15:37:00Z</dcterms:modified>
</cp:coreProperties>
</file>