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5C89D" w14:textId="02DDA4F6" w:rsidR="00D96643" w:rsidRPr="00CE0424" w:rsidRDefault="00D96643" w:rsidP="00D96643">
      <w:pPr>
        <w:pStyle w:val="3GPPHeader"/>
        <w:spacing w:after="60"/>
        <w:rPr>
          <w:sz w:val="32"/>
          <w:szCs w:val="32"/>
          <w:highlight w:val="yellow"/>
        </w:rPr>
      </w:pPr>
      <w:r w:rsidRPr="00CE0424">
        <w:t>3GPP TSG-RAN WG</w:t>
      </w:r>
      <w:r>
        <w:t>1</w:t>
      </w:r>
      <w:r w:rsidRPr="00CE0424">
        <w:t xml:space="preserve"> </w:t>
      </w:r>
      <w:r w:rsidR="005118A6">
        <w:t>NR adhoc</w:t>
      </w:r>
      <w:r w:rsidRPr="00CE0424">
        <w:tab/>
      </w:r>
      <w:r w:rsidRPr="00CE0424">
        <w:rPr>
          <w:sz w:val="32"/>
          <w:szCs w:val="32"/>
        </w:rPr>
        <w:t>R</w:t>
      </w:r>
      <w:r>
        <w:rPr>
          <w:sz w:val="32"/>
          <w:szCs w:val="32"/>
        </w:rPr>
        <w:t>1</w:t>
      </w:r>
      <w:r w:rsidRPr="00CE0424">
        <w:rPr>
          <w:sz w:val="32"/>
          <w:szCs w:val="32"/>
        </w:rPr>
        <w:t>-</w:t>
      </w:r>
      <w:r w:rsidR="00DE723C" w:rsidRPr="00DE723C">
        <w:rPr>
          <w:sz w:val="32"/>
          <w:szCs w:val="32"/>
        </w:rPr>
        <w:t>1</w:t>
      </w:r>
      <w:r w:rsidR="00CD6861">
        <w:rPr>
          <w:sz w:val="32"/>
          <w:szCs w:val="32"/>
        </w:rPr>
        <w:t>700302</w:t>
      </w:r>
    </w:p>
    <w:p w14:paraId="6F5DDE50" w14:textId="5CA8F042" w:rsidR="00D96643" w:rsidRDefault="00FF49F4" w:rsidP="00D96643">
      <w:pPr>
        <w:pStyle w:val="CRCoverPage"/>
        <w:outlineLvl w:val="0"/>
        <w:rPr>
          <w:b/>
          <w:noProof/>
          <w:sz w:val="24"/>
        </w:rPr>
      </w:pPr>
      <w:r>
        <w:rPr>
          <w:b/>
          <w:noProof/>
          <w:sz w:val="24"/>
        </w:rPr>
        <w:t>Spokane</w:t>
      </w:r>
      <w:r w:rsidR="00D96643">
        <w:rPr>
          <w:b/>
          <w:noProof/>
          <w:sz w:val="24"/>
        </w:rPr>
        <w:t xml:space="preserve">, </w:t>
      </w:r>
      <w:r>
        <w:rPr>
          <w:b/>
          <w:noProof/>
          <w:sz w:val="24"/>
        </w:rPr>
        <w:t>WA</w:t>
      </w:r>
      <w:r w:rsidR="00CA10EA">
        <w:rPr>
          <w:b/>
          <w:noProof/>
          <w:sz w:val="24"/>
        </w:rPr>
        <w:t xml:space="preserve">, </w:t>
      </w:r>
      <w:r w:rsidR="00D96643">
        <w:rPr>
          <w:b/>
          <w:noProof/>
          <w:sz w:val="24"/>
        </w:rPr>
        <w:t>US</w:t>
      </w:r>
      <w:r w:rsidR="00CA10EA">
        <w:rPr>
          <w:b/>
          <w:noProof/>
          <w:sz w:val="24"/>
        </w:rPr>
        <w:t>A</w:t>
      </w:r>
      <w:r w:rsidR="00D96643" w:rsidRPr="00AB78B2">
        <w:rPr>
          <w:b/>
          <w:noProof/>
          <w:sz w:val="24"/>
        </w:rPr>
        <w:t xml:space="preserve">, </w:t>
      </w:r>
      <w:r w:rsidR="00CD6861" w:rsidRPr="00696027">
        <w:rPr>
          <w:b/>
          <w:noProof/>
          <w:sz w:val="24"/>
        </w:rPr>
        <w:t>16</w:t>
      </w:r>
      <w:r w:rsidR="00D96643" w:rsidRPr="00696027">
        <w:rPr>
          <w:b/>
          <w:noProof/>
          <w:sz w:val="24"/>
          <w:vertAlign w:val="superscript"/>
        </w:rPr>
        <w:t>th</w:t>
      </w:r>
      <w:r w:rsidR="00CD6861" w:rsidRPr="00696027">
        <w:rPr>
          <w:b/>
          <w:noProof/>
          <w:sz w:val="24"/>
        </w:rPr>
        <w:t>- 20</w:t>
      </w:r>
      <w:r w:rsidR="00D96643" w:rsidRPr="00696027">
        <w:rPr>
          <w:b/>
          <w:noProof/>
          <w:sz w:val="24"/>
          <w:vertAlign w:val="superscript"/>
        </w:rPr>
        <w:t>th</w:t>
      </w:r>
      <w:r>
        <w:rPr>
          <w:b/>
          <w:noProof/>
          <w:sz w:val="24"/>
        </w:rPr>
        <w:t xml:space="preserve"> January 2017</w:t>
      </w:r>
    </w:p>
    <w:p w14:paraId="5FE9F370" w14:textId="77777777" w:rsidR="00E90E49" w:rsidRPr="00CE0424" w:rsidRDefault="00E90E49" w:rsidP="00AE0E16">
      <w:pPr>
        <w:pStyle w:val="3GPPHeader"/>
        <w:spacing w:line="360" w:lineRule="auto"/>
      </w:pPr>
    </w:p>
    <w:p w14:paraId="2D2CF31E" w14:textId="4EEFA042" w:rsidR="00E90E49" w:rsidRPr="007369A2" w:rsidRDefault="00E90E49" w:rsidP="00AE0E16">
      <w:pPr>
        <w:pStyle w:val="3GPPHeader"/>
        <w:spacing w:line="360" w:lineRule="auto"/>
        <w:rPr>
          <w:sz w:val="22"/>
          <w:szCs w:val="22"/>
          <w:lang w:val="en-US"/>
        </w:rPr>
      </w:pPr>
      <w:r w:rsidRPr="007369A2">
        <w:rPr>
          <w:sz w:val="22"/>
          <w:szCs w:val="22"/>
          <w:lang w:val="en-US"/>
        </w:rPr>
        <w:t>Agenda Item:</w:t>
      </w:r>
      <w:r w:rsidRPr="007369A2">
        <w:rPr>
          <w:sz w:val="22"/>
          <w:szCs w:val="22"/>
          <w:lang w:val="en-US"/>
        </w:rPr>
        <w:tab/>
      </w:r>
      <w:r w:rsidR="00696027" w:rsidRPr="00696027">
        <w:rPr>
          <w:sz w:val="22"/>
          <w:szCs w:val="22"/>
          <w:lang w:val="en-US"/>
        </w:rPr>
        <w:t>5.1.1.5</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3B387201"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FF49F4">
        <w:rPr>
          <w:sz w:val="22"/>
          <w:szCs w:val="22"/>
        </w:rPr>
        <w:t>Sync signal options for active mode mobility RS</w:t>
      </w:r>
    </w:p>
    <w:p w14:paraId="00BFF626" w14:textId="11E1CA34" w:rsidR="00E90E49" w:rsidRPr="007369A2" w:rsidRDefault="00E90E49" w:rsidP="00AE0E16">
      <w:pPr>
        <w:pStyle w:val="3GPPHeader"/>
        <w:spacing w:line="360" w:lineRule="auto"/>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AE0E16">
      <w:pPr>
        <w:pStyle w:val="Heading1"/>
        <w:spacing w:line="360" w:lineRule="auto"/>
      </w:pPr>
      <w:r w:rsidRPr="00CE0424">
        <w:t>Introduction</w:t>
      </w:r>
    </w:p>
    <w:p w14:paraId="37341420" w14:textId="052A3032" w:rsidR="00681F34" w:rsidRPr="00FF49F4" w:rsidRDefault="00FF49F4" w:rsidP="00FF49F4">
      <w:pPr>
        <w:pStyle w:val="BodyText"/>
        <w:rPr>
          <w:lang w:val="en-US"/>
        </w:rPr>
      </w:pPr>
      <w:r>
        <w:t>In RAN1#87</w:t>
      </w:r>
      <w:r w:rsidR="008C76F3">
        <w:t xml:space="preserve">, it </w:t>
      </w:r>
      <w:r w:rsidR="0070636F">
        <w:t xml:space="preserve">was </w:t>
      </w:r>
      <w:r w:rsidR="008C76F3">
        <w:t xml:space="preserve">agreed </w:t>
      </w:r>
      <w:r>
        <w:t>to c</w:t>
      </w:r>
      <w:r w:rsidR="00681F34" w:rsidRPr="00FF49F4">
        <w:rPr>
          <w:lang w:val="en-US"/>
        </w:rPr>
        <w:t>onsider the following signal combinations for inter-cell RRM measurements for CONNECTED and IDLE until RAN1-NR:</w:t>
      </w:r>
    </w:p>
    <w:p w14:paraId="63F4DD8C" w14:textId="77777777" w:rsidR="00681F34" w:rsidRPr="00FF49F4" w:rsidRDefault="00681F34" w:rsidP="00FF49F4">
      <w:pPr>
        <w:pStyle w:val="BodyText"/>
        <w:numPr>
          <w:ilvl w:val="0"/>
          <w:numId w:val="32"/>
        </w:numPr>
        <w:rPr>
          <w:lang w:val="sv-SE"/>
        </w:rPr>
      </w:pPr>
      <w:r w:rsidRPr="00FF49F4">
        <w:rPr>
          <w:lang w:val="en-US"/>
        </w:rPr>
        <w:t>Option 1: Same RS</w:t>
      </w:r>
    </w:p>
    <w:p w14:paraId="43E44077" w14:textId="77777777" w:rsidR="00681F34" w:rsidRPr="00FF49F4" w:rsidRDefault="00681F34" w:rsidP="00FF49F4">
      <w:pPr>
        <w:pStyle w:val="BodyText"/>
        <w:numPr>
          <w:ilvl w:val="1"/>
          <w:numId w:val="32"/>
        </w:numPr>
        <w:rPr>
          <w:lang w:val="en-US"/>
        </w:rPr>
      </w:pPr>
      <w:r w:rsidRPr="00FF49F4">
        <w:rPr>
          <w:lang w:val="en-US"/>
        </w:rPr>
        <w:t>Option 1-1: NR-SSS and/or NR-PSS</w:t>
      </w:r>
    </w:p>
    <w:p w14:paraId="2689F1B2" w14:textId="77777777" w:rsidR="00681F34" w:rsidRPr="00FF49F4" w:rsidRDefault="00681F34" w:rsidP="00FF49F4">
      <w:pPr>
        <w:pStyle w:val="BodyText"/>
        <w:numPr>
          <w:ilvl w:val="1"/>
          <w:numId w:val="32"/>
        </w:numPr>
        <w:rPr>
          <w:lang w:val="en-US"/>
        </w:rPr>
      </w:pPr>
      <w:r w:rsidRPr="00FF49F4">
        <w:rPr>
          <w:lang w:val="en-US"/>
        </w:rPr>
        <w:t>Option 1-2: MRS-1 (Multi-port multi-beam reference signal multiplexed in a SS block)</w:t>
      </w:r>
    </w:p>
    <w:p w14:paraId="1509F2B0" w14:textId="77777777" w:rsidR="00681F34" w:rsidRPr="00FF49F4" w:rsidRDefault="00681F34" w:rsidP="00FF49F4">
      <w:pPr>
        <w:pStyle w:val="BodyText"/>
        <w:numPr>
          <w:ilvl w:val="1"/>
          <w:numId w:val="32"/>
        </w:numPr>
        <w:rPr>
          <w:lang w:val="en-US"/>
        </w:rPr>
      </w:pPr>
      <w:r w:rsidRPr="00FF49F4">
        <w:rPr>
          <w:lang w:val="en-US"/>
        </w:rPr>
        <w:t>Option 1-3: MRS-2 (Multi-port multi-beam reference signal not multiplexed in a SS block)</w:t>
      </w:r>
    </w:p>
    <w:p w14:paraId="39B0062E" w14:textId="77777777" w:rsidR="00681F34" w:rsidRPr="00FF49F4" w:rsidRDefault="00681F34" w:rsidP="00FF49F4">
      <w:pPr>
        <w:pStyle w:val="BodyText"/>
        <w:numPr>
          <w:ilvl w:val="1"/>
          <w:numId w:val="32"/>
        </w:numPr>
        <w:rPr>
          <w:lang w:val="en-US"/>
        </w:rPr>
      </w:pPr>
      <w:r w:rsidRPr="00FF49F4">
        <w:rPr>
          <w:lang w:val="en-US"/>
        </w:rPr>
        <w:t>Option 1-4: MRS-3 (Single/Multi-port single-beam reference signal)</w:t>
      </w:r>
    </w:p>
    <w:p w14:paraId="30E9EE0D" w14:textId="77777777" w:rsidR="00681F34" w:rsidRPr="00FF49F4" w:rsidRDefault="00681F34" w:rsidP="00FF49F4">
      <w:pPr>
        <w:pStyle w:val="BodyText"/>
        <w:numPr>
          <w:ilvl w:val="1"/>
          <w:numId w:val="32"/>
        </w:numPr>
        <w:rPr>
          <w:lang w:val="en-US"/>
        </w:rPr>
      </w:pPr>
      <w:r w:rsidRPr="00FF49F4">
        <w:rPr>
          <w:lang w:val="en-US"/>
        </w:rPr>
        <w:t>Option 1-5: NR-SSS and DM-RS for PBCH if DM-RS is supported for PBCH</w:t>
      </w:r>
    </w:p>
    <w:p w14:paraId="195E2C50" w14:textId="77777777" w:rsidR="00681F34" w:rsidRPr="00FF49F4" w:rsidRDefault="00681F34" w:rsidP="00FF49F4">
      <w:pPr>
        <w:pStyle w:val="BodyText"/>
        <w:numPr>
          <w:ilvl w:val="0"/>
          <w:numId w:val="32"/>
        </w:numPr>
        <w:rPr>
          <w:lang w:val="sv-SE"/>
        </w:rPr>
      </w:pPr>
      <w:r w:rsidRPr="00FF49F4">
        <w:rPr>
          <w:lang w:val="en-US"/>
        </w:rPr>
        <w:t>Option 2: Not same RS</w:t>
      </w:r>
    </w:p>
    <w:p w14:paraId="4CD6A665" w14:textId="77777777" w:rsidR="00681F34" w:rsidRPr="00FF49F4" w:rsidRDefault="00681F34" w:rsidP="00FF49F4">
      <w:pPr>
        <w:pStyle w:val="BodyText"/>
        <w:numPr>
          <w:ilvl w:val="1"/>
          <w:numId w:val="32"/>
        </w:numPr>
        <w:rPr>
          <w:lang w:val="en-US"/>
        </w:rPr>
      </w:pPr>
      <w:r w:rsidRPr="00FF49F4">
        <w:rPr>
          <w:lang w:val="en-US"/>
        </w:rPr>
        <w:t>Option 2-1: NR-SSS in IDLE; MRS-{1,2} in CONNECTED</w:t>
      </w:r>
    </w:p>
    <w:p w14:paraId="61BA4668" w14:textId="77777777" w:rsidR="00681F34" w:rsidRPr="00FF49F4" w:rsidRDefault="00681F34" w:rsidP="00FF49F4">
      <w:pPr>
        <w:pStyle w:val="BodyText"/>
        <w:numPr>
          <w:ilvl w:val="1"/>
          <w:numId w:val="32"/>
        </w:numPr>
        <w:rPr>
          <w:lang w:val="en-US"/>
        </w:rPr>
      </w:pPr>
      <w:r w:rsidRPr="00FF49F4">
        <w:rPr>
          <w:lang w:val="en-US"/>
        </w:rPr>
        <w:t>Option 2-2: NR-SSS in IDLE; NR-SSS and MRS-{1,2} in CONNECTED</w:t>
      </w:r>
    </w:p>
    <w:p w14:paraId="422BFC31" w14:textId="77777777" w:rsidR="00681F34" w:rsidRPr="00FF49F4" w:rsidRDefault="00681F34" w:rsidP="00FF49F4">
      <w:pPr>
        <w:pStyle w:val="BodyText"/>
        <w:numPr>
          <w:ilvl w:val="1"/>
          <w:numId w:val="32"/>
        </w:numPr>
        <w:rPr>
          <w:lang w:val="en-US"/>
        </w:rPr>
      </w:pPr>
      <w:r w:rsidRPr="00FF49F4">
        <w:rPr>
          <w:lang w:val="en-US"/>
        </w:rPr>
        <w:t>Option 2-3: NR-PSS and/or NR-SSS in IDLE; NR-PSS and/or NR-SSS and CSI-RS in CONNECTED</w:t>
      </w:r>
    </w:p>
    <w:p w14:paraId="2C76B9AC" w14:textId="77777777" w:rsidR="00681F34" w:rsidRPr="00FF49F4" w:rsidRDefault="00681F34" w:rsidP="00FF49F4">
      <w:pPr>
        <w:pStyle w:val="BodyText"/>
        <w:numPr>
          <w:ilvl w:val="1"/>
          <w:numId w:val="32"/>
        </w:numPr>
        <w:rPr>
          <w:lang w:val="en-US"/>
        </w:rPr>
      </w:pPr>
      <w:r w:rsidRPr="00FF49F4">
        <w:rPr>
          <w:lang w:val="en-US"/>
        </w:rPr>
        <w:t>Option 2-4: For CONNECTED, RS for IDLE and MRS-{1,2,3}</w:t>
      </w:r>
    </w:p>
    <w:p w14:paraId="5D47263A" w14:textId="51ECCA14" w:rsidR="001E518C" w:rsidRDefault="00E72521" w:rsidP="00B9432C">
      <w:pPr>
        <w:pStyle w:val="BodyText"/>
        <w:rPr>
          <w:rFonts w:eastAsia="MS Mincho"/>
          <w:lang w:val="en-US" w:eastAsia="ja-JP"/>
        </w:rPr>
      </w:pPr>
      <w:r>
        <w:rPr>
          <w:rFonts w:eastAsia="MS Mincho"/>
          <w:lang w:val="en-US" w:eastAsia="ja-JP"/>
        </w:rPr>
        <w:t>Due to e.g. energy efficiency considerations, the transmission period of NR-SSS may need to be selected such that it will not fully support active mode mobility requirements, which motivates the option 2. In options 2-1 and 2-2, an additional MRS is transmitted to allow sufficient</w:t>
      </w:r>
      <w:r w:rsidR="00790CBB">
        <w:rPr>
          <w:rFonts w:eastAsia="MS Mincho"/>
          <w:lang w:val="en-US" w:eastAsia="ja-JP"/>
        </w:rPr>
        <w:t>ly low latency,</w:t>
      </w:r>
      <w:r>
        <w:rPr>
          <w:rFonts w:eastAsia="MS Mincho"/>
          <w:lang w:val="en-US" w:eastAsia="ja-JP"/>
        </w:rPr>
        <w:t xml:space="preserve"> </w:t>
      </w:r>
      <w:r w:rsidR="00790CBB">
        <w:rPr>
          <w:rFonts w:eastAsia="MS Mincho"/>
          <w:lang w:val="en-US" w:eastAsia="ja-JP"/>
        </w:rPr>
        <w:t xml:space="preserve">good </w:t>
      </w:r>
      <w:r>
        <w:rPr>
          <w:rFonts w:eastAsia="MS Mincho"/>
          <w:lang w:val="en-US" w:eastAsia="ja-JP"/>
        </w:rPr>
        <w:t xml:space="preserve">measurement </w:t>
      </w:r>
      <w:r w:rsidR="00790CBB">
        <w:rPr>
          <w:rFonts w:eastAsia="MS Mincho"/>
          <w:lang w:val="en-US" w:eastAsia="ja-JP"/>
        </w:rPr>
        <w:t xml:space="preserve">quality, etc. for the active mode mobility </w:t>
      </w:r>
      <w:r w:rsidR="00CD5FD4">
        <w:rPr>
          <w:rFonts w:eastAsia="MS Mincho"/>
          <w:lang w:val="en-US" w:eastAsia="ja-JP"/>
        </w:rPr>
        <w:t xml:space="preserve">(AMM) </w:t>
      </w:r>
      <w:r w:rsidR="00790CBB">
        <w:rPr>
          <w:rFonts w:eastAsia="MS Mincho"/>
          <w:lang w:val="en-US" w:eastAsia="ja-JP"/>
        </w:rPr>
        <w:t xml:space="preserve">measurements. </w:t>
      </w:r>
    </w:p>
    <w:p w14:paraId="7DC95CA8" w14:textId="22AE6722" w:rsidR="00790CBB" w:rsidRPr="00B9432C" w:rsidRDefault="00790CBB" w:rsidP="00790CBB">
      <w:pPr>
        <w:pStyle w:val="BodyText"/>
      </w:pPr>
      <w:r>
        <w:rPr>
          <w:rFonts w:eastAsia="MS Mincho"/>
          <w:lang w:val="en-US" w:eastAsia="ja-JP"/>
        </w:rPr>
        <w:t>This paper discusses options for providing coarse time and frequency synchronization for performing other-cell measurement using the MRS.</w:t>
      </w:r>
      <w:r w:rsidR="001E518C">
        <w:rPr>
          <w:rFonts w:eastAsia="MS Mincho"/>
          <w:lang w:val="en-US" w:eastAsia="ja-JP"/>
        </w:rPr>
        <w:t xml:space="preserve"> </w:t>
      </w:r>
    </w:p>
    <w:p w14:paraId="372516B9" w14:textId="47114E58" w:rsidR="00FD1B29" w:rsidRPr="00B9432C" w:rsidRDefault="00FD1B29" w:rsidP="00FD1B29"/>
    <w:p w14:paraId="412AA818" w14:textId="4E3D6009" w:rsidR="00E30225" w:rsidRDefault="00E30225" w:rsidP="00AE0E16">
      <w:pPr>
        <w:pStyle w:val="Heading1"/>
        <w:spacing w:line="360" w:lineRule="auto"/>
      </w:pPr>
      <w:bookmarkStart w:id="0" w:name="_Ref178064866"/>
      <w:r w:rsidRPr="00CE0424">
        <w:t>Discussion</w:t>
      </w:r>
      <w:bookmarkEnd w:id="0"/>
    </w:p>
    <w:p w14:paraId="239A252B" w14:textId="5644B4BE" w:rsidR="001E518C" w:rsidRPr="001E518C" w:rsidRDefault="001E518C" w:rsidP="001E518C">
      <w:r>
        <w:t xml:space="preserve">The agreement on signal combinations for inter-cell RRM measurement lists two MRS options, MRS-1 and MRS-2, where MRS-1 is multiplexed in an SS block. An SS block contains not only NR-PSS and NR-SSS, but also the NR-PBCH. Although the format of the NR-PBCH has not yet been agreed, it is reasonable to assume that the total size of an SS block will be at least 4-6 OFDM symbols. Multiplexing the MRS with an SS block will then lead to quite long signal, causing significant unnecessary overhead. Therefore, this paper will discuss the option MRS-2, where the MRS is </w:t>
      </w:r>
      <w:r w:rsidRPr="001E518C">
        <w:rPr>
          <w:i/>
        </w:rPr>
        <w:t>not</w:t>
      </w:r>
      <w:r>
        <w:t xml:space="preserve"> multiplexed with an SS block. </w:t>
      </w:r>
    </w:p>
    <w:p w14:paraId="774B5ED2" w14:textId="682247CF" w:rsidR="008C76F3" w:rsidRDefault="00F8582F" w:rsidP="008C76F3">
      <w:pPr>
        <w:pStyle w:val="Heading2"/>
      </w:pPr>
      <w:r>
        <w:lastRenderedPageBreak/>
        <w:t>Need for synchronization</w:t>
      </w:r>
    </w:p>
    <w:p w14:paraId="1051D04B" w14:textId="12112E8B" w:rsidR="00F8582F" w:rsidRDefault="00CD5FD4" w:rsidP="00F8582F">
      <w:r>
        <w:t>The AMM measurements include measurements on the serving and other potential candidate cells. For serving-cell measurements, the UE has a valid T/F synch alignment form previous MRS or other RS reception. However, for identifying neighbour cells</w:t>
      </w:r>
      <w:r w:rsidRPr="00CD5FD4">
        <w:t xml:space="preserve"> </w:t>
      </w:r>
      <w:r>
        <w:t>and measuring their quality, the UE needs additional synchronization information to handle deployments with ISDs that exceed the length</w:t>
      </w:r>
      <w:r w:rsidR="002066D0">
        <w:t xml:space="preserve"> of the cyclic prefix (CP)</w:t>
      </w:r>
      <w:r>
        <w:t xml:space="preserve">. </w:t>
      </w:r>
    </w:p>
    <w:p w14:paraId="6CA5A2CF" w14:textId="237758A2" w:rsidR="001E518C" w:rsidRDefault="001E518C" w:rsidP="00F8582F">
      <w:r>
        <w:t xml:space="preserve">There are basically two ways to provide the </w:t>
      </w:r>
      <w:r w:rsidR="000A07D8" w:rsidRPr="007A2DF6">
        <w:rPr>
          <w:rFonts w:cs="Arial"/>
          <w:lang w:val="en-US"/>
        </w:rPr>
        <w:t>T/F references</w:t>
      </w:r>
      <w:r>
        <w:t xml:space="preserve"> required to detect the MRS:</w:t>
      </w:r>
    </w:p>
    <w:p w14:paraId="3C5291EF" w14:textId="177C10E1" w:rsidR="000A07D8" w:rsidRPr="000A07D8" w:rsidRDefault="000A07D8" w:rsidP="001E518C">
      <w:pPr>
        <w:pStyle w:val="ListParagraph"/>
        <w:numPr>
          <w:ilvl w:val="0"/>
          <w:numId w:val="33"/>
        </w:numPr>
        <w:rPr>
          <w:rFonts w:ascii="Arial" w:hAnsi="Arial" w:cs="Arial"/>
          <w:sz w:val="20"/>
          <w:lang w:val="en-US"/>
        </w:rPr>
      </w:pPr>
      <w:r>
        <w:rPr>
          <w:rFonts w:ascii="Arial" w:hAnsi="Arial" w:cs="Arial"/>
          <w:sz w:val="20"/>
          <w:lang w:val="en-US"/>
        </w:rPr>
        <w:t>R</w:t>
      </w:r>
      <w:r w:rsidR="00D0454B" w:rsidRPr="007A2DF6">
        <w:rPr>
          <w:rFonts w:ascii="Arial" w:hAnsi="Arial" w:cs="Arial"/>
          <w:sz w:val="20"/>
          <w:lang w:val="en-US"/>
        </w:rPr>
        <w:t>ely on the NR-P</w:t>
      </w:r>
      <w:r w:rsidR="00CD5FD4" w:rsidRPr="007A2DF6">
        <w:rPr>
          <w:rFonts w:ascii="Arial" w:hAnsi="Arial" w:cs="Arial"/>
          <w:sz w:val="20"/>
          <w:lang w:val="en-US"/>
        </w:rPr>
        <w:t xml:space="preserve">SS in the </w:t>
      </w:r>
      <w:r w:rsidRPr="007A2DF6">
        <w:rPr>
          <w:rFonts w:ascii="Arial" w:hAnsi="Arial" w:cs="Arial"/>
          <w:sz w:val="20"/>
          <w:lang w:val="en-US"/>
        </w:rPr>
        <w:t>neighbor</w:t>
      </w:r>
      <w:r w:rsidR="00CD5FD4" w:rsidRPr="007A2DF6">
        <w:rPr>
          <w:rFonts w:ascii="Arial" w:hAnsi="Arial" w:cs="Arial"/>
          <w:sz w:val="20"/>
          <w:lang w:val="en-US"/>
        </w:rPr>
        <w:t xml:space="preserve"> cells for synch</w:t>
      </w:r>
    </w:p>
    <w:p w14:paraId="0B9D74A4" w14:textId="2F4F82B7" w:rsidR="00CD5FD4" w:rsidRPr="000A07D8" w:rsidRDefault="000A07D8" w:rsidP="001E518C">
      <w:pPr>
        <w:pStyle w:val="ListParagraph"/>
        <w:numPr>
          <w:ilvl w:val="0"/>
          <w:numId w:val="33"/>
        </w:numPr>
        <w:rPr>
          <w:rFonts w:ascii="Arial" w:hAnsi="Arial" w:cs="Arial"/>
          <w:sz w:val="20"/>
          <w:lang w:val="en-US"/>
        </w:rPr>
      </w:pPr>
      <w:r>
        <w:rPr>
          <w:rFonts w:ascii="Arial" w:hAnsi="Arial" w:cs="Arial"/>
          <w:sz w:val="20"/>
          <w:lang w:val="en-US"/>
        </w:rPr>
        <w:t>E</w:t>
      </w:r>
      <w:r w:rsidR="00CD5FD4" w:rsidRPr="000A07D8">
        <w:rPr>
          <w:rFonts w:ascii="Arial" w:hAnsi="Arial" w:cs="Arial"/>
          <w:sz w:val="20"/>
          <w:lang w:val="en-US"/>
        </w:rPr>
        <w:t xml:space="preserve">mbed the sync in the MRS signal itself. </w:t>
      </w:r>
    </w:p>
    <w:p w14:paraId="3D359C55" w14:textId="104613E0" w:rsidR="00F8582F" w:rsidRDefault="001F3A1A" w:rsidP="00F8582F">
      <w:pPr>
        <w:pStyle w:val="Heading2"/>
      </w:pPr>
      <w:r>
        <w:t>Using NR-</w:t>
      </w:r>
      <w:r w:rsidR="000A07D8">
        <w:t>P</w:t>
      </w:r>
      <w:r>
        <w:t>SS</w:t>
      </w:r>
      <w:r w:rsidR="00F8582F">
        <w:t xml:space="preserve"> as synchronization source</w:t>
      </w:r>
    </w:p>
    <w:p w14:paraId="55D9D21F" w14:textId="09FBE554" w:rsidR="00F8582F" w:rsidRDefault="001F3A1A" w:rsidP="00F8582F">
      <w:r>
        <w:t xml:space="preserve">In this approach, the </w:t>
      </w:r>
      <w:r w:rsidR="00D0454B">
        <w:t>static NR-P</w:t>
      </w:r>
      <w:r>
        <w:t>SS</w:t>
      </w:r>
      <w:r w:rsidR="00D0454B">
        <w:t xml:space="preserve"> in the relevant cell</w:t>
      </w:r>
      <w:r>
        <w:t xml:space="preserve"> </w:t>
      </w:r>
      <w:r w:rsidR="00D0454B">
        <w:t>i</w:t>
      </w:r>
      <w:r w:rsidR="000A07D8">
        <w:t>s used for T/F acquisition for M</w:t>
      </w:r>
      <w:r w:rsidR="00D0454B">
        <w:t>RS detection and measurement. An approach can be envisioned where the UE detects any PSS it can hear and use the associat</w:t>
      </w:r>
      <w:r w:rsidR="000A07D8">
        <w:t>ed T/F settings for attempting M</w:t>
      </w:r>
      <w:r w:rsidR="00D0454B">
        <w:t xml:space="preserve">RS detection. Thus, as long as </w:t>
      </w:r>
      <w:r w:rsidR="00B86418">
        <w:t>the NR-PSS can be read by the UE, th</w:t>
      </w:r>
      <w:r w:rsidR="000A07D8">
        <w:t>e MRS f</w:t>
      </w:r>
      <w:r w:rsidR="00B86418">
        <w:t>r</w:t>
      </w:r>
      <w:r w:rsidR="000A07D8">
        <w:t>o</w:t>
      </w:r>
      <w:r w:rsidR="00B86418">
        <w:t>m the same cell can also be received.</w:t>
      </w:r>
    </w:p>
    <w:p w14:paraId="25E65C4C" w14:textId="0122635C" w:rsidR="00B86418" w:rsidRDefault="00B86418" w:rsidP="00F8582F">
      <w:r>
        <w:t xml:space="preserve">However, the NR-PSS is not </w:t>
      </w:r>
      <w:r w:rsidR="00286A5A">
        <w:t xml:space="preserve">in general guaranteed </w:t>
      </w:r>
      <w:r w:rsidR="000A07D8">
        <w:t>to have the same period as the M</w:t>
      </w:r>
      <w:r w:rsidR="00286A5A">
        <w:t>RS, and potentially not the same ra</w:t>
      </w:r>
      <w:r w:rsidR="000A07D8">
        <w:t>ster alignment. Therefore, the M</w:t>
      </w:r>
      <w:r w:rsidR="00286A5A">
        <w:t xml:space="preserve">RS can only be detected after a corresponding NR-PSS is detected. </w:t>
      </w:r>
      <w:r w:rsidR="00143E01">
        <w:t xml:space="preserve">In other words, the UE will first have to find the NR-PSS and then detect the MRS. </w:t>
      </w:r>
      <w:r w:rsidR="00286A5A">
        <w:t xml:space="preserve">For </w:t>
      </w:r>
      <w:r w:rsidR="00C96319">
        <w:t>NS-</w:t>
      </w:r>
      <w:r w:rsidR="000A07D8">
        <w:t>P</w:t>
      </w:r>
      <w:r w:rsidR="00C96319">
        <w:t xml:space="preserve">SS </w:t>
      </w:r>
      <w:r w:rsidR="00286A5A">
        <w:t xml:space="preserve">periods up to </w:t>
      </w:r>
      <w:r w:rsidR="000A07D8">
        <w:t>8</w:t>
      </w:r>
      <w:r w:rsidR="00286A5A">
        <w:t xml:space="preserve">0 ms considered in </w:t>
      </w:r>
      <w:r w:rsidR="00C96319">
        <w:t xml:space="preserve">3GPP, this implies a considerable latency for other-cell measurements. This may compromise the HO performance in high-mobility and/or high-band scenarios and lead to increased RLF. </w:t>
      </w:r>
      <w:r w:rsidR="000A07D8">
        <w:t xml:space="preserve">In fact, </w:t>
      </w:r>
      <w:r w:rsidR="00143E01">
        <w:t>it becomes impossible to benefit from the higher periodicity of the MRS for any type of RRM procedure.</w:t>
      </w:r>
      <w:r w:rsidR="000A07D8">
        <w:t xml:space="preserve"> </w:t>
      </w:r>
      <w:r w:rsidR="00286A5A">
        <w:t xml:space="preserve">  </w:t>
      </w:r>
    </w:p>
    <w:p w14:paraId="6F64450B" w14:textId="1444F110" w:rsidR="00B86418" w:rsidRDefault="00B86418" w:rsidP="00B86418">
      <w:pPr>
        <w:pStyle w:val="Observation"/>
      </w:pPr>
      <w:bookmarkStart w:id="1" w:name="_Toc469049533"/>
      <w:bookmarkStart w:id="2" w:name="_Toc469913727"/>
      <w:r w:rsidRPr="00B86418">
        <w:t xml:space="preserve">If </w:t>
      </w:r>
      <w:r w:rsidR="00C96319">
        <w:t>NR-</w:t>
      </w:r>
      <w:r w:rsidRPr="00B86418">
        <w:t xml:space="preserve">PSS </w:t>
      </w:r>
      <w:r w:rsidR="00C96319">
        <w:t xml:space="preserve">period </w:t>
      </w:r>
      <w:r w:rsidR="00143E01">
        <w:t>is longer than the M</w:t>
      </w:r>
      <w:r w:rsidR="00C96319">
        <w:t>RS period, it increases</w:t>
      </w:r>
      <w:r w:rsidRPr="00B86418">
        <w:t xml:space="preserve"> </w:t>
      </w:r>
      <w:r w:rsidR="00C96319">
        <w:t xml:space="preserve">the </w:t>
      </w:r>
      <w:r w:rsidR="00143E01">
        <w:t>other-cell M</w:t>
      </w:r>
      <w:r w:rsidRPr="00B86418">
        <w:t>RS measurement latency</w:t>
      </w:r>
      <w:r>
        <w:t>.</w:t>
      </w:r>
      <w:bookmarkEnd w:id="1"/>
      <w:bookmarkEnd w:id="2"/>
    </w:p>
    <w:p w14:paraId="5897C88B" w14:textId="589543B1" w:rsidR="00B86418" w:rsidRDefault="00C96319" w:rsidP="00B86418">
      <w:r>
        <w:t xml:space="preserve">In many cases, the other-cell NR-PSS, often transmitted using wide beams, needs to be detected in the presence of the serving-cell signal which may be heavily beamformed. This can potentially create large received power differences for the received signals that may exceed </w:t>
      </w:r>
      <w:bookmarkStart w:id="3" w:name="_GoBack"/>
      <w:bookmarkEnd w:id="3"/>
      <w:r>
        <w:t>the dynamic rage of the UE receiver. Reception of the NR-PSS is then impossible, a</w:t>
      </w:r>
      <w:r w:rsidR="00143E01">
        <w:t>nd although the neighbour-cell M</w:t>
      </w:r>
      <w:r>
        <w:t xml:space="preserve">RS may be beamformed towards the UE, it cannot be detected since the T/F info is missing.  </w:t>
      </w:r>
    </w:p>
    <w:p w14:paraId="51F55DD4" w14:textId="4846690A" w:rsidR="00B86418" w:rsidRDefault="00E42071" w:rsidP="00B86418">
      <w:pPr>
        <w:pStyle w:val="Observation"/>
      </w:pPr>
      <w:bookmarkStart w:id="4" w:name="_Toc469049534"/>
      <w:bookmarkStart w:id="5" w:name="_Toc469913728"/>
      <w:r>
        <w:t xml:space="preserve">If user data is transmitted with a different beam configuration than the </w:t>
      </w:r>
      <w:r w:rsidR="00143E01">
        <w:t xml:space="preserve">NR-PSS </w:t>
      </w:r>
      <w:r w:rsidR="00C96319">
        <w:t>may make NR-PSS reception impossible due to dynamic range problems at the UE</w:t>
      </w:r>
      <w:r w:rsidR="00B86418">
        <w:t>.</w:t>
      </w:r>
      <w:bookmarkEnd w:id="4"/>
      <w:bookmarkEnd w:id="5"/>
    </w:p>
    <w:p w14:paraId="75EEFD77" w14:textId="482C7F84" w:rsidR="00B86418" w:rsidRDefault="003D76C4" w:rsidP="00B86418">
      <w:r>
        <w:t>The coverage range of M</w:t>
      </w:r>
      <w:r w:rsidR="00035FD3">
        <w:t>RS beams may technically be made considerably larger than the coverage area of the idle-mode signals, in particular the NR-PSS. In some deployments, this feature may be attractive for providing narrow-beam coverage to a UE moving in a certain area without requiring frequent handovers. If the NR-PSS cannot be received by the UE, this resource-efficient beam management approach cannot be utilized.</w:t>
      </w:r>
      <w:r w:rsidR="00B86418">
        <w:t xml:space="preserve"> </w:t>
      </w:r>
    </w:p>
    <w:p w14:paraId="0382C057" w14:textId="14BCF74D" w:rsidR="00B86418" w:rsidRDefault="003D76C4" w:rsidP="00B86418">
      <w:pPr>
        <w:pStyle w:val="Observation"/>
        <w:rPr>
          <w:lang w:val="en-US"/>
        </w:rPr>
      </w:pPr>
      <w:bookmarkStart w:id="6" w:name="_Toc469049535"/>
      <w:bookmarkStart w:id="7" w:name="_Toc469913729"/>
      <w:r>
        <w:rPr>
          <w:lang w:val="en-US"/>
        </w:rPr>
        <w:t>Dynamic M</w:t>
      </w:r>
      <w:r w:rsidR="00B86418">
        <w:rPr>
          <w:lang w:val="en-US"/>
        </w:rPr>
        <w:t xml:space="preserve">RS </w:t>
      </w:r>
      <w:r w:rsidR="00035FD3">
        <w:rPr>
          <w:lang w:val="en-US"/>
        </w:rPr>
        <w:t xml:space="preserve">beam </w:t>
      </w:r>
      <w:r w:rsidR="00B86418">
        <w:rPr>
          <w:lang w:val="en-US"/>
        </w:rPr>
        <w:t xml:space="preserve">coverage support is not possible </w:t>
      </w:r>
      <w:r w:rsidR="00035FD3">
        <w:rPr>
          <w:lang w:val="en-US"/>
        </w:rPr>
        <w:t>if BRS reception relies on NR-PSS.</w:t>
      </w:r>
      <w:bookmarkEnd w:id="6"/>
      <w:bookmarkEnd w:id="7"/>
    </w:p>
    <w:p w14:paraId="4B3E97D9" w14:textId="0B3EDB1D" w:rsidR="00F8582F" w:rsidRDefault="00F8582F" w:rsidP="00F8582F">
      <w:pPr>
        <w:pStyle w:val="Heading2"/>
      </w:pPr>
      <w:r>
        <w:t xml:space="preserve">Providing </w:t>
      </w:r>
      <w:r w:rsidR="001F3A1A">
        <w:t xml:space="preserve">a </w:t>
      </w:r>
      <w:r>
        <w:t>self-contained sync field in MRS</w:t>
      </w:r>
    </w:p>
    <w:p w14:paraId="1E9680AF" w14:textId="2884BA55" w:rsidR="00F8582F" w:rsidRDefault="00455097" w:rsidP="00F8582F">
      <w:r>
        <w:t xml:space="preserve">An alternative solution </w:t>
      </w:r>
      <w:r w:rsidR="00286A5A">
        <w:t>is to include a synchronization field in the AMM mobility signal itself</w:t>
      </w:r>
      <w:r w:rsidR="001C75BB">
        <w:t>, so that is contains an associated sync signal</w:t>
      </w:r>
      <w:r w:rsidR="003D76C4">
        <w:t xml:space="preserve">. </w:t>
      </w:r>
      <w:r w:rsidR="00286A5A">
        <w:t>One solution is proposed in [our MRS format paper]</w:t>
      </w:r>
      <w:r w:rsidR="003D76C4">
        <w:t>, where it is proposed that the MRS is composed by a synch signal (TSS) and an identifier (BRS)</w:t>
      </w:r>
      <w:r w:rsidR="00286A5A">
        <w:t>.</w:t>
      </w:r>
      <w:r w:rsidR="00681F34">
        <w:t xml:space="preserve"> This design avoids the problems quoted in observations 1-3.</w:t>
      </w:r>
    </w:p>
    <w:p w14:paraId="6315222C" w14:textId="5FA29B22" w:rsidR="00286A5A" w:rsidRDefault="00286A5A" w:rsidP="00F8582F">
      <w:r>
        <w:t xml:space="preserve">To minimize the </w:t>
      </w:r>
      <w:r w:rsidR="001C75BB">
        <w:t xml:space="preserve">UE time-domain </w:t>
      </w:r>
      <w:r>
        <w:t xml:space="preserve">search complexity, the </w:t>
      </w:r>
      <w:r w:rsidR="001C75BB">
        <w:t xml:space="preserve">TSS field can be made to consist of a single sequence only used for TF acquisition. </w:t>
      </w:r>
    </w:p>
    <w:p w14:paraId="1EBDD94D" w14:textId="6C2E31ED" w:rsidR="001C75BB" w:rsidRDefault="001C75BB" w:rsidP="00F8582F">
      <w:r>
        <w:t xml:space="preserve">If the TSS is allowed to use multiple sequences, thereby carrying some (2-3) bits of the beam ID, the BRS sequence that is to be transmitted using sequence modulation, can be shortened significantly. The TSS sync  field transmission thus would not duplicate the information present in NR-PSS, but would contribute to conveying the beam ID and allow the BRS resource allocation to be reduced. The </w:t>
      </w:r>
      <w:r w:rsidR="00681F34">
        <w:t>entire received TSS+BRS energy is also available for link quality estimation.</w:t>
      </w:r>
    </w:p>
    <w:p w14:paraId="3456F963" w14:textId="2A9F20E5" w:rsidR="001C75BB" w:rsidRDefault="00681F34" w:rsidP="001C75BB">
      <w:pPr>
        <w:pStyle w:val="Observation"/>
        <w:rPr>
          <w:lang w:val="en-US"/>
        </w:rPr>
      </w:pPr>
      <w:bookmarkStart w:id="8" w:name="_Toc469049536"/>
      <w:bookmarkStart w:id="9" w:name="_Toc469913730"/>
      <w:r>
        <w:t xml:space="preserve">Partially encoding beam ID in </w:t>
      </w:r>
      <w:r>
        <w:rPr>
          <w:lang w:val="en-US"/>
        </w:rPr>
        <w:t>a TSS field in MRS can help reduce the BRS resource requirement</w:t>
      </w:r>
      <w:r w:rsidR="001C75BB">
        <w:rPr>
          <w:lang w:val="en-US"/>
        </w:rPr>
        <w:t>.</w:t>
      </w:r>
      <w:bookmarkEnd w:id="8"/>
      <w:bookmarkEnd w:id="9"/>
    </w:p>
    <w:p w14:paraId="6F192985" w14:textId="57448333" w:rsidR="001C75BB" w:rsidRPr="001C75BB" w:rsidRDefault="00681F34" w:rsidP="00F8582F">
      <w:pPr>
        <w:rPr>
          <w:lang w:val="en-US"/>
        </w:rPr>
      </w:pPr>
      <w:r>
        <w:rPr>
          <w:lang w:val="en-US"/>
        </w:rPr>
        <w:t xml:space="preserve">Considering these trade-offs, we recommend </w:t>
      </w:r>
      <w:r w:rsidR="00A24C48">
        <w:rPr>
          <w:lang w:val="en-US"/>
        </w:rPr>
        <w:t>that a MRS design for AMM measurements be adopted that includes a self-contained sync component that partially encodes the beam ID.</w:t>
      </w:r>
    </w:p>
    <w:p w14:paraId="34DA76B2" w14:textId="1055933E" w:rsidR="00A24C48" w:rsidRDefault="00A24C48" w:rsidP="00A24C48">
      <w:pPr>
        <w:pStyle w:val="Proposal"/>
      </w:pPr>
      <w:bookmarkStart w:id="10" w:name="_Toc469049538"/>
      <w:bookmarkStart w:id="11" w:name="_Toc469913738"/>
      <w:r>
        <w:rPr>
          <w:lang w:val="en-US"/>
        </w:rPr>
        <w:t>MRS design should include a self-contained sync component that partially encodes the beam ID</w:t>
      </w:r>
      <w:r>
        <w:t>.</w:t>
      </w:r>
      <w:bookmarkEnd w:id="10"/>
      <w:bookmarkEnd w:id="11"/>
      <w:r>
        <w:t xml:space="preserve"> </w:t>
      </w:r>
    </w:p>
    <w:p w14:paraId="6AA05002" w14:textId="71959952" w:rsidR="00F60FAF" w:rsidRPr="00A24C48" w:rsidRDefault="00F60FAF" w:rsidP="00A24C48">
      <w:pPr>
        <w:rPr>
          <w:rFonts w:ascii="Calibri" w:hAnsi="Calibri"/>
          <w:lang w:val="en-US" w:eastAsia="sv-SE"/>
        </w:rPr>
      </w:pPr>
    </w:p>
    <w:p w14:paraId="3FDAEECB" w14:textId="77777777" w:rsidR="00C01F33" w:rsidRPr="00CE0424" w:rsidRDefault="00C01F33" w:rsidP="00AE0E16">
      <w:pPr>
        <w:pStyle w:val="Heading1"/>
        <w:spacing w:line="360" w:lineRule="auto"/>
      </w:pPr>
      <w:r w:rsidRPr="00CE0424">
        <w:t>Conclusion</w:t>
      </w:r>
    </w:p>
    <w:p w14:paraId="4D07C4CD" w14:textId="201EC032" w:rsidR="00B47E43" w:rsidRPr="00A5758B" w:rsidRDefault="008E065E" w:rsidP="00B9432C">
      <w:pPr>
        <w:pStyle w:val="BodyText"/>
      </w:pPr>
      <w:r w:rsidRPr="00A5758B">
        <w:t xml:space="preserve">In section </w:t>
      </w:r>
      <w:r w:rsidRPr="00A5758B">
        <w:rPr>
          <w:b/>
          <w:highlight w:val="cyan"/>
        </w:rPr>
        <w:fldChar w:fldCharType="begin"/>
      </w:r>
      <w:r w:rsidRPr="00A5758B">
        <w:instrText xml:space="preserve"> REF _Ref178064866 \r \h </w:instrText>
      </w:r>
      <w:r w:rsidR="00A5758B">
        <w:rPr>
          <w:highlight w:val="cyan"/>
        </w:rPr>
        <w:instrText xml:space="preserve"> \* MERGEFORMAT </w:instrText>
      </w:r>
      <w:r w:rsidRPr="00A5758B">
        <w:rPr>
          <w:b/>
          <w:highlight w:val="cyan"/>
        </w:rPr>
      </w:r>
      <w:r w:rsidRPr="00A5758B">
        <w:rPr>
          <w:b/>
          <w:highlight w:val="cyan"/>
        </w:rPr>
        <w:fldChar w:fldCharType="separate"/>
      </w:r>
      <w:r w:rsidR="00D17D6A" w:rsidRPr="00A5758B">
        <w:t>2</w:t>
      </w:r>
      <w:r w:rsidRPr="00A5758B">
        <w:rPr>
          <w:b/>
          <w:highlight w:val="cyan"/>
        </w:rPr>
        <w:fldChar w:fldCharType="end"/>
      </w:r>
      <w:r w:rsidRPr="00A5758B">
        <w:t xml:space="preserve"> we made the following observations:</w:t>
      </w:r>
    </w:p>
    <w:p w14:paraId="0A997049" w14:textId="77777777" w:rsidR="003D76C4"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3D76C4">
        <w:t>Observation 1</w:t>
      </w:r>
      <w:r w:rsidR="003D76C4">
        <w:rPr>
          <w:rFonts w:asciiTheme="minorHAnsi" w:eastAsiaTheme="minorEastAsia" w:hAnsiTheme="minorHAnsi" w:cstheme="minorBidi"/>
          <w:b w:val="0"/>
          <w:sz w:val="22"/>
          <w:lang w:eastAsia="en-US"/>
        </w:rPr>
        <w:tab/>
      </w:r>
      <w:r w:rsidR="003D76C4">
        <w:t>If NR-PSS period is longer than the MRS period, it increases the other-cell MRS measurement latency.</w:t>
      </w:r>
    </w:p>
    <w:p w14:paraId="3B754C21" w14:textId="77777777" w:rsidR="003D76C4" w:rsidRDefault="003D76C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If user data is transmitted with a different beam configuration than the NR-PSS may make NR-PSS reception impossible due to dynamic range problems at the UE.</w:t>
      </w:r>
    </w:p>
    <w:p w14:paraId="1DF65CE4" w14:textId="77777777" w:rsidR="003D76C4" w:rsidRDefault="003D76C4">
      <w:pPr>
        <w:pStyle w:val="TOC1"/>
        <w:rPr>
          <w:rFonts w:asciiTheme="minorHAnsi" w:eastAsiaTheme="minorEastAsia" w:hAnsiTheme="minorHAnsi" w:cstheme="minorBidi"/>
          <w:b w:val="0"/>
          <w:sz w:val="22"/>
          <w:lang w:eastAsia="en-US"/>
        </w:rPr>
      </w:pPr>
      <w:r w:rsidRPr="006F2C12">
        <w:t>Observation 3</w:t>
      </w:r>
      <w:r>
        <w:rPr>
          <w:rFonts w:asciiTheme="minorHAnsi" w:eastAsiaTheme="minorEastAsia" w:hAnsiTheme="minorHAnsi" w:cstheme="minorBidi"/>
          <w:b w:val="0"/>
          <w:sz w:val="22"/>
          <w:lang w:eastAsia="en-US"/>
        </w:rPr>
        <w:tab/>
      </w:r>
      <w:r w:rsidRPr="006F2C12">
        <w:t>Dynamic MRS beam coverage support is not possible if BRS reception relies on NR-PSS.</w:t>
      </w:r>
    </w:p>
    <w:p w14:paraId="0F565493" w14:textId="77777777" w:rsidR="003D76C4" w:rsidRDefault="003D76C4">
      <w:pPr>
        <w:pStyle w:val="TOC1"/>
        <w:rPr>
          <w:rFonts w:asciiTheme="minorHAnsi" w:eastAsiaTheme="minorEastAsia" w:hAnsiTheme="minorHAnsi" w:cstheme="minorBidi"/>
          <w:b w:val="0"/>
          <w:sz w:val="22"/>
          <w:lang w:eastAsia="en-US"/>
        </w:rPr>
      </w:pPr>
      <w:r w:rsidRPr="006F2C12">
        <w:t>Observation 4</w:t>
      </w:r>
      <w:r>
        <w:rPr>
          <w:rFonts w:asciiTheme="minorHAnsi" w:eastAsiaTheme="minorEastAsia" w:hAnsiTheme="minorHAnsi" w:cstheme="minorBidi"/>
          <w:b w:val="0"/>
          <w:sz w:val="22"/>
          <w:lang w:eastAsia="en-US"/>
        </w:rPr>
        <w:tab/>
      </w:r>
      <w:r>
        <w:t xml:space="preserve">Partially encoding beam ID in </w:t>
      </w:r>
      <w:r w:rsidRPr="006F2C12">
        <w:t>a TSS field in MRS can help reduce the BRS resource requirement.</w:t>
      </w:r>
    </w:p>
    <w:p w14:paraId="42D33B8B" w14:textId="08644AE2" w:rsidR="008E065E" w:rsidRDefault="008E065E" w:rsidP="00AE0E16">
      <w:pPr>
        <w:pStyle w:val="BodyText"/>
        <w:spacing w:line="360" w:lineRule="auto"/>
        <w:rPr>
          <w:b/>
          <w:bCs/>
        </w:rPr>
      </w:pPr>
      <w:r>
        <w:rPr>
          <w:b/>
          <w:bCs/>
        </w:rPr>
        <w:fldChar w:fldCharType="end"/>
      </w:r>
    </w:p>
    <w:p w14:paraId="661C37B4" w14:textId="1C7A6FC6" w:rsidR="00B47E43" w:rsidRPr="00A5758B" w:rsidRDefault="008E065E" w:rsidP="00B9432C">
      <w:pPr>
        <w:pStyle w:val="BodyText"/>
      </w:pPr>
      <w:r w:rsidRPr="00A5758B">
        <w:t xml:space="preserve">Based on the discussion in section </w:t>
      </w:r>
      <w:r w:rsidRPr="00A5758B">
        <w:rPr>
          <w:b/>
          <w:highlight w:val="cyan"/>
        </w:rPr>
        <w:fldChar w:fldCharType="begin"/>
      </w:r>
      <w:r w:rsidRPr="00A5758B">
        <w:instrText xml:space="preserve"> REF _Ref178064866 \r \h </w:instrText>
      </w:r>
      <w:r w:rsidR="00A5758B">
        <w:rPr>
          <w:highlight w:val="cyan"/>
        </w:rPr>
        <w:instrText xml:space="preserve"> \* MERGEFORMAT </w:instrText>
      </w:r>
      <w:r w:rsidRPr="00A5758B">
        <w:rPr>
          <w:b/>
          <w:highlight w:val="cyan"/>
        </w:rPr>
      </w:r>
      <w:r w:rsidRPr="00A5758B">
        <w:rPr>
          <w:b/>
          <w:highlight w:val="cyan"/>
        </w:rPr>
        <w:fldChar w:fldCharType="separate"/>
      </w:r>
      <w:r w:rsidR="00D17D6A" w:rsidRPr="00A5758B">
        <w:t>2</w:t>
      </w:r>
      <w:r w:rsidRPr="00A5758B">
        <w:rPr>
          <w:b/>
          <w:highlight w:val="cyan"/>
        </w:rPr>
        <w:fldChar w:fldCharType="end"/>
      </w:r>
      <w:r w:rsidRPr="00A5758B">
        <w:t xml:space="preserve"> we propose the following:</w:t>
      </w:r>
    </w:p>
    <w:p w14:paraId="4C9CF8C9" w14:textId="77777777" w:rsidR="003D76C4" w:rsidRDefault="008E065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rsidR="003D76C4">
        <w:t>Proposal 1</w:t>
      </w:r>
      <w:r w:rsidR="003D76C4">
        <w:rPr>
          <w:rFonts w:asciiTheme="minorHAnsi" w:eastAsiaTheme="minorEastAsia" w:hAnsiTheme="minorHAnsi" w:cstheme="minorBidi"/>
          <w:b w:val="0"/>
          <w:sz w:val="22"/>
          <w:lang w:eastAsia="en-US"/>
        </w:rPr>
        <w:tab/>
      </w:r>
      <w:r w:rsidR="003D76C4" w:rsidRPr="00A04C95">
        <w:t>MRS design should include a self-contained sync component that partially encodes the beam ID</w:t>
      </w:r>
      <w:r w:rsidR="003D76C4">
        <w:t>.</w:t>
      </w:r>
    </w:p>
    <w:p w14:paraId="3EA4C0E7" w14:textId="6639A5DD" w:rsidR="008E065E" w:rsidRPr="00CE0424" w:rsidRDefault="008E065E" w:rsidP="00AE0E16">
      <w:pPr>
        <w:spacing w:line="360" w:lineRule="auto"/>
        <w:rPr>
          <w:b/>
          <w:bCs/>
        </w:rPr>
      </w:pPr>
      <w:r w:rsidRPr="00CB456D">
        <w:rPr>
          <w:b/>
          <w:bCs/>
        </w:rPr>
        <w:fldChar w:fldCharType="end"/>
      </w:r>
    </w:p>
    <w:p w14:paraId="3CA25FCB" w14:textId="5A2770BE" w:rsidR="00F507D1" w:rsidRPr="00CE0424" w:rsidRDefault="00F507D1" w:rsidP="00AE0E16">
      <w:pPr>
        <w:pStyle w:val="Heading1"/>
        <w:spacing w:line="360" w:lineRule="auto"/>
      </w:pPr>
      <w:bookmarkStart w:id="12" w:name="_In-sequence_SDU_delivery"/>
      <w:bookmarkEnd w:id="12"/>
      <w:r w:rsidRPr="00CE0424">
        <w:t>References</w:t>
      </w:r>
    </w:p>
    <w:p w14:paraId="6C7E840E" w14:textId="404685F5" w:rsidR="003A7EF3" w:rsidRPr="00B9432C" w:rsidRDefault="00510E38" w:rsidP="00510E38">
      <w:pPr>
        <w:pStyle w:val="Reference"/>
      </w:pPr>
      <w:bookmarkStart w:id="13" w:name="_Ref174151459"/>
      <w:bookmarkStart w:id="14" w:name="_Ref189809556"/>
      <w:bookmarkStart w:id="15" w:name="_Ref458165837"/>
      <w:r w:rsidRPr="00510E38">
        <w:rPr>
          <w:rFonts w:cs="Arial"/>
          <w:color w:val="000000"/>
          <w:szCs w:val="16"/>
        </w:rPr>
        <w:t>R1-1611914</w:t>
      </w:r>
      <w:r w:rsidR="002F0B88" w:rsidRPr="002F0B88">
        <w:t>,</w:t>
      </w:r>
      <w:r w:rsidR="00CD69C4">
        <w:t>”</w:t>
      </w:r>
      <w:r w:rsidR="002F0B88" w:rsidRPr="002F0B88">
        <w:t>NR Synchronization signals for idle and connected mode mobility</w:t>
      </w:r>
      <w:r w:rsidR="003A1D21">
        <w:t>”</w:t>
      </w:r>
      <w:r w:rsidR="002F0B88" w:rsidRPr="002F0B88">
        <w:t>, Ericsson</w:t>
      </w:r>
      <w:bookmarkEnd w:id="13"/>
      <w:bookmarkEnd w:id="14"/>
      <w:bookmarkEnd w:id="15"/>
      <w:r w:rsidR="00E038BC" w:rsidRPr="005E65C5">
        <w:rPr>
          <w:lang w:val="en-US"/>
        </w:rPr>
        <w:t xml:space="preserve"> </w:t>
      </w:r>
    </w:p>
    <w:p w14:paraId="61098724" w14:textId="24F33506" w:rsidR="00A00591" w:rsidRPr="00E038BC" w:rsidRDefault="00A00591" w:rsidP="00A00591">
      <w:pPr>
        <w:pStyle w:val="Reference"/>
      </w:pPr>
      <w:r w:rsidRPr="00A00591">
        <w:t>R1-1611915</w:t>
      </w:r>
      <w:r w:rsidRPr="00A00591">
        <w:tab/>
      </w:r>
      <w:r>
        <w:t xml:space="preserve"> “</w:t>
      </w:r>
      <w:r w:rsidRPr="00A00591">
        <w:t>On NR DL mob</w:t>
      </w:r>
      <w:r>
        <w:t>ility measurement signal design”</w:t>
      </w:r>
      <w:r w:rsidR="0070636F">
        <w:t>,</w:t>
      </w:r>
      <w:r>
        <w:t xml:space="preserve"> </w:t>
      </w:r>
      <w:r w:rsidRPr="00A00591">
        <w:t>Ericsson</w:t>
      </w:r>
    </w:p>
    <w:sectPr w:rsidR="00A00591" w:rsidRPr="00E038B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243C9" w14:textId="77777777" w:rsidR="00C145C8" w:rsidRDefault="00C145C8">
      <w:r>
        <w:separator/>
      </w:r>
    </w:p>
  </w:endnote>
  <w:endnote w:type="continuationSeparator" w:id="0">
    <w:p w14:paraId="35AF3E68" w14:textId="77777777" w:rsidR="00C145C8" w:rsidRDefault="00C145C8">
      <w:r>
        <w:continuationSeparator/>
      </w:r>
    </w:p>
  </w:endnote>
  <w:endnote w:type="continuationNotice" w:id="1">
    <w:p w14:paraId="7365480E" w14:textId="77777777" w:rsidR="00C145C8" w:rsidRDefault="00C14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116D229" w:rsidR="00681F34" w:rsidRDefault="00681F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45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45C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6B2B4" w14:textId="77777777" w:rsidR="00C145C8" w:rsidRDefault="00C145C8">
      <w:r>
        <w:separator/>
      </w:r>
    </w:p>
  </w:footnote>
  <w:footnote w:type="continuationSeparator" w:id="0">
    <w:p w14:paraId="22F07AD4" w14:textId="77777777" w:rsidR="00C145C8" w:rsidRDefault="00C145C8">
      <w:r>
        <w:continuationSeparator/>
      </w:r>
    </w:p>
  </w:footnote>
  <w:footnote w:type="continuationNotice" w:id="1">
    <w:p w14:paraId="16B92A41" w14:textId="77777777" w:rsidR="00C145C8" w:rsidRDefault="00C145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81F34" w:rsidRDefault="00681F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2A8BD7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3BC59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84620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21AA5"/>
    <w:multiLevelType w:val="hybridMultilevel"/>
    <w:tmpl w:val="DA104F34"/>
    <w:lvl w:ilvl="0" w:tplc="F432D88E">
      <w:start w:val="1"/>
      <w:numFmt w:val="bullet"/>
      <w:lvlText w:val="›"/>
      <w:lvlJc w:val="left"/>
      <w:pPr>
        <w:tabs>
          <w:tab w:val="num" w:pos="720"/>
        </w:tabs>
        <w:ind w:left="720" w:hanging="360"/>
      </w:pPr>
      <w:rPr>
        <w:rFonts w:ascii="Arial" w:hAnsi="Arial" w:hint="default"/>
      </w:rPr>
    </w:lvl>
    <w:lvl w:ilvl="1" w:tplc="42341D5E">
      <w:numFmt w:val="bullet"/>
      <w:lvlText w:val="–"/>
      <w:lvlJc w:val="left"/>
      <w:pPr>
        <w:tabs>
          <w:tab w:val="num" w:pos="1440"/>
        </w:tabs>
        <w:ind w:left="1440" w:hanging="360"/>
      </w:pPr>
      <w:rPr>
        <w:rFonts w:ascii="Ericsson Capital TT" w:hAnsi="Ericsson Capital TT" w:hint="default"/>
      </w:rPr>
    </w:lvl>
    <w:lvl w:ilvl="2" w:tplc="F72253F6" w:tentative="1">
      <w:start w:val="1"/>
      <w:numFmt w:val="bullet"/>
      <w:lvlText w:val="›"/>
      <w:lvlJc w:val="left"/>
      <w:pPr>
        <w:tabs>
          <w:tab w:val="num" w:pos="2160"/>
        </w:tabs>
        <w:ind w:left="2160" w:hanging="360"/>
      </w:pPr>
      <w:rPr>
        <w:rFonts w:ascii="Arial" w:hAnsi="Arial" w:hint="default"/>
      </w:rPr>
    </w:lvl>
    <w:lvl w:ilvl="3" w:tplc="5AB0AD60" w:tentative="1">
      <w:start w:val="1"/>
      <w:numFmt w:val="bullet"/>
      <w:lvlText w:val="›"/>
      <w:lvlJc w:val="left"/>
      <w:pPr>
        <w:tabs>
          <w:tab w:val="num" w:pos="2880"/>
        </w:tabs>
        <w:ind w:left="2880" w:hanging="360"/>
      </w:pPr>
      <w:rPr>
        <w:rFonts w:ascii="Arial" w:hAnsi="Arial" w:hint="default"/>
      </w:rPr>
    </w:lvl>
    <w:lvl w:ilvl="4" w:tplc="C4B60F74" w:tentative="1">
      <w:start w:val="1"/>
      <w:numFmt w:val="bullet"/>
      <w:lvlText w:val="›"/>
      <w:lvlJc w:val="left"/>
      <w:pPr>
        <w:tabs>
          <w:tab w:val="num" w:pos="3600"/>
        </w:tabs>
        <w:ind w:left="3600" w:hanging="360"/>
      </w:pPr>
      <w:rPr>
        <w:rFonts w:ascii="Arial" w:hAnsi="Arial" w:hint="default"/>
      </w:rPr>
    </w:lvl>
    <w:lvl w:ilvl="5" w:tplc="3F6A2FE0" w:tentative="1">
      <w:start w:val="1"/>
      <w:numFmt w:val="bullet"/>
      <w:lvlText w:val="›"/>
      <w:lvlJc w:val="left"/>
      <w:pPr>
        <w:tabs>
          <w:tab w:val="num" w:pos="4320"/>
        </w:tabs>
        <w:ind w:left="4320" w:hanging="360"/>
      </w:pPr>
      <w:rPr>
        <w:rFonts w:ascii="Arial" w:hAnsi="Arial" w:hint="default"/>
      </w:rPr>
    </w:lvl>
    <w:lvl w:ilvl="6" w:tplc="0018070C" w:tentative="1">
      <w:start w:val="1"/>
      <w:numFmt w:val="bullet"/>
      <w:lvlText w:val="›"/>
      <w:lvlJc w:val="left"/>
      <w:pPr>
        <w:tabs>
          <w:tab w:val="num" w:pos="5040"/>
        </w:tabs>
        <w:ind w:left="5040" w:hanging="360"/>
      </w:pPr>
      <w:rPr>
        <w:rFonts w:ascii="Arial" w:hAnsi="Arial" w:hint="default"/>
      </w:rPr>
    </w:lvl>
    <w:lvl w:ilvl="7" w:tplc="C1AA1F58" w:tentative="1">
      <w:start w:val="1"/>
      <w:numFmt w:val="bullet"/>
      <w:lvlText w:val="›"/>
      <w:lvlJc w:val="left"/>
      <w:pPr>
        <w:tabs>
          <w:tab w:val="num" w:pos="5760"/>
        </w:tabs>
        <w:ind w:left="5760" w:hanging="360"/>
      </w:pPr>
      <w:rPr>
        <w:rFonts w:ascii="Arial" w:hAnsi="Arial" w:hint="default"/>
      </w:rPr>
    </w:lvl>
    <w:lvl w:ilvl="8" w:tplc="CC5A23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B468B"/>
    <w:multiLevelType w:val="hybridMultilevel"/>
    <w:tmpl w:val="2E62EE72"/>
    <w:lvl w:ilvl="0" w:tplc="40323B4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F06ED"/>
    <w:multiLevelType w:val="hybridMultilevel"/>
    <w:tmpl w:val="B85A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B5BFE"/>
    <w:multiLevelType w:val="hybridMultilevel"/>
    <w:tmpl w:val="BBF05676"/>
    <w:lvl w:ilvl="0" w:tplc="3D9609C4">
      <w:start w:val="1"/>
      <w:numFmt w:val="bullet"/>
      <w:lvlText w:val="›"/>
      <w:lvlJc w:val="left"/>
      <w:pPr>
        <w:tabs>
          <w:tab w:val="num" w:pos="720"/>
        </w:tabs>
        <w:ind w:left="720" w:hanging="360"/>
      </w:pPr>
      <w:rPr>
        <w:rFonts w:ascii="Arial" w:hAnsi="Arial" w:hint="default"/>
      </w:rPr>
    </w:lvl>
    <w:lvl w:ilvl="1" w:tplc="058297B8">
      <w:numFmt w:val="bullet"/>
      <w:lvlText w:val="–"/>
      <w:lvlJc w:val="left"/>
      <w:pPr>
        <w:tabs>
          <w:tab w:val="num" w:pos="1440"/>
        </w:tabs>
        <w:ind w:left="1440" w:hanging="360"/>
      </w:pPr>
      <w:rPr>
        <w:rFonts w:ascii="Ericsson Capital TT" w:hAnsi="Ericsson Capital TT" w:hint="default"/>
      </w:rPr>
    </w:lvl>
    <w:lvl w:ilvl="2" w:tplc="D414B666">
      <w:numFmt w:val="bullet"/>
      <w:lvlText w:val="›"/>
      <w:lvlJc w:val="left"/>
      <w:pPr>
        <w:tabs>
          <w:tab w:val="num" w:pos="2160"/>
        </w:tabs>
        <w:ind w:left="2160" w:hanging="360"/>
      </w:pPr>
      <w:rPr>
        <w:rFonts w:ascii="Ericsson Capital TT" w:hAnsi="Ericsson Capital TT" w:hint="default"/>
      </w:rPr>
    </w:lvl>
    <w:lvl w:ilvl="3" w:tplc="EC644E6C" w:tentative="1">
      <w:start w:val="1"/>
      <w:numFmt w:val="bullet"/>
      <w:lvlText w:val="›"/>
      <w:lvlJc w:val="left"/>
      <w:pPr>
        <w:tabs>
          <w:tab w:val="num" w:pos="2880"/>
        </w:tabs>
        <w:ind w:left="2880" w:hanging="360"/>
      </w:pPr>
      <w:rPr>
        <w:rFonts w:ascii="Arial" w:hAnsi="Arial" w:hint="default"/>
      </w:rPr>
    </w:lvl>
    <w:lvl w:ilvl="4" w:tplc="1DD4D7F6" w:tentative="1">
      <w:start w:val="1"/>
      <w:numFmt w:val="bullet"/>
      <w:lvlText w:val="›"/>
      <w:lvlJc w:val="left"/>
      <w:pPr>
        <w:tabs>
          <w:tab w:val="num" w:pos="3600"/>
        </w:tabs>
        <w:ind w:left="3600" w:hanging="360"/>
      </w:pPr>
      <w:rPr>
        <w:rFonts w:ascii="Arial" w:hAnsi="Arial" w:hint="default"/>
      </w:rPr>
    </w:lvl>
    <w:lvl w:ilvl="5" w:tplc="A97EF6BC" w:tentative="1">
      <w:start w:val="1"/>
      <w:numFmt w:val="bullet"/>
      <w:lvlText w:val="›"/>
      <w:lvlJc w:val="left"/>
      <w:pPr>
        <w:tabs>
          <w:tab w:val="num" w:pos="4320"/>
        </w:tabs>
        <w:ind w:left="4320" w:hanging="360"/>
      </w:pPr>
      <w:rPr>
        <w:rFonts w:ascii="Arial" w:hAnsi="Arial" w:hint="default"/>
      </w:rPr>
    </w:lvl>
    <w:lvl w:ilvl="6" w:tplc="502062A2" w:tentative="1">
      <w:start w:val="1"/>
      <w:numFmt w:val="bullet"/>
      <w:lvlText w:val="›"/>
      <w:lvlJc w:val="left"/>
      <w:pPr>
        <w:tabs>
          <w:tab w:val="num" w:pos="5040"/>
        </w:tabs>
        <w:ind w:left="5040" w:hanging="360"/>
      </w:pPr>
      <w:rPr>
        <w:rFonts w:ascii="Arial" w:hAnsi="Arial" w:hint="default"/>
      </w:rPr>
    </w:lvl>
    <w:lvl w:ilvl="7" w:tplc="661E09EC" w:tentative="1">
      <w:start w:val="1"/>
      <w:numFmt w:val="bullet"/>
      <w:lvlText w:val="›"/>
      <w:lvlJc w:val="left"/>
      <w:pPr>
        <w:tabs>
          <w:tab w:val="num" w:pos="5760"/>
        </w:tabs>
        <w:ind w:left="5760" w:hanging="360"/>
      </w:pPr>
      <w:rPr>
        <w:rFonts w:ascii="Arial" w:hAnsi="Arial" w:hint="default"/>
      </w:rPr>
    </w:lvl>
    <w:lvl w:ilvl="8" w:tplc="095086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2109AB"/>
    <w:multiLevelType w:val="hybridMultilevel"/>
    <w:tmpl w:val="17461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0733DC"/>
    <w:multiLevelType w:val="hybridMultilevel"/>
    <w:tmpl w:val="70201262"/>
    <w:lvl w:ilvl="0" w:tplc="8A4AB228">
      <w:start w:val="1"/>
      <w:numFmt w:val="bullet"/>
      <w:lvlText w:val="›"/>
      <w:lvlJc w:val="left"/>
      <w:pPr>
        <w:tabs>
          <w:tab w:val="num" w:pos="720"/>
        </w:tabs>
        <w:ind w:left="720" w:hanging="360"/>
      </w:pPr>
      <w:rPr>
        <w:rFonts w:ascii="Arial" w:hAnsi="Arial" w:hint="default"/>
      </w:rPr>
    </w:lvl>
    <w:lvl w:ilvl="1" w:tplc="54C0A422">
      <w:numFmt w:val="bullet"/>
      <w:lvlText w:val="–"/>
      <w:lvlJc w:val="left"/>
      <w:pPr>
        <w:tabs>
          <w:tab w:val="num" w:pos="1440"/>
        </w:tabs>
        <w:ind w:left="1440" w:hanging="360"/>
      </w:pPr>
      <w:rPr>
        <w:rFonts w:ascii="Ericsson Capital TT" w:hAnsi="Ericsson Capital TT" w:hint="default"/>
      </w:rPr>
    </w:lvl>
    <w:lvl w:ilvl="2" w:tplc="40508E54" w:tentative="1">
      <w:start w:val="1"/>
      <w:numFmt w:val="bullet"/>
      <w:lvlText w:val="›"/>
      <w:lvlJc w:val="left"/>
      <w:pPr>
        <w:tabs>
          <w:tab w:val="num" w:pos="2160"/>
        </w:tabs>
        <w:ind w:left="2160" w:hanging="360"/>
      </w:pPr>
      <w:rPr>
        <w:rFonts w:ascii="Arial" w:hAnsi="Arial" w:hint="default"/>
      </w:rPr>
    </w:lvl>
    <w:lvl w:ilvl="3" w:tplc="CD8E46F8" w:tentative="1">
      <w:start w:val="1"/>
      <w:numFmt w:val="bullet"/>
      <w:lvlText w:val="›"/>
      <w:lvlJc w:val="left"/>
      <w:pPr>
        <w:tabs>
          <w:tab w:val="num" w:pos="2880"/>
        </w:tabs>
        <w:ind w:left="2880" w:hanging="360"/>
      </w:pPr>
      <w:rPr>
        <w:rFonts w:ascii="Arial" w:hAnsi="Arial" w:hint="default"/>
      </w:rPr>
    </w:lvl>
    <w:lvl w:ilvl="4" w:tplc="FEC093C2" w:tentative="1">
      <w:start w:val="1"/>
      <w:numFmt w:val="bullet"/>
      <w:lvlText w:val="›"/>
      <w:lvlJc w:val="left"/>
      <w:pPr>
        <w:tabs>
          <w:tab w:val="num" w:pos="3600"/>
        </w:tabs>
        <w:ind w:left="3600" w:hanging="360"/>
      </w:pPr>
      <w:rPr>
        <w:rFonts w:ascii="Arial" w:hAnsi="Arial" w:hint="default"/>
      </w:rPr>
    </w:lvl>
    <w:lvl w:ilvl="5" w:tplc="E5FEF834" w:tentative="1">
      <w:start w:val="1"/>
      <w:numFmt w:val="bullet"/>
      <w:lvlText w:val="›"/>
      <w:lvlJc w:val="left"/>
      <w:pPr>
        <w:tabs>
          <w:tab w:val="num" w:pos="4320"/>
        </w:tabs>
        <w:ind w:left="4320" w:hanging="360"/>
      </w:pPr>
      <w:rPr>
        <w:rFonts w:ascii="Arial" w:hAnsi="Arial" w:hint="default"/>
      </w:rPr>
    </w:lvl>
    <w:lvl w:ilvl="6" w:tplc="9822E3B2" w:tentative="1">
      <w:start w:val="1"/>
      <w:numFmt w:val="bullet"/>
      <w:lvlText w:val="›"/>
      <w:lvlJc w:val="left"/>
      <w:pPr>
        <w:tabs>
          <w:tab w:val="num" w:pos="5040"/>
        </w:tabs>
        <w:ind w:left="5040" w:hanging="360"/>
      </w:pPr>
      <w:rPr>
        <w:rFonts w:ascii="Arial" w:hAnsi="Arial" w:hint="default"/>
      </w:rPr>
    </w:lvl>
    <w:lvl w:ilvl="7" w:tplc="D9B47614" w:tentative="1">
      <w:start w:val="1"/>
      <w:numFmt w:val="bullet"/>
      <w:lvlText w:val="›"/>
      <w:lvlJc w:val="left"/>
      <w:pPr>
        <w:tabs>
          <w:tab w:val="num" w:pos="5760"/>
        </w:tabs>
        <w:ind w:left="5760" w:hanging="360"/>
      </w:pPr>
      <w:rPr>
        <w:rFonts w:ascii="Arial" w:hAnsi="Arial" w:hint="default"/>
      </w:rPr>
    </w:lvl>
    <w:lvl w:ilvl="8" w:tplc="75DC07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B6F35"/>
    <w:multiLevelType w:val="hybridMultilevel"/>
    <w:tmpl w:val="3F945E04"/>
    <w:lvl w:ilvl="0" w:tplc="ECFC14D2">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9"/>
  </w:num>
  <w:num w:numId="4">
    <w:abstractNumId w:val="20"/>
  </w:num>
  <w:num w:numId="5">
    <w:abstractNumId w:val="15"/>
  </w:num>
  <w:num w:numId="6">
    <w:abstractNumId w:val="23"/>
  </w:num>
  <w:num w:numId="7">
    <w:abstractNumId w:val="30"/>
  </w:num>
  <w:num w:numId="8">
    <w:abstractNumId w:val="16"/>
  </w:num>
  <w:num w:numId="9">
    <w:abstractNumId w:val="12"/>
  </w:num>
  <w:num w:numId="10">
    <w:abstractNumId w:val="3"/>
  </w:num>
  <w:num w:numId="11">
    <w:abstractNumId w:val="2"/>
  </w:num>
  <w:num w:numId="12">
    <w:abstractNumId w:val="1"/>
  </w:num>
  <w:num w:numId="13">
    <w:abstractNumId w:val="28"/>
  </w:num>
  <w:num w:numId="14">
    <w:abstractNumId w:val="0"/>
  </w:num>
  <w:num w:numId="15">
    <w:abstractNumId w:val="14"/>
  </w:num>
  <w:num w:numId="16">
    <w:abstractNumId w:val="31"/>
  </w:num>
  <w:num w:numId="17">
    <w:abstractNumId w:val="21"/>
  </w:num>
  <w:num w:numId="18">
    <w:abstractNumId w:val="26"/>
  </w:num>
  <w:num w:numId="19">
    <w:abstractNumId w:val="7"/>
  </w:num>
  <w:num w:numId="20">
    <w:abstractNumId w:val="18"/>
  </w:num>
  <w:num w:numId="21">
    <w:abstractNumId w:val="9"/>
  </w:num>
  <w:num w:numId="22">
    <w:abstractNumId w:val="5"/>
  </w:num>
  <w:num w:numId="23">
    <w:abstractNumId w:val="24"/>
  </w:num>
  <w:num w:numId="24">
    <w:abstractNumId w:val="22"/>
  </w:num>
  <w:num w:numId="25">
    <w:abstractNumId w:val="13"/>
  </w:num>
  <w:num w:numId="26">
    <w:abstractNumId w:val="29"/>
  </w:num>
  <w:num w:numId="27">
    <w:abstractNumId w:val="6"/>
  </w:num>
  <w:num w:numId="28">
    <w:abstractNumId w:val="10"/>
  </w:num>
  <w:num w:numId="29">
    <w:abstractNumId w:val="8"/>
  </w:num>
  <w:num w:numId="30">
    <w:abstractNumId w:val="32"/>
  </w:num>
  <w:num w:numId="31">
    <w:abstractNumId w:val="25"/>
  </w:num>
  <w:num w:numId="32">
    <w:abstractNumId w:val="17"/>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20D6"/>
    <w:rsid w:val="00014031"/>
    <w:rsid w:val="00015154"/>
    <w:rsid w:val="00015D15"/>
    <w:rsid w:val="00015F6F"/>
    <w:rsid w:val="0002564D"/>
    <w:rsid w:val="00025ECA"/>
    <w:rsid w:val="000266D4"/>
    <w:rsid w:val="0003178D"/>
    <w:rsid w:val="000325B8"/>
    <w:rsid w:val="00032982"/>
    <w:rsid w:val="000340C8"/>
    <w:rsid w:val="00034C15"/>
    <w:rsid w:val="00035FD3"/>
    <w:rsid w:val="00036BA1"/>
    <w:rsid w:val="000422E2"/>
    <w:rsid w:val="00042F22"/>
    <w:rsid w:val="000444EF"/>
    <w:rsid w:val="000476CE"/>
    <w:rsid w:val="000505C9"/>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6910"/>
    <w:rsid w:val="0008736E"/>
    <w:rsid w:val="0009009F"/>
    <w:rsid w:val="0009012F"/>
    <w:rsid w:val="00091557"/>
    <w:rsid w:val="000924C1"/>
    <w:rsid w:val="000924F0"/>
    <w:rsid w:val="00092B4B"/>
    <w:rsid w:val="00093474"/>
    <w:rsid w:val="0009510F"/>
    <w:rsid w:val="000A07D8"/>
    <w:rsid w:val="000A1B7B"/>
    <w:rsid w:val="000A56F2"/>
    <w:rsid w:val="000B2719"/>
    <w:rsid w:val="000B3A8F"/>
    <w:rsid w:val="000B4AB9"/>
    <w:rsid w:val="000B58C3"/>
    <w:rsid w:val="000B61E9"/>
    <w:rsid w:val="000B66A8"/>
    <w:rsid w:val="000B7634"/>
    <w:rsid w:val="000B7B33"/>
    <w:rsid w:val="000C165A"/>
    <w:rsid w:val="000C2E19"/>
    <w:rsid w:val="000C6391"/>
    <w:rsid w:val="000D0D07"/>
    <w:rsid w:val="000D4797"/>
    <w:rsid w:val="000E0527"/>
    <w:rsid w:val="000E17AD"/>
    <w:rsid w:val="000E1A1F"/>
    <w:rsid w:val="000E1E92"/>
    <w:rsid w:val="000F06D6"/>
    <w:rsid w:val="000F0839"/>
    <w:rsid w:val="000F0EB1"/>
    <w:rsid w:val="000F1106"/>
    <w:rsid w:val="000F23D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3E01"/>
    <w:rsid w:val="001507D7"/>
    <w:rsid w:val="00151E23"/>
    <w:rsid w:val="001526E0"/>
    <w:rsid w:val="001551B5"/>
    <w:rsid w:val="0015595C"/>
    <w:rsid w:val="0016360E"/>
    <w:rsid w:val="00164D4A"/>
    <w:rsid w:val="001659C1"/>
    <w:rsid w:val="00166E7F"/>
    <w:rsid w:val="00170546"/>
    <w:rsid w:val="00170C0D"/>
    <w:rsid w:val="00173A8E"/>
    <w:rsid w:val="00174693"/>
    <w:rsid w:val="001748BD"/>
    <w:rsid w:val="00177795"/>
    <w:rsid w:val="0018143F"/>
    <w:rsid w:val="001815D9"/>
    <w:rsid w:val="00183D3A"/>
    <w:rsid w:val="0018412F"/>
    <w:rsid w:val="0018507F"/>
    <w:rsid w:val="001854EE"/>
    <w:rsid w:val="00185502"/>
    <w:rsid w:val="00190AC1"/>
    <w:rsid w:val="0019341A"/>
    <w:rsid w:val="00197DF9"/>
    <w:rsid w:val="001A0FF8"/>
    <w:rsid w:val="001A1987"/>
    <w:rsid w:val="001A2564"/>
    <w:rsid w:val="001A5817"/>
    <w:rsid w:val="001A6173"/>
    <w:rsid w:val="001A6CBA"/>
    <w:rsid w:val="001B089D"/>
    <w:rsid w:val="001B0D97"/>
    <w:rsid w:val="001B23E5"/>
    <w:rsid w:val="001B501F"/>
    <w:rsid w:val="001B5A5D"/>
    <w:rsid w:val="001B69AE"/>
    <w:rsid w:val="001B700F"/>
    <w:rsid w:val="001C1CE5"/>
    <w:rsid w:val="001C3D2A"/>
    <w:rsid w:val="001C75BB"/>
    <w:rsid w:val="001D51BA"/>
    <w:rsid w:val="001D6342"/>
    <w:rsid w:val="001D6A00"/>
    <w:rsid w:val="001D6D53"/>
    <w:rsid w:val="001E05D3"/>
    <w:rsid w:val="001E518C"/>
    <w:rsid w:val="001E58E2"/>
    <w:rsid w:val="001E6E7C"/>
    <w:rsid w:val="001E7AED"/>
    <w:rsid w:val="001F238A"/>
    <w:rsid w:val="001F3916"/>
    <w:rsid w:val="001F3A1A"/>
    <w:rsid w:val="001F54C5"/>
    <w:rsid w:val="001F662C"/>
    <w:rsid w:val="001F6F78"/>
    <w:rsid w:val="001F7074"/>
    <w:rsid w:val="00200490"/>
    <w:rsid w:val="00201F3A"/>
    <w:rsid w:val="00202C20"/>
    <w:rsid w:val="00203F96"/>
    <w:rsid w:val="002066D0"/>
    <w:rsid w:val="002069B2"/>
    <w:rsid w:val="00207FA3"/>
    <w:rsid w:val="00214DA8"/>
    <w:rsid w:val="00215423"/>
    <w:rsid w:val="002158FA"/>
    <w:rsid w:val="00217F12"/>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2F91"/>
    <w:rsid w:val="00273278"/>
    <w:rsid w:val="002737F4"/>
    <w:rsid w:val="002805F5"/>
    <w:rsid w:val="00280751"/>
    <w:rsid w:val="0028280A"/>
    <w:rsid w:val="00286A5A"/>
    <w:rsid w:val="00286ACD"/>
    <w:rsid w:val="00287838"/>
    <w:rsid w:val="0029002D"/>
    <w:rsid w:val="002907B5"/>
    <w:rsid w:val="00292DF0"/>
    <w:rsid w:val="00292EB7"/>
    <w:rsid w:val="00296227"/>
    <w:rsid w:val="00296F44"/>
    <w:rsid w:val="0029745E"/>
    <w:rsid w:val="0029777D"/>
    <w:rsid w:val="002A055E"/>
    <w:rsid w:val="002A1D4E"/>
    <w:rsid w:val="002A24B9"/>
    <w:rsid w:val="002A2869"/>
    <w:rsid w:val="002B0907"/>
    <w:rsid w:val="002B24D6"/>
    <w:rsid w:val="002B4CE9"/>
    <w:rsid w:val="002B702F"/>
    <w:rsid w:val="002C41E6"/>
    <w:rsid w:val="002D071A"/>
    <w:rsid w:val="002D1464"/>
    <w:rsid w:val="002D34B2"/>
    <w:rsid w:val="002D4A15"/>
    <w:rsid w:val="002D4F72"/>
    <w:rsid w:val="002D7225"/>
    <w:rsid w:val="002D7637"/>
    <w:rsid w:val="002E17F2"/>
    <w:rsid w:val="002E6D28"/>
    <w:rsid w:val="002E7CAE"/>
    <w:rsid w:val="002F0B88"/>
    <w:rsid w:val="002F2771"/>
    <w:rsid w:val="002F37A9"/>
    <w:rsid w:val="002F5BBD"/>
    <w:rsid w:val="002F62AD"/>
    <w:rsid w:val="00301CE6"/>
    <w:rsid w:val="0030256B"/>
    <w:rsid w:val="00302CA2"/>
    <w:rsid w:val="003042A8"/>
    <w:rsid w:val="0030501F"/>
    <w:rsid w:val="0030638C"/>
    <w:rsid w:val="00307BA1"/>
    <w:rsid w:val="003102CA"/>
    <w:rsid w:val="00310A30"/>
    <w:rsid w:val="003110D0"/>
    <w:rsid w:val="00311702"/>
    <w:rsid w:val="00311CC7"/>
    <w:rsid w:val="00311E82"/>
    <w:rsid w:val="00313FD6"/>
    <w:rsid w:val="003143BD"/>
    <w:rsid w:val="00314D7C"/>
    <w:rsid w:val="003203ED"/>
    <w:rsid w:val="003210CD"/>
    <w:rsid w:val="00322C9F"/>
    <w:rsid w:val="003244F4"/>
    <w:rsid w:val="00324D23"/>
    <w:rsid w:val="003268E0"/>
    <w:rsid w:val="00331751"/>
    <w:rsid w:val="00334579"/>
    <w:rsid w:val="00335858"/>
    <w:rsid w:val="0033662A"/>
    <w:rsid w:val="003367D8"/>
    <w:rsid w:val="00336BDA"/>
    <w:rsid w:val="00337F45"/>
    <w:rsid w:val="0034246D"/>
    <w:rsid w:val="00342BD7"/>
    <w:rsid w:val="00343A07"/>
    <w:rsid w:val="00344600"/>
    <w:rsid w:val="00346DB5"/>
    <w:rsid w:val="00347743"/>
    <w:rsid w:val="003477B1"/>
    <w:rsid w:val="00357380"/>
    <w:rsid w:val="003602D9"/>
    <w:rsid w:val="003604CE"/>
    <w:rsid w:val="00361D0E"/>
    <w:rsid w:val="00365F79"/>
    <w:rsid w:val="00366C11"/>
    <w:rsid w:val="00370E47"/>
    <w:rsid w:val="0037274C"/>
    <w:rsid w:val="003742AC"/>
    <w:rsid w:val="003766F3"/>
    <w:rsid w:val="00377CE1"/>
    <w:rsid w:val="00380D6A"/>
    <w:rsid w:val="00384092"/>
    <w:rsid w:val="00385BF0"/>
    <w:rsid w:val="003939FF"/>
    <w:rsid w:val="003947A0"/>
    <w:rsid w:val="003A091A"/>
    <w:rsid w:val="003A1D21"/>
    <w:rsid w:val="003A1EC8"/>
    <w:rsid w:val="003A2223"/>
    <w:rsid w:val="003A2A0F"/>
    <w:rsid w:val="003A45A1"/>
    <w:rsid w:val="003A5B0A"/>
    <w:rsid w:val="003A5C65"/>
    <w:rsid w:val="003A6BAC"/>
    <w:rsid w:val="003A7EF3"/>
    <w:rsid w:val="003B159C"/>
    <w:rsid w:val="003B369F"/>
    <w:rsid w:val="003B36A3"/>
    <w:rsid w:val="003B734F"/>
    <w:rsid w:val="003B7FE5"/>
    <w:rsid w:val="003C11C8"/>
    <w:rsid w:val="003C2702"/>
    <w:rsid w:val="003C5870"/>
    <w:rsid w:val="003C7806"/>
    <w:rsid w:val="003D0CD4"/>
    <w:rsid w:val="003D109F"/>
    <w:rsid w:val="003D2478"/>
    <w:rsid w:val="003D3C45"/>
    <w:rsid w:val="003D5B1F"/>
    <w:rsid w:val="003D76C4"/>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674"/>
    <w:rsid w:val="00407CD3"/>
    <w:rsid w:val="00410134"/>
    <w:rsid w:val="00410B72"/>
    <w:rsid w:val="00410F18"/>
    <w:rsid w:val="004113A5"/>
    <w:rsid w:val="0041263E"/>
    <w:rsid w:val="00413AAC"/>
    <w:rsid w:val="00421105"/>
    <w:rsid w:val="004242F4"/>
    <w:rsid w:val="00427248"/>
    <w:rsid w:val="004314DE"/>
    <w:rsid w:val="00437447"/>
    <w:rsid w:val="00441A92"/>
    <w:rsid w:val="00444F56"/>
    <w:rsid w:val="00446488"/>
    <w:rsid w:val="00451219"/>
    <w:rsid w:val="004517AA"/>
    <w:rsid w:val="00452B53"/>
    <w:rsid w:val="00452CAC"/>
    <w:rsid w:val="00455097"/>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C7513"/>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0E38"/>
    <w:rsid w:val="005116F9"/>
    <w:rsid w:val="005118A6"/>
    <w:rsid w:val="005153A7"/>
    <w:rsid w:val="005219CF"/>
    <w:rsid w:val="00533698"/>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50AC"/>
    <w:rsid w:val="0058798C"/>
    <w:rsid w:val="005900FA"/>
    <w:rsid w:val="005935A4"/>
    <w:rsid w:val="005948C2"/>
    <w:rsid w:val="005954DA"/>
    <w:rsid w:val="00595DCA"/>
    <w:rsid w:val="0059779B"/>
    <w:rsid w:val="00597FB3"/>
    <w:rsid w:val="005A209A"/>
    <w:rsid w:val="005A3508"/>
    <w:rsid w:val="005A61E5"/>
    <w:rsid w:val="005A662D"/>
    <w:rsid w:val="005B35D7"/>
    <w:rsid w:val="005B392A"/>
    <w:rsid w:val="005B3AA3"/>
    <w:rsid w:val="005B5F66"/>
    <w:rsid w:val="005B6001"/>
    <w:rsid w:val="005B6F83"/>
    <w:rsid w:val="005C0B51"/>
    <w:rsid w:val="005C0C58"/>
    <w:rsid w:val="005C74FB"/>
    <w:rsid w:val="005D1602"/>
    <w:rsid w:val="005D22E6"/>
    <w:rsid w:val="005D76D8"/>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859"/>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1F34"/>
    <w:rsid w:val="00682017"/>
    <w:rsid w:val="00683ECE"/>
    <w:rsid w:val="00685147"/>
    <w:rsid w:val="006876D5"/>
    <w:rsid w:val="00691E97"/>
    <w:rsid w:val="00695FC2"/>
    <w:rsid w:val="00696027"/>
    <w:rsid w:val="00696949"/>
    <w:rsid w:val="00697052"/>
    <w:rsid w:val="0069729E"/>
    <w:rsid w:val="006A46FB"/>
    <w:rsid w:val="006A5717"/>
    <w:rsid w:val="006A5E28"/>
    <w:rsid w:val="006A697B"/>
    <w:rsid w:val="006A7AFF"/>
    <w:rsid w:val="006B1816"/>
    <w:rsid w:val="006B2099"/>
    <w:rsid w:val="006B50CF"/>
    <w:rsid w:val="006B5BE6"/>
    <w:rsid w:val="006C03B8"/>
    <w:rsid w:val="006C3409"/>
    <w:rsid w:val="006C508F"/>
    <w:rsid w:val="006C5761"/>
    <w:rsid w:val="006C5EC9"/>
    <w:rsid w:val="006C6059"/>
    <w:rsid w:val="006C7522"/>
    <w:rsid w:val="006D03E3"/>
    <w:rsid w:val="006D1623"/>
    <w:rsid w:val="006D20E1"/>
    <w:rsid w:val="006D2139"/>
    <w:rsid w:val="006D2CB6"/>
    <w:rsid w:val="006D3881"/>
    <w:rsid w:val="006D6F08"/>
    <w:rsid w:val="006E062C"/>
    <w:rsid w:val="006E25B1"/>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636F"/>
    <w:rsid w:val="00707072"/>
    <w:rsid w:val="00707D61"/>
    <w:rsid w:val="00710CE7"/>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5F13"/>
    <w:rsid w:val="00747D8B"/>
    <w:rsid w:val="00750E8F"/>
    <w:rsid w:val="00751228"/>
    <w:rsid w:val="00753AD2"/>
    <w:rsid w:val="007557B4"/>
    <w:rsid w:val="007571E1"/>
    <w:rsid w:val="007604B2"/>
    <w:rsid w:val="00763252"/>
    <w:rsid w:val="00765281"/>
    <w:rsid w:val="00766385"/>
    <w:rsid w:val="00766BAD"/>
    <w:rsid w:val="007705B8"/>
    <w:rsid w:val="007730BD"/>
    <w:rsid w:val="007755F2"/>
    <w:rsid w:val="0077585D"/>
    <w:rsid w:val="00776971"/>
    <w:rsid w:val="00777130"/>
    <w:rsid w:val="0078177E"/>
    <w:rsid w:val="0078304C"/>
    <w:rsid w:val="00783673"/>
    <w:rsid w:val="00785490"/>
    <w:rsid w:val="0079075E"/>
    <w:rsid w:val="00790CBB"/>
    <w:rsid w:val="00791306"/>
    <w:rsid w:val="007925EA"/>
    <w:rsid w:val="00793CD8"/>
    <w:rsid w:val="00795C92"/>
    <w:rsid w:val="00796231"/>
    <w:rsid w:val="007A1CB3"/>
    <w:rsid w:val="007A2DF6"/>
    <w:rsid w:val="007A306F"/>
    <w:rsid w:val="007A43A6"/>
    <w:rsid w:val="007A495B"/>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C7FD9"/>
    <w:rsid w:val="007D04E5"/>
    <w:rsid w:val="007D497F"/>
    <w:rsid w:val="007D5901"/>
    <w:rsid w:val="007D7526"/>
    <w:rsid w:val="007E1602"/>
    <w:rsid w:val="007E4610"/>
    <w:rsid w:val="007E4715"/>
    <w:rsid w:val="007E505B"/>
    <w:rsid w:val="007E621D"/>
    <w:rsid w:val="007E7091"/>
    <w:rsid w:val="007F09D8"/>
    <w:rsid w:val="007F1B65"/>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1788"/>
    <w:rsid w:val="00883405"/>
    <w:rsid w:val="00894A88"/>
    <w:rsid w:val="00895386"/>
    <w:rsid w:val="00895561"/>
    <w:rsid w:val="00895AD9"/>
    <w:rsid w:val="008967DC"/>
    <w:rsid w:val="008A21FF"/>
    <w:rsid w:val="008A2CE2"/>
    <w:rsid w:val="008A30AC"/>
    <w:rsid w:val="008A44B8"/>
    <w:rsid w:val="008A51A8"/>
    <w:rsid w:val="008A54C7"/>
    <w:rsid w:val="008A69C1"/>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C76F3"/>
    <w:rsid w:val="008D1A14"/>
    <w:rsid w:val="008D34F1"/>
    <w:rsid w:val="008D39D8"/>
    <w:rsid w:val="008D6D1A"/>
    <w:rsid w:val="008E065E"/>
    <w:rsid w:val="008E0927"/>
    <w:rsid w:val="008E18BF"/>
    <w:rsid w:val="008E1909"/>
    <w:rsid w:val="008F0183"/>
    <w:rsid w:val="008F1EAB"/>
    <w:rsid w:val="008F33DC"/>
    <w:rsid w:val="008F477F"/>
    <w:rsid w:val="00902350"/>
    <w:rsid w:val="00902DBF"/>
    <w:rsid w:val="0090336B"/>
    <w:rsid w:val="00903B34"/>
    <w:rsid w:val="009053AA"/>
    <w:rsid w:val="00906161"/>
    <w:rsid w:val="00906939"/>
    <w:rsid w:val="00907D51"/>
    <w:rsid w:val="00910B7D"/>
    <w:rsid w:val="00911DFB"/>
    <w:rsid w:val="00912C6A"/>
    <w:rsid w:val="009139D9"/>
    <w:rsid w:val="00914AD8"/>
    <w:rsid w:val="00916079"/>
    <w:rsid w:val="00917194"/>
    <w:rsid w:val="00917A8B"/>
    <w:rsid w:val="00917CE9"/>
    <w:rsid w:val="00920BF2"/>
    <w:rsid w:val="009211A2"/>
    <w:rsid w:val="00922010"/>
    <w:rsid w:val="00931BD9"/>
    <w:rsid w:val="009368F3"/>
    <w:rsid w:val="009413F8"/>
    <w:rsid w:val="009414E8"/>
    <w:rsid w:val="00941636"/>
    <w:rsid w:val="00943742"/>
    <w:rsid w:val="00945C05"/>
    <w:rsid w:val="00946945"/>
    <w:rsid w:val="00947713"/>
    <w:rsid w:val="00950DE7"/>
    <w:rsid w:val="00953713"/>
    <w:rsid w:val="00953920"/>
    <w:rsid w:val="00953D47"/>
    <w:rsid w:val="00954D5B"/>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5BEB"/>
    <w:rsid w:val="009960EC"/>
    <w:rsid w:val="009970DD"/>
    <w:rsid w:val="009A0FBA"/>
    <w:rsid w:val="009A1601"/>
    <w:rsid w:val="009A2C1D"/>
    <w:rsid w:val="009A462D"/>
    <w:rsid w:val="009A5CBA"/>
    <w:rsid w:val="009B1F30"/>
    <w:rsid w:val="009B3AC2"/>
    <w:rsid w:val="009B4DF4"/>
    <w:rsid w:val="009B4FF0"/>
    <w:rsid w:val="009B564E"/>
    <w:rsid w:val="009B7E87"/>
    <w:rsid w:val="009C11C1"/>
    <w:rsid w:val="009C2B48"/>
    <w:rsid w:val="009C2D17"/>
    <w:rsid w:val="009C3C8C"/>
    <w:rsid w:val="009C403E"/>
    <w:rsid w:val="009C5D6A"/>
    <w:rsid w:val="009D27C2"/>
    <w:rsid w:val="009D367A"/>
    <w:rsid w:val="009D4FF0"/>
    <w:rsid w:val="009D6F94"/>
    <w:rsid w:val="009D703C"/>
    <w:rsid w:val="009D718F"/>
    <w:rsid w:val="009E068F"/>
    <w:rsid w:val="009E14E0"/>
    <w:rsid w:val="009E35DB"/>
    <w:rsid w:val="009E47A3"/>
    <w:rsid w:val="009E6849"/>
    <w:rsid w:val="009F08F3"/>
    <w:rsid w:val="009F18A9"/>
    <w:rsid w:val="009F344F"/>
    <w:rsid w:val="00A00591"/>
    <w:rsid w:val="00A02E75"/>
    <w:rsid w:val="00A048A8"/>
    <w:rsid w:val="00A04F49"/>
    <w:rsid w:val="00A13E54"/>
    <w:rsid w:val="00A17F63"/>
    <w:rsid w:val="00A207DD"/>
    <w:rsid w:val="00A2193B"/>
    <w:rsid w:val="00A2351A"/>
    <w:rsid w:val="00A24C48"/>
    <w:rsid w:val="00A264A9"/>
    <w:rsid w:val="00A275C6"/>
    <w:rsid w:val="00A27785"/>
    <w:rsid w:val="00A30187"/>
    <w:rsid w:val="00A32C47"/>
    <w:rsid w:val="00A3448A"/>
    <w:rsid w:val="00A36297"/>
    <w:rsid w:val="00A36C46"/>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81FBC"/>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B6E56"/>
    <w:rsid w:val="00AC007F"/>
    <w:rsid w:val="00AC2ECD"/>
    <w:rsid w:val="00AC3119"/>
    <w:rsid w:val="00AC49FB"/>
    <w:rsid w:val="00AC4B2B"/>
    <w:rsid w:val="00AC4DFF"/>
    <w:rsid w:val="00AC5A10"/>
    <w:rsid w:val="00AD0AA3"/>
    <w:rsid w:val="00AD3F94"/>
    <w:rsid w:val="00AD4A5A"/>
    <w:rsid w:val="00AD5057"/>
    <w:rsid w:val="00AE0B39"/>
    <w:rsid w:val="00AE0E16"/>
    <w:rsid w:val="00AE27AC"/>
    <w:rsid w:val="00AE40E0"/>
    <w:rsid w:val="00AE4DBA"/>
    <w:rsid w:val="00AE4F07"/>
    <w:rsid w:val="00AE5AE8"/>
    <w:rsid w:val="00AE5AF1"/>
    <w:rsid w:val="00AE6CFE"/>
    <w:rsid w:val="00AE7CA0"/>
    <w:rsid w:val="00AF1C5D"/>
    <w:rsid w:val="00AF42D7"/>
    <w:rsid w:val="00B006FE"/>
    <w:rsid w:val="00B007CB"/>
    <w:rsid w:val="00B01608"/>
    <w:rsid w:val="00B02AA9"/>
    <w:rsid w:val="00B02FA3"/>
    <w:rsid w:val="00B05084"/>
    <w:rsid w:val="00B05920"/>
    <w:rsid w:val="00B07227"/>
    <w:rsid w:val="00B10020"/>
    <w:rsid w:val="00B119E8"/>
    <w:rsid w:val="00B13F09"/>
    <w:rsid w:val="00B157F9"/>
    <w:rsid w:val="00B20256"/>
    <w:rsid w:val="00B20D09"/>
    <w:rsid w:val="00B2763F"/>
    <w:rsid w:val="00B27AAC"/>
    <w:rsid w:val="00B30929"/>
    <w:rsid w:val="00B372AA"/>
    <w:rsid w:val="00B40445"/>
    <w:rsid w:val="00B41888"/>
    <w:rsid w:val="00B4408D"/>
    <w:rsid w:val="00B45A52"/>
    <w:rsid w:val="00B46175"/>
    <w:rsid w:val="00B47E43"/>
    <w:rsid w:val="00B5077A"/>
    <w:rsid w:val="00B51E8C"/>
    <w:rsid w:val="00B52376"/>
    <w:rsid w:val="00B5335A"/>
    <w:rsid w:val="00B5723B"/>
    <w:rsid w:val="00B5724B"/>
    <w:rsid w:val="00B60EF1"/>
    <w:rsid w:val="00B6188F"/>
    <w:rsid w:val="00B64E41"/>
    <w:rsid w:val="00B664C7"/>
    <w:rsid w:val="00B739F6"/>
    <w:rsid w:val="00B81A6C"/>
    <w:rsid w:val="00B81BE4"/>
    <w:rsid w:val="00B842A0"/>
    <w:rsid w:val="00B85DE5"/>
    <w:rsid w:val="00B86418"/>
    <w:rsid w:val="00B90F73"/>
    <w:rsid w:val="00B9371D"/>
    <w:rsid w:val="00B93B59"/>
    <w:rsid w:val="00B9406A"/>
    <w:rsid w:val="00B9432C"/>
    <w:rsid w:val="00BA2280"/>
    <w:rsid w:val="00BA2A08"/>
    <w:rsid w:val="00BA56D2"/>
    <w:rsid w:val="00BA6C49"/>
    <w:rsid w:val="00BA76E0"/>
    <w:rsid w:val="00BB0976"/>
    <w:rsid w:val="00BB16A7"/>
    <w:rsid w:val="00BB207A"/>
    <w:rsid w:val="00BB2A25"/>
    <w:rsid w:val="00BB51E9"/>
    <w:rsid w:val="00BB5C77"/>
    <w:rsid w:val="00BC0FDC"/>
    <w:rsid w:val="00BC288F"/>
    <w:rsid w:val="00BC3053"/>
    <w:rsid w:val="00BC4D2E"/>
    <w:rsid w:val="00BC5E44"/>
    <w:rsid w:val="00BD48AC"/>
    <w:rsid w:val="00BD5C65"/>
    <w:rsid w:val="00BD5F1A"/>
    <w:rsid w:val="00BD762E"/>
    <w:rsid w:val="00BE1234"/>
    <w:rsid w:val="00BE2FA6"/>
    <w:rsid w:val="00BE333F"/>
    <w:rsid w:val="00BE7406"/>
    <w:rsid w:val="00BE7603"/>
    <w:rsid w:val="00BF2020"/>
    <w:rsid w:val="00BF3279"/>
    <w:rsid w:val="00BF74C7"/>
    <w:rsid w:val="00C015F1"/>
    <w:rsid w:val="00C01F33"/>
    <w:rsid w:val="00C02CC6"/>
    <w:rsid w:val="00C040F7"/>
    <w:rsid w:val="00C041B0"/>
    <w:rsid w:val="00C044AB"/>
    <w:rsid w:val="00C05706"/>
    <w:rsid w:val="00C07377"/>
    <w:rsid w:val="00C10478"/>
    <w:rsid w:val="00C1093B"/>
    <w:rsid w:val="00C12107"/>
    <w:rsid w:val="00C145C8"/>
    <w:rsid w:val="00C14D4B"/>
    <w:rsid w:val="00C154BB"/>
    <w:rsid w:val="00C21742"/>
    <w:rsid w:val="00C25F2F"/>
    <w:rsid w:val="00C27624"/>
    <w:rsid w:val="00C279B5"/>
    <w:rsid w:val="00C27C45"/>
    <w:rsid w:val="00C3719D"/>
    <w:rsid w:val="00C54995"/>
    <w:rsid w:val="00C54D41"/>
    <w:rsid w:val="00C56C4C"/>
    <w:rsid w:val="00C57B03"/>
    <w:rsid w:val="00C60783"/>
    <w:rsid w:val="00C64672"/>
    <w:rsid w:val="00C704D9"/>
    <w:rsid w:val="00C70697"/>
    <w:rsid w:val="00C7189A"/>
    <w:rsid w:val="00C72EF4"/>
    <w:rsid w:val="00C75D2F"/>
    <w:rsid w:val="00C767BE"/>
    <w:rsid w:val="00C76E3C"/>
    <w:rsid w:val="00C77721"/>
    <w:rsid w:val="00C7775C"/>
    <w:rsid w:val="00C77E89"/>
    <w:rsid w:val="00C81568"/>
    <w:rsid w:val="00C9027A"/>
    <w:rsid w:val="00C9068E"/>
    <w:rsid w:val="00C90C2B"/>
    <w:rsid w:val="00C93C4B"/>
    <w:rsid w:val="00C944AB"/>
    <w:rsid w:val="00C95B40"/>
    <w:rsid w:val="00C96319"/>
    <w:rsid w:val="00C9685E"/>
    <w:rsid w:val="00CA10EA"/>
    <w:rsid w:val="00CA131F"/>
    <w:rsid w:val="00CA1B65"/>
    <w:rsid w:val="00CA1ED8"/>
    <w:rsid w:val="00CA2D38"/>
    <w:rsid w:val="00CA424B"/>
    <w:rsid w:val="00CA4F77"/>
    <w:rsid w:val="00CB1F63"/>
    <w:rsid w:val="00CB456D"/>
    <w:rsid w:val="00CB462A"/>
    <w:rsid w:val="00CB4675"/>
    <w:rsid w:val="00CB6DFE"/>
    <w:rsid w:val="00CB7170"/>
    <w:rsid w:val="00CB7B92"/>
    <w:rsid w:val="00CC040E"/>
    <w:rsid w:val="00CC111F"/>
    <w:rsid w:val="00CC2011"/>
    <w:rsid w:val="00CC3EA0"/>
    <w:rsid w:val="00CC5691"/>
    <w:rsid w:val="00CC6F59"/>
    <w:rsid w:val="00CC7B45"/>
    <w:rsid w:val="00CD1188"/>
    <w:rsid w:val="00CD2ED1"/>
    <w:rsid w:val="00CD337B"/>
    <w:rsid w:val="00CD582F"/>
    <w:rsid w:val="00CD5FD4"/>
    <w:rsid w:val="00CD676E"/>
    <w:rsid w:val="00CD6861"/>
    <w:rsid w:val="00CD69C4"/>
    <w:rsid w:val="00CD7A35"/>
    <w:rsid w:val="00CE0424"/>
    <w:rsid w:val="00CE2C58"/>
    <w:rsid w:val="00CE36CF"/>
    <w:rsid w:val="00CE6967"/>
    <w:rsid w:val="00CE7561"/>
    <w:rsid w:val="00CF1354"/>
    <w:rsid w:val="00CF3B1F"/>
    <w:rsid w:val="00CF3BF6"/>
    <w:rsid w:val="00CF625B"/>
    <w:rsid w:val="00CF687E"/>
    <w:rsid w:val="00D00035"/>
    <w:rsid w:val="00D0349B"/>
    <w:rsid w:val="00D0454B"/>
    <w:rsid w:val="00D053C3"/>
    <w:rsid w:val="00D10249"/>
    <w:rsid w:val="00D115C3"/>
    <w:rsid w:val="00D11897"/>
    <w:rsid w:val="00D13135"/>
    <w:rsid w:val="00D13E4E"/>
    <w:rsid w:val="00D17D6A"/>
    <w:rsid w:val="00D239A7"/>
    <w:rsid w:val="00D23F47"/>
    <w:rsid w:val="00D2450E"/>
    <w:rsid w:val="00D2693A"/>
    <w:rsid w:val="00D34D96"/>
    <w:rsid w:val="00D36BB2"/>
    <w:rsid w:val="00D36E71"/>
    <w:rsid w:val="00D37D87"/>
    <w:rsid w:val="00D40B33"/>
    <w:rsid w:val="00D4318F"/>
    <w:rsid w:val="00D438BF"/>
    <w:rsid w:val="00D440F8"/>
    <w:rsid w:val="00D50F97"/>
    <w:rsid w:val="00D5231F"/>
    <w:rsid w:val="00D546FF"/>
    <w:rsid w:val="00D5573C"/>
    <w:rsid w:val="00D55AD5"/>
    <w:rsid w:val="00D576CA"/>
    <w:rsid w:val="00D61AF5"/>
    <w:rsid w:val="00D61F8F"/>
    <w:rsid w:val="00D64104"/>
    <w:rsid w:val="00D644C1"/>
    <w:rsid w:val="00D64519"/>
    <w:rsid w:val="00D652B5"/>
    <w:rsid w:val="00D65797"/>
    <w:rsid w:val="00D66155"/>
    <w:rsid w:val="00D708B0"/>
    <w:rsid w:val="00D77B1D"/>
    <w:rsid w:val="00D8021F"/>
    <w:rsid w:val="00D80383"/>
    <w:rsid w:val="00D823C6"/>
    <w:rsid w:val="00D86CA3"/>
    <w:rsid w:val="00D871CE"/>
    <w:rsid w:val="00D9196D"/>
    <w:rsid w:val="00D92982"/>
    <w:rsid w:val="00D96643"/>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E723C"/>
    <w:rsid w:val="00DF0B6E"/>
    <w:rsid w:val="00DF15E0"/>
    <w:rsid w:val="00DF31B7"/>
    <w:rsid w:val="00DF37A0"/>
    <w:rsid w:val="00E038BC"/>
    <w:rsid w:val="00E110E7"/>
    <w:rsid w:val="00E11B20"/>
    <w:rsid w:val="00E17FA2"/>
    <w:rsid w:val="00E21714"/>
    <w:rsid w:val="00E22330"/>
    <w:rsid w:val="00E241CB"/>
    <w:rsid w:val="00E24675"/>
    <w:rsid w:val="00E27AA3"/>
    <w:rsid w:val="00E30225"/>
    <w:rsid w:val="00E30B5A"/>
    <w:rsid w:val="00E30C30"/>
    <w:rsid w:val="00E3123D"/>
    <w:rsid w:val="00E31461"/>
    <w:rsid w:val="00E31D43"/>
    <w:rsid w:val="00E32608"/>
    <w:rsid w:val="00E34188"/>
    <w:rsid w:val="00E34B6E"/>
    <w:rsid w:val="00E35559"/>
    <w:rsid w:val="00E3723A"/>
    <w:rsid w:val="00E37860"/>
    <w:rsid w:val="00E42071"/>
    <w:rsid w:val="00E446F1"/>
    <w:rsid w:val="00E45919"/>
    <w:rsid w:val="00E46886"/>
    <w:rsid w:val="00E47AEF"/>
    <w:rsid w:val="00E53B75"/>
    <w:rsid w:val="00E54E3B"/>
    <w:rsid w:val="00E57565"/>
    <w:rsid w:val="00E62CF0"/>
    <w:rsid w:val="00E63838"/>
    <w:rsid w:val="00E64434"/>
    <w:rsid w:val="00E67C51"/>
    <w:rsid w:val="00E71290"/>
    <w:rsid w:val="00E71CF8"/>
    <w:rsid w:val="00E71E34"/>
    <w:rsid w:val="00E72521"/>
    <w:rsid w:val="00E72EFC"/>
    <w:rsid w:val="00E758EC"/>
    <w:rsid w:val="00E76E18"/>
    <w:rsid w:val="00E80385"/>
    <w:rsid w:val="00E8234C"/>
    <w:rsid w:val="00E82C4D"/>
    <w:rsid w:val="00E83AA9"/>
    <w:rsid w:val="00E85928"/>
    <w:rsid w:val="00E8633D"/>
    <w:rsid w:val="00E872EA"/>
    <w:rsid w:val="00E8780A"/>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19B4"/>
    <w:rsid w:val="00EC27C6"/>
    <w:rsid w:val="00EC4207"/>
    <w:rsid w:val="00EC5653"/>
    <w:rsid w:val="00EC7041"/>
    <w:rsid w:val="00EC71CE"/>
    <w:rsid w:val="00ED1006"/>
    <w:rsid w:val="00ED3BA3"/>
    <w:rsid w:val="00ED4531"/>
    <w:rsid w:val="00ED6CA4"/>
    <w:rsid w:val="00ED77F8"/>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2EBD"/>
    <w:rsid w:val="00F2376F"/>
    <w:rsid w:val="00F243D8"/>
    <w:rsid w:val="00F30828"/>
    <w:rsid w:val="00F313D6"/>
    <w:rsid w:val="00F32DAE"/>
    <w:rsid w:val="00F345A4"/>
    <w:rsid w:val="00F37317"/>
    <w:rsid w:val="00F40F0C"/>
    <w:rsid w:val="00F4766C"/>
    <w:rsid w:val="00F507D1"/>
    <w:rsid w:val="00F519CE"/>
    <w:rsid w:val="00F51ADA"/>
    <w:rsid w:val="00F523B8"/>
    <w:rsid w:val="00F56399"/>
    <w:rsid w:val="00F56BBD"/>
    <w:rsid w:val="00F607C5"/>
    <w:rsid w:val="00F60DEA"/>
    <w:rsid w:val="00F60FAF"/>
    <w:rsid w:val="00F6302A"/>
    <w:rsid w:val="00F63775"/>
    <w:rsid w:val="00F64C2B"/>
    <w:rsid w:val="00F651BE"/>
    <w:rsid w:val="00F66EB7"/>
    <w:rsid w:val="00F67F53"/>
    <w:rsid w:val="00F703BE"/>
    <w:rsid w:val="00F71F69"/>
    <w:rsid w:val="00F71FD9"/>
    <w:rsid w:val="00F72B72"/>
    <w:rsid w:val="00F74BB9"/>
    <w:rsid w:val="00F75231"/>
    <w:rsid w:val="00F75582"/>
    <w:rsid w:val="00F76EFA"/>
    <w:rsid w:val="00F804BE"/>
    <w:rsid w:val="00F81666"/>
    <w:rsid w:val="00F817CE"/>
    <w:rsid w:val="00F84440"/>
    <w:rsid w:val="00F8456C"/>
    <w:rsid w:val="00F8582F"/>
    <w:rsid w:val="00F859D8"/>
    <w:rsid w:val="00F868F5"/>
    <w:rsid w:val="00F9056A"/>
    <w:rsid w:val="00F90F8D"/>
    <w:rsid w:val="00F92782"/>
    <w:rsid w:val="00F93AA9"/>
    <w:rsid w:val="00F94EAC"/>
    <w:rsid w:val="00F96985"/>
    <w:rsid w:val="00F97838"/>
    <w:rsid w:val="00FA2BB3"/>
    <w:rsid w:val="00FA46B8"/>
    <w:rsid w:val="00FA6F0B"/>
    <w:rsid w:val="00FB4C80"/>
    <w:rsid w:val="00FB6A6A"/>
    <w:rsid w:val="00FC7429"/>
    <w:rsid w:val="00FD0620"/>
    <w:rsid w:val="00FD07F6"/>
    <w:rsid w:val="00FD1B29"/>
    <w:rsid w:val="00FD1EC8"/>
    <w:rsid w:val="00FD47ED"/>
    <w:rsid w:val="00FD5DD1"/>
    <w:rsid w:val="00FD74DB"/>
    <w:rsid w:val="00FD7660"/>
    <w:rsid w:val="00FE0655"/>
    <w:rsid w:val="00FE2365"/>
    <w:rsid w:val="00FE4C7B"/>
    <w:rsid w:val="00FE6989"/>
    <w:rsid w:val="00FE7336"/>
    <w:rsid w:val="00FE787C"/>
    <w:rsid w:val="00FF1171"/>
    <w:rsid w:val="00FF12BE"/>
    <w:rsid w:val="00FF3316"/>
    <w:rsid w:val="00FF45A5"/>
    <w:rsid w:val="00FF49F4"/>
    <w:rsid w:val="00FF5502"/>
    <w:rsid w:val="00FF5C91"/>
    <w:rsid w:val="00FF6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D3F1D15D-2A75-4403-89D3-61ACD4F6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D96643"/>
    <w:pPr>
      <w:spacing w:after="120"/>
    </w:pPr>
    <w:rPr>
      <w:rFonts w:ascii="Arial" w:hAnsi="Arial"/>
      <w:lang w:val="en-GB"/>
    </w:rPr>
  </w:style>
  <w:style w:type="paragraph" w:styleId="ListParagraph">
    <w:name w:val="List Paragraph"/>
    <w:basedOn w:val="Normal"/>
    <w:uiPriority w:val="34"/>
    <w:qFormat/>
    <w:rsid w:val="00BF2020"/>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0953447">
      <w:bodyDiv w:val="1"/>
      <w:marLeft w:val="0"/>
      <w:marRight w:val="0"/>
      <w:marTop w:val="0"/>
      <w:marBottom w:val="0"/>
      <w:divBdr>
        <w:top w:val="none" w:sz="0" w:space="0" w:color="auto"/>
        <w:left w:val="none" w:sz="0" w:space="0" w:color="auto"/>
        <w:bottom w:val="none" w:sz="0" w:space="0" w:color="auto"/>
        <w:right w:val="none" w:sz="0" w:space="0" w:color="auto"/>
      </w:divBdr>
    </w:div>
    <w:div w:id="166211947">
      <w:bodyDiv w:val="1"/>
      <w:marLeft w:val="0"/>
      <w:marRight w:val="0"/>
      <w:marTop w:val="0"/>
      <w:marBottom w:val="0"/>
      <w:divBdr>
        <w:top w:val="none" w:sz="0" w:space="0" w:color="auto"/>
        <w:left w:val="none" w:sz="0" w:space="0" w:color="auto"/>
        <w:bottom w:val="none" w:sz="0" w:space="0" w:color="auto"/>
        <w:right w:val="none" w:sz="0" w:space="0" w:color="auto"/>
      </w:divBdr>
    </w:div>
    <w:div w:id="289630320">
      <w:bodyDiv w:val="1"/>
      <w:marLeft w:val="0"/>
      <w:marRight w:val="0"/>
      <w:marTop w:val="0"/>
      <w:marBottom w:val="0"/>
      <w:divBdr>
        <w:top w:val="none" w:sz="0" w:space="0" w:color="auto"/>
        <w:left w:val="none" w:sz="0" w:space="0" w:color="auto"/>
        <w:bottom w:val="none" w:sz="0" w:space="0" w:color="auto"/>
        <w:right w:val="none" w:sz="0" w:space="0" w:color="auto"/>
      </w:divBdr>
      <w:divsChild>
        <w:div w:id="127208226">
          <w:marLeft w:val="835"/>
          <w:marRight w:val="0"/>
          <w:marTop w:val="67"/>
          <w:marBottom w:val="0"/>
          <w:divBdr>
            <w:top w:val="none" w:sz="0" w:space="0" w:color="auto"/>
            <w:left w:val="none" w:sz="0" w:space="0" w:color="auto"/>
            <w:bottom w:val="none" w:sz="0" w:space="0" w:color="auto"/>
            <w:right w:val="none" w:sz="0" w:space="0" w:color="auto"/>
          </w:divBdr>
        </w:div>
        <w:div w:id="133522445">
          <w:marLeft w:val="274"/>
          <w:marRight w:val="0"/>
          <w:marTop w:val="82"/>
          <w:marBottom w:val="0"/>
          <w:divBdr>
            <w:top w:val="none" w:sz="0" w:space="0" w:color="auto"/>
            <w:left w:val="none" w:sz="0" w:space="0" w:color="auto"/>
            <w:bottom w:val="none" w:sz="0" w:space="0" w:color="auto"/>
            <w:right w:val="none" w:sz="0" w:space="0" w:color="auto"/>
          </w:divBdr>
        </w:div>
        <w:div w:id="432211746">
          <w:marLeft w:val="835"/>
          <w:marRight w:val="0"/>
          <w:marTop w:val="67"/>
          <w:marBottom w:val="0"/>
          <w:divBdr>
            <w:top w:val="none" w:sz="0" w:space="0" w:color="auto"/>
            <w:left w:val="none" w:sz="0" w:space="0" w:color="auto"/>
            <w:bottom w:val="none" w:sz="0" w:space="0" w:color="auto"/>
            <w:right w:val="none" w:sz="0" w:space="0" w:color="auto"/>
          </w:divBdr>
        </w:div>
        <w:div w:id="780031231">
          <w:marLeft w:val="274"/>
          <w:marRight w:val="0"/>
          <w:marTop w:val="82"/>
          <w:marBottom w:val="0"/>
          <w:divBdr>
            <w:top w:val="none" w:sz="0" w:space="0" w:color="auto"/>
            <w:left w:val="none" w:sz="0" w:space="0" w:color="auto"/>
            <w:bottom w:val="none" w:sz="0" w:space="0" w:color="auto"/>
            <w:right w:val="none" w:sz="0" w:space="0" w:color="auto"/>
          </w:divBdr>
        </w:div>
        <w:div w:id="925722400">
          <w:marLeft w:val="835"/>
          <w:marRight w:val="0"/>
          <w:marTop w:val="67"/>
          <w:marBottom w:val="0"/>
          <w:divBdr>
            <w:top w:val="none" w:sz="0" w:space="0" w:color="auto"/>
            <w:left w:val="none" w:sz="0" w:space="0" w:color="auto"/>
            <w:bottom w:val="none" w:sz="0" w:space="0" w:color="auto"/>
            <w:right w:val="none" w:sz="0" w:space="0" w:color="auto"/>
          </w:divBdr>
        </w:div>
        <w:div w:id="986471713">
          <w:marLeft w:val="835"/>
          <w:marRight w:val="0"/>
          <w:marTop w:val="67"/>
          <w:marBottom w:val="0"/>
          <w:divBdr>
            <w:top w:val="none" w:sz="0" w:space="0" w:color="auto"/>
            <w:left w:val="none" w:sz="0" w:space="0" w:color="auto"/>
            <w:bottom w:val="none" w:sz="0" w:space="0" w:color="auto"/>
            <w:right w:val="none" w:sz="0" w:space="0" w:color="auto"/>
          </w:divBdr>
        </w:div>
        <w:div w:id="1081172766">
          <w:marLeft w:val="274"/>
          <w:marRight w:val="0"/>
          <w:marTop w:val="82"/>
          <w:marBottom w:val="0"/>
          <w:divBdr>
            <w:top w:val="none" w:sz="0" w:space="0" w:color="auto"/>
            <w:left w:val="none" w:sz="0" w:space="0" w:color="auto"/>
            <w:bottom w:val="none" w:sz="0" w:space="0" w:color="auto"/>
            <w:right w:val="none" w:sz="0" w:space="0" w:color="auto"/>
          </w:divBdr>
        </w:div>
        <w:div w:id="1300264495">
          <w:marLeft w:val="835"/>
          <w:marRight w:val="0"/>
          <w:marTop w:val="67"/>
          <w:marBottom w:val="0"/>
          <w:divBdr>
            <w:top w:val="none" w:sz="0" w:space="0" w:color="auto"/>
            <w:left w:val="none" w:sz="0" w:space="0" w:color="auto"/>
            <w:bottom w:val="none" w:sz="0" w:space="0" w:color="auto"/>
            <w:right w:val="none" w:sz="0" w:space="0" w:color="auto"/>
          </w:divBdr>
        </w:div>
        <w:div w:id="1329601987">
          <w:marLeft w:val="274"/>
          <w:marRight w:val="0"/>
          <w:marTop w:val="82"/>
          <w:marBottom w:val="0"/>
          <w:divBdr>
            <w:top w:val="none" w:sz="0" w:space="0" w:color="auto"/>
            <w:left w:val="none" w:sz="0" w:space="0" w:color="auto"/>
            <w:bottom w:val="none" w:sz="0" w:space="0" w:color="auto"/>
            <w:right w:val="none" w:sz="0" w:space="0" w:color="auto"/>
          </w:divBdr>
        </w:div>
        <w:div w:id="1474057154">
          <w:marLeft w:val="274"/>
          <w:marRight w:val="0"/>
          <w:marTop w:val="82"/>
          <w:marBottom w:val="0"/>
          <w:divBdr>
            <w:top w:val="none" w:sz="0" w:space="0" w:color="auto"/>
            <w:left w:val="none" w:sz="0" w:space="0" w:color="auto"/>
            <w:bottom w:val="none" w:sz="0" w:space="0" w:color="auto"/>
            <w:right w:val="none" w:sz="0" w:space="0" w:color="auto"/>
          </w:divBdr>
        </w:div>
        <w:div w:id="1605501787">
          <w:marLeft w:val="835"/>
          <w:marRight w:val="0"/>
          <w:marTop w:val="67"/>
          <w:marBottom w:val="0"/>
          <w:divBdr>
            <w:top w:val="none" w:sz="0" w:space="0" w:color="auto"/>
            <w:left w:val="none" w:sz="0" w:space="0" w:color="auto"/>
            <w:bottom w:val="none" w:sz="0" w:space="0" w:color="auto"/>
            <w:right w:val="none" w:sz="0" w:space="0" w:color="auto"/>
          </w:divBdr>
        </w:div>
        <w:div w:id="1715735237">
          <w:marLeft w:val="835"/>
          <w:marRight w:val="0"/>
          <w:marTop w:val="67"/>
          <w:marBottom w:val="0"/>
          <w:divBdr>
            <w:top w:val="none" w:sz="0" w:space="0" w:color="auto"/>
            <w:left w:val="none" w:sz="0" w:space="0" w:color="auto"/>
            <w:bottom w:val="none" w:sz="0" w:space="0" w:color="auto"/>
            <w:right w:val="none" w:sz="0" w:space="0" w:color="auto"/>
          </w:divBdr>
        </w:div>
      </w:divsChild>
    </w:div>
    <w:div w:id="498739716">
      <w:bodyDiv w:val="1"/>
      <w:marLeft w:val="0"/>
      <w:marRight w:val="0"/>
      <w:marTop w:val="0"/>
      <w:marBottom w:val="0"/>
      <w:divBdr>
        <w:top w:val="none" w:sz="0" w:space="0" w:color="auto"/>
        <w:left w:val="none" w:sz="0" w:space="0" w:color="auto"/>
        <w:bottom w:val="none" w:sz="0" w:space="0" w:color="auto"/>
        <w:right w:val="none" w:sz="0" w:space="0" w:color="auto"/>
      </w:divBdr>
      <w:divsChild>
        <w:div w:id="107429374">
          <w:marLeft w:val="835"/>
          <w:marRight w:val="0"/>
          <w:marTop w:val="67"/>
          <w:marBottom w:val="0"/>
          <w:divBdr>
            <w:top w:val="none" w:sz="0" w:space="0" w:color="auto"/>
            <w:left w:val="none" w:sz="0" w:space="0" w:color="auto"/>
            <w:bottom w:val="none" w:sz="0" w:space="0" w:color="auto"/>
            <w:right w:val="none" w:sz="0" w:space="0" w:color="auto"/>
          </w:divBdr>
        </w:div>
        <w:div w:id="361634374">
          <w:marLeft w:val="835"/>
          <w:marRight w:val="0"/>
          <w:marTop w:val="67"/>
          <w:marBottom w:val="0"/>
          <w:divBdr>
            <w:top w:val="none" w:sz="0" w:space="0" w:color="auto"/>
            <w:left w:val="none" w:sz="0" w:space="0" w:color="auto"/>
            <w:bottom w:val="none" w:sz="0" w:space="0" w:color="auto"/>
            <w:right w:val="none" w:sz="0" w:space="0" w:color="auto"/>
          </w:divBdr>
        </w:div>
        <w:div w:id="464274426">
          <w:marLeft w:val="835"/>
          <w:marRight w:val="0"/>
          <w:marTop w:val="67"/>
          <w:marBottom w:val="0"/>
          <w:divBdr>
            <w:top w:val="none" w:sz="0" w:space="0" w:color="auto"/>
            <w:left w:val="none" w:sz="0" w:space="0" w:color="auto"/>
            <w:bottom w:val="none" w:sz="0" w:space="0" w:color="auto"/>
            <w:right w:val="none" w:sz="0" w:space="0" w:color="auto"/>
          </w:divBdr>
        </w:div>
        <w:div w:id="641496748">
          <w:marLeft w:val="835"/>
          <w:marRight w:val="0"/>
          <w:marTop w:val="67"/>
          <w:marBottom w:val="0"/>
          <w:divBdr>
            <w:top w:val="none" w:sz="0" w:space="0" w:color="auto"/>
            <w:left w:val="none" w:sz="0" w:space="0" w:color="auto"/>
            <w:bottom w:val="none" w:sz="0" w:space="0" w:color="auto"/>
            <w:right w:val="none" w:sz="0" w:space="0" w:color="auto"/>
          </w:divBdr>
        </w:div>
        <w:div w:id="680857954">
          <w:marLeft w:val="274"/>
          <w:marRight w:val="0"/>
          <w:marTop w:val="82"/>
          <w:marBottom w:val="0"/>
          <w:divBdr>
            <w:top w:val="none" w:sz="0" w:space="0" w:color="auto"/>
            <w:left w:val="none" w:sz="0" w:space="0" w:color="auto"/>
            <w:bottom w:val="none" w:sz="0" w:space="0" w:color="auto"/>
            <w:right w:val="none" w:sz="0" w:space="0" w:color="auto"/>
          </w:divBdr>
        </w:div>
        <w:div w:id="983197757">
          <w:marLeft w:val="274"/>
          <w:marRight w:val="0"/>
          <w:marTop w:val="82"/>
          <w:marBottom w:val="0"/>
          <w:divBdr>
            <w:top w:val="none" w:sz="0" w:space="0" w:color="auto"/>
            <w:left w:val="none" w:sz="0" w:space="0" w:color="auto"/>
            <w:bottom w:val="none" w:sz="0" w:space="0" w:color="auto"/>
            <w:right w:val="none" w:sz="0" w:space="0" w:color="auto"/>
          </w:divBdr>
        </w:div>
        <w:div w:id="1503548534">
          <w:marLeft w:val="274"/>
          <w:marRight w:val="0"/>
          <w:marTop w:val="82"/>
          <w:marBottom w:val="0"/>
          <w:divBdr>
            <w:top w:val="none" w:sz="0" w:space="0" w:color="auto"/>
            <w:left w:val="none" w:sz="0" w:space="0" w:color="auto"/>
            <w:bottom w:val="none" w:sz="0" w:space="0" w:color="auto"/>
            <w:right w:val="none" w:sz="0" w:space="0" w:color="auto"/>
          </w:divBdr>
        </w:div>
        <w:div w:id="1742293105">
          <w:marLeft w:val="274"/>
          <w:marRight w:val="0"/>
          <w:marTop w:val="82"/>
          <w:marBottom w:val="0"/>
          <w:divBdr>
            <w:top w:val="none" w:sz="0" w:space="0" w:color="auto"/>
            <w:left w:val="none" w:sz="0" w:space="0" w:color="auto"/>
            <w:bottom w:val="none" w:sz="0" w:space="0" w:color="auto"/>
            <w:right w:val="none" w:sz="0" w:space="0" w:color="auto"/>
          </w:divBdr>
        </w:div>
        <w:div w:id="2038002570">
          <w:marLeft w:val="835"/>
          <w:marRight w:val="0"/>
          <w:marTop w:val="67"/>
          <w:marBottom w:val="0"/>
          <w:divBdr>
            <w:top w:val="none" w:sz="0" w:space="0" w:color="auto"/>
            <w:left w:val="none" w:sz="0" w:space="0" w:color="auto"/>
            <w:bottom w:val="none" w:sz="0" w:space="0" w:color="auto"/>
            <w:right w:val="none" w:sz="0" w:space="0" w:color="auto"/>
          </w:divBdr>
        </w:div>
        <w:div w:id="2050182213">
          <w:marLeft w:val="835"/>
          <w:marRight w:val="0"/>
          <w:marTop w:val="67"/>
          <w:marBottom w:val="0"/>
          <w:divBdr>
            <w:top w:val="none" w:sz="0" w:space="0" w:color="auto"/>
            <w:left w:val="none" w:sz="0" w:space="0" w:color="auto"/>
            <w:bottom w:val="none" w:sz="0" w:space="0" w:color="auto"/>
            <w:right w:val="none" w:sz="0" w:space="0" w:color="auto"/>
          </w:divBdr>
        </w:div>
        <w:div w:id="2101291989">
          <w:marLeft w:val="835"/>
          <w:marRight w:val="0"/>
          <w:marTop w:val="67"/>
          <w:marBottom w:val="0"/>
          <w:divBdr>
            <w:top w:val="none" w:sz="0" w:space="0" w:color="auto"/>
            <w:left w:val="none" w:sz="0" w:space="0" w:color="auto"/>
            <w:bottom w:val="none" w:sz="0" w:space="0" w:color="auto"/>
            <w:right w:val="none" w:sz="0" w:space="0" w:color="auto"/>
          </w:divBdr>
        </w:div>
        <w:div w:id="2142383115">
          <w:marLeft w:val="274"/>
          <w:marRight w:val="0"/>
          <w:marTop w:val="82"/>
          <w:marBottom w:val="0"/>
          <w:divBdr>
            <w:top w:val="none" w:sz="0" w:space="0" w:color="auto"/>
            <w:left w:val="none" w:sz="0" w:space="0" w:color="auto"/>
            <w:bottom w:val="none" w:sz="0" w:space="0" w:color="auto"/>
            <w:right w:val="none" w:sz="0" w:space="0" w:color="auto"/>
          </w:divBdr>
        </w:div>
      </w:divsChild>
    </w:div>
    <w:div w:id="543326061">
      <w:bodyDiv w:val="1"/>
      <w:marLeft w:val="0"/>
      <w:marRight w:val="0"/>
      <w:marTop w:val="0"/>
      <w:marBottom w:val="0"/>
      <w:divBdr>
        <w:top w:val="none" w:sz="0" w:space="0" w:color="auto"/>
        <w:left w:val="none" w:sz="0" w:space="0" w:color="auto"/>
        <w:bottom w:val="none" w:sz="0" w:space="0" w:color="auto"/>
        <w:right w:val="none" w:sz="0" w:space="0" w:color="auto"/>
      </w:divBdr>
      <w:divsChild>
        <w:div w:id="44262493">
          <w:marLeft w:val="274"/>
          <w:marRight w:val="0"/>
          <w:marTop w:val="82"/>
          <w:marBottom w:val="0"/>
          <w:divBdr>
            <w:top w:val="none" w:sz="0" w:space="0" w:color="auto"/>
            <w:left w:val="none" w:sz="0" w:space="0" w:color="auto"/>
            <w:bottom w:val="none" w:sz="0" w:space="0" w:color="auto"/>
            <w:right w:val="none" w:sz="0" w:space="0" w:color="auto"/>
          </w:divBdr>
        </w:div>
        <w:div w:id="74475071">
          <w:marLeft w:val="835"/>
          <w:marRight w:val="0"/>
          <w:marTop w:val="67"/>
          <w:marBottom w:val="0"/>
          <w:divBdr>
            <w:top w:val="none" w:sz="0" w:space="0" w:color="auto"/>
            <w:left w:val="none" w:sz="0" w:space="0" w:color="auto"/>
            <w:bottom w:val="none" w:sz="0" w:space="0" w:color="auto"/>
            <w:right w:val="none" w:sz="0" w:space="0" w:color="auto"/>
          </w:divBdr>
        </w:div>
        <w:div w:id="138352948">
          <w:marLeft w:val="274"/>
          <w:marRight w:val="0"/>
          <w:marTop w:val="82"/>
          <w:marBottom w:val="0"/>
          <w:divBdr>
            <w:top w:val="none" w:sz="0" w:space="0" w:color="auto"/>
            <w:left w:val="none" w:sz="0" w:space="0" w:color="auto"/>
            <w:bottom w:val="none" w:sz="0" w:space="0" w:color="auto"/>
            <w:right w:val="none" w:sz="0" w:space="0" w:color="auto"/>
          </w:divBdr>
        </w:div>
        <w:div w:id="234635358">
          <w:marLeft w:val="835"/>
          <w:marRight w:val="0"/>
          <w:marTop w:val="67"/>
          <w:marBottom w:val="0"/>
          <w:divBdr>
            <w:top w:val="none" w:sz="0" w:space="0" w:color="auto"/>
            <w:left w:val="none" w:sz="0" w:space="0" w:color="auto"/>
            <w:bottom w:val="none" w:sz="0" w:space="0" w:color="auto"/>
            <w:right w:val="none" w:sz="0" w:space="0" w:color="auto"/>
          </w:divBdr>
        </w:div>
        <w:div w:id="403337588">
          <w:marLeft w:val="835"/>
          <w:marRight w:val="0"/>
          <w:marTop w:val="67"/>
          <w:marBottom w:val="0"/>
          <w:divBdr>
            <w:top w:val="none" w:sz="0" w:space="0" w:color="auto"/>
            <w:left w:val="none" w:sz="0" w:space="0" w:color="auto"/>
            <w:bottom w:val="none" w:sz="0" w:space="0" w:color="auto"/>
            <w:right w:val="none" w:sz="0" w:space="0" w:color="auto"/>
          </w:divBdr>
        </w:div>
        <w:div w:id="443579485">
          <w:marLeft w:val="274"/>
          <w:marRight w:val="0"/>
          <w:marTop w:val="82"/>
          <w:marBottom w:val="0"/>
          <w:divBdr>
            <w:top w:val="none" w:sz="0" w:space="0" w:color="auto"/>
            <w:left w:val="none" w:sz="0" w:space="0" w:color="auto"/>
            <w:bottom w:val="none" w:sz="0" w:space="0" w:color="auto"/>
            <w:right w:val="none" w:sz="0" w:space="0" w:color="auto"/>
          </w:divBdr>
        </w:div>
        <w:div w:id="634483565">
          <w:marLeft w:val="274"/>
          <w:marRight w:val="0"/>
          <w:marTop w:val="82"/>
          <w:marBottom w:val="0"/>
          <w:divBdr>
            <w:top w:val="none" w:sz="0" w:space="0" w:color="auto"/>
            <w:left w:val="none" w:sz="0" w:space="0" w:color="auto"/>
            <w:bottom w:val="none" w:sz="0" w:space="0" w:color="auto"/>
            <w:right w:val="none" w:sz="0" w:space="0" w:color="auto"/>
          </w:divBdr>
        </w:div>
        <w:div w:id="645162526">
          <w:marLeft w:val="274"/>
          <w:marRight w:val="0"/>
          <w:marTop w:val="82"/>
          <w:marBottom w:val="0"/>
          <w:divBdr>
            <w:top w:val="none" w:sz="0" w:space="0" w:color="auto"/>
            <w:left w:val="none" w:sz="0" w:space="0" w:color="auto"/>
            <w:bottom w:val="none" w:sz="0" w:space="0" w:color="auto"/>
            <w:right w:val="none" w:sz="0" w:space="0" w:color="auto"/>
          </w:divBdr>
        </w:div>
        <w:div w:id="1273976894">
          <w:marLeft w:val="835"/>
          <w:marRight w:val="0"/>
          <w:marTop w:val="67"/>
          <w:marBottom w:val="0"/>
          <w:divBdr>
            <w:top w:val="none" w:sz="0" w:space="0" w:color="auto"/>
            <w:left w:val="none" w:sz="0" w:space="0" w:color="auto"/>
            <w:bottom w:val="none" w:sz="0" w:space="0" w:color="auto"/>
            <w:right w:val="none" w:sz="0" w:space="0" w:color="auto"/>
          </w:divBdr>
        </w:div>
        <w:div w:id="1736246294">
          <w:marLeft w:val="835"/>
          <w:marRight w:val="0"/>
          <w:marTop w:val="67"/>
          <w:marBottom w:val="0"/>
          <w:divBdr>
            <w:top w:val="none" w:sz="0" w:space="0" w:color="auto"/>
            <w:left w:val="none" w:sz="0" w:space="0" w:color="auto"/>
            <w:bottom w:val="none" w:sz="0" w:space="0" w:color="auto"/>
            <w:right w:val="none" w:sz="0" w:space="0" w:color="auto"/>
          </w:divBdr>
        </w:div>
        <w:div w:id="1850170162">
          <w:marLeft w:val="835"/>
          <w:marRight w:val="0"/>
          <w:marTop w:val="67"/>
          <w:marBottom w:val="0"/>
          <w:divBdr>
            <w:top w:val="none" w:sz="0" w:space="0" w:color="auto"/>
            <w:left w:val="none" w:sz="0" w:space="0" w:color="auto"/>
            <w:bottom w:val="none" w:sz="0" w:space="0" w:color="auto"/>
            <w:right w:val="none" w:sz="0" w:space="0" w:color="auto"/>
          </w:divBdr>
        </w:div>
        <w:div w:id="2007397601">
          <w:marLeft w:val="835"/>
          <w:marRight w:val="0"/>
          <w:marTop w:val="67"/>
          <w:marBottom w:val="0"/>
          <w:divBdr>
            <w:top w:val="none" w:sz="0" w:space="0" w:color="auto"/>
            <w:left w:val="none" w:sz="0" w:space="0" w:color="auto"/>
            <w:bottom w:val="none" w:sz="0" w:space="0" w:color="auto"/>
            <w:right w:val="none" w:sz="0" w:space="0" w:color="auto"/>
          </w:divBdr>
        </w:div>
      </w:divsChild>
    </w:div>
    <w:div w:id="711812307">
      <w:bodyDiv w:val="1"/>
      <w:marLeft w:val="0"/>
      <w:marRight w:val="0"/>
      <w:marTop w:val="0"/>
      <w:marBottom w:val="0"/>
      <w:divBdr>
        <w:top w:val="none" w:sz="0" w:space="0" w:color="auto"/>
        <w:left w:val="none" w:sz="0" w:space="0" w:color="auto"/>
        <w:bottom w:val="none" w:sz="0" w:space="0" w:color="auto"/>
        <w:right w:val="none" w:sz="0" w:space="0" w:color="auto"/>
      </w:divBdr>
      <w:divsChild>
        <w:div w:id="373847488">
          <w:marLeft w:val="274"/>
          <w:marRight w:val="0"/>
          <w:marTop w:val="72"/>
          <w:marBottom w:val="0"/>
          <w:divBdr>
            <w:top w:val="none" w:sz="0" w:space="0" w:color="auto"/>
            <w:left w:val="none" w:sz="0" w:space="0" w:color="auto"/>
            <w:bottom w:val="none" w:sz="0" w:space="0" w:color="auto"/>
            <w:right w:val="none" w:sz="0" w:space="0" w:color="auto"/>
          </w:divBdr>
        </w:div>
        <w:div w:id="204954396">
          <w:marLeft w:val="835"/>
          <w:marRight w:val="0"/>
          <w:marTop w:val="62"/>
          <w:marBottom w:val="0"/>
          <w:divBdr>
            <w:top w:val="none" w:sz="0" w:space="0" w:color="auto"/>
            <w:left w:val="none" w:sz="0" w:space="0" w:color="auto"/>
            <w:bottom w:val="none" w:sz="0" w:space="0" w:color="auto"/>
            <w:right w:val="none" w:sz="0" w:space="0" w:color="auto"/>
          </w:divBdr>
        </w:div>
        <w:div w:id="428350825">
          <w:marLeft w:val="1411"/>
          <w:marRight w:val="0"/>
          <w:marTop w:val="62"/>
          <w:marBottom w:val="0"/>
          <w:divBdr>
            <w:top w:val="none" w:sz="0" w:space="0" w:color="auto"/>
            <w:left w:val="none" w:sz="0" w:space="0" w:color="auto"/>
            <w:bottom w:val="none" w:sz="0" w:space="0" w:color="auto"/>
            <w:right w:val="none" w:sz="0" w:space="0" w:color="auto"/>
          </w:divBdr>
        </w:div>
        <w:div w:id="636960952">
          <w:marLeft w:val="1411"/>
          <w:marRight w:val="0"/>
          <w:marTop w:val="62"/>
          <w:marBottom w:val="0"/>
          <w:divBdr>
            <w:top w:val="none" w:sz="0" w:space="0" w:color="auto"/>
            <w:left w:val="none" w:sz="0" w:space="0" w:color="auto"/>
            <w:bottom w:val="none" w:sz="0" w:space="0" w:color="auto"/>
            <w:right w:val="none" w:sz="0" w:space="0" w:color="auto"/>
          </w:divBdr>
        </w:div>
        <w:div w:id="663436267">
          <w:marLeft w:val="1411"/>
          <w:marRight w:val="0"/>
          <w:marTop w:val="62"/>
          <w:marBottom w:val="0"/>
          <w:divBdr>
            <w:top w:val="none" w:sz="0" w:space="0" w:color="auto"/>
            <w:left w:val="none" w:sz="0" w:space="0" w:color="auto"/>
            <w:bottom w:val="none" w:sz="0" w:space="0" w:color="auto"/>
            <w:right w:val="none" w:sz="0" w:space="0" w:color="auto"/>
          </w:divBdr>
        </w:div>
        <w:div w:id="857891832">
          <w:marLeft w:val="1411"/>
          <w:marRight w:val="0"/>
          <w:marTop w:val="62"/>
          <w:marBottom w:val="0"/>
          <w:divBdr>
            <w:top w:val="none" w:sz="0" w:space="0" w:color="auto"/>
            <w:left w:val="none" w:sz="0" w:space="0" w:color="auto"/>
            <w:bottom w:val="none" w:sz="0" w:space="0" w:color="auto"/>
            <w:right w:val="none" w:sz="0" w:space="0" w:color="auto"/>
          </w:divBdr>
        </w:div>
        <w:div w:id="1346322014">
          <w:marLeft w:val="1411"/>
          <w:marRight w:val="0"/>
          <w:marTop w:val="62"/>
          <w:marBottom w:val="0"/>
          <w:divBdr>
            <w:top w:val="none" w:sz="0" w:space="0" w:color="auto"/>
            <w:left w:val="none" w:sz="0" w:space="0" w:color="auto"/>
            <w:bottom w:val="none" w:sz="0" w:space="0" w:color="auto"/>
            <w:right w:val="none" w:sz="0" w:space="0" w:color="auto"/>
          </w:divBdr>
        </w:div>
        <w:div w:id="1913616432">
          <w:marLeft w:val="835"/>
          <w:marRight w:val="0"/>
          <w:marTop w:val="62"/>
          <w:marBottom w:val="0"/>
          <w:divBdr>
            <w:top w:val="none" w:sz="0" w:space="0" w:color="auto"/>
            <w:left w:val="none" w:sz="0" w:space="0" w:color="auto"/>
            <w:bottom w:val="none" w:sz="0" w:space="0" w:color="auto"/>
            <w:right w:val="none" w:sz="0" w:space="0" w:color="auto"/>
          </w:divBdr>
        </w:div>
        <w:div w:id="1738089719">
          <w:marLeft w:val="1411"/>
          <w:marRight w:val="0"/>
          <w:marTop w:val="62"/>
          <w:marBottom w:val="0"/>
          <w:divBdr>
            <w:top w:val="none" w:sz="0" w:space="0" w:color="auto"/>
            <w:left w:val="none" w:sz="0" w:space="0" w:color="auto"/>
            <w:bottom w:val="none" w:sz="0" w:space="0" w:color="auto"/>
            <w:right w:val="none" w:sz="0" w:space="0" w:color="auto"/>
          </w:divBdr>
        </w:div>
        <w:div w:id="223101633">
          <w:marLeft w:val="1411"/>
          <w:marRight w:val="0"/>
          <w:marTop w:val="62"/>
          <w:marBottom w:val="0"/>
          <w:divBdr>
            <w:top w:val="none" w:sz="0" w:space="0" w:color="auto"/>
            <w:left w:val="none" w:sz="0" w:space="0" w:color="auto"/>
            <w:bottom w:val="none" w:sz="0" w:space="0" w:color="auto"/>
            <w:right w:val="none" w:sz="0" w:space="0" w:color="auto"/>
          </w:divBdr>
        </w:div>
        <w:div w:id="614336366">
          <w:marLeft w:val="1411"/>
          <w:marRight w:val="0"/>
          <w:marTop w:val="62"/>
          <w:marBottom w:val="0"/>
          <w:divBdr>
            <w:top w:val="none" w:sz="0" w:space="0" w:color="auto"/>
            <w:left w:val="none" w:sz="0" w:space="0" w:color="auto"/>
            <w:bottom w:val="none" w:sz="0" w:space="0" w:color="auto"/>
            <w:right w:val="none" w:sz="0" w:space="0" w:color="auto"/>
          </w:divBdr>
        </w:div>
        <w:div w:id="718626256">
          <w:marLeft w:val="1411"/>
          <w:marRight w:val="0"/>
          <w:marTop w:val="62"/>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95824741">
      <w:bodyDiv w:val="1"/>
      <w:marLeft w:val="0"/>
      <w:marRight w:val="0"/>
      <w:marTop w:val="0"/>
      <w:marBottom w:val="0"/>
      <w:divBdr>
        <w:top w:val="none" w:sz="0" w:space="0" w:color="auto"/>
        <w:left w:val="none" w:sz="0" w:space="0" w:color="auto"/>
        <w:bottom w:val="none" w:sz="0" w:space="0" w:color="auto"/>
        <w:right w:val="none" w:sz="0" w:space="0" w:color="auto"/>
      </w:divBdr>
      <w:divsChild>
        <w:div w:id="118190238">
          <w:marLeft w:val="274"/>
          <w:marRight w:val="0"/>
          <w:marTop w:val="82"/>
          <w:marBottom w:val="0"/>
          <w:divBdr>
            <w:top w:val="none" w:sz="0" w:space="0" w:color="auto"/>
            <w:left w:val="none" w:sz="0" w:space="0" w:color="auto"/>
            <w:bottom w:val="none" w:sz="0" w:space="0" w:color="auto"/>
            <w:right w:val="none" w:sz="0" w:space="0" w:color="auto"/>
          </w:divBdr>
        </w:div>
        <w:div w:id="461844515">
          <w:marLeft w:val="274"/>
          <w:marRight w:val="0"/>
          <w:marTop w:val="82"/>
          <w:marBottom w:val="0"/>
          <w:divBdr>
            <w:top w:val="none" w:sz="0" w:space="0" w:color="auto"/>
            <w:left w:val="none" w:sz="0" w:space="0" w:color="auto"/>
            <w:bottom w:val="none" w:sz="0" w:space="0" w:color="auto"/>
            <w:right w:val="none" w:sz="0" w:space="0" w:color="auto"/>
          </w:divBdr>
        </w:div>
        <w:div w:id="528110488">
          <w:marLeft w:val="274"/>
          <w:marRight w:val="0"/>
          <w:marTop w:val="82"/>
          <w:marBottom w:val="0"/>
          <w:divBdr>
            <w:top w:val="none" w:sz="0" w:space="0" w:color="auto"/>
            <w:left w:val="none" w:sz="0" w:space="0" w:color="auto"/>
            <w:bottom w:val="none" w:sz="0" w:space="0" w:color="auto"/>
            <w:right w:val="none" w:sz="0" w:space="0" w:color="auto"/>
          </w:divBdr>
        </w:div>
        <w:div w:id="571696300">
          <w:marLeft w:val="274"/>
          <w:marRight w:val="0"/>
          <w:marTop w:val="82"/>
          <w:marBottom w:val="0"/>
          <w:divBdr>
            <w:top w:val="none" w:sz="0" w:space="0" w:color="auto"/>
            <w:left w:val="none" w:sz="0" w:space="0" w:color="auto"/>
            <w:bottom w:val="none" w:sz="0" w:space="0" w:color="auto"/>
            <w:right w:val="none" w:sz="0" w:space="0" w:color="auto"/>
          </w:divBdr>
        </w:div>
        <w:div w:id="700473024">
          <w:marLeft w:val="835"/>
          <w:marRight w:val="0"/>
          <w:marTop w:val="67"/>
          <w:marBottom w:val="0"/>
          <w:divBdr>
            <w:top w:val="none" w:sz="0" w:space="0" w:color="auto"/>
            <w:left w:val="none" w:sz="0" w:space="0" w:color="auto"/>
            <w:bottom w:val="none" w:sz="0" w:space="0" w:color="auto"/>
            <w:right w:val="none" w:sz="0" w:space="0" w:color="auto"/>
          </w:divBdr>
        </w:div>
        <w:div w:id="994265142">
          <w:marLeft w:val="835"/>
          <w:marRight w:val="0"/>
          <w:marTop w:val="67"/>
          <w:marBottom w:val="0"/>
          <w:divBdr>
            <w:top w:val="none" w:sz="0" w:space="0" w:color="auto"/>
            <w:left w:val="none" w:sz="0" w:space="0" w:color="auto"/>
            <w:bottom w:val="none" w:sz="0" w:space="0" w:color="auto"/>
            <w:right w:val="none" w:sz="0" w:space="0" w:color="auto"/>
          </w:divBdr>
        </w:div>
        <w:div w:id="1025835798">
          <w:marLeft w:val="835"/>
          <w:marRight w:val="0"/>
          <w:marTop w:val="67"/>
          <w:marBottom w:val="0"/>
          <w:divBdr>
            <w:top w:val="none" w:sz="0" w:space="0" w:color="auto"/>
            <w:left w:val="none" w:sz="0" w:space="0" w:color="auto"/>
            <w:bottom w:val="none" w:sz="0" w:space="0" w:color="auto"/>
            <w:right w:val="none" w:sz="0" w:space="0" w:color="auto"/>
          </w:divBdr>
        </w:div>
        <w:div w:id="1316181914">
          <w:marLeft w:val="835"/>
          <w:marRight w:val="0"/>
          <w:marTop w:val="67"/>
          <w:marBottom w:val="0"/>
          <w:divBdr>
            <w:top w:val="none" w:sz="0" w:space="0" w:color="auto"/>
            <w:left w:val="none" w:sz="0" w:space="0" w:color="auto"/>
            <w:bottom w:val="none" w:sz="0" w:space="0" w:color="auto"/>
            <w:right w:val="none" w:sz="0" w:space="0" w:color="auto"/>
          </w:divBdr>
        </w:div>
        <w:div w:id="1328904653">
          <w:marLeft w:val="835"/>
          <w:marRight w:val="0"/>
          <w:marTop w:val="67"/>
          <w:marBottom w:val="0"/>
          <w:divBdr>
            <w:top w:val="none" w:sz="0" w:space="0" w:color="auto"/>
            <w:left w:val="none" w:sz="0" w:space="0" w:color="auto"/>
            <w:bottom w:val="none" w:sz="0" w:space="0" w:color="auto"/>
            <w:right w:val="none" w:sz="0" w:space="0" w:color="auto"/>
          </w:divBdr>
        </w:div>
        <w:div w:id="1603344473">
          <w:marLeft w:val="835"/>
          <w:marRight w:val="0"/>
          <w:marTop w:val="67"/>
          <w:marBottom w:val="0"/>
          <w:divBdr>
            <w:top w:val="none" w:sz="0" w:space="0" w:color="auto"/>
            <w:left w:val="none" w:sz="0" w:space="0" w:color="auto"/>
            <w:bottom w:val="none" w:sz="0" w:space="0" w:color="auto"/>
            <w:right w:val="none" w:sz="0" w:space="0" w:color="auto"/>
          </w:divBdr>
        </w:div>
        <w:div w:id="1934045759">
          <w:marLeft w:val="835"/>
          <w:marRight w:val="0"/>
          <w:marTop w:val="67"/>
          <w:marBottom w:val="0"/>
          <w:divBdr>
            <w:top w:val="none" w:sz="0" w:space="0" w:color="auto"/>
            <w:left w:val="none" w:sz="0" w:space="0" w:color="auto"/>
            <w:bottom w:val="none" w:sz="0" w:space="0" w:color="auto"/>
            <w:right w:val="none" w:sz="0" w:space="0" w:color="auto"/>
          </w:divBdr>
        </w:div>
        <w:div w:id="1992756427">
          <w:marLeft w:val="274"/>
          <w:marRight w:val="0"/>
          <w:marTop w:val="82"/>
          <w:marBottom w:val="0"/>
          <w:divBdr>
            <w:top w:val="none" w:sz="0" w:space="0" w:color="auto"/>
            <w:left w:val="none" w:sz="0" w:space="0" w:color="auto"/>
            <w:bottom w:val="none" w:sz="0" w:space="0" w:color="auto"/>
            <w:right w:val="none" w:sz="0" w:space="0" w:color="auto"/>
          </w:divBdr>
        </w:div>
      </w:divsChild>
    </w:div>
    <w:div w:id="1647737440">
      <w:bodyDiv w:val="1"/>
      <w:marLeft w:val="0"/>
      <w:marRight w:val="0"/>
      <w:marTop w:val="0"/>
      <w:marBottom w:val="0"/>
      <w:divBdr>
        <w:top w:val="none" w:sz="0" w:space="0" w:color="auto"/>
        <w:left w:val="none" w:sz="0" w:space="0" w:color="auto"/>
        <w:bottom w:val="none" w:sz="0" w:space="0" w:color="auto"/>
        <w:right w:val="none" w:sz="0" w:space="0" w:color="auto"/>
      </w:divBdr>
      <w:divsChild>
        <w:div w:id="205458619">
          <w:marLeft w:val="274"/>
          <w:marRight w:val="0"/>
          <w:marTop w:val="82"/>
          <w:marBottom w:val="0"/>
          <w:divBdr>
            <w:top w:val="none" w:sz="0" w:space="0" w:color="auto"/>
            <w:left w:val="none" w:sz="0" w:space="0" w:color="auto"/>
            <w:bottom w:val="none" w:sz="0" w:space="0" w:color="auto"/>
            <w:right w:val="none" w:sz="0" w:space="0" w:color="auto"/>
          </w:divBdr>
        </w:div>
        <w:div w:id="313414142">
          <w:marLeft w:val="835"/>
          <w:marRight w:val="0"/>
          <w:marTop w:val="67"/>
          <w:marBottom w:val="0"/>
          <w:divBdr>
            <w:top w:val="none" w:sz="0" w:space="0" w:color="auto"/>
            <w:left w:val="none" w:sz="0" w:space="0" w:color="auto"/>
            <w:bottom w:val="none" w:sz="0" w:space="0" w:color="auto"/>
            <w:right w:val="none" w:sz="0" w:space="0" w:color="auto"/>
          </w:divBdr>
        </w:div>
        <w:div w:id="802307918">
          <w:marLeft w:val="274"/>
          <w:marRight w:val="0"/>
          <w:marTop w:val="82"/>
          <w:marBottom w:val="0"/>
          <w:divBdr>
            <w:top w:val="none" w:sz="0" w:space="0" w:color="auto"/>
            <w:left w:val="none" w:sz="0" w:space="0" w:color="auto"/>
            <w:bottom w:val="none" w:sz="0" w:space="0" w:color="auto"/>
            <w:right w:val="none" w:sz="0" w:space="0" w:color="auto"/>
          </w:divBdr>
        </w:div>
        <w:div w:id="823013620">
          <w:marLeft w:val="835"/>
          <w:marRight w:val="0"/>
          <w:marTop w:val="67"/>
          <w:marBottom w:val="0"/>
          <w:divBdr>
            <w:top w:val="none" w:sz="0" w:space="0" w:color="auto"/>
            <w:left w:val="none" w:sz="0" w:space="0" w:color="auto"/>
            <w:bottom w:val="none" w:sz="0" w:space="0" w:color="auto"/>
            <w:right w:val="none" w:sz="0" w:space="0" w:color="auto"/>
          </w:divBdr>
        </w:div>
        <w:div w:id="1015494862">
          <w:marLeft w:val="274"/>
          <w:marRight w:val="0"/>
          <w:marTop w:val="82"/>
          <w:marBottom w:val="0"/>
          <w:divBdr>
            <w:top w:val="none" w:sz="0" w:space="0" w:color="auto"/>
            <w:left w:val="none" w:sz="0" w:space="0" w:color="auto"/>
            <w:bottom w:val="none" w:sz="0" w:space="0" w:color="auto"/>
            <w:right w:val="none" w:sz="0" w:space="0" w:color="auto"/>
          </w:divBdr>
        </w:div>
        <w:div w:id="1271014878">
          <w:marLeft w:val="835"/>
          <w:marRight w:val="0"/>
          <w:marTop w:val="67"/>
          <w:marBottom w:val="0"/>
          <w:divBdr>
            <w:top w:val="none" w:sz="0" w:space="0" w:color="auto"/>
            <w:left w:val="none" w:sz="0" w:space="0" w:color="auto"/>
            <w:bottom w:val="none" w:sz="0" w:space="0" w:color="auto"/>
            <w:right w:val="none" w:sz="0" w:space="0" w:color="auto"/>
          </w:divBdr>
        </w:div>
        <w:div w:id="1461338415">
          <w:marLeft w:val="274"/>
          <w:marRight w:val="0"/>
          <w:marTop w:val="82"/>
          <w:marBottom w:val="0"/>
          <w:divBdr>
            <w:top w:val="none" w:sz="0" w:space="0" w:color="auto"/>
            <w:left w:val="none" w:sz="0" w:space="0" w:color="auto"/>
            <w:bottom w:val="none" w:sz="0" w:space="0" w:color="auto"/>
            <w:right w:val="none" w:sz="0" w:space="0" w:color="auto"/>
          </w:divBdr>
        </w:div>
        <w:div w:id="1476799998">
          <w:marLeft w:val="835"/>
          <w:marRight w:val="0"/>
          <w:marTop w:val="67"/>
          <w:marBottom w:val="0"/>
          <w:divBdr>
            <w:top w:val="none" w:sz="0" w:space="0" w:color="auto"/>
            <w:left w:val="none" w:sz="0" w:space="0" w:color="auto"/>
            <w:bottom w:val="none" w:sz="0" w:space="0" w:color="auto"/>
            <w:right w:val="none" w:sz="0" w:space="0" w:color="auto"/>
          </w:divBdr>
        </w:div>
        <w:div w:id="1478843698">
          <w:marLeft w:val="274"/>
          <w:marRight w:val="0"/>
          <w:marTop w:val="82"/>
          <w:marBottom w:val="0"/>
          <w:divBdr>
            <w:top w:val="none" w:sz="0" w:space="0" w:color="auto"/>
            <w:left w:val="none" w:sz="0" w:space="0" w:color="auto"/>
            <w:bottom w:val="none" w:sz="0" w:space="0" w:color="auto"/>
            <w:right w:val="none" w:sz="0" w:space="0" w:color="auto"/>
          </w:divBdr>
        </w:div>
        <w:div w:id="1818301395">
          <w:marLeft w:val="835"/>
          <w:marRight w:val="0"/>
          <w:marTop w:val="67"/>
          <w:marBottom w:val="0"/>
          <w:divBdr>
            <w:top w:val="none" w:sz="0" w:space="0" w:color="auto"/>
            <w:left w:val="none" w:sz="0" w:space="0" w:color="auto"/>
            <w:bottom w:val="none" w:sz="0" w:space="0" w:color="auto"/>
            <w:right w:val="none" w:sz="0" w:space="0" w:color="auto"/>
          </w:divBdr>
        </w:div>
        <w:div w:id="1939363909">
          <w:marLeft w:val="835"/>
          <w:marRight w:val="0"/>
          <w:marTop w:val="67"/>
          <w:marBottom w:val="0"/>
          <w:divBdr>
            <w:top w:val="none" w:sz="0" w:space="0" w:color="auto"/>
            <w:left w:val="none" w:sz="0" w:space="0" w:color="auto"/>
            <w:bottom w:val="none" w:sz="0" w:space="0" w:color="auto"/>
            <w:right w:val="none" w:sz="0" w:space="0" w:color="auto"/>
          </w:divBdr>
        </w:div>
        <w:div w:id="2070759257">
          <w:marLeft w:val="835"/>
          <w:marRight w:val="0"/>
          <w:marTop w:val="67"/>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1052BD8E-7746-413B-965D-95E4E839D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936</TotalTime>
  <Pages>1</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Asbjörn Grövlen</cp:lastModifiedBy>
  <cp:revision>18</cp:revision>
  <cp:lastPrinted>2008-01-31T07:09:00Z</cp:lastPrinted>
  <dcterms:created xsi:type="dcterms:W3CDTF">2016-11-01T11:54:00Z</dcterms:created>
  <dcterms:modified xsi:type="dcterms:W3CDTF">2017-01-10T00:54:00Z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