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B14A49" w:rsidRDefault="00830F4E" w:rsidP="00E9523A">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sidR="004A6C2B">
        <w:rPr>
          <w:rFonts w:cs="Arial"/>
          <w:bCs/>
          <w:sz w:val="22"/>
        </w:rPr>
        <w:t xml:space="preserve">AH_NR </w:t>
      </w:r>
      <w:r w:rsidRPr="0052231C">
        <w:rPr>
          <w:rFonts w:cs="Arial"/>
          <w:bCs/>
          <w:sz w:val="22"/>
        </w:rPr>
        <w:t>Meeting</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0D7B5A">
        <w:rPr>
          <w:rFonts w:cs="Arial"/>
          <w:bCs/>
          <w:sz w:val="22"/>
        </w:rPr>
        <w:t>R1-17</w:t>
      </w:r>
      <w:r w:rsidR="00851882">
        <w:rPr>
          <w:rFonts w:cs="Arial"/>
          <w:bCs/>
          <w:sz w:val="22"/>
        </w:rPr>
        <w:t>00</w:t>
      </w:r>
      <w:r w:rsidR="00652DE4">
        <w:rPr>
          <w:rFonts w:cs="Arial"/>
          <w:bCs/>
          <w:sz w:val="22"/>
        </w:rPr>
        <w:t>19</w:t>
      </w:r>
      <w:r w:rsidR="00BF23F3">
        <w:rPr>
          <w:rFonts w:cs="Arial"/>
          <w:bCs/>
          <w:sz w:val="22"/>
        </w:rPr>
        <w:t>0</w:t>
      </w:r>
    </w:p>
    <w:p w:rsidR="00C11ED7" w:rsidRPr="005D47C0" w:rsidRDefault="000D7B5A" w:rsidP="00E9523A">
      <w:pPr>
        <w:pStyle w:val="Header"/>
        <w:widowControl w:val="0"/>
        <w:tabs>
          <w:tab w:val="clear" w:pos="9072"/>
          <w:tab w:val="right" w:pos="8280"/>
          <w:tab w:val="right" w:pos="9781"/>
        </w:tabs>
        <w:snapToGrid w:val="0"/>
        <w:ind w:left="-2" w:right="-57"/>
        <w:rPr>
          <w:rFonts w:cs="Arial"/>
          <w:bCs/>
          <w:sz w:val="22"/>
        </w:rPr>
      </w:pPr>
      <w:r>
        <w:rPr>
          <w:rFonts w:cs="Arial"/>
          <w:bCs/>
          <w:sz w:val="22"/>
        </w:rPr>
        <w:t>Spokane</w:t>
      </w:r>
      <w:r w:rsidR="00F2358D" w:rsidRPr="00F2358D">
        <w:rPr>
          <w:rFonts w:cs="Arial"/>
          <w:bCs/>
          <w:sz w:val="22"/>
        </w:rPr>
        <w:t xml:space="preserve">, </w:t>
      </w:r>
      <w:r w:rsidR="00DE501E">
        <w:rPr>
          <w:rFonts w:cs="Arial"/>
          <w:bCs/>
          <w:sz w:val="22"/>
        </w:rPr>
        <w:t>USA,</w:t>
      </w:r>
      <w:r w:rsidR="00F2358D" w:rsidRPr="00F2358D">
        <w:rPr>
          <w:rFonts w:cs="Arial"/>
          <w:bCs/>
          <w:sz w:val="22"/>
        </w:rPr>
        <w:t xml:space="preserve"> 1</w:t>
      </w:r>
      <w:r>
        <w:rPr>
          <w:rFonts w:cs="Arial"/>
          <w:bCs/>
          <w:sz w:val="22"/>
        </w:rPr>
        <w:t>6</w:t>
      </w:r>
      <w:r w:rsidR="00F2358D" w:rsidRPr="00F2358D">
        <w:rPr>
          <w:rFonts w:cs="Arial"/>
          <w:bCs/>
          <w:sz w:val="22"/>
          <w:vertAlign w:val="superscript"/>
        </w:rPr>
        <w:t>th</w:t>
      </w:r>
      <w:r w:rsidR="00F2358D">
        <w:rPr>
          <w:rFonts w:eastAsia="SimSun" w:cs="Arial" w:hint="eastAsia"/>
          <w:bCs/>
          <w:sz w:val="22"/>
          <w:lang w:eastAsia="zh-CN"/>
        </w:rPr>
        <w:t xml:space="preserve"> </w:t>
      </w:r>
      <w:r w:rsidR="00F2358D" w:rsidRPr="00F2358D">
        <w:rPr>
          <w:rFonts w:cs="Arial"/>
          <w:bCs/>
          <w:sz w:val="22"/>
        </w:rPr>
        <w:t xml:space="preserve">- </w:t>
      </w:r>
      <w:r>
        <w:rPr>
          <w:rFonts w:cs="Arial"/>
          <w:bCs/>
          <w:sz w:val="22"/>
        </w:rPr>
        <w:t>20</w:t>
      </w:r>
      <w:r w:rsidR="00F2358D" w:rsidRPr="00F2358D">
        <w:rPr>
          <w:rFonts w:cs="Arial"/>
          <w:bCs/>
          <w:sz w:val="22"/>
          <w:vertAlign w:val="superscript"/>
        </w:rPr>
        <w:t>th</w:t>
      </w:r>
      <w:r w:rsidR="00F2358D">
        <w:rPr>
          <w:rFonts w:eastAsia="SimSun" w:cs="Arial" w:hint="eastAsia"/>
          <w:bCs/>
          <w:sz w:val="22"/>
          <w:lang w:eastAsia="zh-CN"/>
        </w:rPr>
        <w:t xml:space="preserve"> </w:t>
      </w:r>
      <w:r>
        <w:rPr>
          <w:rFonts w:eastAsia="SimSun" w:cs="Arial"/>
          <w:bCs/>
          <w:sz w:val="22"/>
          <w:lang w:eastAsia="zh-CN"/>
        </w:rPr>
        <w:t>January</w:t>
      </w:r>
      <w:r w:rsidR="00F2358D" w:rsidRPr="00F2358D">
        <w:rPr>
          <w:rFonts w:cs="Arial"/>
          <w:bCs/>
          <w:sz w:val="22"/>
        </w:rPr>
        <w:t xml:space="preserve"> 201</w:t>
      </w:r>
      <w:r>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652DE4" w:rsidRPr="00652DE4">
        <w:rPr>
          <w:sz w:val="22"/>
          <w:szCs w:val="22"/>
        </w:rPr>
        <w:t>Construction and mapping of DCI formats</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0D7B5A">
        <w:rPr>
          <w:rFonts w:eastAsia="SimSun"/>
          <w:sz w:val="22"/>
          <w:szCs w:val="22"/>
          <w:lang w:eastAsia="zh-CN"/>
        </w:rPr>
        <w:t>5</w:t>
      </w:r>
      <w:r w:rsidR="00DE501E">
        <w:rPr>
          <w:rFonts w:eastAsia="SimSun" w:hint="eastAsia"/>
          <w:sz w:val="22"/>
          <w:szCs w:val="22"/>
          <w:lang w:eastAsia="zh-CN"/>
        </w:rPr>
        <w:t>.</w:t>
      </w:r>
      <w:r w:rsidR="00DE501E">
        <w:rPr>
          <w:rFonts w:eastAsia="SimSun"/>
          <w:sz w:val="22"/>
          <w:szCs w:val="22"/>
          <w:lang w:eastAsia="zh-CN"/>
        </w:rPr>
        <w:t>1</w:t>
      </w:r>
      <w:r w:rsidR="001B7842">
        <w:rPr>
          <w:rFonts w:eastAsia="SimSun" w:hint="eastAsia"/>
          <w:sz w:val="22"/>
          <w:szCs w:val="22"/>
          <w:lang w:eastAsia="zh-CN"/>
        </w:rPr>
        <w:t>.</w:t>
      </w:r>
      <w:r w:rsidR="00652DE4">
        <w:rPr>
          <w:rFonts w:eastAsia="SimSun"/>
          <w:sz w:val="22"/>
          <w:szCs w:val="22"/>
          <w:lang w:eastAsia="zh-CN"/>
        </w:rPr>
        <w:t>3.1</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9A0C42" w:rsidRDefault="005E4A6C" w:rsidP="005E4A6C">
      <w:pPr>
        <w:pStyle w:val="BodyText"/>
        <w:ind w:left="-2"/>
        <w:rPr>
          <w:lang w:eastAsia="ja-JP"/>
        </w:rPr>
      </w:pPr>
      <w:r>
        <w:rPr>
          <w:rFonts w:eastAsia="SimSun"/>
          <w:lang w:eastAsia="zh-CN"/>
        </w:rPr>
        <w:t xml:space="preserve">In LTE, the </w:t>
      </w:r>
      <w:r>
        <w:rPr>
          <w:rFonts w:eastAsia="SimSun"/>
          <w:lang w:val="en-GB" w:eastAsia="zh-CN"/>
        </w:rPr>
        <w:t xml:space="preserve">downlink control channel is used for delivering system information and other common/group control signaling, and for scheduling DL assignments and UL grants. A range of payload sizes and coding rates are supported to handle different transmission modes and channel conditions respectively. Furthermore, by configuring each UE with a number of search space candidates and relying on blind decodes, the network is able to efficiently manage control channel capacity across all users served by a cell. </w:t>
      </w:r>
      <w:r w:rsidR="009A0C42">
        <w:rPr>
          <w:lang w:eastAsia="ja-JP"/>
        </w:rPr>
        <w:t>It was readily seen by LTE Release 10 that the PDCCH was ill equipped to handle newly introduced features. For instance, while it was suited to homogeneous cellular network</w:t>
      </w:r>
      <w:r w:rsidR="00164C66">
        <w:rPr>
          <w:lang w:eastAsia="ja-JP"/>
        </w:rPr>
        <w:t xml:space="preserve">s consisting of </w:t>
      </w:r>
      <w:r w:rsidR="009A0C42">
        <w:rPr>
          <w:lang w:eastAsia="ja-JP"/>
        </w:rPr>
        <w:t xml:space="preserve">macro cells, it was not </w:t>
      </w:r>
      <w:r w:rsidR="00164C66">
        <w:rPr>
          <w:lang w:eastAsia="ja-JP"/>
        </w:rPr>
        <w:t>well</w:t>
      </w:r>
      <w:r w:rsidR="009A0C42">
        <w:rPr>
          <w:lang w:eastAsia="ja-JP"/>
        </w:rPr>
        <w:t xml:space="preserve"> suited for heterogeneous networks with a mix of high power and low power base stations controlling macro and small cells respectively. Perhaps, more importantly, the </w:t>
      </w:r>
      <w:r w:rsidR="00347F26">
        <w:rPr>
          <w:lang w:eastAsia="ja-JP"/>
        </w:rPr>
        <w:t>LTE PDCCH decoding complexity scales with the number</w:t>
      </w:r>
      <w:r w:rsidR="00C04E71">
        <w:rPr>
          <w:lang w:eastAsia="ja-JP"/>
        </w:rPr>
        <w:t xml:space="preserve"> of blind decodes (BDs) </w:t>
      </w:r>
      <w:r w:rsidR="00347F26">
        <w:rPr>
          <w:lang w:eastAsia="ja-JP"/>
        </w:rPr>
        <w:t>and the number of aggregation levels.</w:t>
      </w:r>
    </w:p>
    <w:p w:rsidR="005E4A6C" w:rsidRPr="00421F4B" w:rsidRDefault="009A0C42" w:rsidP="005E4A6C">
      <w:pPr>
        <w:pStyle w:val="BodyText"/>
        <w:ind w:left="-2"/>
        <w:rPr>
          <w:rFonts w:eastAsia="SimSun"/>
          <w:lang w:eastAsia="zh-CN"/>
        </w:rPr>
      </w:pPr>
      <w:r>
        <w:rPr>
          <w:lang w:eastAsia="ja-JP"/>
        </w:rPr>
        <w:t xml:space="preserve">As the NR system is tasked to address diverse use cases and deployment scenarios compared to LTE while keeping device complexity and energy usage to manageable levels, several aspects of the control channel design need to be carefully investigated. </w:t>
      </w:r>
      <w:r w:rsidR="00347F26">
        <w:rPr>
          <w:lang w:eastAsia="ja-JP"/>
        </w:rPr>
        <w:t>In addition, latency constraints such as for URLLC require further study of mechanisms that speed up both gNB and UE data</w:t>
      </w:r>
      <w:r w:rsidR="00164C66">
        <w:rPr>
          <w:lang w:eastAsia="ja-JP"/>
        </w:rPr>
        <w:t>/</w:t>
      </w:r>
      <w:r w:rsidR="00347F26">
        <w:rPr>
          <w:lang w:eastAsia="ja-JP"/>
        </w:rPr>
        <w:t xml:space="preserve">control processing. This contribution studies </w:t>
      </w:r>
      <w:r>
        <w:rPr>
          <w:lang w:eastAsia="ja-JP"/>
        </w:rPr>
        <w:t>the construction and mapping of DCI formats with a view to minimizing the UE decoding complexity and power consumption.</w:t>
      </w:r>
      <w:r w:rsidR="00421F4B">
        <w:rPr>
          <w:rFonts w:eastAsia="SimSun"/>
          <w:lang w:val="en-GB" w:eastAsia="zh-CN"/>
        </w:rPr>
        <w:t xml:space="preserve"> </w:t>
      </w:r>
      <w:r w:rsidR="00FF6BE4">
        <w:rPr>
          <w:rFonts w:eastAsia="SimSun"/>
          <w:lang w:val="en-GB" w:eastAsia="zh-CN"/>
        </w:rPr>
        <w:t xml:space="preserve">In Section 2 we </w:t>
      </w:r>
      <w:r w:rsidR="00347F26">
        <w:rPr>
          <w:rFonts w:eastAsia="SimSun"/>
          <w:lang w:val="en-GB" w:eastAsia="zh-CN"/>
        </w:rPr>
        <w:t>compare and contrast several mechanisms for efficient construction and mapping of downlink control information in the NR system.</w:t>
      </w:r>
    </w:p>
    <w:p w:rsidR="009A0C42" w:rsidRPr="00421F4B" w:rsidRDefault="009A0C42" w:rsidP="00421F4B">
      <w:pPr>
        <w:pStyle w:val="BodyText"/>
        <w:ind w:left="-2"/>
        <w:rPr>
          <w:rFonts w:eastAsia="SimSun"/>
          <w:lang w:eastAsia="zh-CN"/>
        </w:rPr>
      </w:pPr>
    </w:p>
    <w:p w:rsidR="00244908" w:rsidRDefault="0005035B" w:rsidP="00BA5EC0">
      <w:pPr>
        <w:pStyle w:val="Heading1"/>
      </w:pPr>
      <w:r>
        <w:t>Discussio</w:t>
      </w:r>
      <w:r w:rsidR="004D6DE8">
        <w:t>n</w:t>
      </w:r>
    </w:p>
    <w:p w:rsidR="0005035B" w:rsidRDefault="0005035B" w:rsidP="0005035B">
      <w:pPr>
        <w:pStyle w:val="Heading2"/>
      </w:pPr>
      <w:r>
        <w:t>Reference DCI formats</w:t>
      </w:r>
    </w:p>
    <w:p w:rsidR="0005035B" w:rsidRDefault="0005035B" w:rsidP="00164C66">
      <w:pPr>
        <w:jc w:val="both"/>
      </w:pPr>
      <w:r>
        <w:t xml:space="preserve">One proposal in NR is to simplify the DCI structure compared to LTE by defining only a small number of DCI formats (see e.g. [1]). The motivation is that since many LTE DCI formats differ by </w:t>
      </w:r>
      <w:r w:rsidR="00164C66">
        <w:t xml:space="preserve">only </w:t>
      </w:r>
      <w:r>
        <w:t xml:space="preserve">a few bits, it is simpler </w:t>
      </w:r>
      <w:r w:rsidR="00164C66">
        <w:t xml:space="preserve">for NR to introduce a select </w:t>
      </w:r>
      <w:r>
        <w:t xml:space="preserve">few reference payload sizes. The DCI format would contain a header field which informs the UE what information fields are conveyed in the remaining bits. Taking LTE DCI formats as an example, the implication is that the actual payload size is quantized to fit one of these reference sizes. </w:t>
      </w:r>
    </w:p>
    <w:p w:rsidR="0005035B" w:rsidRDefault="0005035B" w:rsidP="00164C66">
      <w:pPr>
        <w:jc w:val="both"/>
      </w:pPr>
    </w:p>
    <w:p w:rsidR="0005035B" w:rsidRDefault="0005035B" w:rsidP="00164C66">
      <w:pPr>
        <w:jc w:val="both"/>
      </w:pPr>
      <w:r>
        <w:t>Whilst this scheme can eliminate the need for padding bits and also reduce specification complexity it does not really reduce the number of BDs, which depends on the transmission modes</w:t>
      </w:r>
      <w:r w:rsidR="00C04E71">
        <w:t xml:space="preserve">, number of aggregation levels (ALs) and number of </w:t>
      </w:r>
      <w:r>
        <w:t xml:space="preserve">search spaces. </w:t>
      </w:r>
      <w:r w:rsidR="00C04E71">
        <w:t>For example</w:t>
      </w:r>
      <w:r>
        <w:t xml:space="preserve">, in LTE </w:t>
      </w:r>
      <w:r w:rsidR="00C04E71">
        <w:rPr>
          <w:lang w:eastAsia="ja-JP"/>
        </w:rPr>
        <w:t>a UE that is not configured for NB-IoT or eMTC</w:t>
      </w:r>
      <w:r w:rsidR="00C04E71">
        <w:t xml:space="preserve"> </w:t>
      </w:r>
      <w:r>
        <w:t xml:space="preserve">needs to search </w:t>
      </w:r>
      <w:r w:rsidR="00C04E71">
        <w:t xml:space="preserve">in the UE-specific search space (UESS) for </w:t>
      </w:r>
      <w:r>
        <w:t xml:space="preserve">DCI formats 0/1A and for a DL transmission mode-dependent </w:t>
      </w:r>
      <w:r w:rsidR="00C04E71">
        <w:t xml:space="preserve">format </w:t>
      </w:r>
      <w:r>
        <w:t>such as 1/1B/1D/2/2A/2B/2C/2D</w:t>
      </w:r>
      <w:r w:rsidR="00C04E71">
        <w:t>.</w:t>
      </w:r>
      <w:r>
        <w:t xml:space="preserve"> </w:t>
      </w:r>
      <w:r w:rsidR="00C04E71">
        <w:t>Furthermore, the UE also searches for DCI format 4 if UL M</w:t>
      </w:r>
      <w:r>
        <w:t>IMO is c</w:t>
      </w:r>
      <w:r w:rsidR="00164C66">
        <w:t>onfigured. Since there are 16</w:t>
      </w:r>
      <w:r>
        <w:t xml:space="preserve"> control channel candidates in the UESS, the UE performs up to 16 * 3 = 48 BDs. Therefore, to reduce the number of BDs only one or two payload sizes should be introduced. For example, one small and one large reference payload could be introduced in NR. Note that the payload sizes also depend on the system bandwidth and if cross-cell scheduling is supported in NR, there may still be many sizes that a UE has to support. Another issue is when a UE requires a moderate payload but has to be quantized to say the large payload size. It may not be possible for the UE achieve the target BLER without power boosting compared to the case where the DCI payload size is exactly according to the configured DCI format. </w:t>
      </w:r>
    </w:p>
    <w:p w:rsidR="00C04E71" w:rsidRDefault="00C04E71" w:rsidP="0005035B"/>
    <w:p w:rsidR="00C04E71" w:rsidRPr="009D2BFB" w:rsidRDefault="00C04E71" w:rsidP="00C04E71">
      <w:pPr>
        <w:pStyle w:val="Heading2"/>
      </w:pPr>
      <w:r w:rsidRPr="009D2BFB">
        <w:t>2-stage DCI</w:t>
      </w:r>
    </w:p>
    <w:p w:rsidR="006C6626" w:rsidRDefault="007B5BCD" w:rsidP="006C6626">
      <w:pPr>
        <w:pStyle w:val="BodyText"/>
      </w:pPr>
      <w:r>
        <w:t>It has been proposed to introduce a 2-stage DCI scheme</w:t>
      </w:r>
      <w:r w:rsidRPr="007B5BCD">
        <w:t xml:space="preserve"> </w:t>
      </w:r>
      <w:r>
        <w:t xml:space="preserve">where </w:t>
      </w:r>
      <w:r w:rsidR="006C6626">
        <w:t>a first set of information fields and a second set of information fields a</w:t>
      </w:r>
      <w:r>
        <w:t xml:space="preserve">re independently encoded and mapped to separate regions of the time-frequency grid. The </w:t>
      </w:r>
      <w:r>
        <w:lastRenderedPageBreak/>
        <w:t>potential benefits of this scheme are enumerated in [2] and include a reduction in the number of blind decodes, improving processing timeline and enabling forward compatibility</w:t>
      </w:r>
      <w:r w:rsidR="006C6626">
        <w:t>,</w:t>
      </w:r>
      <w:r>
        <w:t xml:space="preserve"> where</w:t>
      </w:r>
      <w:r w:rsidR="006C6626">
        <w:t>in</w:t>
      </w:r>
      <w:r>
        <w:t xml:space="preserve"> extension </w:t>
      </w:r>
      <w:r w:rsidR="006C6626">
        <w:t xml:space="preserve">information </w:t>
      </w:r>
      <w:r>
        <w:t xml:space="preserve">fields can be mapped to the second </w:t>
      </w:r>
      <w:r w:rsidR="006C6626">
        <w:t>stage</w:t>
      </w:r>
      <w:r>
        <w:t>.</w:t>
      </w:r>
      <w:r w:rsidR="006C6626">
        <w:t xml:space="preserve"> The second stage could either be mapped in the same control resource set – such as on an adjacent OFDM control symbol with respect to the first stage – or to the PDSCH region. </w:t>
      </w:r>
    </w:p>
    <w:p w:rsidR="006C6626" w:rsidRDefault="006C6626" w:rsidP="006C6626">
      <w:pPr>
        <w:pStyle w:val="BodyText"/>
      </w:pPr>
      <w:r>
        <w:t xml:space="preserve">There are pros and cons of </w:t>
      </w:r>
      <w:r w:rsidR="006841DB">
        <w:t>both mapping options for the second stage DCI</w:t>
      </w:r>
      <w:r>
        <w:t xml:space="preserve">. Firstly, if </w:t>
      </w:r>
      <w:r w:rsidRPr="006C6626">
        <w:t xml:space="preserve">the second stage is mapped to another portion of the same control resource set, an explicit indication may need to be inserted in the first </w:t>
      </w:r>
      <w:r w:rsidR="006841DB">
        <w:t>DCI</w:t>
      </w:r>
      <w:r w:rsidRPr="006C6626">
        <w:t xml:space="preserve"> to indicate the location of the second </w:t>
      </w:r>
      <w:r w:rsidR="006841DB">
        <w:t>DCI</w:t>
      </w:r>
      <w:r w:rsidRPr="006C6626">
        <w:t xml:space="preserve">. Thus, for a DCI scheduling DL data, up to two resource allocation fields may be required in the first DCI, namely, one for indicating the location of the second DCI and one for PDSCH resource allocation.  Alternatively, the signaling overhead may be minimized by mapping the second part of the DCI to the PDSCH region for DCI </w:t>
      </w:r>
      <w:r>
        <w:t>scheduling a DL assignment. A few limitations of the 2-stage DCI are:</w:t>
      </w:r>
    </w:p>
    <w:p w:rsidR="006C6626" w:rsidRPr="00605C1A" w:rsidRDefault="006C6626" w:rsidP="00E11EBB">
      <w:pPr>
        <w:pStyle w:val="BodyText"/>
        <w:numPr>
          <w:ilvl w:val="0"/>
          <w:numId w:val="5"/>
        </w:numPr>
      </w:pPr>
      <w:r>
        <w:rPr>
          <w:rFonts w:eastAsia="SimSun"/>
          <w:lang w:eastAsia="zh-CN"/>
        </w:rPr>
        <w:t xml:space="preserve">Some of the </w:t>
      </w:r>
      <w:r w:rsidRPr="00736FD0">
        <w:rPr>
          <w:rFonts w:eastAsia="SimSun" w:hint="eastAsia"/>
          <w:lang w:eastAsia="zh-CN"/>
        </w:rPr>
        <w:t>potential benefits do not apply to UL grants</w:t>
      </w:r>
      <w:r w:rsidR="00605C1A">
        <w:rPr>
          <w:rFonts w:eastAsia="SimSun"/>
          <w:lang w:eastAsia="zh-CN"/>
        </w:rPr>
        <w:t xml:space="preserve"> such as placing the se</w:t>
      </w:r>
      <w:r w:rsidR="00D95B46">
        <w:rPr>
          <w:rFonts w:eastAsia="SimSun"/>
          <w:lang w:eastAsia="zh-CN"/>
        </w:rPr>
        <w:t>co</w:t>
      </w:r>
      <w:r w:rsidR="00605C1A">
        <w:rPr>
          <w:rFonts w:eastAsia="SimSun"/>
          <w:lang w:eastAsia="zh-CN"/>
        </w:rPr>
        <w:t>nd DCI in the PDSCH region.</w:t>
      </w:r>
      <w:r w:rsidR="00605C1A" w:rsidRPr="00605C1A">
        <w:rPr>
          <w:rFonts w:eastAsia="SimSun"/>
          <w:lang w:eastAsia="zh-CN"/>
        </w:rPr>
        <w:t xml:space="preserve"> </w:t>
      </w:r>
      <w:r w:rsidR="00605C1A" w:rsidRPr="00736FD0">
        <w:rPr>
          <w:rFonts w:eastAsia="SimSun"/>
          <w:lang w:eastAsia="zh-CN"/>
        </w:rPr>
        <w:t>In LTE</w:t>
      </w:r>
      <w:r w:rsidR="00605C1A" w:rsidRPr="00736FD0">
        <w:rPr>
          <w:rFonts w:eastAsia="SimSun" w:hint="eastAsia"/>
          <w:lang w:eastAsia="zh-CN"/>
        </w:rPr>
        <w:t>,</w:t>
      </w:r>
      <w:r w:rsidR="00605C1A" w:rsidRPr="00736FD0">
        <w:rPr>
          <w:rFonts w:eastAsia="SimSun"/>
          <w:lang w:eastAsia="zh-CN"/>
        </w:rPr>
        <w:t xml:space="preserve"> 2 sets of BDs apply to UL (</w:t>
      </w:r>
      <w:r w:rsidR="00605C1A">
        <w:rPr>
          <w:rFonts w:eastAsia="SimSun"/>
          <w:lang w:eastAsia="zh-CN"/>
        </w:rPr>
        <w:t xml:space="preserve">DCI formats </w:t>
      </w:r>
      <w:r w:rsidR="00605C1A" w:rsidRPr="00736FD0">
        <w:rPr>
          <w:rFonts w:eastAsia="SimSun"/>
          <w:lang w:eastAsia="zh-CN"/>
        </w:rPr>
        <w:t>0/1A</w:t>
      </w:r>
      <w:r w:rsidR="00605C1A">
        <w:rPr>
          <w:rFonts w:eastAsia="SimSun"/>
          <w:lang w:eastAsia="zh-CN"/>
        </w:rPr>
        <w:t xml:space="preserve"> and 4</w:t>
      </w:r>
      <w:r w:rsidR="00605C1A" w:rsidRPr="00736FD0">
        <w:rPr>
          <w:rFonts w:eastAsia="SimSun"/>
          <w:lang w:eastAsia="zh-CN"/>
        </w:rPr>
        <w:t>) so we are not getting much savings for just DL assignments</w:t>
      </w:r>
      <w:r w:rsidR="00605C1A" w:rsidRPr="00736FD0">
        <w:rPr>
          <w:rFonts w:eastAsia="SimSun" w:hint="eastAsia"/>
          <w:lang w:eastAsia="zh-CN"/>
        </w:rPr>
        <w:t>.</w:t>
      </w:r>
    </w:p>
    <w:p w:rsidR="00605C1A" w:rsidRPr="00605C1A" w:rsidRDefault="00605C1A" w:rsidP="00E11EBB">
      <w:pPr>
        <w:pStyle w:val="BodyText"/>
        <w:numPr>
          <w:ilvl w:val="0"/>
          <w:numId w:val="5"/>
        </w:numPr>
      </w:pPr>
      <w:r w:rsidRPr="00736FD0">
        <w:rPr>
          <w:rFonts w:eastAsia="SimSun"/>
          <w:lang w:eastAsia="zh-CN"/>
        </w:rPr>
        <w:t>Different performance requirements for 2-stage decoding</w:t>
      </w:r>
      <w:r>
        <w:rPr>
          <w:rFonts w:eastAsia="SimSun"/>
          <w:lang w:eastAsia="zh-CN"/>
        </w:rPr>
        <w:t xml:space="preserve"> particularly as it is mapped to different time-frequency regions</w:t>
      </w:r>
      <w:r w:rsidR="006841DB">
        <w:rPr>
          <w:rFonts w:eastAsia="SimSun"/>
          <w:lang w:eastAsia="zh-CN"/>
        </w:rPr>
        <w:t>.</w:t>
      </w:r>
    </w:p>
    <w:p w:rsidR="00F91D6D" w:rsidRPr="00F91D6D" w:rsidRDefault="00605C1A" w:rsidP="00E11EBB">
      <w:pPr>
        <w:pStyle w:val="BodyText"/>
        <w:numPr>
          <w:ilvl w:val="0"/>
          <w:numId w:val="5"/>
        </w:numPr>
      </w:pPr>
      <w:r>
        <w:rPr>
          <w:rFonts w:eastAsia="SimSun"/>
          <w:lang w:eastAsia="zh-CN"/>
        </w:rPr>
        <w:t xml:space="preserve">Reliability for each </w:t>
      </w:r>
      <w:r w:rsidR="006841DB">
        <w:rPr>
          <w:rFonts w:eastAsia="SimSun"/>
          <w:lang w:eastAsia="zh-CN"/>
        </w:rPr>
        <w:t>DCI</w:t>
      </w:r>
      <w:r>
        <w:rPr>
          <w:rFonts w:eastAsia="SimSun"/>
          <w:lang w:eastAsia="zh-CN"/>
        </w:rPr>
        <w:t xml:space="preserve"> needs to be higher to maintain same </w:t>
      </w:r>
      <w:r w:rsidR="006841DB">
        <w:rPr>
          <w:rFonts w:eastAsia="SimSun"/>
          <w:lang w:eastAsia="zh-CN"/>
        </w:rPr>
        <w:t>overall control channel</w:t>
      </w:r>
      <w:r>
        <w:rPr>
          <w:rFonts w:eastAsia="SimSun"/>
          <w:lang w:eastAsia="zh-CN"/>
        </w:rPr>
        <w:t xml:space="preserve"> reliability</w:t>
      </w:r>
      <w:r w:rsidR="006841DB">
        <w:rPr>
          <w:rFonts w:eastAsia="SimSun"/>
          <w:lang w:eastAsia="zh-CN"/>
        </w:rPr>
        <w:t>.</w:t>
      </w:r>
      <w:r>
        <w:rPr>
          <w:rFonts w:eastAsia="SimSun"/>
          <w:lang w:eastAsia="zh-CN"/>
        </w:rPr>
        <w:t xml:space="preserve"> </w:t>
      </w:r>
    </w:p>
    <w:p w:rsidR="005D39EC" w:rsidRDefault="00F91D6D" w:rsidP="00E11EBB">
      <w:pPr>
        <w:pStyle w:val="BodyText"/>
        <w:numPr>
          <w:ilvl w:val="0"/>
          <w:numId w:val="5"/>
        </w:numPr>
      </w:pPr>
      <w:r>
        <w:t xml:space="preserve">It may not be applicable to </w:t>
      </w:r>
      <w:r w:rsidR="006C6626" w:rsidRPr="006C6626">
        <w:t>compact DCI formats or for common/group control signaling.</w:t>
      </w:r>
    </w:p>
    <w:p w:rsidR="005D39EC" w:rsidRDefault="006177AD" w:rsidP="005D39EC">
      <w:pPr>
        <w:pStyle w:val="BodyText"/>
      </w:pPr>
      <w:r>
        <w:t xml:space="preserve">It can be observed that several challenges remain unsolved for the 2-stage DCI scheme. Nevertheless, it is a good first step towards reducing the decoding complexity and ensuring forward compatibility for NR. In the next section we present some refinements to the 2-stage DCI scheme that address some of these shortcomings while achieving the stated goal of reducing decoding complexity and forward compatibility. </w:t>
      </w:r>
    </w:p>
    <w:p w:rsidR="006177AD" w:rsidRDefault="006177AD" w:rsidP="005D39EC">
      <w:pPr>
        <w:pStyle w:val="BodyText"/>
      </w:pPr>
    </w:p>
    <w:p w:rsidR="006177AD" w:rsidRDefault="000B3151" w:rsidP="000B3151">
      <w:pPr>
        <w:pStyle w:val="Heading2"/>
      </w:pPr>
      <w:r>
        <w:t>2-part single stage DCI design</w:t>
      </w:r>
    </w:p>
    <w:p w:rsidR="002B07EB" w:rsidRDefault="000B3151" w:rsidP="000B3151">
      <w:pPr>
        <w:pStyle w:val="BodyText"/>
      </w:pPr>
      <w:r>
        <w:rPr>
          <w:lang w:eastAsia="zh-CN"/>
        </w:rPr>
        <w:t xml:space="preserve">One of the shortcomings of the 2-stage design is the fact that each stage is mapped to different time-frequency regions and experience different channel and interference conditions. Essentially the DCI for a UE is transmitted on two NR-PDCCHs. A different solution </w:t>
      </w:r>
      <w:r w:rsidR="007A1F2B">
        <w:rPr>
          <w:lang w:eastAsia="zh-CN"/>
        </w:rPr>
        <w:t xml:space="preserve">may be envisioned where </w:t>
      </w:r>
      <w:r w:rsidR="003E10F0">
        <w:rPr>
          <w:lang w:eastAsia="zh-CN"/>
        </w:rPr>
        <w:t xml:space="preserve">the </w:t>
      </w:r>
      <w:r w:rsidR="007A1F2B">
        <w:rPr>
          <w:lang w:eastAsia="zh-CN"/>
        </w:rPr>
        <w:t>two sets of control information are mapped to the same NR-PDCCH.</w:t>
      </w:r>
      <w:r w:rsidR="007A1F2B" w:rsidRPr="007A1F2B">
        <w:t xml:space="preserve"> </w:t>
      </w:r>
      <w:r w:rsidR="002B07EB">
        <w:t>Figure 1 is an illustration of a two part scheme, wherein a</w:t>
      </w:r>
      <w:r w:rsidR="007A1F2B">
        <w:t xml:space="preserve"> DCI is partitioned into a common part and an extension part</w:t>
      </w:r>
      <w:r w:rsidR="00B43053">
        <w:t xml:space="preserve">. </w:t>
      </w:r>
    </w:p>
    <w:p w:rsidR="002B07EB" w:rsidRDefault="002B07EB" w:rsidP="002B07EB">
      <w:pPr>
        <w:keepNext/>
        <w:jc w:val="center"/>
      </w:pPr>
      <w:r>
        <w:object w:dxaOrig="6455" w:dyaOrig="4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5pt;height:175.85pt" o:ole="">
            <v:imagedata r:id="rId8" o:title=""/>
          </v:shape>
          <o:OLEObject Type="Embed" ProgID="Visio.Drawing.11" ShapeID="_x0000_i1025" DrawAspect="Content" ObjectID="_1545495933" r:id="rId9"/>
        </w:object>
      </w:r>
    </w:p>
    <w:p w:rsidR="002B07EB" w:rsidRDefault="002B07EB" w:rsidP="002B07EB">
      <w:pPr>
        <w:pStyle w:val="Caption"/>
        <w:jc w:val="center"/>
      </w:pPr>
      <w:r>
        <w:t xml:space="preserve">Figure </w:t>
      </w:r>
      <w:fldSimple w:instr=" SEQ Figure \* ARABIC ">
        <w:r>
          <w:rPr>
            <w:noProof/>
          </w:rPr>
          <w:t>1</w:t>
        </w:r>
      </w:fldSimple>
      <w:r>
        <w:t xml:space="preserve"> Illustration of a DCI partitioned into common and extension parts but mapped to a single NR-PDCCH</w:t>
      </w:r>
    </w:p>
    <w:p w:rsidR="002B07EB" w:rsidRPr="002B07EB" w:rsidRDefault="002B07EB" w:rsidP="000B3151">
      <w:pPr>
        <w:pStyle w:val="BodyText"/>
        <w:rPr>
          <w:lang w:val="en-GB"/>
        </w:rPr>
      </w:pPr>
      <w:r>
        <w:t xml:space="preserve">Each part is separately encoded and rate matched, and both rate matcher outputs are concatenated before QAM modulation. The concatenated and modulated output is then mapped to the time-frequency resources </w:t>
      </w:r>
      <w:r w:rsidR="006841DB">
        <w:t xml:space="preserve">occupied by the NR-CCEs belonging to </w:t>
      </w:r>
      <w:r>
        <w:t>a control channel candidate in the UE’s search space.</w:t>
      </w:r>
    </w:p>
    <w:p w:rsidR="003E10F0" w:rsidRDefault="003E10F0" w:rsidP="000B3151">
      <w:pPr>
        <w:pStyle w:val="BodyText"/>
      </w:pPr>
      <w:r>
        <w:t xml:space="preserve">Similarly to the 2-stage DCI scheme, this 2-part scheme avoids linking the number of BDs to the number of configured transmission modes. One field in the common part is a DCI type indicating what fields are mapped to the extension part. </w:t>
      </w:r>
      <w:r w:rsidR="002B07EB">
        <w:t>However, in contrast to the 2-stage DCI scheme, the two DCI parts are mapped to the same set of CCEs defining a specific control channel candidate.</w:t>
      </w:r>
    </w:p>
    <w:p w:rsidR="008655E3" w:rsidRPr="006841DB" w:rsidRDefault="008655E3" w:rsidP="008655E3">
      <w:pPr>
        <w:pStyle w:val="BodyText"/>
        <w:rPr>
          <w:b/>
        </w:rPr>
      </w:pPr>
      <w:r w:rsidRPr="006841DB">
        <w:rPr>
          <w:b/>
          <w:u w:val="single"/>
        </w:rPr>
        <w:lastRenderedPageBreak/>
        <w:t>Proposal</w:t>
      </w:r>
      <w:r w:rsidRPr="006841DB">
        <w:rPr>
          <w:b/>
        </w:rPr>
        <w:t xml:space="preserve">: consider the introduction of a 2-part DCI mapped to a single NR-PDCCH </w:t>
      </w:r>
    </w:p>
    <w:p w:rsidR="008655E3" w:rsidRDefault="008655E3" w:rsidP="008655E3">
      <w:pPr>
        <w:pStyle w:val="BodyText"/>
      </w:pPr>
      <w:r>
        <w:t>It can be observed in Figure 1 that the two rate match</w:t>
      </w:r>
      <w:r w:rsidR="00210DFB">
        <w:t xml:space="preserve">ing blocks </w:t>
      </w:r>
      <w:r>
        <w:t xml:space="preserve">must ensure that the </w:t>
      </w:r>
      <w:r w:rsidR="006841DB">
        <w:t>overall</w:t>
      </w:r>
      <w:r>
        <w:t xml:space="preserve"> coding rate is as close </w:t>
      </w:r>
      <w:r w:rsidR="00F575EE">
        <w:t xml:space="preserve">as </w:t>
      </w:r>
      <w:r>
        <w:t>possible to the target coding rate given the AL. For a more efficient utilization of ALs, it is preferable to minimize the degree of puncturing or repetition. . Towards this goal, the FEC encoder may support one or more output coding rates. The coding rate closest to the target coding rate is selected for encoding the DCI payload. If the number of coded bits is not exactly equal to the number of channel bits offered by an AL, limited repetition or puncturing may be performed. This basically allows a finer quantization to the target coding rate and potentially improves the NR-PDCCH BLER performance compared to coarse repetition/puncturing as done in LTE.</w:t>
      </w:r>
      <w:r w:rsidR="00F575EE">
        <w:t xml:space="preserve"> To maintain the same reliability a common target coding rate is applied to both common and extension parts.</w:t>
      </w:r>
    </w:p>
    <w:p w:rsidR="003E10F0" w:rsidRDefault="008655E3" w:rsidP="000B3151">
      <w:pPr>
        <w:pStyle w:val="BodyText"/>
      </w:pPr>
      <w:r w:rsidRPr="000875A7">
        <w:rPr>
          <w:b/>
          <w:u w:val="single"/>
        </w:rPr>
        <w:t>Proposal</w:t>
      </w:r>
      <w:r w:rsidRPr="006841DB">
        <w:rPr>
          <w:b/>
        </w:rPr>
        <w:t>: consider multiple output code rates for the NR-PDCCH FEC encoder</w:t>
      </w:r>
      <w:r>
        <w:t xml:space="preserve">  </w:t>
      </w:r>
    </w:p>
    <w:p w:rsidR="007A1F2B" w:rsidRDefault="007A1F2B" w:rsidP="000B3151">
      <w:pPr>
        <w:pStyle w:val="BodyText"/>
      </w:pPr>
    </w:p>
    <w:p w:rsidR="007A1F2B" w:rsidRDefault="007A1F2B" w:rsidP="007A1F2B">
      <w:pPr>
        <w:pStyle w:val="Heading3"/>
      </w:pPr>
      <w:r>
        <w:t>DCI contents</w:t>
      </w:r>
    </w:p>
    <w:p w:rsidR="00DB4DF8" w:rsidRDefault="006258B1" w:rsidP="000B3151">
      <w:pPr>
        <w:pStyle w:val="BodyText"/>
      </w:pPr>
      <w:r>
        <w:t xml:space="preserve">In a previous contribution [3] we listed proposed information fields in NR DCI formats. Here we describe how these information fields can be partitioned into the 2-part DCI. </w:t>
      </w:r>
      <w:r w:rsidR="008655E3">
        <w:t xml:space="preserve">As the name implies, the common part </w:t>
      </w:r>
      <w:r w:rsidR="00F82F41">
        <w:t>consists of</w:t>
      </w:r>
      <w:r w:rsidR="008655E3">
        <w:t xml:space="preserve"> control information fields common </w:t>
      </w:r>
      <w:r w:rsidR="00F82F41">
        <w:t xml:space="preserve">to </w:t>
      </w:r>
      <w:r w:rsidR="008655E3">
        <w:t>at least all UE-specific DCI formats.</w:t>
      </w:r>
      <w:r w:rsidR="00F82F41">
        <w:t xml:space="preserve"> For example, the </w:t>
      </w:r>
      <w:r w:rsidR="00F82F41">
        <w:rPr>
          <w:rFonts w:eastAsia="SimSun"/>
          <w:lang w:eastAsia="zh-CN"/>
        </w:rPr>
        <w:t>resource allocation, NDI and MCS fields could be placed in the common part.</w:t>
      </w:r>
      <w:r w:rsidR="00812032">
        <w:rPr>
          <w:rFonts w:eastAsia="SimSun"/>
          <w:lang w:eastAsia="zh-CN"/>
        </w:rPr>
        <w:t xml:space="preserve"> As previously mentioned </w:t>
      </w:r>
      <w:r w:rsidR="00812032">
        <w:t>a</w:t>
      </w:r>
      <w:r w:rsidR="00210DFB">
        <w:t xml:space="preserve"> DCI </w:t>
      </w:r>
      <w:r w:rsidR="00812032">
        <w:t xml:space="preserve">type </w:t>
      </w:r>
      <w:r w:rsidR="00210DFB">
        <w:t xml:space="preserve">field </w:t>
      </w:r>
      <w:r w:rsidR="00812032">
        <w:t xml:space="preserve">is needed to interpret the contents of the extension field. </w:t>
      </w:r>
      <w:r w:rsidR="00DD3DEE">
        <w:t xml:space="preserve">The contents of each part would depend on whether the 2-part DCI is also used for common or group control signaling. Here we assume that it is only mapped to a UESS. Table 1 shows the common information that can be mapped to the common part. </w:t>
      </w:r>
    </w:p>
    <w:p w:rsidR="00DD3DEE" w:rsidRDefault="00DD3DEE" w:rsidP="000B3151">
      <w:pPr>
        <w:pStyle w:val="BodyText"/>
      </w:pPr>
    </w:p>
    <w:p w:rsidR="00AC61DB" w:rsidRDefault="00AC61DB" w:rsidP="00AC61DB">
      <w:pPr>
        <w:pStyle w:val="Caption"/>
        <w:keepNext/>
        <w:jc w:val="center"/>
      </w:pPr>
      <w:r>
        <w:t xml:space="preserve">Table </w:t>
      </w:r>
      <w:fldSimple w:instr=" SEQ Table \* ARABIC ">
        <w:r>
          <w:rPr>
            <w:noProof/>
          </w:rPr>
          <w:t>1</w:t>
        </w:r>
      </w:fldSimple>
      <w:r>
        <w:t xml:space="preserve"> Example DCI information elements mapped to a common part</w:t>
      </w:r>
    </w:p>
    <w:tbl>
      <w:tblPr>
        <w:tblStyle w:val="TableGrid"/>
        <w:tblW w:w="0" w:type="auto"/>
        <w:jc w:val="center"/>
        <w:tblLook w:val="04A0"/>
      </w:tblPr>
      <w:tblGrid>
        <w:gridCol w:w="2808"/>
        <w:gridCol w:w="4752"/>
      </w:tblGrid>
      <w:tr w:rsidR="00DD3DEE" w:rsidTr="006841DB">
        <w:trPr>
          <w:jc w:val="center"/>
        </w:trPr>
        <w:tc>
          <w:tcPr>
            <w:tcW w:w="2808" w:type="dxa"/>
            <w:shd w:val="clear" w:color="auto" w:fill="C2D69B" w:themeFill="accent3" w:themeFillTint="99"/>
          </w:tcPr>
          <w:p w:rsidR="00DD3DEE" w:rsidRDefault="00DD3DEE" w:rsidP="000B3151">
            <w:pPr>
              <w:pStyle w:val="BodyText"/>
            </w:pPr>
            <w:r>
              <w:t>Field</w:t>
            </w:r>
          </w:p>
        </w:tc>
        <w:tc>
          <w:tcPr>
            <w:tcW w:w="4752" w:type="dxa"/>
            <w:shd w:val="clear" w:color="auto" w:fill="C2D69B" w:themeFill="accent3" w:themeFillTint="99"/>
          </w:tcPr>
          <w:p w:rsidR="00DD3DEE" w:rsidRDefault="00DD3DEE" w:rsidP="000B3151">
            <w:pPr>
              <w:pStyle w:val="BodyText"/>
            </w:pPr>
            <w:r>
              <w:t>Description</w:t>
            </w:r>
          </w:p>
        </w:tc>
      </w:tr>
      <w:tr w:rsidR="00DD3DEE" w:rsidTr="00DD3DEE">
        <w:trPr>
          <w:jc w:val="center"/>
        </w:trPr>
        <w:tc>
          <w:tcPr>
            <w:tcW w:w="2808" w:type="dxa"/>
          </w:tcPr>
          <w:p w:rsidR="00DD3DEE" w:rsidRDefault="00DD3DEE" w:rsidP="000B3151">
            <w:pPr>
              <w:pStyle w:val="BodyText"/>
            </w:pPr>
            <w:r>
              <w:t>UE Identity</w:t>
            </w:r>
          </w:p>
        </w:tc>
        <w:tc>
          <w:tcPr>
            <w:tcW w:w="4752" w:type="dxa"/>
          </w:tcPr>
          <w:p w:rsidR="00DD3DEE" w:rsidRDefault="00DD3DEE" w:rsidP="000B3151">
            <w:pPr>
              <w:pStyle w:val="BodyText"/>
            </w:pPr>
            <w:r>
              <w:t>Either explicit or implicit such as scrambling the CRC</w:t>
            </w:r>
          </w:p>
        </w:tc>
      </w:tr>
      <w:tr w:rsidR="00DD3DEE" w:rsidTr="00DD3DEE">
        <w:trPr>
          <w:jc w:val="center"/>
        </w:trPr>
        <w:tc>
          <w:tcPr>
            <w:tcW w:w="2808" w:type="dxa"/>
          </w:tcPr>
          <w:p w:rsidR="00DD3DEE" w:rsidRDefault="00DD3DEE" w:rsidP="000B3151">
            <w:pPr>
              <w:pStyle w:val="BodyText"/>
            </w:pPr>
            <w:r>
              <w:t>DCI format type</w:t>
            </w:r>
          </w:p>
        </w:tc>
        <w:tc>
          <w:tcPr>
            <w:tcW w:w="4752" w:type="dxa"/>
          </w:tcPr>
          <w:p w:rsidR="00DD3DEE" w:rsidRDefault="00DD3DEE" w:rsidP="000B3151">
            <w:pPr>
              <w:pStyle w:val="BodyText"/>
            </w:pPr>
            <w:r>
              <w:t>Indicates how to interpret the extension field</w:t>
            </w:r>
          </w:p>
        </w:tc>
      </w:tr>
      <w:tr w:rsidR="00DD3DEE" w:rsidTr="00DD3DEE">
        <w:trPr>
          <w:jc w:val="center"/>
        </w:trPr>
        <w:tc>
          <w:tcPr>
            <w:tcW w:w="2808" w:type="dxa"/>
          </w:tcPr>
          <w:p w:rsidR="00DD3DEE" w:rsidRDefault="00DD3DEE" w:rsidP="0069403F">
            <w:pPr>
              <w:pStyle w:val="BodyText"/>
            </w:pPr>
            <w:r>
              <w:t>Information on extension part</w:t>
            </w:r>
          </w:p>
        </w:tc>
        <w:tc>
          <w:tcPr>
            <w:tcW w:w="4752" w:type="dxa"/>
          </w:tcPr>
          <w:p w:rsidR="00DD3DEE" w:rsidRDefault="00DD3DEE" w:rsidP="0069403F">
            <w:pPr>
              <w:pStyle w:val="BodyText"/>
            </w:pPr>
            <w:r>
              <w:t>E.g. AL</w:t>
            </w:r>
          </w:p>
        </w:tc>
      </w:tr>
      <w:tr w:rsidR="00DD3DEE" w:rsidTr="00DD3DEE">
        <w:trPr>
          <w:jc w:val="center"/>
        </w:trPr>
        <w:tc>
          <w:tcPr>
            <w:tcW w:w="2808" w:type="dxa"/>
          </w:tcPr>
          <w:p w:rsidR="00DD3DEE" w:rsidRDefault="00DD3DEE" w:rsidP="000B3151">
            <w:pPr>
              <w:pStyle w:val="BodyText"/>
            </w:pPr>
            <w:r>
              <w:t>Resource allocation</w:t>
            </w:r>
          </w:p>
        </w:tc>
        <w:tc>
          <w:tcPr>
            <w:tcW w:w="4752" w:type="dxa"/>
          </w:tcPr>
          <w:p w:rsidR="00DD3DEE" w:rsidRDefault="00DD3DEE" w:rsidP="000B3151">
            <w:pPr>
              <w:pStyle w:val="BodyText"/>
            </w:pPr>
          </w:p>
        </w:tc>
      </w:tr>
      <w:tr w:rsidR="00DD3DEE" w:rsidTr="00DD3DEE">
        <w:trPr>
          <w:jc w:val="center"/>
        </w:trPr>
        <w:tc>
          <w:tcPr>
            <w:tcW w:w="2808" w:type="dxa"/>
          </w:tcPr>
          <w:p w:rsidR="00DD3DEE" w:rsidRDefault="00DD3DEE" w:rsidP="0069403F">
            <w:pPr>
              <w:pStyle w:val="BodyText"/>
            </w:pPr>
            <w:r>
              <w:t>[TPC]</w:t>
            </w:r>
          </w:p>
        </w:tc>
        <w:tc>
          <w:tcPr>
            <w:tcW w:w="4752" w:type="dxa"/>
          </w:tcPr>
          <w:p w:rsidR="00DD3DEE" w:rsidRDefault="00DD3DEE" w:rsidP="000B3151">
            <w:pPr>
              <w:pStyle w:val="BodyText"/>
            </w:pPr>
          </w:p>
        </w:tc>
      </w:tr>
      <w:tr w:rsidR="00DD3DEE" w:rsidTr="00DD3DEE">
        <w:trPr>
          <w:jc w:val="center"/>
        </w:trPr>
        <w:tc>
          <w:tcPr>
            <w:tcW w:w="2808" w:type="dxa"/>
          </w:tcPr>
          <w:p w:rsidR="00DD3DEE" w:rsidRDefault="00DD3DEE" w:rsidP="0069403F">
            <w:pPr>
              <w:pStyle w:val="BodyText"/>
            </w:pPr>
            <w:r>
              <w:t>[HARQ Process No]</w:t>
            </w:r>
          </w:p>
        </w:tc>
        <w:tc>
          <w:tcPr>
            <w:tcW w:w="4752" w:type="dxa"/>
          </w:tcPr>
          <w:p w:rsidR="00DD3DEE" w:rsidRDefault="00DD3DEE" w:rsidP="000B3151">
            <w:pPr>
              <w:pStyle w:val="BodyText"/>
            </w:pPr>
          </w:p>
        </w:tc>
      </w:tr>
      <w:tr w:rsidR="00DD3DEE" w:rsidTr="00DD3DEE">
        <w:trPr>
          <w:jc w:val="center"/>
        </w:trPr>
        <w:tc>
          <w:tcPr>
            <w:tcW w:w="2808" w:type="dxa"/>
          </w:tcPr>
          <w:p w:rsidR="00DD3DEE" w:rsidRDefault="00DD3DEE" w:rsidP="000B3151">
            <w:pPr>
              <w:pStyle w:val="BodyText"/>
            </w:pPr>
            <w:r>
              <w:t>[MCS]</w:t>
            </w:r>
          </w:p>
        </w:tc>
        <w:tc>
          <w:tcPr>
            <w:tcW w:w="4752" w:type="dxa"/>
          </w:tcPr>
          <w:p w:rsidR="00DD3DEE" w:rsidRDefault="00DD3DEE" w:rsidP="000B3151">
            <w:pPr>
              <w:pStyle w:val="BodyText"/>
            </w:pPr>
          </w:p>
        </w:tc>
      </w:tr>
      <w:tr w:rsidR="00DD3DEE" w:rsidTr="00DD3DEE">
        <w:trPr>
          <w:jc w:val="center"/>
        </w:trPr>
        <w:tc>
          <w:tcPr>
            <w:tcW w:w="2808" w:type="dxa"/>
          </w:tcPr>
          <w:p w:rsidR="00DD3DEE" w:rsidRDefault="00DD3DEE" w:rsidP="000B3151">
            <w:pPr>
              <w:pStyle w:val="BodyText"/>
            </w:pPr>
            <w:r>
              <w:t>[NDI]</w:t>
            </w:r>
          </w:p>
        </w:tc>
        <w:tc>
          <w:tcPr>
            <w:tcW w:w="4752" w:type="dxa"/>
          </w:tcPr>
          <w:p w:rsidR="00DD3DEE" w:rsidRDefault="00DD3DEE" w:rsidP="000B3151">
            <w:pPr>
              <w:pStyle w:val="BodyText"/>
            </w:pPr>
          </w:p>
        </w:tc>
      </w:tr>
      <w:tr w:rsidR="00DD3DEE" w:rsidTr="00DD3DEE">
        <w:trPr>
          <w:jc w:val="center"/>
        </w:trPr>
        <w:tc>
          <w:tcPr>
            <w:tcW w:w="2808" w:type="dxa"/>
          </w:tcPr>
          <w:p w:rsidR="00DD3DEE" w:rsidRDefault="00DD3DEE" w:rsidP="000B3151">
            <w:pPr>
              <w:pStyle w:val="BodyText"/>
            </w:pPr>
            <w:r>
              <w:t>[CIF]</w:t>
            </w:r>
          </w:p>
        </w:tc>
        <w:tc>
          <w:tcPr>
            <w:tcW w:w="4752" w:type="dxa"/>
          </w:tcPr>
          <w:p w:rsidR="00DD3DEE" w:rsidRDefault="00DD3DEE" w:rsidP="000B3151">
            <w:pPr>
              <w:pStyle w:val="BodyText"/>
            </w:pPr>
          </w:p>
        </w:tc>
      </w:tr>
    </w:tbl>
    <w:p w:rsidR="00DD3DEE" w:rsidRDefault="00DD3DEE" w:rsidP="000B3151">
      <w:pPr>
        <w:pStyle w:val="BodyText"/>
      </w:pPr>
    </w:p>
    <w:p w:rsidR="00DB4DF8" w:rsidRDefault="00AC61DB" w:rsidP="000B3151">
      <w:pPr>
        <w:pStyle w:val="BodyText"/>
      </w:pPr>
      <w:r>
        <w:t>All other fields are mapped to the extension part. Compared to LTE DCI formats, some new fields are envisioned in NR. Table 2 lists some of these fields and intended usage.</w:t>
      </w:r>
    </w:p>
    <w:p w:rsidR="00AC61DB" w:rsidRDefault="00AC61DB" w:rsidP="000B3151">
      <w:pPr>
        <w:pStyle w:val="BodyText"/>
      </w:pPr>
    </w:p>
    <w:p w:rsidR="00AC61DB" w:rsidRDefault="00AC61DB" w:rsidP="00AC61DB">
      <w:pPr>
        <w:pStyle w:val="Caption"/>
        <w:keepNext/>
        <w:jc w:val="center"/>
      </w:pPr>
      <w:r>
        <w:t xml:space="preserve">Table </w:t>
      </w:r>
      <w:fldSimple w:instr=" SEQ Table \* ARABIC ">
        <w:r>
          <w:rPr>
            <w:noProof/>
          </w:rPr>
          <w:t>2</w:t>
        </w:r>
      </w:fldSimple>
      <w:r>
        <w:t xml:space="preserve"> New NR DCI information elements mapped to an extension part</w:t>
      </w:r>
    </w:p>
    <w:tbl>
      <w:tblPr>
        <w:tblStyle w:val="TableGrid"/>
        <w:tblW w:w="0" w:type="auto"/>
        <w:jc w:val="center"/>
        <w:tblLook w:val="04A0"/>
      </w:tblPr>
      <w:tblGrid>
        <w:gridCol w:w="2808"/>
        <w:gridCol w:w="4752"/>
      </w:tblGrid>
      <w:tr w:rsidR="00AC61DB" w:rsidTr="006841DB">
        <w:trPr>
          <w:jc w:val="center"/>
        </w:trPr>
        <w:tc>
          <w:tcPr>
            <w:tcW w:w="2808" w:type="dxa"/>
            <w:shd w:val="clear" w:color="auto" w:fill="FABF8F" w:themeFill="accent6" w:themeFillTint="99"/>
          </w:tcPr>
          <w:p w:rsidR="00AC61DB" w:rsidRDefault="00AC61DB" w:rsidP="0069403F">
            <w:pPr>
              <w:pStyle w:val="BodyText"/>
            </w:pPr>
            <w:r>
              <w:t>Field</w:t>
            </w:r>
          </w:p>
        </w:tc>
        <w:tc>
          <w:tcPr>
            <w:tcW w:w="4752" w:type="dxa"/>
            <w:shd w:val="clear" w:color="auto" w:fill="FABF8F" w:themeFill="accent6" w:themeFillTint="99"/>
          </w:tcPr>
          <w:p w:rsidR="00AC61DB" w:rsidRDefault="00AC61DB" w:rsidP="0069403F">
            <w:pPr>
              <w:pStyle w:val="BodyText"/>
            </w:pPr>
            <w:r>
              <w:t>Usage</w:t>
            </w:r>
          </w:p>
        </w:tc>
      </w:tr>
      <w:tr w:rsidR="00AC61DB" w:rsidTr="0069403F">
        <w:trPr>
          <w:jc w:val="center"/>
        </w:trPr>
        <w:tc>
          <w:tcPr>
            <w:tcW w:w="2808" w:type="dxa"/>
          </w:tcPr>
          <w:p w:rsidR="00AC61DB" w:rsidRDefault="00AC61DB" w:rsidP="00AC61DB">
            <w:pPr>
              <w:pStyle w:val="BodyText"/>
            </w:pPr>
            <w:r>
              <w:t>PDSCH starting index</w:t>
            </w:r>
          </w:p>
        </w:tc>
        <w:tc>
          <w:tcPr>
            <w:tcW w:w="4752" w:type="dxa"/>
          </w:tcPr>
          <w:p w:rsidR="00AC61DB" w:rsidRDefault="00AC61DB" w:rsidP="00AC61DB">
            <w:pPr>
              <w:pStyle w:val="BodyText"/>
            </w:pPr>
            <w:r>
              <w:t>Indicates the starting OFDM symbol for the PDSCH in a slot or mini-slot</w:t>
            </w:r>
            <w:r w:rsidR="0070608C">
              <w:t xml:space="preserve"> with respect to the control resource set</w:t>
            </w:r>
          </w:p>
        </w:tc>
      </w:tr>
      <w:tr w:rsidR="0070608C" w:rsidTr="0069403F">
        <w:trPr>
          <w:jc w:val="center"/>
        </w:trPr>
        <w:tc>
          <w:tcPr>
            <w:tcW w:w="2808" w:type="dxa"/>
          </w:tcPr>
          <w:p w:rsidR="0070608C" w:rsidRDefault="0070608C" w:rsidP="00AC61DB">
            <w:pPr>
              <w:pStyle w:val="BodyText"/>
            </w:pPr>
            <w:r>
              <w:t>PDSCH/PUSCH duration</w:t>
            </w:r>
          </w:p>
        </w:tc>
        <w:tc>
          <w:tcPr>
            <w:tcW w:w="4752" w:type="dxa"/>
          </w:tcPr>
          <w:p w:rsidR="0070608C" w:rsidRDefault="0070608C" w:rsidP="0070608C">
            <w:pPr>
              <w:pStyle w:val="BodyText"/>
            </w:pPr>
            <w:r>
              <w:t xml:space="preserve">Indicates the data transmission duration </w:t>
            </w:r>
          </w:p>
        </w:tc>
      </w:tr>
      <w:tr w:rsidR="00AC61DB" w:rsidTr="0069403F">
        <w:trPr>
          <w:jc w:val="center"/>
        </w:trPr>
        <w:tc>
          <w:tcPr>
            <w:tcW w:w="2808" w:type="dxa"/>
          </w:tcPr>
          <w:p w:rsidR="00AC61DB" w:rsidRDefault="00AC61DB" w:rsidP="0069403F">
            <w:pPr>
              <w:pStyle w:val="BodyText"/>
            </w:pPr>
            <w:r>
              <w:t>HARQ-ACK timing</w:t>
            </w:r>
          </w:p>
        </w:tc>
        <w:tc>
          <w:tcPr>
            <w:tcW w:w="4752" w:type="dxa"/>
          </w:tcPr>
          <w:p w:rsidR="00AC61DB" w:rsidRDefault="00AC61DB" w:rsidP="00AC61DB">
            <w:pPr>
              <w:pStyle w:val="BodyText"/>
            </w:pPr>
            <w:r>
              <w:t>Indicates the timing of the HARQ-ACK with respect to a DL assignment</w:t>
            </w:r>
          </w:p>
        </w:tc>
      </w:tr>
    </w:tbl>
    <w:p w:rsidR="00AC61DB" w:rsidRDefault="00AC61DB" w:rsidP="000B3151">
      <w:pPr>
        <w:pStyle w:val="BodyText"/>
      </w:pPr>
    </w:p>
    <w:p w:rsidR="005935B8" w:rsidRDefault="00830F4E" w:rsidP="00E9523A">
      <w:pPr>
        <w:pStyle w:val="Heading1"/>
      </w:pPr>
      <w:r w:rsidRPr="0052231C">
        <w:rPr>
          <w:rFonts w:hint="eastAsia"/>
        </w:rPr>
        <w:lastRenderedPageBreak/>
        <w:t>Conclusion</w:t>
      </w:r>
    </w:p>
    <w:p w:rsidR="00713E90" w:rsidRDefault="00684EB2" w:rsidP="00265F0E">
      <w:pPr>
        <w:pStyle w:val="BodyText"/>
        <w:ind w:left="-2"/>
        <w:rPr>
          <w:rFonts w:eastAsia="SimSun"/>
          <w:lang w:eastAsia="zh-CN"/>
        </w:rPr>
      </w:pPr>
      <w:r>
        <w:rPr>
          <w:rFonts w:eastAsia="SimSun"/>
          <w:lang w:eastAsia="zh-CN"/>
        </w:rPr>
        <w:t>I</w:t>
      </w:r>
      <w:r>
        <w:rPr>
          <w:rFonts w:eastAsia="SimSun" w:hint="eastAsia"/>
          <w:lang w:eastAsia="zh-CN"/>
        </w:rPr>
        <w:t>n this contribution</w:t>
      </w:r>
      <w:r w:rsidR="00F75D28">
        <w:rPr>
          <w:rFonts w:eastAsia="SimSun"/>
          <w:lang w:eastAsia="zh-CN"/>
        </w:rPr>
        <w:t xml:space="preserve"> we </w:t>
      </w:r>
      <w:r w:rsidR="006258B1">
        <w:rPr>
          <w:rFonts w:eastAsia="SimSun"/>
          <w:lang w:eastAsia="zh-CN"/>
        </w:rPr>
        <w:t xml:space="preserve">discussed the construction of DCI formats targeting reduced complexity DCI decoding. We compared and contrasted several proposed mechanisms to reduce UE decoding effort and ensure forward compatibility of the NR DL control channel. Our proposals for RAN1 consideration are </w:t>
      </w:r>
    </w:p>
    <w:p w:rsidR="00122F9B" w:rsidRPr="006841DB" w:rsidRDefault="00805147" w:rsidP="00E11EBB">
      <w:pPr>
        <w:pStyle w:val="BodyText"/>
        <w:numPr>
          <w:ilvl w:val="0"/>
          <w:numId w:val="4"/>
        </w:numPr>
        <w:rPr>
          <w:rFonts w:eastAsia="SimSun"/>
          <w:b/>
          <w:lang w:eastAsia="zh-CN"/>
        </w:rPr>
      </w:pPr>
      <w:r w:rsidRPr="006841DB">
        <w:rPr>
          <w:rFonts w:eastAsia="SimSun"/>
          <w:b/>
          <w:lang w:eastAsia="zh-CN"/>
        </w:rPr>
        <w:t>Proposal 1</w:t>
      </w:r>
      <w:r w:rsidR="00122F9B" w:rsidRPr="006841DB">
        <w:rPr>
          <w:rFonts w:eastAsia="SimSun"/>
          <w:b/>
          <w:lang w:eastAsia="zh-CN"/>
        </w:rPr>
        <w:t xml:space="preserve">: </w:t>
      </w:r>
      <w:r w:rsidR="006258B1" w:rsidRPr="006841DB">
        <w:rPr>
          <w:b/>
        </w:rPr>
        <w:t>consider the introduction of a 2-part DCI mapped to a single NR-PDCCH</w:t>
      </w:r>
    </w:p>
    <w:p w:rsidR="006258B1" w:rsidRPr="00B76262" w:rsidRDefault="006258B1" w:rsidP="00E11EBB">
      <w:pPr>
        <w:pStyle w:val="BodyText"/>
        <w:numPr>
          <w:ilvl w:val="0"/>
          <w:numId w:val="4"/>
        </w:numPr>
        <w:rPr>
          <w:rFonts w:eastAsia="SimSun"/>
          <w:lang w:eastAsia="zh-CN"/>
        </w:rPr>
      </w:pPr>
      <w:r w:rsidRPr="006841DB">
        <w:rPr>
          <w:rFonts w:eastAsia="SimSun"/>
          <w:b/>
          <w:lang w:eastAsia="zh-CN"/>
        </w:rPr>
        <w:t>Proposal</w:t>
      </w:r>
      <w:r w:rsidR="00CF7358" w:rsidRPr="006841DB">
        <w:rPr>
          <w:rFonts w:eastAsia="SimSun"/>
          <w:b/>
          <w:lang w:eastAsia="zh-CN"/>
        </w:rPr>
        <w:t xml:space="preserve"> </w:t>
      </w:r>
      <w:r w:rsidRPr="006841DB">
        <w:rPr>
          <w:rFonts w:eastAsia="SimSun"/>
          <w:b/>
          <w:lang w:eastAsia="zh-CN"/>
        </w:rPr>
        <w:t xml:space="preserve">2: </w:t>
      </w:r>
      <w:r w:rsidRPr="006841DB">
        <w:rPr>
          <w:b/>
        </w:rPr>
        <w:t xml:space="preserve">consider multiple output code rates for the NR-PDCCH FEC encoder </w:t>
      </w:r>
      <w:r>
        <w:t xml:space="preserve"> </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050B71" w:rsidRDefault="00050B71" w:rsidP="003453ED">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R1-1612909, “</w:t>
      </w:r>
      <w:r>
        <w:t>On blind detection of downlink control channels</w:t>
      </w:r>
      <w:r>
        <w:rPr>
          <w:rFonts w:eastAsia="SimSun"/>
          <w:noProof/>
          <w:lang w:eastAsia="zh-CN"/>
        </w:rPr>
        <w:t>”, Ericsson, RAN1 #87, Nov 14 – 18, 2016</w:t>
      </w:r>
    </w:p>
    <w:p w:rsidR="00050B71" w:rsidRDefault="00050B71" w:rsidP="003453ED">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R1-16</w:t>
      </w:r>
      <w:r w:rsidR="00B11FD3">
        <w:rPr>
          <w:rFonts w:eastAsia="SimSun"/>
          <w:noProof/>
          <w:lang w:eastAsia="zh-CN"/>
        </w:rPr>
        <w:t>1</w:t>
      </w:r>
      <w:r w:rsidR="007B5BCD">
        <w:rPr>
          <w:rFonts w:eastAsia="SimSun"/>
          <w:noProof/>
          <w:lang w:eastAsia="zh-CN"/>
        </w:rPr>
        <w:t>3668</w:t>
      </w:r>
      <w:r w:rsidR="00B11FD3">
        <w:rPr>
          <w:rFonts w:eastAsia="SimSun"/>
          <w:noProof/>
          <w:lang w:eastAsia="zh-CN"/>
        </w:rPr>
        <w:t>, “</w:t>
      </w:r>
      <w:r w:rsidR="007B5BCD" w:rsidRPr="007B5BCD">
        <w:rPr>
          <w:rFonts w:eastAsia="SimSun"/>
          <w:noProof/>
          <w:lang w:eastAsia="zh-CN"/>
        </w:rPr>
        <w:t>WF on two stage DCI design</w:t>
      </w:r>
      <w:r w:rsidR="00B11FD3">
        <w:rPr>
          <w:rFonts w:eastAsia="SimSun"/>
          <w:noProof/>
          <w:lang w:eastAsia="zh-CN"/>
        </w:rPr>
        <w:t xml:space="preserve">”, </w:t>
      </w:r>
      <w:r w:rsidR="007B5BCD">
        <w:rPr>
          <w:rFonts w:eastAsia="SimSun"/>
          <w:noProof/>
          <w:lang w:eastAsia="zh-CN"/>
        </w:rPr>
        <w:t>Huawei et al</w:t>
      </w:r>
      <w:r w:rsidR="00B11FD3">
        <w:rPr>
          <w:rFonts w:eastAsia="SimSun"/>
          <w:noProof/>
          <w:lang w:eastAsia="zh-CN"/>
        </w:rPr>
        <w:t>, RAN1 #87, Nov 14 – 18, 2016</w:t>
      </w:r>
    </w:p>
    <w:p w:rsidR="007B5BCD" w:rsidRPr="00DB4DF8" w:rsidRDefault="007B5BCD" w:rsidP="00DB4DF8">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R1-1611392</w:t>
      </w:r>
      <w:r>
        <w:rPr>
          <w:rFonts w:eastAsia="SimSun" w:hint="eastAsia"/>
          <w:noProof/>
          <w:lang w:eastAsia="zh-CN"/>
        </w:rPr>
        <w:t xml:space="preserve">, </w:t>
      </w:r>
      <w:r>
        <w:rPr>
          <w:rFonts w:eastAsia="SimSun"/>
          <w:noProof/>
          <w:lang w:eastAsia="zh-CN"/>
        </w:rPr>
        <w:t>“</w:t>
      </w:r>
      <w:r w:rsidRPr="00050B71">
        <w:rPr>
          <w:rFonts w:hint="eastAsia"/>
          <w:lang w:eastAsia="ja-JP"/>
        </w:rPr>
        <w:t>Design principles of DCI formats</w:t>
      </w:r>
      <w:r>
        <w:rPr>
          <w:rFonts w:eastAsia="SimSun"/>
          <w:noProof/>
          <w:lang w:eastAsia="zh-CN"/>
        </w:rPr>
        <w:t>”,</w:t>
      </w:r>
      <w:r>
        <w:rPr>
          <w:rFonts w:eastAsia="SimSun" w:hint="eastAsia"/>
          <w:noProof/>
          <w:lang w:eastAsia="zh-CN"/>
        </w:rPr>
        <w:t xml:space="preserve"> </w:t>
      </w:r>
      <w:r>
        <w:rPr>
          <w:rFonts w:eastAsia="SimSun"/>
          <w:noProof/>
          <w:lang w:eastAsia="zh-CN"/>
        </w:rPr>
        <w:t xml:space="preserve"> CATT, RAN1 #87, Nov 14 – 18, 2016</w:t>
      </w:r>
    </w:p>
    <w:sectPr w:rsidR="007B5BCD" w:rsidRPr="00DB4DF8"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11C" w:rsidRDefault="00AA511C" w:rsidP="00E9523A">
      <w:pPr>
        <w:ind w:left="-2"/>
      </w:pPr>
      <w:r>
        <w:separator/>
      </w:r>
    </w:p>
  </w:endnote>
  <w:endnote w:type="continuationSeparator" w:id="1">
    <w:p w:rsidR="00AA511C" w:rsidRDefault="00AA511C"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11C" w:rsidRDefault="00AA511C" w:rsidP="00E9523A">
      <w:pPr>
        <w:ind w:left="-2"/>
      </w:pPr>
      <w:r>
        <w:separator/>
      </w:r>
    </w:p>
  </w:footnote>
  <w:footnote w:type="continuationSeparator" w:id="1">
    <w:p w:rsidR="00AA511C" w:rsidRDefault="00AA511C"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22" w:rsidRPr="001A329E" w:rsidRDefault="002B5022"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889231F"/>
    <w:multiLevelType w:val="hybridMultilevel"/>
    <w:tmpl w:val="44A031D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nsid w:val="2CD80BF2"/>
    <w:multiLevelType w:val="hybridMultilevel"/>
    <w:tmpl w:val="F50C9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num w:numId="1">
    <w:abstractNumId w:val="0"/>
  </w:num>
  <w:num w:numId="2">
    <w:abstractNumId w:val="4"/>
  </w:num>
  <w:num w:numId="3">
    <w:abstractNumId w:val="3"/>
  </w:num>
  <w:num w:numId="4">
    <w:abstractNumId w:val="1"/>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02754"/>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3F27"/>
    <w:rsid w:val="00004A77"/>
    <w:rsid w:val="00004B9D"/>
    <w:rsid w:val="0000655A"/>
    <w:rsid w:val="00010F26"/>
    <w:rsid w:val="00011014"/>
    <w:rsid w:val="000124A2"/>
    <w:rsid w:val="00012A5D"/>
    <w:rsid w:val="00012BC4"/>
    <w:rsid w:val="00013FE3"/>
    <w:rsid w:val="0001436C"/>
    <w:rsid w:val="00015419"/>
    <w:rsid w:val="000159FF"/>
    <w:rsid w:val="00015CD1"/>
    <w:rsid w:val="000161ED"/>
    <w:rsid w:val="00016490"/>
    <w:rsid w:val="0001761E"/>
    <w:rsid w:val="00017BD0"/>
    <w:rsid w:val="0002182E"/>
    <w:rsid w:val="00022E1A"/>
    <w:rsid w:val="00022F27"/>
    <w:rsid w:val="00023317"/>
    <w:rsid w:val="00023E9E"/>
    <w:rsid w:val="000262F8"/>
    <w:rsid w:val="000266A1"/>
    <w:rsid w:val="00026FC0"/>
    <w:rsid w:val="00030655"/>
    <w:rsid w:val="000312BB"/>
    <w:rsid w:val="00031371"/>
    <w:rsid w:val="00031D35"/>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3AE"/>
    <w:rsid w:val="00045952"/>
    <w:rsid w:val="00045AA2"/>
    <w:rsid w:val="00045F8C"/>
    <w:rsid w:val="00047A45"/>
    <w:rsid w:val="00047FFE"/>
    <w:rsid w:val="000501ED"/>
    <w:rsid w:val="0005035B"/>
    <w:rsid w:val="0005087B"/>
    <w:rsid w:val="00050B71"/>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20EB"/>
    <w:rsid w:val="0006373E"/>
    <w:rsid w:val="0006455E"/>
    <w:rsid w:val="000646CF"/>
    <w:rsid w:val="00064FC2"/>
    <w:rsid w:val="00064FF8"/>
    <w:rsid w:val="000650D3"/>
    <w:rsid w:val="000655F9"/>
    <w:rsid w:val="0006573E"/>
    <w:rsid w:val="00065B91"/>
    <w:rsid w:val="00065E2C"/>
    <w:rsid w:val="00065F7D"/>
    <w:rsid w:val="00066764"/>
    <w:rsid w:val="000668D6"/>
    <w:rsid w:val="0006771E"/>
    <w:rsid w:val="000679FC"/>
    <w:rsid w:val="00067BBE"/>
    <w:rsid w:val="00070A16"/>
    <w:rsid w:val="00071385"/>
    <w:rsid w:val="0007317C"/>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5A7"/>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F0D"/>
    <w:rsid w:val="000A4105"/>
    <w:rsid w:val="000A4E64"/>
    <w:rsid w:val="000A4E6C"/>
    <w:rsid w:val="000A5603"/>
    <w:rsid w:val="000A585B"/>
    <w:rsid w:val="000A5D86"/>
    <w:rsid w:val="000A7B16"/>
    <w:rsid w:val="000A7DD9"/>
    <w:rsid w:val="000B0156"/>
    <w:rsid w:val="000B3151"/>
    <w:rsid w:val="000B3EB3"/>
    <w:rsid w:val="000B4C79"/>
    <w:rsid w:val="000B5A9D"/>
    <w:rsid w:val="000B5AE7"/>
    <w:rsid w:val="000B731D"/>
    <w:rsid w:val="000B760E"/>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5BA"/>
    <w:rsid w:val="000D7210"/>
    <w:rsid w:val="000D7B5A"/>
    <w:rsid w:val="000E0400"/>
    <w:rsid w:val="000E0E57"/>
    <w:rsid w:val="000E0EB9"/>
    <w:rsid w:val="000E25D6"/>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06C"/>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729F"/>
    <w:rsid w:val="00110194"/>
    <w:rsid w:val="00110F3F"/>
    <w:rsid w:val="001125D0"/>
    <w:rsid w:val="00112FB5"/>
    <w:rsid w:val="001136C6"/>
    <w:rsid w:val="001140AB"/>
    <w:rsid w:val="001143D4"/>
    <w:rsid w:val="0011486C"/>
    <w:rsid w:val="00120318"/>
    <w:rsid w:val="001207BD"/>
    <w:rsid w:val="00120B56"/>
    <w:rsid w:val="00122F9B"/>
    <w:rsid w:val="001231EA"/>
    <w:rsid w:val="00123399"/>
    <w:rsid w:val="001233A1"/>
    <w:rsid w:val="00123937"/>
    <w:rsid w:val="0012437C"/>
    <w:rsid w:val="001245F5"/>
    <w:rsid w:val="001248EB"/>
    <w:rsid w:val="00126152"/>
    <w:rsid w:val="001262A0"/>
    <w:rsid w:val="00126BBD"/>
    <w:rsid w:val="00130521"/>
    <w:rsid w:val="00130765"/>
    <w:rsid w:val="001331A9"/>
    <w:rsid w:val="00135445"/>
    <w:rsid w:val="00135AC8"/>
    <w:rsid w:val="00135EFC"/>
    <w:rsid w:val="00136680"/>
    <w:rsid w:val="00136A81"/>
    <w:rsid w:val="00136ABE"/>
    <w:rsid w:val="00140551"/>
    <w:rsid w:val="00140832"/>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49D3"/>
    <w:rsid w:val="001562C2"/>
    <w:rsid w:val="001567FF"/>
    <w:rsid w:val="001576B0"/>
    <w:rsid w:val="00160877"/>
    <w:rsid w:val="0016090A"/>
    <w:rsid w:val="00161560"/>
    <w:rsid w:val="00162E6B"/>
    <w:rsid w:val="00163B0E"/>
    <w:rsid w:val="00164873"/>
    <w:rsid w:val="00164C66"/>
    <w:rsid w:val="001651CB"/>
    <w:rsid w:val="00165746"/>
    <w:rsid w:val="0016750A"/>
    <w:rsid w:val="001708AD"/>
    <w:rsid w:val="00171D29"/>
    <w:rsid w:val="00172723"/>
    <w:rsid w:val="00172A27"/>
    <w:rsid w:val="00172D3A"/>
    <w:rsid w:val="00173921"/>
    <w:rsid w:val="00173C9E"/>
    <w:rsid w:val="001741F9"/>
    <w:rsid w:val="00174BA1"/>
    <w:rsid w:val="00175726"/>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90886"/>
    <w:rsid w:val="00190DC4"/>
    <w:rsid w:val="001929D2"/>
    <w:rsid w:val="00192F90"/>
    <w:rsid w:val="00194245"/>
    <w:rsid w:val="001956D1"/>
    <w:rsid w:val="00197327"/>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1DE4"/>
    <w:rsid w:val="001B2B5F"/>
    <w:rsid w:val="001B34A9"/>
    <w:rsid w:val="001B3AB2"/>
    <w:rsid w:val="001B3F60"/>
    <w:rsid w:val="001B42BF"/>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360"/>
    <w:rsid w:val="001C5C57"/>
    <w:rsid w:val="001C608A"/>
    <w:rsid w:val="001C641E"/>
    <w:rsid w:val="001C6C75"/>
    <w:rsid w:val="001D15B5"/>
    <w:rsid w:val="001D322B"/>
    <w:rsid w:val="001D3927"/>
    <w:rsid w:val="001D4B41"/>
    <w:rsid w:val="001D525A"/>
    <w:rsid w:val="001D6462"/>
    <w:rsid w:val="001D664A"/>
    <w:rsid w:val="001D7DE6"/>
    <w:rsid w:val="001E0836"/>
    <w:rsid w:val="001E0EFF"/>
    <w:rsid w:val="001E1361"/>
    <w:rsid w:val="001E213C"/>
    <w:rsid w:val="001E218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A9"/>
    <w:rsid w:val="001F753F"/>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C40"/>
    <w:rsid w:val="00210DFB"/>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5B59"/>
    <w:rsid w:val="002274B4"/>
    <w:rsid w:val="00230796"/>
    <w:rsid w:val="00230EC2"/>
    <w:rsid w:val="00231D7B"/>
    <w:rsid w:val="00231E88"/>
    <w:rsid w:val="00232229"/>
    <w:rsid w:val="00233DCB"/>
    <w:rsid w:val="00233E6A"/>
    <w:rsid w:val="00234013"/>
    <w:rsid w:val="00234541"/>
    <w:rsid w:val="00235446"/>
    <w:rsid w:val="00235725"/>
    <w:rsid w:val="00235763"/>
    <w:rsid w:val="002367CF"/>
    <w:rsid w:val="00236AF5"/>
    <w:rsid w:val="00236EC9"/>
    <w:rsid w:val="002373E4"/>
    <w:rsid w:val="002375AD"/>
    <w:rsid w:val="00237712"/>
    <w:rsid w:val="00240A74"/>
    <w:rsid w:val="00240E71"/>
    <w:rsid w:val="00242455"/>
    <w:rsid w:val="00242D34"/>
    <w:rsid w:val="00244908"/>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F0E"/>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97ED3"/>
    <w:rsid w:val="002A1453"/>
    <w:rsid w:val="002A2094"/>
    <w:rsid w:val="002A2B66"/>
    <w:rsid w:val="002A301C"/>
    <w:rsid w:val="002A3E11"/>
    <w:rsid w:val="002A3F9E"/>
    <w:rsid w:val="002A42A1"/>
    <w:rsid w:val="002A627F"/>
    <w:rsid w:val="002A6F54"/>
    <w:rsid w:val="002A7BAB"/>
    <w:rsid w:val="002B07A8"/>
    <w:rsid w:val="002B07EB"/>
    <w:rsid w:val="002B2882"/>
    <w:rsid w:val="002B3055"/>
    <w:rsid w:val="002B39C4"/>
    <w:rsid w:val="002B3ABB"/>
    <w:rsid w:val="002B3D4C"/>
    <w:rsid w:val="002B4136"/>
    <w:rsid w:val="002B4333"/>
    <w:rsid w:val="002B4D9A"/>
    <w:rsid w:val="002B4F75"/>
    <w:rsid w:val="002B5022"/>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50C"/>
    <w:rsid w:val="002D1A6E"/>
    <w:rsid w:val="002D1B8B"/>
    <w:rsid w:val="002D29A3"/>
    <w:rsid w:val="002D2B19"/>
    <w:rsid w:val="002D35F7"/>
    <w:rsid w:val="002D3F8C"/>
    <w:rsid w:val="002D4D78"/>
    <w:rsid w:val="002D508C"/>
    <w:rsid w:val="002D6CA7"/>
    <w:rsid w:val="002D6D27"/>
    <w:rsid w:val="002D7310"/>
    <w:rsid w:val="002D7406"/>
    <w:rsid w:val="002D7918"/>
    <w:rsid w:val="002E0A17"/>
    <w:rsid w:val="002E0E81"/>
    <w:rsid w:val="002E0F24"/>
    <w:rsid w:val="002E1D6F"/>
    <w:rsid w:val="002E1F7B"/>
    <w:rsid w:val="002E4D82"/>
    <w:rsid w:val="002E608C"/>
    <w:rsid w:val="002F1494"/>
    <w:rsid w:val="002F2D60"/>
    <w:rsid w:val="002F2E5B"/>
    <w:rsid w:val="002F32C0"/>
    <w:rsid w:val="002F35D5"/>
    <w:rsid w:val="002F39CD"/>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0767C"/>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1C"/>
    <w:rsid w:val="00326898"/>
    <w:rsid w:val="00327AD4"/>
    <w:rsid w:val="00327D38"/>
    <w:rsid w:val="0033010F"/>
    <w:rsid w:val="0033158B"/>
    <w:rsid w:val="00332356"/>
    <w:rsid w:val="00333FCA"/>
    <w:rsid w:val="00334A31"/>
    <w:rsid w:val="003365EC"/>
    <w:rsid w:val="00337619"/>
    <w:rsid w:val="00337FB0"/>
    <w:rsid w:val="003402D3"/>
    <w:rsid w:val="00343DD4"/>
    <w:rsid w:val="00343FAD"/>
    <w:rsid w:val="00344E06"/>
    <w:rsid w:val="00345009"/>
    <w:rsid w:val="003453ED"/>
    <w:rsid w:val="0034581A"/>
    <w:rsid w:val="003463A9"/>
    <w:rsid w:val="00346688"/>
    <w:rsid w:val="00346F69"/>
    <w:rsid w:val="00347C74"/>
    <w:rsid w:val="00347F26"/>
    <w:rsid w:val="003508E7"/>
    <w:rsid w:val="00350AC1"/>
    <w:rsid w:val="00352486"/>
    <w:rsid w:val="00352D4D"/>
    <w:rsid w:val="0035360F"/>
    <w:rsid w:val="0035487B"/>
    <w:rsid w:val="0035506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4AA3"/>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3D4B"/>
    <w:rsid w:val="00394981"/>
    <w:rsid w:val="00394F25"/>
    <w:rsid w:val="00395D53"/>
    <w:rsid w:val="0039729A"/>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A7BAC"/>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C55"/>
    <w:rsid w:val="003D29D0"/>
    <w:rsid w:val="003D4F17"/>
    <w:rsid w:val="003D533C"/>
    <w:rsid w:val="003D590F"/>
    <w:rsid w:val="003D59BE"/>
    <w:rsid w:val="003D6D5C"/>
    <w:rsid w:val="003D7474"/>
    <w:rsid w:val="003D7CBB"/>
    <w:rsid w:val="003D7EFC"/>
    <w:rsid w:val="003E081A"/>
    <w:rsid w:val="003E089E"/>
    <w:rsid w:val="003E10F0"/>
    <w:rsid w:val="003E1A33"/>
    <w:rsid w:val="003E2DD0"/>
    <w:rsid w:val="003E2FA7"/>
    <w:rsid w:val="003E3145"/>
    <w:rsid w:val="003E40AD"/>
    <w:rsid w:val="003E4F8A"/>
    <w:rsid w:val="003E5014"/>
    <w:rsid w:val="003E5B2F"/>
    <w:rsid w:val="003E5B64"/>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1604"/>
    <w:rsid w:val="004217A4"/>
    <w:rsid w:val="00421F4B"/>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2798"/>
    <w:rsid w:val="00442D73"/>
    <w:rsid w:val="004431DC"/>
    <w:rsid w:val="004433A4"/>
    <w:rsid w:val="004440E2"/>
    <w:rsid w:val="00444964"/>
    <w:rsid w:val="00446D36"/>
    <w:rsid w:val="00447781"/>
    <w:rsid w:val="004504DE"/>
    <w:rsid w:val="00450F34"/>
    <w:rsid w:val="00451296"/>
    <w:rsid w:val="00452083"/>
    <w:rsid w:val="00452661"/>
    <w:rsid w:val="00452BE0"/>
    <w:rsid w:val="0045327B"/>
    <w:rsid w:val="00453BE9"/>
    <w:rsid w:val="0045506C"/>
    <w:rsid w:val="00455754"/>
    <w:rsid w:val="00455B12"/>
    <w:rsid w:val="004567E9"/>
    <w:rsid w:val="00456A2F"/>
    <w:rsid w:val="0045760C"/>
    <w:rsid w:val="00457A89"/>
    <w:rsid w:val="004608F7"/>
    <w:rsid w:val="00460E89"/>
    <w:rsid w:val="00461C5A"/>
    <w:rsid w:val="004635F6"/>
    <w:rsid w:val="0046478E"/>
    <w:rsid w:val="00465AE7"/>
    <w:rsid w:val="00465D62"/>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6E2C"/>
    <w:rsid w:val="00477829"/>
    <w:rsid w:val="00477BD8"/>
    <w:rsid w:val="0048039B"/>
    <w:rsid w:val="0048211F"/>
    <w:rsid w:val="00482CDE"/>
    <w:rsid w:val="00483BF0"/>
    <w:rsid w:val="00484D9A"/>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5A72"/>
    <w:rsid w:val="00495EA7"/>
    <w:rsid w:val="00496D75"/>
    <w:rsid w:val="00497033"/>
    <w:rsid w:val="004976FB"/>
    <w:rsid w:val="004A0FAA"/>
    <w:rsid w:val="004A0FCD"/>
    <w:rsid w:val="004A1994"/>
    <w:rsid w:val="004A1B61"/>
    <w:rsid w:val="004A3B96"/>
    <w:rsid w:val="004A41E2"/>
    <w:rsid w:val="004A4AC9"/>
    <w:rsid w:val="004A6474"/>
    <w:rsid w:val="004A6C2B"/>
    <w:rsid w:val="004A6F61"/>
    <w:rsid w:val="004A7649"/>
    <w:rsid w:val="004A7AFB"/>
    <w:rsid w:val="004B1DFF"/>
    <w:rsid w:val="004B4A1A"/>
    <w:rsid w:val="004B592A"/>
    <w:rsid w:val="004B7107"/>
    <w:rsid w:val="004B7563"/>
    <w:rsid w:val="004C001B"/>
    <w:rsid w:val="004C1207"/>
    <w:rsid w:val="004C1CDE"/>
    <w:rsid w:val="004C2153"/>
    <w:rsid w:val="004C227F"/>
    <w:rsid w:val="004C2321"/>
    <w:rsid w:val="004C2330"/>
    <w:rsid w:val="004C3011"/>
    <w:rsid w:val="004C3CD3"/>
    <w:rsid w:val="004C405F"/>
    <w:rsid w:val="004C4833"/>
    <w:rsid w:val="004C4D4D"/>
    <w:rsid w:val="004C63DF"/>
    <w:rsid w:val="004C6878"/>
    <w:rsid w:val="004C7050"/>
    <w:rsid w:val="004C76BF"/>
    <w:rsid w:val="004D151B"/>
    <w:rsid w:val="004D31CF"/>
    <w:rsid w:val="004D461D"/>
    <w:rsid w:val="004D477F"/>
    <w:rsid w:val="004D4DB5"/>
    <w:rsid w:val="004D5CEC"/>
    <w:rsid w:val="004D61A4"/>
    <w:rsid w:val="004D6DE8"/>
    <w:rsid w:val="004D7520"/>
    <w:rsid w:val="004D76F2"/>
    <w:rsid w:val="004D7877"/>
    <w:rsid w:val="004D7D52"/>
    <w:rsid w:val="004E0A7F"/>
    <w:rsid w:val="004E16A7"/>
    <w:rsid w:val="004E26D8"/>
    <w:rsid w:val="004E480A"/>
    <w:rsid w:val="004E54FB"/>
    <w:rsid w:val="004E56FE"/>
    <w:rsid w:val="004E59D3"/>
    <w:rsid w:val="004E6491"/>
    <w:rsid w:val="004E7A9F"/>
    <w:rsid w:val="004F194B"/>
    <w:rsid w:val="004F1B30"/>
    <w:rsid w:val="004F4B5E"/>
    <w:rsid w:val="004F4B72"/>
    <w:rsid w:val="004F4E16"/>
    <w:rsid w:val="004F5060"/>
    <w:rsid w:val="004F509C"/>
    <w:rsid w:val="004F51EF"/>
    <w:rsid w:val="004F5AC2"/>
    <w:rsid w:val="004F5F16"/>
    <w:rsid w:val="004F7F18"/>
    <w:rsid w:val="005001B5"/>
    <w:rsid w:val="00500503"/>
    <w:rsid w:val="00501A58"/>
    <w:rsid w:val="00501AD6"/>
    <w:rsid w:val="005029FB"/>
    <w:rsid w:val="0050649A"/>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B69"/>
    <w:rsid w:val="00530D02"/>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985"/>
    <w:rsid w:val="00542F64"/>
    <w:rsid w:val="00543ACC"/>
    <w:rsid w:val="0054545C"/>
    <w:rsid w:val="00546E92"/>
    <w:rsid w:val="00550479"/>
    <w:rsid w:val="00550D6E"/>
    <w:rsid w:val="00552FD9"/>
    <w:rsid w:val="00553E3E"/>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85B0E"/>
    <w:rsid w:val="00586639"/>
    <w:rsid w:val="00590A7C"/>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137B"/>
    <w:rsid w:val="005B19AC"/>
    <w:rsid w:val="005B2284"/>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D0C6C"/>
    <w:rsid w:val="005D1F0A"/>
    <w:rsid w:val="005D3480"/>
    <w:rsid w:val="005D39EC"/>
    <w:rsid w:val="005D47C0"/>
    <w:rsid w:val="005D5A59"/>
    <w:rsid w:val="005D5F6B"/>
    <w:rsid w:val="005D60A4"/>
    <w:rsid w:val="005D62A3"/>
    <w:rsid w:val="005D6A79"/>
    <w:rsid w:val="005E14A9"/>
    <w:rsid w:val="005E14DA"/>
    <w:rsid w:val="005E4A6C"/>
    <w:rsid w:val="005E591D"/>
    <w:rsid w:val="005E5F9E"/>
    <w:rsid w:val="005E7304"/>
    <w:rsid w:val="005F05FD"/>
    <w:rsid w:val="005F0BCA"/>
    <w:rsid w:val="005F481D"/>
    <w:rsid w:val="005F5017"/>
    <w:rsid w:val="005F52A2"/>
    <w:rsid w:val="005F5647"/>
    <w:rsid w:val="005F639C"/>
    <w:rsid w:val="005F7226"/>
    <w:rsid w:val="005F7A16"/>
    <w:rsid w:val="0060023D"/>
    <w:rsid w:val="006017DC"/>
    <w:rsid w:val="00601A03"/>
    <w:rsid w:val="00602750"/>
    <w:rsid w:val="00603BD7"/>
    <w:rsid w:val="00603D3C"/>
    <w:rsid w:val="00605C1A"/>
    <w:rsid w:val="0060660B"/>
    <w:rsid w:val="006068FC"/>
    <w:rsid w:val="00606A63"/>
    <w:rsid w:val="00607C9C"/>
    <w:rsid w:val="00610C32"/>
    <w:rsid w:val="00612429"/>
    <w:rsid w:val="00612910"/>
    <w:rsid w:val="00613117"/>
    <w:rsid w:val="00613531"/>
    <w:rsid w:val="006139ED"/>
    <w:rsid w:val="00616BC5"/>
    <w:rsid w:val="006172BB"/>
    <w:rsid w:val="006177AD"/>
    <w:rsid w:val="00620D3F"/>
    <w:rsid w:val="00620F26"/>
    <w:rsid w:val="00623451"/>
    <w:rsid w:val="006236BB"/>
    <w:rsid w:val="00624551"/>
    <w:rsid w:val="006254F3"/>
    <w:rsid w:val="006258B1"/>
    <w:rsid w:val="006265E7"/>
    <w:rsid w:val="00626DE9"/>
    <w:rsid w:val="006270F8"/>
    <w:rsid w:val="00627E6D"/>
    <w:rsid w:val="00630CF2"/>
    <w:rsid w:val="006328E4"/>
    <w:rsid w:val="006338A3"/>
    <w:rsid w:val="006344FF"/>
    <w:rsid w:val="006355CB"/>
    <w:rsid w:val="00635680"/>
    <w:rsid w:val="00635697"/>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8D6"/>
    <w:rsid w:val="00647AF0"/>
    <w:rsid w:val="0065030C"/>
    <w:rsid w:val="006507DF"/>
    <w:rsid w:val="006510A5"/>
    <w:rsid w:val="00651B1B"/>
    <w:rsid w:val="006527F2"/>
    <w:rsid w:val="00652A64"/>
    <w:rsid w:val="00652DE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E6B"/>
    <w:rsid w:val="00675FC9"/>
    <w:rsid w:val="00676630"/>
    <w:rsid w:val="00676D7B"/>
    <w:rsid w:val="006824E8"/>
    <w:rsid w:val="0068265A"/>
    <w:rsid w:val="00683464"/>
    <w:rsid w:val="006841DB"/>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1DD8"/>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181"/>
    <w:rsid w:val="006A37B2"/>
    <w:rsid w:val="006A4F16"/>
    <w:rsid w:val="006A5F9A"/>
    <w:rsid w:val="006A665F"/>
    <w:rsid w:val="006A666F"/>
    <w:rsid w:val="006A6C2E"/>
    <w:rsid w:val="006A6DDD"/>
    <w:rsid w:val="006A7FD6"/>
    <w:rsid w:val="006B004F"/>
    <w:rsid w:val="006B1526"/>
    <w:rsid w:val="006B263E"/>
    <w:rsid w:val="006B396D"/>
    <w:rsid w:val="006B4F9F"/>
    <w:rsid w:val="006B5137"/>
    <w:rsid w:val="006B51E4"/>
    <w:rsid w:val="006B5FE2"/>
    <w:rsid w:val="006B6D24"/>
    <w:rsid w:val="006B70FB"/>
    <w:rsid w:val="006C18DC"/>
    <w:rsid w:val="006C31DD"/>
    <w:rsid w:val="006C37C1"/>
    <w:rsid w:val="006C45E3"/>
    <w:rsid w:val="006C5263"/>
    <w:rsid w:val="006C52E9"/>
    <w:rsid w:val="006C58A2"/>
    <w:rsid w:val="006C6626"/>
    <w:rsid w:val="006C6788"/>
    <w:rsid w:val="006C7C7C"/>
    <w:rsid w:val="006C7CAB"/>
    <w:rsid w:val="006D1C74"/>
    <w:rsid w:val="006D1D59"/>
    <w:rsid w:val="006D2B96"/>
    <w:rsid w:val="006D3133"/>
    <w:rsid w:val="006D40E3"/>
    <w:rsid w:val="006D4B75"/>
    <w:rsid w:val="006D5B67"/>
    <w:rsid w:val="006D6B33"/>
    <w:rsid w:val="006D719C"/>
    <w:rsid w:val="006D75AE"/>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6B52"/>
    <w:rsid w:val="006F06B3"/>
    <w:rsid w:val="006F0E38"/>
    <w:rsid w:val="006F1589"/>
    <w:rsid w:val="006F2083"/>
    <w:rsid w:val="006F2370"/>
    <w:rsid w:val="006F25AE"/>
    <w:rsid w:val="006F406A"/>
    <w:rsid w:val="006F48CE"/>
    <w:rsid w:val="006F4AE6"/>
    <w:rsid w:val="006F5C62"/>
    <w:rsid w:val="006F686A"/>
    <w:rsid w:val="006F6EA4"/>
    <w:rsid w:val="007001F2"/>
    <w:rsid w:val="00700D41"/>
    <w:rsid w:val="007018AB"/>
    <w:rsid w:val="0070255E"/>
    <w:rsid w:val="00702B50"/>
    <w:rsid w:val="00703918"/>
    <w:rsid w:val="007039E5"/>
    <w:rsid w:val="00703E55"/>
    <w:rsid w:val="00704714"/>
    <w:rsid w:val="007047AE"/>
    <w:rsid w:val="0070489F"/>
    <w:rsid w:val="007054A6"/>
    <w:rsid w:val="0070608C"/>
    <w:rsid w:val="00706AB0"/>
    <w:rsid w:val="00706AF2"/>
    <w:rsid w:val="00706C26"/>
    <w:rsid w:val="00707342"/>
    <w:rsid w:val="00707386"/>
    <w:rsid w:val="0071040B"/>
    <w:rsid w:val="007113C8"/>
    <w:rsid w:val="0071194B"/>
    <w:rsid w:val="00711C26"/>
    <w:rsid w:val="007122E1"/>
    <w:rsid w:val="007136AE"/>
    <w:rsid w:val="00713E90"/>
    <w:rsid w:val="00714710"/>
    <w:rsid w:val="00714DCF"/>
    <w:rsid w:val="0072032D"/>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323D"/>
    <w:rsid w:val="007457C8"/>
    <w:rsid w:val="00746039"/>
    <w:rsid w:val="00746086"/>
    <w:rsid w:val="0074653F"/>
    <w:rsid w:val="00747102"/>
    <w:rsid w:val="00750C95"/>
    <w:rsid w:val="00751617"/>
    <w:rsid w:val="00751C0E"/>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2B86"/>
    <w:rsid w:val="00794DE4"/>
    <w:rsid w:val="007956B8"/>
    <w:rsid w:val="00795D18"/>
    <w:rsid w:val="007963A0"/>
    <w:rsid w:val="0079665D"/>
    <w:rsid w:val="007967C1"/>
    <w:rsid w:val="00797F27"/>
    <w:rsid w:val="007A03BC"/>
    <w:rsid w:val="007A11C1"/>
    <w:rsid w:val="007A17B8"/>
    <w:rsid w:val="007A19F2"/>
    <w:rsid w:val="007A1F2B"/>
    <w:rsid w:val="007A1F96"/>
    <w:rsid w:val="007A3B00"/>
    <w:rsid w:val="007A4256"/>
    <w:rsid w:val="007A499A"/>
    <w:rsid w:val="007A60BB"/>
    <w:rsid w:val="007A7309"/>
    <w:rsid w:val="007A7811"/>
    <w:rsid w:val="007B0EC2"/>
    <w:rsid w:val="007B182F"/>
    <w:rsid w:val="007B1BBB"/>
    <w:rsid w:val="007B411F"/>
    <w:rsid w:val="007B45E1"/>
    <w:rsid w:val="007B545A"/>
    <w:rsid w:val="007B5802"/>
    <w:rsid w:val="007B5BCD"/>
    <w:rsid w:val="007B6D70"/>
    <w:rsid w:val="007B7F4A"/>
    <w:rsid w:val="007C1611"/>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393"/>
    <w:rsid w:val="00801523"/>
    <w:rsid w:val="00801613"/>
    <w:rsid w:val="0080189A"/>
    <w:rsid w:val="00801932"/>
    <w:rsid w:val="0080249D"/>
    <w:rsid w:val="008036D9"/>
    <w:rsid w:val="00805147"/>
    <w:rsid w:val="00805827"/>
    <w:rsid w:val="008059F2"/>
    <w:rsid w:val="008060A9"/>
    <w:rsid w:val="008068B5"/>
    <w:rsid w:val="00806D78"/>
    <w:rsid w:val="00810760"/>
    <w:rsid w:val="00810ADC"/>
    <w:rsid w:val="00811F27"/>
    <w:rsid w:val="00812032"/>
    <w:rsid w:val="00813856"/>
    <w:rsid w:val="00813C6B"/>
    <w:rsid w:val="00813D65"/>
    <w:rsid w:val="008143E9"/>
    <w:rsid w:val="0081548E"/>
    <w:rsid w:val="008156FA"/>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4136"/>
    <w:rsid w:val="00835546"/>
    <w:rsid w:val="00835A40"/>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839"/>
    <w:rsid w:val="00846D03"/>
    <w:rsid w:val="00847031"/>
    <w:rsid w:val="0084705F"/>
    <w:rsid w:val="0084737C"/>
    <w:rsid w:val="00847EB1"/>
    <w:rsid w:val="00851362"/>
    <w:rsid w:val="00851882"/>
    <w:rsid w:val="00851915"/>
    <w:rsid w:val="0085212D"/>
    <w:rsid w:val="00853442"/>
    <w:rsid w:val="00854343"/>
    <w:rsid w:val="00854416"/>
    <w:rsid w:val="00854FBA"/>
    <w:rsid w:val="0085566C"/>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655E3"/>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753"/>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213"/>
    <w:rsid w:val="008B4E20"/>
    <w:rsid w:val="008B50FB"/>
    <w:rsid w:val="008B5138"/>
    <w:rsid w:val="008B5CE2"/>
    <w:rsid w:val="008B7482"/>
    <w:rsid w:val="008C02FD"/>
    <w:rsid w:val="008C0BB2"/>
    <w:rsid w:val="008C108A"/>
    <w:rsid w:val="008C12D5"/>
    <w:rsid w:val="008C136B"/>
    <w:rsid w:val="008C1956"/>
    <w:rsid w:val="008C22C3"/>
    <w:rsid w:val="008C311B"/>
    <w:rsid w:val="008C3805"/>
    <w:rsid w:val="008C3CDC"/>
    <w:rsid w:val="008C453F"/>
    <w:rsid w:val="008C47AD"/>
    <w:rsid w:val="008C490E"/>
    <w:rsid w:val="008C5046"/>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F0888"/>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7B56"/>
    <w:rsid w:val="009206CB"/>
    <w:rsid w:val="00920E82"/>
    <w:rsid w:val="009219B4"/>
    <w:rsid w:val="009224E2"/>
    <w:rsid w:val="00923090"/>
    <w:rsid w:val="009236F4"/>
    <w:rsid w:val="00924E1F"/>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E6D"/>
    <w:rsid w:val="0094130A"/>
    <w:rsid w:val="00941BFB"/>
    <w:rsid w:val="00941D91"/>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57FC6"/>
    <w:rsid w:val="00960104"/>
    <w:rsid w:val="00960442"/>
    <w:rsid w:val="0096224B"/>
    <w:rsid w:val="0096224D"/>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71CC"/>
    <w:rsid w:val="009A0173"/>
    <w:rsid w:val="009A0B27"/>
    <w:rsid w:val="009A0C42"/>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A71"/>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DF"/>
    <w:rsid w:val="009D09C7"/>
    <w:rsid w:val="009D1D21"/>
    <w:rsid w:val="009D237F"/>
    <w:rsid w:val="009D2424"/>
    <w:rsid w:val="009D250F"/>
    <w:rsid w:val="009D2632"/>
    <w:rsid w:val="009D44AA"/>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4164"/>
    <w:rsid w:val="009F4314"/>
    <w:rsid w:val="009F4C2C"/>
    <w:rsid w:val="009F50AE"/>
    <w:rsid w:val="009F515E"/>
    <w:rsid w:val="009F5903"/>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4297"/>
    <w:rsid w:val="00A3463A"/>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D33"/>
    <w:rsid w:val="00A60E97"/>
    <w:rsid w:val="00A612FA"/>
    <w:rsid w:val="00A61D70"/>
    <w:rsid w:val="00A61EBB"/>
    <w:rsid w:val="00A62266"/>
    <w:rsid w:val="00A6272C"/>
    <w:rsid w:val="00A6357E"/>
    <w:rsid w:val="00A64242"/>
    <w:rsid w:val="00A644F8"/>
    <w:rsid w:val="00A6641C"/>
    <w:rsid w:val="00A66497"/>
    <w:rsid w:val="00A66617"/>
    <w:rsid w:val="00A666EB"/>
    <w:rsid w:val="00A717D2"/>
    <w:rsid w:val="00A7269B"/>
    <w:rsid w:val="00A734F7"/>
    <w:rsid w:val="00A738AE"/>
    <w:rsid w:val="00A74CBA"/>
    <w:rsid w:val="00A75437"/>
    <w:rsid w:val="00A7557D"/>
    <w:rsid w:val="00A75D47"/>
    <w:rsid w:val="00A761F1"/>
    <w:rsid w:val="00A769C5"/>
    <w:rsid w:val="00A77316"/>
    <w:rsid w:val="00A7772E"/>
    <w:rsid w:val="00A77D62"/>
    <w:rsid w:val="00A81DC7"/>
    <w:rsid w:val="00A81F60"/>
    <w:rsid w:val="00A82C94"/>
    <w:rsid w:val="00A83816"/>
    <w:rsid w:val="00A839AC"/>
    <w:rsid w:val="00A85EDD"/>
    <w:rsid w:val="00A866AA"/>
    <w:rsid w:val="00A86CB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3C8"/>
    <w:rsid w:val="00AA4E0E"/>
    <w:rsid w:val="00AA4E5A"/>
    <w:rsid w:val="00AA511C"/>
    <w:rsid w:val="00AA61B7"/>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1DB"/>
    <w:rsid w:val="00AC6521"/>
    <w:rsid w:val="00AC688D"/>
    <w:rsid w:val="00AC6A9F"/>
    <w:rsid w:val="00AC70E1"/>
    <w:rsid w:val="00AC70F1"/>
    <w:rsid w:val="00AC72C2"/>
    <w:rsid w:val="00AC7903"/>
    <w:rsid w:val="00AD0A02"/>
    <w:rsid w:val="00AD0F73"/>
    <w:rsid w:val="00AD18CD"/>
    <w:rsid w:val="00AD1C9C"/>
    <w:rsid w:val="00AD2C92"/>
    <w:rsid w:val="00AD2CDB"/>
    <w:rsid w:val="00AD2D29"/>
    <w:rsid w:val="00AD32EB"/>
    <w:rsid w:val="00AD3574"/>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1FD3"/>
    <w:rsid w:val="00B12EA9"/>
    <w:rsid w:val="00B13011"/>
    <w:rsid w:val="00B133D9"/>
    <w:rsid w:val="00B13AA5"/>
    <w:rsid w:val="00B13E56"/>
    <w:rsid w:val="00B14428"/>
    <w:rsid w:val="00B14A49"/>
    <w:rsid w:val="00B15B53"/>
    <w:rsid w:val="00B15E47"/>
    <w:rsid w:val="00B168C2"/>
    <w:rsid w:val="00B17F46"/>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31DA"/>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053"/>
    <w:rsid w:val="00B43EED"/>
    <w:rsid w:val="00B44000"/>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463"/>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262"/>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600"/>
    <w:rsid w:val="00B927D5"/>
    <w:rsid w:val="00B92821"/>
    <w:rsid w:val="00B93DF9"/>
    <w:rsid w:val="00B9419B"/>
    <w:rsid w:val="00B943E2"/>
    <w:rsid w:val="00B95F1F"/>
    <w:rsid w:val="00B962DA"/>
    <w:rsid w:val="00B9657E"/>
    <w:rsid w:val="00B97031"/>
    <w:rsid w:val="00B970E0"/>
    <w:rsid w:val="00B9791C"/>
    <w:rsid w:val="00B97D24"/>
    <w:rsid w:val="00BA078F"/>
    <w:rsid w:val="00BA1741"/>
    <w:rsid w:val="00BA20F6"/>
    <w:rsid w:val="00BA352E"/>
    <w:rsid w:val="00BA4852"/>
    <w:rsid w:val="00BA4AD0"/>
    <w:rsid w:val="00BA5928"/>
    <w:rsid w:val="00BA5A33"/>
    <w:rsid w:val="00BA5EC0"/>
    <w:rsid w:val="00BA7593"/>
    <w:rsid w:val="00BB164B"/>
    <w:rsid w:val="00BB1AD6"/>
    <w:rsid w:val="00BB20DA"/>
    <w:rsid w:val="00BB2ECB"/>
    <w:rsid w:val="00BB3092"/>
    <w:rsid w:val="00BB3920"/>
    <w:rsid w:val="00BB473E"/>
    <w:rsid w:val="00BB5BB4"/>
    <w:rsid w:val="00BB647B"/>
    <w:rsid w:val="00BB70F6"/>
    <w:rsid w:val="00BC15E8"/>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6D77"/>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3F3"/>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4E71"/>
    <w:rsid w:val="00C0531C"/>
    <w:rsid w:val="00C053BE"/>
    <w:rsid w:val="00C05739"/>
    <w:rsid w:val="00C0639A"/>
    <w:rsid w:val="00C06F58"/>
    <w:rsid w:val="00C0728B"/>
    <w:rsid w:val="00C1051A"/>
    <w:rsid w:val="00C10858"/>
    <w:rsid w:val="00C119DD"/>
    <w:rsid w:val="00C11D78"/>
    <w:rsid w:val="00C11ED7"/>
    <w:rsid w:val="00C12E8F"/>
    <w:rsid w:val="00C130B1"/>
    <w:rsid w:val="00C1374C"/>
    <w:rsid w:val="00C138C6"/>
    <w:rsid w:val="00C14A6F"/>
    <w:rsid w:val="00C14CCE"/>
    <w:rsid w:val="00C170C2"/>
    <w:rsid w:val="00C17230"/>
    <w:rsid w:val="00C17763"/>
    <w:rsid w:val="00C17801"/>
    <w:rsid w:val="00C2116C"/>
    <w:rsid w:val="00C22BD4"/>
    <w:rsid w:val="00C24474"/>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8F9"/>
    <w:rsid w:val="00C33C77"/>
    <w:rsid w:val="00C345AC"/>
    <w:rsid w:val="00C34CE9"/>
    <w:rsid w:val="00C34EF0"/>
    <w:rsid w:val="00C36D81"/>
    <w:rsid w:val="00C40D72"/>
    <w:rsid w:val="00C40E29"/>
    <w:rsid w:val="00C40F97"/>
    <w:rsid w:val="00C41527"/>
    <w:rsid w:val="00C41E6C"/>
    <w:rsid w:val="00C42FB8"/>
    <w:rsid w:val="00C431A1"/>
    <w:rsid w:val="00C43C54"/>
    <w:rsid w:val="00C45049"/>
    <w:rsid w:val="00C463AF"/>
    <w:rsid w:val="00C46990"/>
    <w:rsid w:val="00C46BA9"/>
    <w:rsid w:val="00C47666"/>
    <w:rsid w:val="00C52465"/>
    <w:rsid w:val="00C52C5B"/>
    <w:rsid w:val="00C53EBD"/>
    <w:rsid w:val="00C54FFD"/>
    <w:rsid w:val="00C5667E"/>
    <w:rsid w:val="00C608E0"/>
    <w:rsid w:val="00C60B9C"/>
    <w:rsid w:val="00C6141C"/>
    <w:rsid w:val="00C61511"/>
    <w:rsid w:val="00C63522"/>
    <w:rsid w:val="00C643FB"/>
    <w:rsid w:val="00C64DB4"/>
    <w:rsid w:val="00C64FE9"/>
    <w:rsid w:val="00C65754"/>
    <w:rsid w:val="00C666B9"/>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2F53"/>
    <w:rsid w:val="00C83350"/>
    <w:rsid w:val="00C83871"/>
    <w:rsid w:val="00C8499F"/>
    <w:rsid w:val="00C85228"/>
    <w:rsid w:val="00C8542A"/>
    <w:rsid w:val="00C86D7C"/>
    <w:rsid w:val="00C87260"/>
    <w:rsid w:val="00C902B2"/>
    <w:rsid w:val="00C9104B"/>
    <w:rsid w:val="00C917F2"/>
    <w:rsid w:val="00C91CE0"/>
    <w:rsid w:val="00C92A19"/>
    <w:rsid w:val="00C92AB4"/>
    <w:rsid w:val="00C92BC1"/>
    <w:rsid w:val="00C92F3E"/>
    <w:rsid w:val="00C93011"/>
    <w:rsid w:val="00C94B5B"/>
    <w:rsid w:val="00C955F8"/>
    <w:rsid w:val="00C961FA"/>
    <w:rsid w:val="00C969F1"/>
    <w:rsid w:val="00C97403"/>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21C"/>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ACC"/>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5EA"/>
    <w:rsid w:val="00CE51A1"/>
    <w:rsid w:val="00CE656D"/>
    <w:rsid w:val="00CE7C59"/>
    <w:rsid w:val="00CF117D"/>
    <w:rsid w:val="00CF1B3D"/>
    <w:rsid w:val="00CF3ADD"/>
    <w:rsid w:val="00CF3C97"/>
    <w:rsid w:val="00CF3E08"/>
    <w:rsid w:val="00CF3E2D"/>
    <w:rsid w:val="00CF4F81"/>
    <w:rsid w:val="00CF5623"/>
    <w:rsid w:val="00CF5CFB"/>
    <w:rsid w:val="00CF7293"/>
    <w:rsid w:val="00CF7358"/>
    <w:rsid w:val="00CF78A0"/>
    <w:rsid w:val="00CF794D"/>
    <w:rsid w:val="00D00CB2"/>
    <w:rsid w:val="00D01245"/>
    <w:rsid w:val="00D03042"/>
    <w:rsid w:val="00D03538"/>
    <w:rsid w:val="00D03A14"/>
    <w:rsid w:val="00D04363"/>
    <w:rsid w:val="00D0564A"/>
    <w:rsid w:val="00D06181"/>
    <w:rsid w:val="00D06397"/>
    <w:rsid w:val="00D06510"/>
    <w:rsid w:val="00D07965"/>
    <w:rsid w:val="00D11787"/>
    <w:rsid w:val="00D1276E"/>
    <w:rsid w:val="00D12E88"/>
    <w:rsid w:val="00D136BB"/>
    <w:rsid w:val="00D13F62"/>
    <w:rsid w:val="00D14672"/>
    <w:rsid w:val="00D156C7"/>
    <w:rsid w:val="00D16A78"/>
    <w:rsid w:val="00D20934"/>
    <w:rsid w:val="00D20CC2"/>
    <w:rsid w:val="00D20D6A"/>
    <w:rsid w:val="00D21B4D"/>
    <w:rsid w:val="00D2216F"/>
    <w:rsid w:val="00D2260B"/>
    <w:rsid w:val="00D226F8"/>
    <w:rsid w:val="00D23584"/>
    <w:rsid w:val="00D23706"/>
    <w:rsid w:val="00D239BA"/>
    <w:rsid w:val="00D24083"/>
    <w:rsid w:val="00D25EAB"/>
    <w:rsid w:val="00D271BE"/>
    <w:rsid w:val="00D272BF"/>
    <w:rsid w:val="00D27AB2"/>
    <w:rsid w:val="00D27D4E"/>
    <w:rsid w:val="00D27FF5"/>
    <w:rsid w:val="00D30107"/>
    <w:rsid w:val="00D30890"/>
    <w:rsid w:val="00D30C36"/>
    <w:rsid w:val="00D31A91"/>
    <w:rsid w:val="00D32CA5"/>
    <w:rsid w:val="00D33AC1"/>
    <w:rsid w:val="00D340DE"/>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DF1"/>
    <w:rsid w:val="00D578FD"/>
    <w:rsid w:val="00D6009A"/>
    <w:rsid w:val="00D611E4"/>
    <w:rsid w:val="00D61872"/>
    <w:rsid w:val="00D61A08"/>
    <w:rsid w:val="00D63DFD"/>
    <w:rsid w:val="00D6580B"/>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7894"/>
    <w:rsid w:val="00D9038E"/>
    <w:rsid w:val="00D918BE"/>
    <w:rsid w:val="00D926AF"/>
    <w:rsid w:val="00D9489F"/>
    <w:rsid w:val="00D94B41"/>
    <w:rsid w:val="00D94EEF"/>
    <w:rsid w:val="00D95205"/>
    <w:rsid w:val="00D95623"/>
    <w:rsid w:val="00D9586D"/>
    <w:rsid w:val="00D95B46"/>
    <w:rsid w:val="00D96B02"/>
    <w:rsid w:val="00DA0D76"/>
    <w:rsid w:val="00DA0EF3"/>
    <w:rsid w:val="00DA1593"/>
    <w:rsid w:val="00DA2C28"/>
    <w:rsid w:val="00DA2C69"/>
    <w:rsid w:val="00DA2D8A"/>
    <w:rsid w:val="00DA3133"/>
    <w:rsid w:val="00DA3C62"/>
    <w:rsid w:val="00DA3DB6"/>
    <w:rsid w:val="00DA4EA9"/>
    <w:rsid w:val="00DA60A3"/>
    <w:rsid w:val="00DA66FB"/>
    <w:rsid w:val="00DB00F6"/>
    <w:rsid w:val="00DB0797"/>
    <w:rsid w:val="00DB103E"/>
    <w:rsid w:val="00DB15BA"/>
    <w:rsid w:val="00DB1D9A"/>
    <w:rsid w:val="00DB4BCB"/>
    <w:rsid w:val="00DB4DF8"/>
    <w:rsid w:val="00DB56D6"/>
    <w:rsid w:val="00DB5BEA"/>
    <w:rsid w:val="00DB61F5"/>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3DEE"/>
    <w:rsid w:val="00DD400C"/>
    <w:rsid w:val="00DD475A"/>
    <w:rsid w:val="00DD5023"/>
    <w:rsid w:val="00DD63E8"/>
    <w:rsid w:val="00DD649F"/>
    <w:rsid w:val="00DD6C0C"/>
    <w:rsid w:val="00DD7EBB"/>
    <w:rsid w:val="00DE0136"/>
    <w:rsid w:val="00DE01D2"/>
    <w:rsid w:val="00DE1E99"/>
    <w:rsid w:val="00DE3A75"/>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EBB"/>
    <w:rsid w:val="00E11F2A"/>
    <w:rsid w:val="00E1223E"/>
    <w:rsid w:val="00E13752"/>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696"/>
    <w:rsid w:val="00E40961"/>
    <w:rsid w:val="00E411BF"/>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4D6D"/>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EF6"/>
    <w:rsid w:val="00EA33DE"/>
    <w:rsid w:val="00EA36D5"/>
    <w:rsid w:val="00EA3B65"/>
    <w:rsid w:val="00EA41A2"/>
    <w:rsid w:val="00EA4C53"/>
    <w:rsid w:val="00EA59C5"/>
    <w:rsid w:val="00EA677C"/>
    <w:rsid w:val="00EA6968"/>
    <w:rsid w:val="00EA717E"/>
    <w:rsid w:val="00EA71C4"/>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B0C"/>
    <w:rsid w:val="00EC7D02"/>
    <w:rsid w:val="00EC7D13"/>
    <w:rsid w:val="00EC7E31"/>
    <w:rsid w:val="00ED096B"/>
    <w:rsid w:val="00ED0DAD"/>
    <w:rsid w:val="00ED126C"/>
    <w:rsid w:val="00ED1520"/>
    <w:rsid w:val="00ED1A60"/>
    <w:rsid w:val="00ED1CA1"/>
    <w:rsid w:val="00ED2323"/>
    <w:rsid w:val="00ED3046"/>
    <w:rsid w:val="00ED34B4"/>
    <w:rsid w:val="00ED35EE"/>
    <w:rsid w:val="00ED39D8"/>
    <w:rsid w:val="00ED50CE"/>
    <w:rsid w:val="00ED514B"/>
    <w:rsid w:val="00ED533E"/>
    <w:rsid w:val="00ED5EC9"/>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401"/>
    <w:rsid w:val="00F00B1E"/>
    <w:rsid w:val="00F01202"/>
    <w:rsid w:val="00F03AC7"/>
    <w:rsid w:val="00F0575F"/>
    <w:rsid w:val="00F061F9"/>
    <w:rsid w:val="00F07EBF"/>
    <w:rsid w:val="00F1006C"/>
    <w:rsid w:val="00F10B22"/>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04AA"/>
    <w:rsid w:val="00F422D7"/>
    <w:rsid w:val="00F4421C"/>
    <w:rsid w:val="00F44F8A"/>
    <w:rsid w:val="00F46DE7"/>
    <w:rsid w:val="00F47E32"/>
    <w:rsid w:val="00F47F78"/>
    <w:rsid w:val="00F5070C"/>
    <w:rsid w:val="00F5285F"/>
    <w:rsid w:val="00F528EE"/>
    <w:rsid w:val="00F52B23"/>
    <w:rsid w:val="00F52C15"/>
    <w:rsid w:val="00F52F80"/>
    <w:rsid w:val="00F536DA"/>
    <w:rsid w:val="00F53763"/>
    <w:rsid w:val="00F54278"/>
    <w:rsid w:val="00F547E8"/>
    <w:rsid w:val="00F55228"/>
    <w:rsid w:val="00F5523B"/>
    <w:rsid w:val="00F55FEA"/>
    <w:rsid w:val="00F562AD"/>
    <w:rsid w:val="00F56E2E"/>
    <w:rsid w:val="00F57325"/>
    <w:rsid w:val="00F575EE"/>
    <w:rsid w:val="00F57D00"/>
    <w:rsid w:val="00F614B3"/>
    <w:rsid w:val="00F61D63"/>
    <w:rsid w:val="00F622AE"/>
    <w:rsid w:val="00F6244B"/>
    <w:rsid w:val="00F643F8"/>
    <w:rsid w:val="00F64D90"/>
    <w:rsid w:val="00F70205"/>
    <w:rsid w:val="00F7065F"/>
    <w:rsid w:val="00F7115C"/>
    <w:rsid w:val="00F7143F"/>
    <w:rsid w:val="00F719B6"/>
    <w:rsid w:val="00F72C12"/>
    <w:rsid w:val="00F72FDA"/>
    <w:rsid w:val="00F73197"/>
    <w:rsid w:val="00F736EE"/>
    <w:rsid w:val="00F7373B"/>
    <w:rsid w:val="00F73854"/>
    <w:rsid w:val="00F738DC"/>
    <w:rsid w:val="00F73A27"/>
    <w:rsid w:val="00F73BE3"/>
    <w:rsid w:val="00F740CC"/>
    <w:rsid w:val="00F75D28"/>
    <w:rsid w:val="00F7670D"/>
    <w:rsid w:val="00F77F7B"/>
    <w:rsid w:val="00F81ABF"/>
    <w:rsid w:val="00F81ADF"/>
    <w:rsid w:val="00F81C80"/>
    <w:rsid w:val="00F823B0"/>
    <w:rsid w:val="00F82785"/>
    <w:rsid w:val="00F82F41"/>
    <w:rsid w:val="00F85391"/>
    <w:rsid w:val="00F85C0E"/>
    <w:rsid w:val="00F86089"/>
    <w:rsid w:val="00F86615"/>
    <w:rsid w:val="00F86B57"/>
    <w:rsid w:val="00F86FB3"/>
    <w:rsid w:val="00F873CC"/>
    <w:rsid w:val="00F87C08"/>
    <w:rsid w:val="00F90DB2"/>
    <w:rsid w:val="00F90F76"/>
    <w:rsid w:val="00F91BCA"/>
    <w:rsid w:val="00F91D6D"/>
    <w:rsid w:val="00F91E42"/>
    <w:rsid w:val="00F91E50"/>
    <w:rsid w:val="00F92F10"/>
    <w:rsid w:val="00F939A6"/>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3557"/>
    <w:rsid w:val="00FA445D"/>
    <w:rsid w:val="00FA54BA"/>
    <w:rsid w:val="00FA5F5C"/>
    <w:rsid w:val="00FA6028"/>
    <w:rsid w:val="00FA7756"/>
    <w:rsid w:val="00FB140E"/>
    <w:rsid w:val="00FB258F"/>
    <w:rsid w:val="00FB27B4"/>
    <w:rsid w:val="00FB3C25"/>
    <w:rsid w:val="00FB589E"/>
    <w:rsid w:val="00FB5DE3"/>
    <w:rsid w:val="00FB680E"/>
    <w:rsid w:val="00FB68DF"/>
    <w:rsid w:val="00FB6A3C"/>
    <w:rsid w:val="00FB7BFE"/>
    <w:rsid w:val="00FB7E0F"/>
    <w:rsid w:val="00FC0A71"/>
    <w:rsid w:val="00FC1EEC"/>
    <w:rsid w:val="00FC2359"/>
    <w:rsid w:val="00FC3288"/>
    <w:rsid w:val="00FC338A"/>
    <w:rsid w:val="00FC3419"/>
    <w:rsid w:val="00FC42A8"/>
    <w:rsid w:val="00FC4F96"/>
    <w:rsid w:val="00FC6EE1"/>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85E"/>
    <w:rsid w:val="00FE7359"/>
    <w:rsid w:val="00FF0AD7"/>
    <w:rsid w:val="00FF1241"/>
    <w:rsid w:val="00FF1A40"/>
    <w:rsid w:val="00FF1BB3"/>
    <w:rsid w:val="00FF1DE6"/>
    <w:rsid w:val="00FF20AF"/>
    <w:rsid w:val="00FF25BA"/>
    <w:rsid w:val="00FF27E4"/>
    <w:rsid w:val="00FF2CCE"/>
    <w:rsid w:val="00FF6A97"/>
    <w:rsid w:val="00FF6B36"/>
    <w:rsid w:val="00FF6BE4"/>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Doc-text2">
    <w:name w:val="Doc-text2"/>
    <w:basedOn w:val="Normal"/>
    <w:link w:val="Doc-text2Char"/>
    <w:qFormat/>
    <w:rsid w:val="00130521"/>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130521"/>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3068E-366C-4BA0-9E55-9599BCAC5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1630</Words>
  <Characters>9293</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32</cp:revision>
  <dcterms:created xsi:type="dcterms:W3CDTF">2017-01-04T07:25:00Z</dcterms:created>
  <dcterms:modified xsi:type="dcterms:W3CDTF">2017-01-10T03:36:00Z</dcterms:modified>
</cp:coreProperties>
</file>