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A26" w:rsidRPr="00DD6AE9" w:rsidRDefault="00A85A26" w:rsidP="00A85A26">
      <w:pPr>
        <w:pStyle w:val="Header"/>
        <w:rPr>
          <w:bCs/>
          <w:noProof w:val="0"/>
          <w:sz w:val="24"/>
          <w:szCs w:val="24"/>
        </w:rPr>
      </w:pPr>
      <w:r w:rsidRPr="0020582F">
        <w:rPr>
          <w:bCs/>
          <w:noProof w:val="0"/>
          <w:sz w:val="24"/>
          <w:szCs w:val="24"/>
          <w:lang w:val="en-GB"/>
        </w:rPr>
        <w:t>3GPP TSG RAN WG1 Ad-hoc Meeting</w:t>
      </w:r>
      <w:r>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DD6AE9">
        <w:rPr>
          <w:bCs/>
          <w:noProof w:val="0"/>
          <w:sz w:val="24"/>
          <w:szCs w:val="24"/>
        </w:rPr>
        <w:tab/>
      </w:r>
      <w:r w:rsidRPr="009851C9">
        <w:rPr>
          <w:bCs/>
          <w:noProof w:val="0"/>
          <w:sz w:val="24"/>
          <w:szCs w:val="24"/>
        </w:rPr>
        <w:t>R1-1</w:t>
      </w:r>
      <w:r>
        <w:rPr>
          <w:bCs/>
          <w:noProof w:val="0"/>
          <w:sz w:val="24"/>
          <w:szCs w:val="24"/>
        </w:rPr>
        <w:t>51035</w:t>
      </w:r>
    </w:p>
    <w:p w:rsidR="00A85A26" w:rsidRPr="00A12F36" w:rsidRDefault="00A85A26" w:rsidP="00A85A26">
      <w:pPr>
        <w:pStyle w:val="Header"/>
        <w:rPr>
          <w:bCs/>
          <w:noProof w:val="0"/>
          <w:sz w:val="24"/>
          <w:szCs w:val="24"/>
        </w:rPr>
      </w:pPr>
      <w:r>
        <w:rPr>
          <w:bCs/>
          <w:noProof w:val="0"/>
          <w:sz w:val="24"/>
          <w:szCs w:val="24"/>
          <w:lang w:val="en-GB"/>
        </w:rPr>
        <w:t>Paris</w:t>
      </w:r>
      <w:r w:rsidRPr="00A12F36">
        <w:rPr>
          <w:bCs/>
          <w:noProof w:val="0"/>
          <w:sz w:val="24"/>
          <w:szCs w:val="24"/>
          <w:lang w:val="en-GB"/>
        </w:rPr>
        <w:t xml:space="preserve">, </w:t>
      </w:r>
      <w:r>
        <w:rPr>
          <w:bCs/>
          <w:noProof w:val="0"/>
          <w:sz w:val="24"/>
          <w:szCs w:val="24"/>
          <w:lang w:val="en-GB"/>
        </w:rPr>
        <w:t>France, 24</w:t>
      </w:r>
      <w:r w:rsidRPr="00934B56">
        <w:rPr>
          <w:bCs/>
          <w:noProof w:val="0"/>
          <w:sz w:val="24"/>
          <w:szCs w:val="24"/>
          <w:vertAlign w:val="superscript"/>
          <w:lang w:val="en-GB"/>
        </w:rPr>
        <w:t>h</w:t>
      </w:r>
      <w:r w:rsidRPr="00A12F36">
        <w:rPr>
          <w:bCs/>
          <w:noProof w:val="0"/>
          <w:sz w:val="24"/>
          <w:szCs w:val="24"/>
          <w:lang w:val="en-GB"/>
        </w:rPr>
        <w:t xml:space="preserve"> – </w:t>
      </w:r>
      <w:r>
        <w:rPr>
          <w:bCs/>
          <w:noProof w:val="0"/>
          <w:sz w:val="24"/>
          <w:szCs w:val="24"/>
          <w:lang w:val="en-GB"/>
        </w:rPr>
        <w:t>26</w:t>
      </w:r>
      <w:r w:rsidRPr="00934B56">
        <w:rPr>
          <w:bCs/>
          <w:noProof w:val="0"/>
          <w:sz w:val="24"/>
          <w:szCs w:val="24"/>
          <w:vertAlign w:val="superscript"/>
          <w:lang w:val="en-GB"/>
        </w:rPr>
        <w:t>th</w:t>
      </w:r>
      <w:r w:rsidRPr="00A12F36">
        <w:rPr>
          <w:bCs/>
          <w:noProof w:val="0"/>
          <w:sz w:val="24"/>
          <w:szCs w:val="24"/>
          <w:lang w:val="en-GB"/>
        </w:rPr>
        <w:t xml:space="preserve"> </w:t>
      </w:r>
      <w:r>
        <w:rPr>
          <w:bCs/>
          <w:noProof w:val="0"/>
          <w:sz w:val="24"/>
          <w:szCs w:val="24"/>
          <w:lang w:val="en-GB"/>
        </w:rPr>
        <w:t>March</w:t>
      </w:r>
      <w:r w:rsidRPr="00A12F36">
        <w:rPr>
          <w:bCs/>
          <w:noProof w:val="0"/>
          <w:sz w:val="24"/>
          <w:szCs w:val="24"/>
          <w:lang w:val="en-GB"/>
        </w:rPr>
        <w:t xml:space="preserve"> 201</w:t>
      </w:r>
      <w:r>
        <w:rPr>
          <w:bCs/>
          <w:noProof w:val="0"/>
          <w:sz w:val="24"/>
          <w:szCs w:val="24"/>
          <w:lang w:val="en-GB"/>
        </w:rPr>
        <w:t>5</w:t>
      </w:r>
    </w:p>
    <w:p w:rsidR="00CB49A8" w:rsidRPr="001863B1" w:rsidRDefault="00CB49A8" w:rsidP="003B42B1">
      <w:pPr>
        <w:pStyle w:val="Header"/>
        <w:rPr>
          <w:bCs/>
          <w:noProof w:val="0"/>
          <w:sz w:val="24"/>
          <w:lang w:eastAsia="ja-JP"/>
        </w:rPr>
      </w:pPr>
    </w:p>
    <w:p w:rsidR="00CA26B3" w:rsidRPr="001863B1" w:rsidRDefault="00CA26B3" w:rsidP="00CA26B3">
      <w:pPr>
        <w:pStyle w:val="CRCoverPage"/>
        <w:rPr>
          <w:rFonts w:cs="Arial"/>
          <w:b/>
          <w:bCs/>
          <w:sz w:val="24"/>
          <w:lang w:val="en-US" w:eastAsia="ja-JP"/>
        </w:rPr>
      </w:pPr>
      <w:r w:rsidRPr="001863B1">
        <w:rPr>
          <w:rFonts w:cs="Arial"/>
          <w:b/>
          <w:bCs/>
          <w:sz w:val="24"/>
          <w:lang w:val="en-US"/>
        </w:rPr>
        <w:t>Agenda item:</w:t>
      </w:r>
      <w:r w:rsidRPr="001863B1">
        <w:rPr>
          <w:rFonts w:cs="Arial"/>
          <w:b/>
          <w:bCs/>
          <w:sz w:val="24"/>
          <w:lang w:val="en-US"/>
        </w:rPr>
        <w:tab/>
      </w:r>
      <w:r w:rsidRPr="001863B1">
        <w:rPr>
          <w:rFonts w:cs="Arial"/>
          <w:b/>
          <w:bCs/>
          <w:sz w:val="24"/>
          <w:lang w:val="en-US"/>
        </w:rPr>
        <w:tab/>
      </w:r>
      <w:r w:rsidR="00A85A26">
        <w:rPr>
          <w:rFonts w:cs="Arial"/>
          <w:b/>
          <w:bCs/>
          <w:sz w:val="24"/>
          <w:lang w:val="en-US"/>
        </w:rPr>
        <w:t>2.2</w:t>
      </w:r>
    </w:p>
    <w:p w:rsidR="001E26A0" w:rsidRDefault="003E0B56">
      <w:pPr>
        <w:tabs>
          <w:tab w:val="left" w:pos="1985"/>
        </w:tabs>
        <w:rPr>
          <w:rFonts w:ascii="Arial" w:hAnsi="Arial"/>
          <w:b/>
          <w:bCs/>
          <w:sz w:val="24"/>
        </w:rPr>
      </w:pPr>
      <w:r w:rsidRPr="003E0B56">
        <w:rPr>
          <w:rFonts w:ascii="Arial" w:hAnsi="Arial"/>
          <w:b/>
          <w:bCs/>
          <w:sz w:val="24"/>
        </w:rPr>
        <w:t>Source:</w:t>
      </w:r>
      <w:r w:rsidRPr="003E0B56">
        <w:rPr>
          <w:rFonts w:ascii="Arial" w:hAnsi="Arial"/>
          <w:b/>
          <w:bCs/>
          <w:sz w:val="24"/>
        </w:rPr>
        <w:tab/>
        <w:t>Nokia Networks, Nokia Corporation</w:t>
      </w:r>
    </w:p>
    <w:p w:rsidR="00CA26B3" w:rsidRPr="001863B1" w:rsidRDefault="00CA26B3" w:rsidP="00CA26B3">
      <w:pPr>
        <w:ind w:left="1985" w:hanging="1985"/>
        <w:rPr>
          <w:rFonts w:ascii="Arial" w:hAnsi="Arial" w:cs="Arial"/>
          <w:b/>
          <w:bCs/>
          <w:sz w:val="24"/>
        </w:rPr>
      </w:pPr>
      <w:r w:rsidRPr="001863B1">
        <w:rPr>
          <w:rFonts w:ascii="Arial" w:hAnsi="Arial" w:cs="Arial"/>
          <w:b/>
          <w:bCs/>
          <w:sz w:val="24"/>
        </w:rPr>
        <w:t>Title:</w:t>
      </w:r>
      <w:r w:rsidRPr="001863B1">
        <w:rPr>
          <w:rFonts w:ascii="Arial" w:hAnsi="Arial" w:cs="Arial"/>
          <w:b/>
          <w:bCs/>
          <w:sz w:val="24"/>
        </w:rPr>
        <w:tab/>
      </w:r>
      <w:r w:rsidR="00483252">
        <w:rPr>
          <w:rFonts w:ascii="Arial" w:hAnsi="Arial" w:cs="Arial"/>
          <w:b/>
          <w:bCs/>
          <w:sz w:val="24"/>
        </w:rPr>
        <w:t xml:space="preserve">On </w:t>
      </w:r>
      <w:r w:rsidR="00C95C82">
        <w:rPr>
          <w:rFonts w:ascii="Arial" w:hAnsi="Arial" w:cs="Arial"/>
          <w:b/>
          <w:bCs/>
          <w:sz w:val="24"/>
        </w:rPr>
        <w:t>LBT and Frame Structure Design</w:t>
      </w:r>
      <w:r w:rsidR="003C676A" w:rsidRPr="001863B1">
        <w:rPr>
          <w:rFonts w:ascii="Arial" w:hAnsi="Arial" w:cs="Arial"/>
          <w:b/>
          <w:bCs/>
          <w:sz w:val="24"/>
        </w:rPr>
        <w:t xml:space="preserve">  </w:t>
      </w:r>
    </w:p>
    <w:p w:rsidR="00CA26B3" w:rsidRPr="001863B1" w:rsidRDefault="00CA26B3" w:rsidP="00CA26B3">
      <w:pPr>
        <w:rPr>
          <w:rFonts w:ascii="Arial" w:hAnsi="Arial" w:cs="Arial"/>
          <w:b/>
          <w:bCs/>
          <w:sz w:val="24"/>
        </w:rPr>
      </w:pPr>
      <w:r w:rsidRPr="001863B1">
        <w:rPr>
          <w:rFonts w:ascii="Arial" w:hAnsi="Arial" w:cs="Arial"/>
          <w:b/>
          <w:bCs/>
          <w:sz w:val="24"/>
        </w:rPr>
        <w:t>Document for:</w:t>
      </w:r>
      <w:r w:rsidRPr="001863B1">
        <w:rPr>
          <w:rFonts w:ascii="Arial" w:hAnsi="Arial" w:cs="Arial"/>
          <w:b/>
          <w:bCs/>
          <w:sz w:val="24"/>
        </w:rPr>
        <w:tab/>
      </w:r>
      <w:r w:rsidRPr="001863B1">
        <w:rPr>
          <w:rFonts w:ascii="Arial" w:hAnsi="Arial" w:cs="Arial"/>
          <w:b/>
          <w:bCs/>
          <w:sz w:val="24"/>
        </w:rPr>
        <w:tab/>
        <w:t>Discussion and Decision</w:t>
      </w:r>
    </w:p>
    <w:p w:rsidR="007A1F9C" w:rsidRPr="001863B1" w:rsidRDefault="00B4163E" w:rsidP="009A72C3">
      <w:pPr>
        <w:pStyle w:val="Heading1"/>
        <w:numPr>
          <w:ilvl w:val="0"/>
          <w:numId w:val="3"/>
        </w:numPr>
        <w:pBdr>
          <w:top w:val="single" w:sz="12" w:space="4" w:color="auto"/>
        </w:pBdr>
        <w:ind w:hanging="750"/>
        <w:rPr>
          <w:rFonts w:cs="Arial"/>
          <w:lang w:val="en-US"/>
        </w:rPr>
      </w:pPr>
      <w:r w:rsidRPr="001863B1">
        <w:rPr>
          <w:rFonts w:cs="Arial"/>
          <w:lang w:val="en-US"/>
        </w:rPr>
        <w:t>Introduction</w:t>
      </w:r>
    </w:p>
    <w:p w:rsidR="003444A9" w:rsidRPr="001863B1" w:rsidRDefault="007F4BD4" w:rsidP="00346554">
      <w:r w:rsidRPr="001863B1">
        <w:t>An objective of the LAA SI [1] is to find</w:t>
      </w:r>
      <w:r w:rsidR="00346554" w:rsidRPr="001863B1">
        <w:t xml:space="preserve"> a single global solution which enhances LTE to enable licensed-assisted access to unlicensed spectrum while coexisting with other technologies and fulfilling the regulatory requirements.</w:t>
      </w:r>
      <w:r w:rsidR="00CB49A8">
        <w:t xml:space="preserve"> </w:t>
      </w:r>
      <w:r w:rsidR="0031292F" w:rsidRPr="001863B1">
        <w:t xml:space="preserve">LAA </w:t>
      </w:r>
      <w:r w:rsidR="003444A9" w:rsidRPr="001863B1">
        <w:t xml:space="preserve">Study Item description provides also some guidance on the preferred solutions [1]: </w:t>
      </w:r>
    </w:p>
    <w:p w:rsidR="003444A9" w:rsidRPr="001863B1"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eastAsia="ko-KR"/>
        </w:rPr>
        <w:t>The identified enhancements should reuse the features of LTE as much as possible. It should be avoided to duplicate work done in other LTE work/study items.</w:t>
      </w:r>
    </w:p>
    <w:p w:rsidR="003444A9" w:rsidRPr="001863B1"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rPr>
        <w:t xml:space="preserve">The study will cover both single and multi-operator scenarios, including the case where multiple operators deploy LTE in the same unlicensed spectrum bands. </w:t>
      </w:r>
    </w:p>
    <w:p w:rsidR="003444A9"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rPr>
        <w:t>High priority should be on the completion of the DL only scenario.</w:t>
      </w:r>
    </w:p>
    <w:p w:rsidR="00C95C82" w:rsidRDefault="00E37663" w:rsidP="00086545">
      <w:pPr>
        <w:rPr>
          <w:lang w:eastAsia="ko-KR"/>
        </w:rPr>
      </w:pPr>
      <w:r w:rsidRPr="00E37663">
        <w:rPr>
          <w:lang w:val="da-DK"/>
        </w:rPr>
        <w:t>It was agreed in RAN</w:t>
      </w:r>
      <w:r w:rsidR="00684D0C">
        <w:rPr>
          <w:lang w:val="da-DK"/>
        </w:rPr>
        <w:t>1</w:t>
      </w:r>
      <w:r w:rsidRPr="00E37663">
        <w:rPr>
          <w:lang w:val="da-DK"/>
        </w:rPr>
        <w:t xml:space="preserve"> #7</w:t>
      </w:r>
      <w:r w:rsidR="00303197">
        <w:rPr>
          <w:lang w:val="da-DK"/>
        </w:rPr>
        <w:t>8</w:t>
      </w:r>
      <w:r w:rsidRPr="00E37663">
        <w:rPr>
          <w:lang w:val="da-DK"/>
        </w:rPr>
        <w:t>bis that Listen-before-talk (</w:t>
      </w:r>
      <w:r>
        <w:rPr>
          <w:lang w:val="da-DK"/>
        </w:rPr>
        <w:t>Carrier Sensing</w:t>
      </w:r>
      <w:r w:rsidRPr="00E37663">
        <w:rPr>
          <w:lang w:val="da-DK"/>
        </w:rPr>
        <w:t xml:space="preserve">) and Discontinuous transmission on a carrier with limited maximum transmission duration are among functionalities </w:t>
      </w:r>
      <w:r w:rsidR="00565F3F">
        <w:rPr>
          <w:lang w:val="da-DK"/>
        </w:rPr>
        <w:t xml:space="preserve">identified to be </w:t>
      </w:r>
      <w:r w:rsidRPr="00E37663">
        <w:rPr>
          <w:lang w:val="da-DK"/>
        </w:rPr>
        <w:t>required for an LAA system to meet regulatory requirements in some regions/bands.</w:t>
      </w:r>
      <w:r w:rsidR="00265FCE">
        <w:rPr>
          <w:lang w:val="da-DK"/>
        </w:rPr>
        <w:t xml:space="preserve"> </w:t>
      </w:r>
      <w:r w:rsidR="00A0328B" w:rsidRPr="001863B1">
        <w:t xml:space="preserve">In this contribution we identify candidate solutions for Listen-Before-Talk (LBT) and channel access based on ETSI rules </w:t>
      </w:r>
      <w:r w:rsidR="0031292F" w:rsidRPr="001863B1">
        <w:t xml:space="preserve">defined in </w:t>
      </w:r>
      <w:r w:rsidR="00A0328B" w:rsidRPr="001863B1">
        <w:t>[</w:t>
      </w:r>
      <w:r w:rsidR="0090005D" w:rsidRPr="001863B1">
        <w:t>3</w:t>
      </w:r>
      <w:r w:rsidR="00A0328B" w:rsidRPr="001863B1">
        <w:t>]</w:t>
      </w:r>
      <w:r w:rsidR="0090005D" w:rsidRPr="001863B1">
        <w:t>-[5]</w:t>
      </w:r>
      <w:r w:rsidR="00A0328B" w:rsidRPr="001863B1">
        <w:t>.</w:t>
      </w:r>
      <w:r w:rsidR="00222A1E" w:rsidRPr="001863B1">
        <w:t xml:space="preserve"> </w:t>
      </w:r>
      <w:r w:rsidR="007430F3" w:rsidRPr="001863B1">
        <w:t>Both DL</w:t>
      </w:r>
      <w:r w:rsidR="00715FAD" w:rsidRPr="001863B1">
        <w:t>-</w:t>
      </w:r>
      <w:r w:rsidR="007430F3" w:rsidRPr="001863B1">
        <w:t xml:space="preserve">only and TDD (i.e. UL and DL) </w:t>
      </w:r>
      <w:r w:rsidR="00086545" w:rsidRPr="001863B1">
        <w:t>scenarios are covered.</w:t>
      </w:r>
      <w:r w:rsidR="00086545" w:rsidRPr="001863B1">
        <w:rPr>
          <w:lang w:eastAsia="ko-KR"/>
        </w:rPr>
        <w:t xml:space="preserve"> </w:t>
      </w:r>
    </w:p>
    <w:p w:rsidR="00086545" w:rsidRPr="001863B1" w:rsidRDefault="00086545" w:rsidP="00086545">
      <w:r w:rsidRPr="001863B1">
        <w:t xml:space="preserve">The contribution is arranged in the following way: Section 2 </w:t>
      </w:r>
      <w:r w:rsidR="00843B06">
        <w:t>contains the generic discussion on</w:t>
      </w:r>
      <w:r w:rsidR="00B35A6D">
        <w:t xml:space="preserve"> LBT</w:t>
      </w:r>
      <w:r w:rsidRPr="001863B1">
        <w:t>.</w:t>
      </w:r>
      <w:r w:rsidR="00843B06">
        <w:t xml:space="preserve"> </w:t>
      </w:r>
      <w:r w:rsidRPr="001863B1">
        <w:t xml:space="preserve">ETSI rules </w:t>
      </w:r>
      <w:r w:rsidR="00B35A6D">
        <w:t xml:space="preserve">defined </w:t>
      </w:r>
      <w:r w:rsidRPr="001863B1">
        <w:t xml:space="preserve">for </w:t>
      </w:r>
      <w:r w:rsidR="0035030A">
        <w:t>Frame Based Equipment (</w:t>
      </w:r>
      <w:r w:rsidRPr="001863B1">
        <w:t>FBE</w:t>
      </w:r>
      <w:r w:rsidR="0035030A">
        <w:t>)</w:t>
      </w:r>
      <w:r w:rsidRPr="001863B1">
        <w:t xml:space="preserve"> and </w:t>
      </w:r>
      <w:r w:rsidR="0035030A">
        <w:t>Load Based Equipment (</w:t>
      </w:r>
      <w:r w:rsidRPr="001863B1">
        <w:t>LBE</w:t>
      </w:r>
      <w:r w:rsidR="0035030A">
        <w:t>)</w:t>
      </w:r>
      <w:r w:rsidRPr="001863B1">
        <w:t xml:space="preserve"> </w:t>
      </w:r>
      <w:r w:rsidR="00843B06">
        <w:t xml:space="preserve">are compared </w:t>
      </w:r>
      <w:r w:rsidRPr="001863B1">
        <w:t>in Section</w:t>
      </w:r>
      <w:r w:rsidR="0035030A">
        <w:t xml:space="preserve"> 3. Section 4 discusses LBT design aspects for LTE LAA</w:t>
      </w:r>
      <w:r w:rsidR="00303197">
        <w:t>,</w:t>
      </w:r>
      <w:r w:rsidRPr="001863B1">
        <w:t xml:space="preserve"> </w:t>
      </w:r>
      <w:r w:rsidR="0035030A">
        <w:t>and s</w:t>
      </w:r>
      <w:r w:rsidRPr="001863B1">
        <w:t>ummary is given in Section 5.</w:t>
      </w:r>
      <w:r w:rsidR="00C95C82">
        <w:t xml:space="preserve"> </w:t>
      </w:r>
    </w:p>
    <w:p w:rsidR="00CC5F32" w:rsidRPr="001863B1" w:rsidRDefault="00843B06" w:rsidP="009A72C3">
      <w:pPr>
        <w:pStyle w:val="Heading1"/>
        <w:numPr>
          <w:ilvl w:val="0"/>
          <w:numId w:val="3"/>
        </w:numPr>
        <w:ind w:hanging="750"/>
        <w:rPr>
          <w:rFonts w:cs="Arial"/>
          <w:lang w:val="en-US" w:eastAsia="zh-CN"/>
        </w:rPr>
      </w:pPr>
      <w:r>
        <w:rPr>
          <w:rFonts w:cs="Arial"/>
          <w:lang w:val="en-US" w:eastAsia="zh-CN"/>
        </w:rPr>
        <w:t xml:space="preserve">Discussion </w:t>
      </w:r>
    </w:p>
    <w:p w:rsidR="006E1E58" w:rsidRPr="001863B1" w:rsidRDefault="003F1171" w:rsidP="006E1E58">
      <w:r w:rsidRPr="001863B1">
        <w:rPr>
          <w:rFonts w:cs="Arial"/>
        </w:rPr>
        <w:t xml:space="preserve">Different </w:t>
      </w:r>
      <w:r w:rsidR="00CD4D22">
        <w:rPr>
          <w:rFonts w:cs="Arial"/>
        </w:rPr>
        <w:t xml:space="preserve">geographical </w:t>
      </w:r>
      <w:r w:rsidRPr="001863B1">
        <w:rPr>
          <w:rFonts w:cs="Arial"/>
        </w:rPr>
        <w:t xml:space="preserve">regions have different regulatory requirements for unlicensed band operation. Those </w:t>
      </w:r>
      <w:r w:rsidR="008B4894" w:rsidRPr="001863B1">
        <w:rPr>
          <w:rFonts w:cs="Arial"/>
        </w:rPr>
        <w:t>have been</w:t>
      </w:r>
      <w:r w:rsidRPr="001863B1">
        <w:rPr>
          <w:rFonts w:cs="Arial"/>
        </w:rPr>
        <w:t xml:space="preserve"> summarized in [</w:t>
      </w:r>
      <w:r w:rsidR="0090005D" w:rsidRPr="001863B1">
        <w:rPr>
          <w:rFonts w:cs="Arial"/>
        </w:rPr>
        <w:t>2</w:t>
      </w:r>
      <w:r w:rsidR="008B4894" w:rsidRPr="001863B1">
        <w:rPr>
          <w:rFonts w:cs="Arial"/>
        </w:rPr>
        <w:t xml:space="preserve">]. </w:t>
      </w:r>
      <w:r w:rsidR="007E56AA" w:rsidRPr="001863B1">
        <w:t>In Europe, the regulations mandate the equipment operating on unlicensed spectrum to implement LBT by performing Clear Channel Assessment (CCA) before starting a transmission, to verify that the operating channel is not occupied.</w:t>
      </w:r>
      <w:r w:rsidR="00222A1E" w:rsidRPr="001863B1">
        <w:t xml:space="preserve"> A summary of the defined channel </w:t>
      </w:r>
      <w:r w:rsidR="005267DB" w:rsidRPr="001863B1">
        <w:t>access</w:t>
      </w:r>
      <w:r w:rsidR="00222A1E" w:rsidRPr="001863B1">
        <w:t xml:space="preserve"> mechanisms according to ETSI regulations is given in [6].</w:t>
      </w:r>
    </w:p>
    <w:p w:rsidR="00D92885" w:rsidRPr="001863B1" w:rsidRDefault="006E1E58" w:rsidP="007E56AA">
      <w:r w:rsidRPr="001863B1">
        <w:rPr>
          <w:bCs/>
        </w:rPr>
        <w:t>ETSI documents [</w:t>
      </w:r>
      <w:r w:rsidR="0031292F" w:rsidRPr="001863B1">
        <w:rPr>
          <w:bCs/>
        </w:rPr>
        <w:t>3</w:t>
      </w:r>
      <w:r w:rsidRPr="001863B1">
        <w:rPr>
          <w:bCs/>
        </w:rPr>
        <w:t>]-[</w:t>
      </w:r>
      <w:r w:rsidR="0031292F" w:rsidRPr="001863B1">
        <w:rPr>
          <w:bCs/>
        </w:rPr>
        <w:t>5</w:t>
      </w:r>
      <w:r w:rsidRPr="001863B1">
        <w:rPr>
          <w:bCs/>
        </w:rPr>
        <w:t xml:space="preserve">] define European regulatory requirements for 5GHz </w:t>
      </w:r>
      <w:proofErr w:type="spellStart"/>
      <w:r w:rsidRPr="001863B1">
        <w:rPr>
          <w:bCs/>
        </w:rPr>
        <w:t>unli</w:t>
      </w:r>
      <w:r w:rsidR="00CF76AE" w:rsidRPr="001863B1">
        <w:rPr>
          <w:bCs/>
        </w:rPr>
        <w:t>c</w:t>
      </w:r>
      <w:r w:rsidRPr="001863B1">
        <w:rPr>
          <w:bCs/>
        </w:rPr>
        <w:t>enced</w:t>
      </w:r>
      <w:proofErr w:type="spellEnd"/>
      <w:r w:rsidRPr="001863B1">
        <w:rPr>
          <w:bCs/>
        </w:rPr>
        <w:t xml:space="preserve"> band. Two applicable </w:t>
      </w:r>
      <w:r w:rsidR="00303197" w:rsidRPr="001863B1">
        <w:rPr>
          <w:bCs/>
        </w:rPr>
        <w:t xml:space="preserve">types </w:t>
      </w:r>
      <w:r w:rsidR="00A82A55">
        <w:rPr>
          <w:bCs/>
        </w:rPr>
        <w:t>of</w:t>
      </w:r>
      <w:r w:rsidR="00303197">
        <w:rPr>
          <w:bCs/>
        </w:rPr>
        <w:t xml:space="preserve"> </w:t>
      </w:r>
      <w:r w:rsidRPr="001863B1">
        <w:rPr>
          <w:bCs/>
        </w:rPr>
        <w:t xml:space="preserve">equipment have been defined: Frame Based Equipment (FBE), and Load Based Equipment (LBE). The key properties of </w:t>
      </w:r>
      <w:r w:rsidR="00A82A55">
        <w:rPr>
          <w:bCs/>
        </w:rPr>
        <w:t xml:space="preserve">the </w:t>
      </w:r>
      <w:r w:rsidRPr="001863B1">
        <w:rPr>
          <w:bCs/>
        </w:rPr>
        <w:t>two equipment types are summarized in Section 3.</w:t>
      </w:r>
      <w:r w:rsidR="00222A1E" w:rsidRPr="001863B1">
        <w:rPr>
          <w:bCs/>
        </w:rPr>
        <w:t xml:space="preserve"> </w:t>
      </w:r>
      <w:r w:rsidR="0090005D" w:rsidRPr="001863B1">
        <w:t xml:space="preserve">It is noted that </w:t>
      </w:r>
      <w:r w:rsidR="00D92885" w:rsidRPr="001863B1">
        <w:t>ETSI rules form a set of criteria, which “a single global solution</w:t>
      </w:r>
      <w:r w:rsidR="0031292F" w:rsidRPr="001863B1">
        <w:t>”</w:t>
      </w:r>
      <w:r w:rsidR="00D92885" w:rsidRPr="001863B1">
        <w:t xml:space="preserve"> defined </w:t>
      </w:r>
      <w:r w:rsidR="00303197">
        <w:t>in</w:t>
      </w:r>
      <w:r w:rsidR="00303197" w:rsidRPr="001863B1">
        <w:t xml:space="preserve"> </w:t>
      </w:r>
      <w:r w:rsidR="00D92885" w:rsidRPr="001863B1">
        <w:t>LAA SI [</w:t>
      </w:r>
      <w:r w:rsidRPr="001863B1">
        <w:t>1</w:t>
      </w:r>
      <w:r w:rsidR="00D92885" w:rsidRPr="001863B1">
        <w:t xml:space="preserve">] should fulfill. </w:t>
      </w:r>
      <w:r w:rsidR="005F22BE" w:rsidRPr="001863B1">
        <w:t xml:space="preserve">From that perspective they form a good starting point </w:t>
      </w:r>
      <w:r w:rsidR="00303197">
        <w:t>for</w:t>
      </w:r>
      <w:r w:rsidR="005F22BE" w:rsidRPr="001863B1">
        <w:t xml:space="preserve"> such</w:t>
      </w:r>
      <w:r w:rsidR="0031292F" w:rsidRPr="001863B1">
        <w:t xml:space="preserve"> a</w:t>
      </w:r>
      <w:r w:rsidR="005F22BE" w:rsidRPr="001863B1">
        <w:t xml:space="preserve"> g</w:t>
      </w:r>
      <w:r w:rsidR="0031292F" w:rsidRPr="001863B1">
        <w:t>l</w:t>
      </w:r>
      <w:r w:rsidR="005F22BE" w:rsidRPr="001863B1">
        <w:t>obal solution.</w:t>
      </w:r>
      <w:r w:rsidR="00D92885" w:rsidRPr="001863B1">
        <w:t xml:space="preserve"> </w:t>
      </w:r>
    </w:p>
    <w:p w:rsidR="00D92885" w:rsidRPr="001863B1" w:rsidRDefault="00D92885" w:rsidP="00D92885">
      <w:pPr>
        <w:jc w:val="both"/>
        <w:rPr>
          <w:rFonts w:ascii="Arial" w:hAnsi="Arial" w:cs="Arial"/>
          <w:b/>
          <w:bCs/>
        </w:rPr>
      </w:pPr>
      <w:r w:rsidRPr="001863B1">
        <w:rPr>
          <w:rFonts w:ascii="Arial" w:hAnsi="Arial" w:cs="Arial"/>
          <w:b/>
          <w:bCs/>
        </w:rPr>
        <w:t xml:space="preserve">Observation #1: A single global solution which enhances LTE to enable licensed-assisted access to unlicensed spectrum must </w:t>
      </w:r>
      <w:r w:rsidR="006E1E58" w:rsidRPr="001863B1">
        <w:rPr>
          <w:rFonts w:ascii="Arial" w:hAnsi="Arial" w:cs="Arial"/>
          <w:b/>
          <w:bCs/>
        </w:rPr>
        <w:t>fulfill</w:t>
      </w:r>
      <w:r w:rsidR="00CF76AE" w:rsidRPr="001863B1">
        <w:rPr>
          <w:rFonts w:ascii="Arial" w:hAnsi="Arial" w:cs="Arial"/>
          <w:b/>
          <w:bCs/>
        </w:rPr>
        <w:t>, besides others,</w:t>
      </w:r>
      <w:r w:rsidRPr="001863B1">
        <w:rPr>
          <w:rFonts w:ascii="Arial" w:hAnsi="Arial" w:cs="Arial"/>
          <w:b/>
          <w:bCs/>
        </w:rPr>
        <w:t xml:space="preserve"> the LBT rules defined by ETSI. </w:t>
      </w:r>
    </w:p>
    <w:p w:rsidR="00AD58A2" w:rsidRDefault="00AD58A2" w:rsidP="00E54BFA">
      <w:pPr>
        <w:jc w:val="both"/>
      </w:pPr>
    </w:p>
    <w:p w:rsidR="00E54BFA" w:rsidRPr="001863B1" w:rsidRDefault="00E54BFA" w:rsidP="00E54BFA">
      <w:pPr>
        <w:jc w:val="both"/>
        <w:rPr>
          <w:bCs/>
        </w:rPr>
      </w:pPr>
      <w:r w:rsidRPr="001863B1">
        <w:t>From proced</w:t>
      </w:r>
      <w:r w:rsidR="00DF17FF" w:rsidRPr="001863B1">
        <w:t xml:space="preserve">ure point of view, a node operating according to LBT </w:t>
      </w:r>
      <w:r w:rsidR="00303197">
        <w:t xml:space="preserve">rules </w:t>
      </w:r>
      <w:r w:rsidR="00715FAD" w:rsidRPr="001863B1">
        <w:t xml:space="preserve">performs </w:t>
      </w:r>
      <w:r w:rsidR="00DF17FF" w:rsidRPr="001863B1">
        <w:t xml:space="preserve">the following operations </w:t>
      </w:r>
      <w:r w:rsidR="00715FAD" w:rsidRPr="001863B1">
        <w:t>on</w:t>
      </w:r>
      <w:r w:rsidR="006B3724" w:rsidRPr="001863B1">
        <w:t xml:space="preserve"> </w:t>
      </w:r>
      <w:r w:rsidR="00715FAD" w:rsidRPr="001863B1">
        <w:t>unlicensed</w:t>
      </w:r>
      <w:r w:rsidR="0031292F" w:rsidRPr="001863B1">
        <w:t xml:space="preserve"> </w:t>
      </w:r>
      <w:r w:rsidR="006B3724" w:rsidRPr="001863B1">
        <w:t>spectrum</w:t>
      </w:r>
      <w:r w:rsidR="00DF17FF" w:rsidRPr="001863B1">
        <w:rPr>
          <w:bCs/>
        </w:rPr>
        <w:t>:</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Listening phase (Rx)</w:t>
      </w:r>
      <w:r w:rsidR="005F22BE" w:rsidRPr="001863B1">
        <w:rPr>
          <w:rFonts w:ascii="Times New Roman" w:hAnsi="Times New Roman" w:cs="Times New Roman"/>
          <w:sz w:val="20"/>
          <w:lang w:val="en-US"/>
        </w:rPr>
        <w:t xml:space="preserve"> </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Rx-</w:t>
      </w:r>
      <w:proofErr w:type="spellStart"/>
      <w:r w:rsidRPr="001863B1">
        <w:rPr>
          <w:rFonts w:ascii="Times New Roman" w:hAnsi="Times New Roman" w:cs="Times New Roman"/>
          <w:sz w:val="20"/>
          <w:lang w:val="en-US"/>
        </w:rPr>
        <w:t>Tx</w:t>
      </w:r>
      <w:proofErr w:type="spellEnd"/>
      <w:r w:rsidRPr="001863B1">
        <w:rPr>
          <w:rFonts w:ascii="Times New Roman" w:hAnsi="Times New Roman" w:cs="Times New Roman"/>
          <w:sz w:val="20"/>
          <w:lang w:val="en-US"/>
        </w:rPr>
        <w:t xml:space="preserve"> transition (GP)</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Transmission phase (</w:t>
      </w:r>
      <w:proofErr w:type="spellStart"/>
      <w:r w:rsidRPr="001863B1">
        <w:rPr>
          <w:rFonts w:ascii="Times New Roman" w:hAnsi="Times New Roman" w:cs="Times New Roman"/>
          <w:sz w:val="20"/>
          <w:lang w:val="en-US"/>
        </w:rPr>
        <w:t>Tx</w:t>
      </w:r>
      <w:proofErr w:type="spellEnd"/>
      <w:r w:rsidRPr="001863B1">
        <w:rPr>
          <w:rFonts w:ascii="Times New Roman" w:hAnsi="Times New Roman" w:cs="Times New Roman"/>
          <w:sz w:val="20"/>
          <w:lang w:val="en-US"/>
        </w:rPr>
        <w:t>)</w:t>
      </w:r>
    </w:p>
    <w:p w:rsidR="00DF17FF" w:rsidRPr="001863B1" w:rsidRDefault="00DF17FF" w:rsidP="00DF17FF">
      <w:pPr>
        <w:pStyle w:val="ListParagraph"/>
        <w:numPr>
          <w:ilvl w:val="0"/>
          <w:numId w:val="13"/>
        </w:numPr>
        <w:jc w:val="both"/>
        <w:rPr>
          <w:rFonts w:ascii="Times New Roman" w:hAnsi="Times New Roman" w:cs="Times New Roman"/>
          <w:sz w:val="20"/>
          <w:lang w:val="en-US"/>
        </w:rPr>
      </w:pPr>
      <w:proofErr w:type="spellStart"/>
      <w:r w:rsidRPr="001863B1">
        <w:rPr>
          <w:rFonts w:ascii="Times New Roman" w:hAnsi="Times New Roman" w:cs="Times New Roman"/>
          <w:sz w:val="20"/>
          <w:lang w:val="en-US"/>
        </w:rPr>
        <w:t>Tx</w:t>
      </w:r>
      <w:proofErr w:type="spellEnd"/>
      <w:r w:rsidRPr="001863B1">
        <w:rPr>
          <w:rFonts w:ascii="Times New Roman" w:hAnsi="Times New Roman" w:cs="Times New Roman"/>
          <w:sz w:val="20"/>
          <w:lang w:val="en-US"/>
        </w:rPr>
        <w:t>-Rx transition (GP)</w:t>
      </w:r>
    </w:p>
    <w:p w:rsidR="00DF17FF" w:rsidRDefault="00DF17FF" w:rsidP="00E54BFA">
      <w:pPr>
        <w:jc w:val="both"/>
        <w:rPr>
          <w:lang w:eastAsia="ko-KR"/>
        </w:rPr>
      </w:pPr>
      <w:r w:rsidRPr="001863B1">
        <w:lastRenderedPageBreak/>
        <w:t>It is noted that very similar operations are supported</w:t>
      </w:r>
      <w:r w:rsidR="005F22BE" w:rsidRPr="001863B1">
        <w:t xml:space="preserve"> already</w:t>
      </w:r>
      <w:r w:rsidRPr="001863B1">
        <w:t xml:space="preserve"> by Frame structure type 2 defined for LTE TDD.  </w:t>
      </w:r>
      <w:r w:rsidR="0031292F" w:rsidRPr="001863B1">
        <w:t>Furthermore</w:t>
      </w:r>
      <w:r w:rsidRPr="001863B1">
        <w:t>, i</w:t>
      </w:r>
      <w:r w:rsidR="00E54BFA" w:rsidRPr="001863B1">
        <w:t xml:space="preserve">t is stated in [1] that LAA </w:t>
      </w:r>
      <w:r w:rsidR="00E54BFA" w:rsidRPr="001863B1">
        <w:rPr>
          <w:lang w:eastAsia="ko-KR"/>
        </w:rPr>
        <w:t xml:space="preserve">enhancements should reuse the features of LTE as much as possible. </w:t>
      </w:r>
      <w:r w:rsidRPr="001863B1">
        <w:rPr>
          <w:lang w:eastAsia="ko-KR"/>
        </w:rPr>
        <w:t xml:space="preserve">Hence, it makes sense </w:t>
      </w:r>
      <w:r w:rsidR="005F22BE" w:rsidRPr="001863B1">
        <w:rPr>
          <w:lang w:eastAsia="ko-KR"/>
        </w:rPr>
        <w:t>to utilize</w:t>
      </w:r>
      <w:r w:rsidRPr="001863B1">
        <w:rPr>
          <w:lang w:eastAsia="ko-KR"/>
        </w:rPr>
        <w:t xml:space="preserve"> Frame structure type 2 and especially Special subframe </w:t>
      </w:r>
      <w:r w:rsidR="00A82A55">
        <w:rPr>
          <w:lang w:eastAsia="ko-KR"/>
        </w:rPr>
        <w:t xml:space="preserve">structure / </w:t>
      </w:r>
      <w:r w:rsidRPr="001863B1">
        <w:rPr>
          <w:lang w:eastAsia="ko-KR"/>
        </w:rPr>
        <w:t xml:space="preserve">functionality </w:t>
      </w:r>
      <w:r w:rsidR="005F22BE" w:rsidRPr="001863B1">
        <w:rPr>
          <w:lang w:eastAsia="ko-KR"/>
        </w:rPr>
        <w:t>as much as possible when constructin</w:t>
      </w:r>
      <w:r w:rsidR="00AC1A47" w:rsidRPr="001863B1">
        <w:rPr>
          <w:lang w:eastAsia="ko-KR"/>
        </w:rPr>
        <w:t>g</w:t>
      </w:r>
      <w:r w:rsidR="005F22BE" w:rsidRPr="001863B1">
        <w:rPr>
          <w:lang w:eastAsia="ko-KR"/>
        </w:rPr>
        <w:t xml:space="preserve"> </w:t>
      </w:r>
      <w:r w:rsidRPr="001863B1">
        <w:rPr>
          <w:lang w:eastAsia="ko-KR"/>
        </w:rPr>
        <w:t>LBT</w:t>
      </w:r>
      <w:r w:rsidR="005F22BE" w:rsidRPr="001863B1">
        <w:rPr>
          <w:lang w:eastAsia="ko-KR"/>
        </w:rPr>
        <w:t xml:space="preserve"> support for LTE</w:t>
      </w:r>
      <w:r w:rsidRPr="001863B1">
        <w:rPr>
          <w:lang w:eastAsia="ko-KR"/>
        </w:rPr>
        <w:t>.</w:t>
      </w:r>
    </w:p>
    <w:p w:rsidR="00DF17FF" w:rsidRPr="001863B1" w:rsidRDefault="00DF17FF" w:rsidP="00DF17FF">
      <w:pPr>
        <w:jc w:val="both"/>
        <w:rPr>
          <w:rFonts w:ascii="Arial" w:hAnsi="Arial" w:cs="Arial"/>
          <w:b/>
          <w:bCs/>
        </w:rPr>
      </w:pPr>
      <w:r w:rsidRPr="001863B1">
        <w:rPr>
          <w:rFonts w:ascii="Arial" w:hAnsi="Arial" w:cs="Arial"/>
          <w:b/>
          <w:bCs/>
        </w:rPr>
        <w:t xml:space="preserve">Proposal #1: </w:t>
      </w:r>
      <w:r w:rsidR="0031292F" w:rsidRPr="001863B1">
        <w:rPr>
          <w:rFonts w:ascii="Arial" w:hAnsi="Arial" w:cs="Arial"/>
          <w:b/>
          <w:bCs/>
        </w:rPr>
        <w:t xml:space="preserve">Frame structure type 2 building blocks </w:t>
      </w:r>
      <w:r w:rsidR="003E47A6">
        <w:rPr>
          <w:rFonts w:ascii="Arial" w:hAnsi="Arial" w:cs="Arial"/>
          <w:b/>
          <w:bCs/>
        </w:rPr>
        <w:t>can be</w:t>
      </w:r>
      <w:r w:rsidR="00E4044D" w:rsidRPr="001863B1">
        <w:rPr>
          <w:rFonts w:ascii="Arial" w:hAnsi="Arial" w:cs="Arial"/>
          <w:b/>
          <w:bCs/>
        </w:rPr>
        <w:t xml:space="preserve"> </w:t>
      </w:r>
      <w:r w:rsidR="0031292F" w:rsidRPr="001863B1">
        <w:rPr>
          <w:rFonts w:ascii="Arial" w:hAnsi="Arial" w:cs="Arial"/>
          <w:b/>
          <w:bCs/>
        </w:rPr>
        <w:t>used to facilitate LBT</w:t>
      </w:r>
      <w:r w:rsidRPr="001863B1">
        <w:rPr>
          <w:rFonts w:ascii="Arial" w:hAnsi="Arial" w:cs="Arial"/>
          <w:b/>
          <w:bCs/>
        </w:rPr>
        <w:t>.</w:t>
      </w:r>
      <w:r w:rsidR="00337258">
        <w:rPr>
          <w:rFonts w:ascii="Arial" w:hAnsi="Arial" w:cs="Arial"/>
          <w:b/>
          <w:bCs/>
        </w:rPr>
        <w:t xml:space="preserve"> </w:t>
      </w:r>
      <w:r w:rsidRPr="001863B1">
        <w:rPr>
          <w:rFonts w:ascii="Arial" w:hAnsi="Arial" w:cs="Arial"/>
          <w:b/>
          <w:bCs/>
        </w:rPr>
        <w:t xml:space="preserve"> </w:t>
      </w:r>
    </w:p>
    <w:p w:rsidR="00E4044D" w:rsidRDefault="00E4044D" w:rsidP="00E4044D">
      <w:pPr>
        <w:jc w:val="both"/>
        <w:rPr>
          <w:lang w:eastAsia="ko-KR"/>
        </w:rPr>
      </w:pPr>
      <w:r>
        <w:rPr>
          <w:lang w:eastAsia="ko-KR"/>
        </w:rPr>
        <w:t xml:space="preserve">Seven different UL-DL configurations with 5ms or 10 ms DL-to-UL Switch-point periodicity have been defined for Frame structure type 2. Taking into account regulatory limitations related to LBT (such as burst length) and the need for fully flexible UL-DL split, it can be noted that </w:t>
      </w:r>
      <w:r w:rsidR="00C8371D">
        <w:rPr>
          <w:lang w:eastAsia="ko-KR"/>
        </w:rPr>
        <w:t xml:space="preserve">the currently </w:t>
      </w:r>
      <w:r>
        <w:rPr>
          <w:lang w:eastAsia="ko-KR"/>
        </w:rPr>
        <w:t xml:space="preserve">available UL-DL configurations cannot facilitate efficient DL and UL resource usage in LTE LAA. Hence, there is a need for LTE LAA optimized Frame structure (see more details in Section 4).     </w:t>
      </w:r>
    </w:p>
    <w:p w:rsidR="00AE4762" w:rsidRDefault="00AE4762" w:rsidP="00AE4762">
      <w:pPr>
        <w:jc w:val="both"/>
        <w:rPr>
          <w:lang w:eastAsia="ko-KR"/>
        </w:rPr>
      </w:pPr>
      <w:r>
        <w:rPr>
          <w:rFonts w:ascii="Arial" w:hAnsi="Arial" w:cs="Arial"/>
          <w:b/>
          <w:bCs/>
        </w:rPr>
        <w:t xml:space="preserve">Observation </w:t>
      </w:r>
      <w:r w:rsidRPr="001863B1">
        <w:rPr>
          <w:rFonts w:ascii="Arial" w:hAnsi="Arial" w:cs="Arial"/>
          <w:b/>
          <w:bCs/>
        </w:rPr>
        <w:t>#</w:t>
      </w:r>
      <w:r>
        <w:rPr>
          <w:rFonts w:ascii="Arial" w:hAnsi="Arial" w:cs="Arial"/>
          <w:b/>
          <w:bCs/>
        </w:rPr>
        <w:t>2</w:t>
      </w:r>
      <w:r w:rsidRPr="001863B1">
        <w:rPr>
          <w:rFonts w:ascii="Arial" w:hAnsi="Arial" w:cs="Arial"/>
          <w:b/>
          <w:bCs/>
        </w:rPr>
        <w:t>:</w:t>
      </w:r>
      <w:r>
        <w:rPr>
          <w:rFonts w:ascii="Arial" w:hAnsi="Arial" w:cs="Arial"/>
          <w:b/>
          <w:bCs/>
        </w:rPr>
        <w:t xml:space="preserve"> Frame structure 2</w:t>
      </w:r>
      <w:r w:rsidR="00891F03">
        <w:rPr>
          <w:rFonts w:ascii="Arial" w:hAnsi="Arial" w:cs="Arial"/>
          <w:b/>
          <w:bCs/>
        </w:rPr>
        <w:t xml:space="preserve"> as such</w:t>
      </w:r>
      <w:r>
        <w:rPr>
          <w:rFonts w:ascii="Arial" w:hAnsi="Arial" w:cs="Arial"/>
          <w:b/>
          <w:bCs/>
        </w:rPr>
        <w:t xml:space="preserve"> </w:t>
      </w:r>
      <w:r w:rsidR="005A52AD">
        <w:rPr>
          <w:rFonts w:ascii="Arial" w:hAnsi="Arial" w:cs="Arial"/>
          <w:b/>
          <w:bCs/>
        </w:rPr>
        <w:t>is</w:t>
      </w:r>
      <w:r w:rsidR="00B64CD1">
        <w:rPr>
          <w:rFonts w:ascii="Arial" w:hAnsi="Arial" w:cs="Arial"/>
          <w:b/>
          <w:bCs/>
        </w:rPr>
        <w:t xml:space="preserve"> not a </w:t>
      </w:r>
      <w:r>
        <w:rPr>
          <w:rFonts w:ascii="Arial" w:hAnsi="Arial" w:cs="Arial"/>
          <w:b/>
          <w:bCs/>
        </w:rPr>
        <w:t>sufficient solution for LTE LAA UL-DL operation.</w:t>
      </w:r>
    </w:p>
    <w:p w:rsidR="00E4044D" w:rsidRPr="001863B1" w:rsidRDefault="00E4044D" w:rsidP="00E54BFA">
      <w:pPr>
        <w:jc w:val="both"/>
        <w:rPr>
          <w:lang w:eastAsia="ko-KR"/>
        </w:rPr>
      </w:pPr>
    </w:p>
    <w:p w:rsidR="00DF17FF" w:rsidRPr="001863B1" w:rsidRDefault="00DF17FF" w:rsidP="00DF17FF">
      <w:pPr>
        <w:pStyle w:val="TH"/>
      </w:pPr>
      <w:r w:rsidRPr="001863B1">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30.5pt" o:ole="">
            <v:imagedata r:id="rId8" o:title=""/>
          </v:shape>
          <o:OLEObject Type="Embed" ProgID="Visio.Drawing.11" ShapeID="_x0000_i1025" DrawAspect="Content" ObjectID="_1488013285" r:id="rId9"/>
        </w:object>
      </w:r>
    </w:p>
    <w:p w:rsidR="00DF17FF" w:rsidRPr="001863B1" w:rsidRDefault="00DF17FF" w:rsidP="00DF17FF">
      <w:pPr>
        <w:pStyle w:val="TF"/>
      </w:pPr>
      <w:proofErr w:type="gramStart"/>
      <w:r w:rsidRPr="001863B1">
        <w:t xml:space="preserve">Figure </w:t>
      </w:r>
      <w:r w:rsidR="009C2CBF" w:rsidRPr="001863B1">
        <w:fldChar w:fldCharType="begin"/>
      </w:r>
      <w:r w:rsidRPr="001863B1">
        <w:instrText xml:space="preserve"> SEQ Figure \* ARABIC </w:instrText>
      </w:r>
      <w:r w:rsidR="009C2CBF" w:rsidRPr="001863B1">
        <w:fldChar w:fldCharType="separate"/>
      </w:r>
      <w:r w:rsidR="00CD5A16">
        <w:rPr>
          <w:noProof/>
        </w:rPr>
        <w:t>1</w:t>
      </w:r>
      <w:r w:rsidR="009C2CBF" w:rsidRPr="001863B1">
        <w:fldChar w:fldCharType="end"/>
      </w:r>
      <w:r w:rsidRPr="001863B1">
        <w:t>.</w:t>
      </w:r>
      <w:proofErr w:type="gramEnd"/>
      <w:r w:rsidRPr="001863B1">
        <w:t xml:space="preserve"> Frame structure type 2 (from TS 36.211)</w:t>
      </w:r>
      <w:r w:rsidR="00222A1E" w:rsidRPr="001863B1">
        <w:t>.</w:t>
      </w:r>
      <w:r w:rsidRPr="001863B1">
        <w:t xml:space="preserve"> </w:t>
      </w:r>
    </w:p>
    <w:p w:rsidR="00F1581C" w:rsidRPr="001863B1" w:rsidRDefault="00F1581C" w:rsidP="00DF17FF">
      <w:pPr>
        <w:jc w:val="both"/>
        <w:rPr>
          <w:rFonts w:ascii="Arial" w:hAnsi="Arial" w:cs="Arial"/>
          <w:b/>
          <w:bCs/>
        </w:rPr>
      </w:pPr>
    </w:p>
    <w:p w:rsidR="000B7DD1" w:rsidRPr="001863B1" w:rsidRDefault="000B7DD1" w:rsidP="000B7DD1">
      <w:pPr>
        <w:pStyle w:val="Heading1"/>
        <w:rPr>
          <w:rFonts w:cs="Arial"/>
          <w:lang w:val="en-US" w:eastAsia="zh-CN"/>
        </w:rPr>
      </w:pPr>
      <w:r w:rsidRPr="001863B1">
        <w:rPr>
          <w:rFonts w:cs="Arial"/>
          <w:lang w:val="en-US" w:eastAsia="zh-CN"/>
        </w:rPr>
        <w:t xml:space="preserve">3. </w:t>
      </w:r>
      <w:r w:rsidR="00EA798C">
        <w:rPr>
          <w:rFonts w:cs="Arial"/>
          <w:lang w:val="en-US" w:eastAsia="zh-CN"/>
        </w:rPr>
        <w:t>Comparison of LBE and FBE rules for LTE LAA</w:t>
      </w:r>
    </w:p>
    <w:p w:rsidR="0090711D" w:rsidRPr="003A5A20" w:rsidRDefault="00EA798C" w:rsidP="0090711D">
      <w:pPr>
        <w:rPr>
          <w:rFonts w:cs="Arial"/>
        </w:rPr>
      </w:pPr>
      <w:r>
        <w:rPr>
          <w:bCs/>
        </w:rPr>
        <w:t>The ETSI regulatory rules for</w:t>
      </w:r>
      <w:r w:rsidRPr="001863B1">
        <w:rPr>
          <w:bCs/>
        </w:rPr>
        <w:t xml:space="preserve"> </w:t>
      </w:r>
      <w:r>
        <w:rPr>
          <w:bCs/>
        </w:rPr>
        <w:t xml:space="preserve">FBE and LBE have been defined e.g. </w:t>
      </w:r>
      <w:r w:rsidRPr="001863B1">
        <w:rPr>
          <w:bCs/>
        </w:rPr>
        <w:t>in [3]</w:t>
      </w:r>
      <w:r>
        <w:rPr>
          <w:bCs/>
        </w:rPr>
        <w:t xml:space="preserve">. The rules are summarized in [11]. </w:t>
      </w:r>
      <w:r w:rsidR="00565F3F">
        <w:rPr>
          <w:rFonts w:cs="Arial"/>
        </w:rPr>
        <w:t>When c</w:t>
      </w:r>
      <w:r w:rsidR="006D22C2">
        <w:rPr>
          <w:rFonts w:cs="Arial"/>
        </w:rPr>
        <w:t xml:space="preserve">omparing </w:t>
      </w:r>
      <w:r w:rsidR="004E2691" w:rsidRPr="004E2691">
        <w:rPr>
          <w:rFonts w:cs="Arial"/>
        </w:rPr>
        <w:t xml:space="preserve">FBE vs. LBE the following observations </w:t>
      </w:r>
      <w:r w:rsidR="006D22C2">
        <w:rPr>
          <w:rFonts w:cs="Arial"/>
        </w:rPr>
        <w:t>can be made</w:t>
      </w:r>
      <w:r w:rsidR="004E2691" w:rsidRPr="004E2691">
        <w:rPr>
          <w:rFonts w:cs="Arial"/>
        </w:rPr>
        <w:t xml:space="preserve"> [6]:</w:t>
      </w:r>
    </w:p>
    <w:p w:rsidR="0090711D" w:rsidRPr="0090711D" w:rsidRDefault="004E2691" w:rsidP="0090711D">
      <w:pPr>
        <w:spacing w:after="0"/>
        <w:jc w:val="both"/>
        <w:rPr>
          <w:b/>
        </w:rPr>
      </w:pPr>
      <w:r w:rsidRPr="004E2691">
        <w:rPr>
          <w:b/>
        </w:rPr>
        <w:t>Observations on Frame based Equipment (FBE) operation:</w:t>
      </w:r>
    </w:p>
    <w:p w:rsidR="0090711D" w:rsidRPr="0090711D" w:rsidRDefault="004E2691" w:rsidP="0090711D">
      <w:pPr>
        <w:numPr>
          <w:ilvl w:val="0"/>
          <w:numId w:val="22"/>
        </w:numPr>
        <w:spacing w:after="0"/>
        <w:jc w:val="both"/>
      </w:pPr>
      <w:r w:rsidRPr="004E2691">
        <w:t xml:space="preserve">Relying on a frame structure as given by frame based equipment operation </w:t>
      </w:r>
      <w:r w:rsidR="00834C57">
        <w:t>may</w:t>
      </w:r>
      <w:r w:rsidR="00834C57" w:rsidRPr="004E2691">
        <w:t xml:space="preserve"> </w:t>
      </w:r>
      <w:r w:rsidRPr="004E2691">
        <w:t>suit better the LTE frame thinking and the related carrier aggregation operation intended for LTE LAA.</w:t>
      </w:r>
    </w:p>
    <w:p w:rsidR="0090711D" w:rsidRPr="0090711D" w:rsidRDefault="004E2691" w:rsidP="0090711D">
      <w:pPr>
        <w:numPr>
          <w:ilvl w:val="0"/>
          <w:numId w:val="22"/>
        </w:numPr>
        <w:spacing w:after="0"/>
        <w:jc w:val="both"/>
      </w:pPr>
      <w:r w:rsidRPr="004E2691">
        <w:t xml:space="preserve">Operating FBE with a long fixed frame structure (e.g. 10ms) </w:t>
      </w:r>
      <w:r w:rsidR="00834C57">
        <w:t>may</w:t>
      </w:r>
      <w:r w:rsidR="00834C57" w:rsidRPr="004E2691">
        <w:t xml:space="preserve"> </w:t>
      </w:r>
      <w:r w:rsidRPr="004E2691">
        <w:t xml:space="preserve">result in a low chance </w:t>
      </w:r>
      <w:r w:rsidR="00A82A55">
        <w:t>of</w:t>
      </w:r>
      <w:r w:rsidRPr="004E2691">
        <w:t xml:space="preserve"> find</w:t>
      </w:r>
      <w:r w:rsidR="00A82A55">
        <w:t>ing</w:t>
      </w:r>
      <w:r w:rsidRPr="004E2691">
        <w:t xml:space="preserve"> the channel unoccupied (low channel utilization) when co-existing with some LBE on the same carrier.</w:t>
      </w:r>
    </w:p>
    <w:p w:rsidR="0090711D" w:rsidRPr="0090711D" w:rsidRDefault="004E2691" w:rsidP="0090711D">
      <w:pPr>
        <w:numPr>
          <w:ilvl w:val="0"/>
          <w:numId w:val="22"/>
        </w:numPr>
        <w:jc w:val="both"/>
      </w:pPr>
      <w:r w:rsidRPr="004E2691">
        <w:t xml:space="preserve">The fixed frame structure and corresponding fixed UL/DL split of FBE </w:t>
      </w:r>
      <w:r w:rsidR="00834C57">
        <w:t>may</w:t>
      </w:r>
      <w:r w:rsidR="00834C57" w:rsidRPr="004E2691">
        <w:t xml:space="preserve"> </w:t>
      </w:r>
      <w:r w:rsidRPr="004E2691">
        <w:t>result in lower performance compared to operation based on demand (load)-driven dynamic UL/DL resource split that LBE could enable.</w:t>
      </w:r>
    </w:p>
    <w:p w:rsidR="0090711D" w:rsidRPr="0090711D" w:rsidRDefault="004E2691" w:rsidP="0090711D">
      <w:pPr>
        <w:spacing w:after="0"/>
        <w:jc w:val="both"/>
        <w:rPr>
          <w:b/>
        </w:rPr>
      </w:pPr>
      <w:r w:rsidRPr="004E2691">
        <w:rPr>
          <w:b/>
        </w:rPr>
        <w:t>Observations on Load based Equipment (LBE) operation:</w:t>
      </w:r>
    </w:p>
    <w:p w:rsidR="0090711D" w:rsidRPr="0090711D" w:rsidRDefault="00834C57" w:rsidP="0090711D">
      <w:pPr>
        <w:numPr>
          <w:ilvl w:val="0"/>
          <w:numId w:val="23"/>
        </w:numPr>
        <w:spacing w:after="0"/>
        <w:jc w:val="both"/>
      </w:pPr>
      <w:r>
        <w:t>LBE may</w:t>
      </w:r>
      <w:r w:rsidRPr="004E2691">
        <w:t xml:space="preserve"> </w:t>
      </w:r>
      <w:r>
        <w:t>allow for</w:t>
      </w:r>
      <w:r w:rsidR="004E2691" w:rsidRPr="004E2691">
        <w:t xml:space="preserve"> higher channel utilization compared to FBE in terms of co-exist</w:t>
      </w:r>
      <w:r>
        <w:t>e</w:t>
      </w:r>
      <w:r w:rsidR="004E2691" w:rsidRPr="004E2691">
        <w:t>nce with other systems.</w:t>
      </w:r>
    </w:p>
    <w:p w:rsidR="0090711D" w:rsidRPr="0090711D" w:rsidRDefault="004E2691" w:rsidP="0090711D">
      <w:pPr>
        <w:numPr>
          <w:ilvl w:val="0"/>
          <w:numId w:val="23"/>
        </w:numPr>
        <w:spacing w:after="0"/>
        <w:jc w:val="both"/>
      </w:pPr>
      <w:r w:rsidRPr="004E2691">
        <w:t xml:space="preserve">Avoiding potential cross-link interference </w:t>
      </w:r>
      <w:r w:rsidR="00834C57">
        <w:t>may</w:t>
      </w:r>
      <w:r w:rsidR="00834C57" w:rsidRPr="004E2691">
        <w:t xml:space="preserve"> </w:t>
      </w:r>
      <w:r w:rsidRPr="004E2691">
        <w:t>be hard with fully uncoordinated LBE operation.</w:t>
      </w:r>
    </w:p>
    <w:p w:rsidR="0090711D" w:rsidRDefault="004E2691" w:rsidP="0090711D">
      <w:pPr>
        <w:numPr>
          <w:ilvl w:val="0"/>
          <w:numId w:val="23"/>
        </w:numPr>
        <w:spacing w:after="0"/>
        <w:jc w:val="both"/>
      </w:pPr>
      <w:r w:rsidRPr="004E2691">
        <w:t xml:space="preserve">Carrier aggregation </w:t>
      </w:r>
      <w:r w:rsidR="00E16056">
        <w:t>may</w:t>
      </w:r>
      <w:r w:rsidR="00E16056" w:rsidRPr="004E2691">
        <w:t xml:space="preserve"> </w:t>
      </w:r>
      <w:r w:rsidRPr="004E2691">
        <w:t>be hard to operate with fully uncoordinated LBE operation having no timing relations with the PCell at all.</w:t>
      </w:r>
    </w:p>
    <w:p w:rsidR="001E26A0" w:rsidRDefault="001E26A0">
      <w:pPr>
        <w:spacing w:after="0"/>
        <w:jc w:val="both"/>
      </w:pPr>
    </w:p>
    <w:p w:rsidR="001E26A0" w:rsidRDefault="001E26A0">
      <w:pPr>
        <w:spacing w:after="0"/>
        <w:jc w:val="both"/>
      </w:pPr>
    </w:p>
    <w:p w:rsidR="00EA798C" w:rsidRDefault="00EA798C" w:rsidP="00EA798C">
      <w:pPr>
        <w:pStyle w:val="ListParagraph"/>
        <w:ind w:left="0"/>
        <w:rPr>
          <w:rFonts w:ascii="Times New Roman" w:hAnsi="Times New Roman" w:cs="Times New Roman"/>
          <w:bCs/>
          <w:sz w:val="20"/>
          <w:szCs w:val="20"/>
          <w:lang w:val="en-US"/>
        </w:rPr>
      </w:pPr>
      <w:r w:rsidRPr="004E2691">
        <w:rPr>
          <w:rFonts w:ascii="Times New Roman" w:hAnsi="Times New Roman" w:cs="Times New Roman"/>
          <w:bCs/>
          <w:sz w:val="20"/>
          <w:szCs w:val="20"/>
          <w:lang w:val="en-US"/>
        </w:rPr>
        <w:t xml:space="preserve">When comparing LBE and FBE approaches for LTE LAA, it can be noted that </w:t>
      </w:r>
      <w:r w:rsidR="000139AC">
        <w:rPr>
          <w:rFonts w:ascii="Times New Roman" w:hAnsi="Times New Roman" w:cs="Times New Roman"/>
          <w:bCs/>
          <w:sz w:val="20"/>
          <w:szCs w:val="20"/>
          <w:lang w:val="en-US"/>
        </w:rPr>
        <w:t xml:space="preserve">operation according to rules defined for </w:t>
      </w:r>
      <w:r w:rsidRPr="004E2691">
        <w:rPr>
          <w:rFonts w:ascii="Times New Roman" w:hAnsi="Times New Roman" w:cs="Times New Roman"/>
          <w:bCs/>
          <w:sz w:val="20"/>
          <w:szCs w:val="20"/>
          <w:lang w:val="en-US"/>
        </w:rPr>
        <w:t>LBE is a good solution for D</w:t>
      </w:r>
      <w:r>
        <w:rPr>
          <w:rFonts w:ascii="Times New Roman" w:hAnsi="Times New Roman" w:cs="Times New Roman"/>
          <w:bCs/>
          <w:sz w:val="20"/>
          <w:szCs w:val="20"/>
          <w:lang w:val="en-US"/>
        </w:rPr>
        <w:t>L [9]:</w:t>
      </w:r>
    </w:p>
    <w:p w:rsidR="00EA798C" w:rsidRPr="0058041D" w:rsidRDefault="00EA798C" w:rsidP="00EA798C">
      <w:pPr>
        <w:pStyle w:val="ListParagraph"/>
        <w:numPr>
          <w:ilvl w:val="0"/>
          <w:numId w:val="29"/>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It </w:t>
      </w:r>
      <w:r w:rsidRPr="004E2691">
        <w:rPr>
          <w:rFonts w:ascii="Times New Roman" w:hAnsi="Times New Roman" w:cs="Times New Roman"/>
          <w:bCs/>
          <w:sz w:val="20"/>
          <w:szCs w:val="20"/>
          <w:lang w:val="en-US"/>
        </w:rPr>
        <w:t>maxim</w:t>
      </w:r>
      <w:r>
        <w:rPr>
          <w:rFonts w:ascii="Times New Roman" w:hAnsi="Times New Roman" w:cs="Times New Roman"/>
          <w:bCs/>
          <w:sz w:val="20"/>
          <w:szCs w:val="20"/>
          <w:lang w:val="en-US"/>
        </w:rPr>
        <w:t>izes the number of</w:t>
      </w:r>
      <w:r w:rsidRPr="004E2691">
        <w:rPr>
          <w:rFonts w:ascii="Times New Roman" w:hAnsi="Times New Roman" w:cs="Times New Roman"/>
          <w:bCs/>
          <w:sz w:val="20"/>
          <w:szCs w:val="20"/>
          <w:lang w:val="en-US"/>
        </w:rPr>
        <w:t xml:space="preserve"> opportunities for eNB to get the channel for DL operation</w:t>
      </w:r>
    </w:p>
    <w:p w:rsidR="00EA798C" w:rsidRPr="0058041D" w:rsidRDefault="00EA798C" w:rsidP="00EA798C">
      <w:pPr>
        <w:pStyle w:val="ListParagraph"/>
        <w:numPr>
          <w:ilvl w:val="0"/>
          <w:numId w:val="29"/>
        </w:numPr>
        <w:rPr>
          <w:rFonts w:ascii="Times New Roman" w:hAnsi="Times New Roman" w:cs="Times New Roman"/>
          <w:bCs/>
          <w:sz w:val="20"/>
          <w:szCs w:val="20"/>
          <w:lang w:val="en-US"/>
        </w:rPr>
      </w:pPr>
      <w:r w:rsidRPr="004E2691">
        <w:rPr>
          <w:rFonts w:ascii="Times New Roman" w:hAnsi="Times New Roman" w:cs="Times New Roman"/>
          <w:bCs/>
          <w:sz w:val="20"/>
          <w:szCs w:val="20"/>
          <w:lang w:val="en-US"/>
        </w:rPr>
        <w:t xml:space="preserve">LBE allows </w:t>
      </w:r>
      <w:r>
        <w:rPr>
          <w:rFonts w:ascii="Times New Roman" w:hAnsi="Times New Roman" w:cs="Times New Roman"/>
          <w:bCs/>
          <w:sz w:val="20"/>
          <w:szCs w:val="20"/>
          <w:lang w:val="en-US"/>
        </w:rPr>
        <w:t>for</w:t>
      </w:r>
      <w:r w:rsidRPr="004E2691">
        <w:rPr>
          <w:rFonts w:ascii="Times New Roman" w:hAnsi="Times New Roman" w:cs="Times New Roman"/>
          <w:bCs/>
          <w:sz w:val="20"/>
          <w:szCs w:val="20"/>
          <w:lang w:val="en-US"/>
        </w:rPr>
        <w:t xml:space="preserve"> maximize</w:t>
      </w:r>
      <w:r>
        <w:rPr>
          <w:rFonts w:ascii="Times New Roman" w:hAnsi="Times New Roman" w:cs="Times New Roman"/>
          <w:bCs/>
          <w:sz w:val="20"/>
          <w:szCs w:val="20"/>
          <w:lang w:val="en-US"/>
        </w:rPr>
        <w:t>d</w:t>
      </w:r>
      <w:r w:rsidRPr="004E2691">
        <w:rPr>
          <w:rFonts w:ascii="Times New Roman" w:hAnsi="Times New Roman" w:cs="Times New Roman"/>
          <w:bCs/>
          <w:sz w:val="20"/>
          <w:szCs w:val="20"/>
          <w:lang w:val="en-US"/>
        </w:rPr>
        <w:t xml:space="preserve"> DL throughput and minimize</w:t>
      </w:r>
      <w:r>
        <w:rPr>
          <w:rFonts w:ascii="Times New Roman" w:hAnsi="Times New Roman" w:cs="Times New Roman"/>
          <w:bCs/>
          <w:sz w:val="20"/>
          <w:szCs w:val="20"/>
          <w:lang w:val="en-US"/>
        </w:rPr>
        <w:t>d</w:t>
      </w:r>
      <w:r w:rsidRPr="004E2691">
        <w:rPr>
          <w:rFonts w:ascii="Times New Roman" w:hAnsi="Times New Roman" w:cs="Times New Roman"/>
          <w:bCs/>
          <w:sz w:val="20"/>
          <w:szCs w:val="20"/>
          <w:lang w:val="en-US"/>
        </w:rPr>
        <w:t xml:space="preserve"> scheduling delays </w:t>
      </w:r>
    </w:p>
    <w:p w:rsidR="00EA798C" w:rsidRPr="0058041D" w:rsidRDefault="00EA798C" w:rsidP="00EA798C">
      <w:pPr>
        <w:pStyle w:val="ListParagraph"/>
        <w:numPr>
          <w:ilvl w:val="0"/>
          <w:numId w:val="29"/>
        </w:numPr>
        <w:rPr>
          <w:rFonts w:ascii="Times New Roman" w:hAnsi="Times New Roman" w:cs="Times New Roman"/>
          <w:bCs/>
          <w:sz w:val="20"/>
          <w:szCs w:val="20"/>
          <w:lang w:val="en-US"/>
        </w:rPr>
      </w:pPr>
      <w:r>
        <w:rPr>
          <w:rFonts w:ascii="Times New Roman" w:hAnsi="Times New Roman" w:cs="Times New Roman"/>
          <w:bCs/>
          <w:sz w:val="20"/>
          <w:szCs w:val="20"/>
          <w:lang w:val="en-US"/>
        </w:rPr>
        <w:t>LBE</w:t>
      </w:r>
      <w:r w:rsidRPr="004E2691">
        <w:rPr>
          <w:rFonts w:ascii="Times New Roman" w:hAnsi="Times New Roman" w:cs="Times New Roman"/>
          <w:bCs/>
          <w:sz w:val="20"/>
          <w:szCs w:val="20"/>
          <w:lang w:val="en-US"/>
        </w:rPr>
        <w:t xml:space="preserve"> also provides fair coexistence e.g. with </w:t>
      </w:r>
      <w:proofErr w:type="spellStart"/>
      <w:r w:rsidRPr="004E2691">
        <w:rPr>
          <w:rFonts w:ascii="Times New Roman" w:hAnsi="Times New Roman" w:cs="Times New Roman"/>
          <w:bCs/>
          <w:sz w:val="20"/>
          <w:szCs w:val="20"/>
          <w:lang w:val="en-US"/>
        </w:rPr>
        <w:t>WiFi</w:t>
      </w:r>
      <w:proofErr w:type="spellEnd"/>
      <w:r>
        <w:rPr>
          <w:rFonts w:ascii="Times New Roman" w:hAnsi="Times New Roman" w:cs="Times New Roman"/>
          <w:bCs/>
          <w:sz w:val="20"/>
          <w:szCs w:val="20"/>
          <w:lang w:val="en-US"/>
        </w:rPr>
        <w:t>.</w:t>
      </w:r>
    </w:p>
    <w:p w:rsidR="00EA798C" w:rsidRDefault="00EA798C" w:rsidP="00EA798C">
      <w:pPr>
        <w:pStyle w:val="ListParagraph"/>
        <w:ind w:left="0"/>
        <w:rPr>
          <w:rFonts w:ascii="Times New Roman" w:hAnsi="Times New Roman" w:cs="Times New Roman"/>
          <w:bCs/>
          <w:sz w:val="20"/>
          <w:szCs w:val="20"/>
          <w:lang w:val="en-US"/>
        </w:rPr>
      </w:pPr>
    </w:p>
    <w:p w:rsidR="00EA798C" w:rsidRDefault="00EA798C" w:rsidP="00EA798C">
      <w:pPr>
        <w:pStyle w:val="ListParagraph"/>
        <w:ind w:left="0"/>
        <w:rPr>
          <w:rFonts w:ascii="Times New Roman" w:hAnsi="Times New Roman" w:cs="Times New Roman"/>
          <w:bCs/>
          <w:sz w:val="20"/>
          <w:szCs w:val="20"/>
          <w:lang w:val="en-US"/>
        </w:rPr>
      </w:pPr>
      <w:r w:rsidRPr="004E2691">
        <w:rPr>
          <w:rFonts w:ascii="Times New Roman" w:hAnsi="Times New Roman" w:cs="Times New Roman"/>
          <w:bCs/>
          <w:sz w:val="20"/>
          <w:szCs w:val="20"/>
          <w:lang w:val="en-US"/>
        </w:rPr>
        <w:lastRenderedPageBreak/>
        <w:t xml:space="preserve">On the other hand, </w:t>
      </w:r>
      <w:r>
        <w:rPr>
          <w:rFonts w:ascii="Times New Roman" w:hAnsi="Times New Roman" w:cs="Times New Roman"/>
          <w:bCs/>
          <w:sz w:val="20"/>
          <w:szCs w:val="20"/>
          <w:lang w:val="en-US"/>
        </w:rPr>
        <w:t xml:space="preserve">the </w:t>
      </w:r>
      <w:r w:rsidRPr="004E2691">
        <w:rPr>
          <w:rFonts w:ascii="Times New Roman" w:hAnsi="Times New Roman" w:cs="Times New Roman"/>
          <w:bCs/>
          <w:sz w:val="20"/>
          <w:szCs w:val="20"/>
          <w:lang w:val="en-US"/>
        </w:rPr>
        <w:t xml:space="preserve">UL scenario is quite different </w:t>
      </w:r>
      <w:r>
        <w:rPr>
          <w:rFonts w:ascii="Times New Roman" w:hAnsi="Times New Roman" w:cs="Times New Roman"/>
          <w:bCs/>
          <w:sz w:val="20"/>
          <w:szCs w:val="20"/>
          <w:lang w:val="en-US"/>
        </w:rPr>
        <w:t>compared to</w:t>
      </w:r>
      <w:r w:rsidRPr="004E2691">
        <w:rPr>
          <w:rFonts w:ascii="Times New Roman" w:hAnsi="Times New Roman" w:cs="Times New Roman"/>
          <w:bCs/>
          <w:sz w:val="20"/>
          <w:szCs w:val="20"/>
          <w:lang w:val="en-US"/>
        </w:rPr>
        <w:t xml:space="preserve"> DL. First of all, following </w:t>
      </w:r>
      <w:r>
        <w:rPr>
          <w:rFonts w:ascii="Times New Roman" w:hAnsi="Times New Roman" w:cs="Times New Roman"/>
          <w:bCs/>
          <w:sz w:val="20"/>
          <w:szCs w:val="20"/>
          <w:lang w:val="en-US"/>
        </w:rPr>
        <w:t xml:space="preserve">the </w:t>
      </w:r>
      <w:r w:rsidRPr="004E2691">
        <w:rPr>
          <w:rFonts w:ascii="Times New Roman" w:hAnsi="Times New Roman" w:cs="Times New Roman"/>
          <w:bCs/>
          <w:sz w:val="20"/>
          <w:szCs w:val="20"/>
          <w:lang w:val="en-US"/>
        </w:rPr>
        <w:t xml:space="preserve">current LTE UL operation, the UE can transmit only with the permission of the eNB. In order to </w:t>
      </w:r>
      <w:r w:rsidRPr="0058041D">
        <w:rPr>
          <w:rFonts w:ascii="Times New Roman" w:hAnsi="Times New Roman" w:cs="Times New Roman"/>
          <w:sz w:val="20"/>
          <w:szCs w:val="20"/>
          <w:lang w:val="en-US" w:eastAsia="ko-KR"/>
        </w:rPr>
        <w:t>reuse features of LTE as much as possible</w:t>
      </w:r>
      <w:r>
        <w:rPr>
          <w:rFonts w:ascii="Times New Roman" w:hAnsi="Times New Roman" w:cs="Times New Roman"/>
          <w:sz w:val="20"/>
          <w:szCs w:val="20"/>
          <w:lang w:val="en-US" w:eastAsia="ko-KR"/>
        </w:rPr>
        <w:t xml:space="preserve"> this principle should</w:t>
      </w:r>
      <w:r w:rsidRPr="004E2691">
        <w:rPr>
          <w:rFonts w:ascii="Times New Roman" w:hAnsi="Times New Roman" w:cs="Times New Roman"/>
          <w:bCs/>
          <w:sz w:val="20"/>
          <w:szCs w:val="20"/>
          <w:lang w:val="en-US"/>
        </w:rPr>
        <w:t xml:space="preserve"> be </w:t>
      </w:r>
      <w:r>
        <w:rPr>
          <w:rFonts w:ascii="Times New Roman" w:hAnsi="Times New Roman" w:cs="Times New Roman"/>
          <w:bCs/>
          <w:sz w:val="20"/>
          <w:szCs w:val="20"/>
          <w:lang w:val="en-US"/>
        </w:rPr>
        <w:t>maintained</w:t>
      </w:r>
      <w:r w:rsidRPr="004E2691">
        <w:rPr>
          <w:rFonts w:ascii="Times New Roman" w:hAnsi="Times New Roman" w:cs="Times New Roman"/>
          <w:bCs/>
          <w:sz w:val="20"/>
          <w:szCs w:val="20"/>
          <w:lang w:val="en-US"/>
        </w:rPr>
        <w:t xml:space="preserve"> also </w:t>
      </w:r>
      <w:r>
        <w:rPr>
          <w:rFonts w:ascii="Times New Roman" w:hAnsi="Times New Roman" w:cs="Times New Roman"/>
          <w:bCs/>
          <w:sz w:val="20"/>
          <w:szCs w:val="20"/>
          <w:lang w:val="en-US"/>
        </w:rPr>
        <w:t xml:space="preserve">with LTE LAA. </w:t>
      </w:r>
      <w:r w:rsidRPr="004E2691">
        <w:rPr>
          <w:rFonts w:ascii="Times New Roman" w:hAnsi="Times New Roman" w:cs="Times New Roman"/>
          <w:bCs/>
          <w:sz w:val="20"/>
          <w:szCs w:val="20"/>
          <w:lang w:val="en-US"/>
        </w:rPr>
        <w:t xml:space="preserve">Another fact is that </w:t>
      </w:r>
      <w:r>
        <w:rPr>
          <w:rFonts w:ascii="Times New Roman" w:hAnsi="Times New Roman" w:cs="Times New Roman"/>
          <w:bCs/>
          <w:sz w:val="20"/>
          <w:szCs w:val="20"/>
          <w:lang w:val="en-US"/>
        </w:rPr>
        <w:t>LBT/</w:t>
      </w:r>
      <w:r w:rsidRPr="004E2691">
        <w:rPr>
          <w:rFonts w:ascii="Times New Roman" w:hAnsi="Times New Roman" w:cs="Times New Roman"/>
          <w:bCs/>
          <w:sz w:val="20"/>
          <w:szCs w:val="20"/>
          <w:lang w:val="en-US"/>
        </w:rPr>
        <w:t xml:space="preserve">CCA must be synchronous </w:t>
      </w:r>
      <w:r>
        <w:rPr>
          <w:rFonts w:ascii="Times New Roman" w:hAnsi="Times New Roman" w:cs="Times New Roman"/>
          <w:bCs/>
          <w:sz w:val="20"/>
          <w:szCs w:val="20"/>
          <w:lang w:val="en-US"/>
        </w:rPr>
        <w:t>between UEs</w:t>
      </w:r>
      <w:r w:rsidRPr="004E2691">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frequency domain multiplexed</w:t>
      </w:r>
      <w:r w:rsidRPr="004E2691">
        <w:rPr>
          <w:rFonts w:ascii="Times New Roman" w:hAnsi="Times New Roman" w:cs="Times New Roman"/>
          <w:bCs/>
          <w:sz w:val="20"/>
          <w:szCs w:val="20"/>
          <w:lang w:val="en-US"/>
        </w:rPr>
        <w:t xml:space="preserve"> on the same </w:t>
      </w:r>
      <w:r>
        <w:rPr>
          <w:rFonts w:ascii="Times New Roman" w:hAnsi="Times New Roman" w:cs="Times New Roman"/>
          <w:bCs/>
          <w:sz w:val="20"/>
          <w:szCs w:val="20"/>
          <w:lang w:val="en-US"/>
        </w:rPr>
        <w:t>20MHz carrier</w:t>
      </w:r>
      <w:r w:rsidRPr="004E2691">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Otherwise</w:t>
      </w:r>
      <w:r w:rsidRPr="004E2691">
        <w:rPr>
          <w:rFonts w:ascii="Times New Roman" w:hAnsi="Times New Roman" w:cs="Times New Roman"/>
          <w:bCs/>
          <w:sz w:val="20"/>
          <w:szCs w:val="20"/>
          <w:lang w:val="en-US"/>
        </w:rPr>
        <w:t xml:space="preserve">, the first UE </w:t>
      </w:r>
      <w:r>
        <w:rPr>
          <w:rFonts w:ascii="Times New Roman" w:hAnsi="Times New Roman" w:cs="Times New Roman"/>
          <w:bCs/>
          <w:sz w:val="20"/>
          <w:szCs w:val="20"/>
          <w:lang w:val="en-US"/>
        </w:rPr>
        <w:t>would</w:t>
      </w:r>
      <w:r w:rsidRPr="004E2691">
        <w:rPr>
          <w:rFonts w:ascii="Times New Roman" w:hAnsi="Times New Roman" w:cs="Times New Roman"/>
          <w:bCs/>
          <w:sz w:val="20"/>
          <w:szCs w:val="20"/>
          <w:lang w:val="en-US"/>
        </w:rPr>
        <w:t xml:space="preserve"> reserve th</w:t>
      </w:r>
      <w:r>
        <w:rPr>
          <w:rFonts w:ascii="Times New Roman" w:hAnsi="Times New Roman" w:cs="Times New Roman"/>
          <w:bCs/>
          <w:sz w:val="20"/>
          <w:szCs w:val="20"/>
          <w:lang w:val="en-US"/>
        </w:rPr>
        <w:t>e operating channel</w:t>
      </w:r>
      <w:r w:rsidRPr="004E2691">
        <w:rPr>
          <w:rFonts w:ascii="Times New Roman" w:hAnsi="Times New Roman" w:cs="Times New Roman"/>
          <w:bCs/>
          <w:sz w:val="20"/>
          <w:szCs w:val="20"/>
          <w:lang w:val="en-US"/>
        </w:rPr>
        <w:t xml:space="preserve"> and the other UEs </w:t>
      </w:r>
      <w:r>
        <w:rPr>
          <w:rFonts w:ascii="Times New Roman" w:hAnsi="Times New Roman" w:cs="Times New Roman"/>
          <w:bCs/>
          <w:sz w:val="20"/>
          <w:szCs w:val="20"/>
          <w:lang w:val="en-US"/>
        </w:rPr>
        <w:t>would</w:t>
      </w:r>
      <w:r w:rsidRPr="004E2691">
        <w:rPr>
          <w:rFonts w:ascii="Times New Roman" w:hAnsi="Times New Roman" w:cs="Times New Roman"/>
          <w:bCs/>
          <w:sz w:val="20"/>
          <w:szCs w:val="20"/>
          <w:lang w:val="en-US"/>
        </w:rPr>
        <w:t xml:space="preserve"> see </w:t>
      </w:r>
      <w:r>
        <w:rPr>
          <w:rFonts w:ascii="Times New Roman" w:hAnsi="Times New Roman" w:cs="Times New Roman"/>
          <w:bCs/>
          <w:sz w:val="20"/>
          <w:szCs w:val="20"/>
          <w:lang w:val="en-US"/>
        </w:rPr>
        <w:t>it as</w:t>
      </w:r>
      <w:r w:rsidRPr="004E2691">
        <w:rPr>
          <w:rFonts w:ascii="Times New Roman" w:hAnsi="Times New Roman" w:cs="Times New Roman"/>
          <w:bCs/>
          <w:sz w:val="20"/>
          <w:szCs w:val="20"/>
          <w:lang w:val="en-US"/>
        </w:rPr>
        <w:t xml:space="preserve"> occupied</w:t>
      </w:r>
      <w:r>
        <w:rPr>
          <w:rFonts w:ascii="Times New Roman" w:hAnsi="Times New Roman" w:cs="Times New Roman"/>
          <w:bCs/>
          <w:sz w:val="20"/>
          <w:szCs w:val="20"/>
          <w:lang w:val="en-US"/>
        </w:rPr>
        <w:t>, which would basically prevent any FDMA of LAA UEs in UL</w:t>
      </w:r>
      <w:r w:rsidRPr="004E2691">
        <w:rPr>
          <w:rFonts w:ascii="Times New Roman" w:hAnsi="Times New Roman" w:cs="Times New Roman"/>
          <w:bCs/>
          <w:sz w:val="20"/>
          <w:szCs w:val="20"/>
          <w:lang w:val="en-US"/>
        </w:rPr>
        <w:t>.</w:t>
      </w:r>
      <w:r>
        <w:rPr>
          <w:rFonts w:ascii="Times New Roman" w:hAnsi="Times New Roman" w:cs="Times New Roman"/>
          <w:bCs/>
          <w:sz w:val="20"/>
          <w:szCs w:val="20"/>
          <w:lang w:val="en-US"/>
        </w:rPr>
        <w:t xml:space="preserve"> The third aspect is that FBE operation facilitates good interference coordination within LTE LAA network since it allows for synchronizing UL transmissions also between neighboring synchronized cells. Based on these arguments we make the following proposal</w:t>
      </w:r>
      <w:r w:rsidR="00276EB7">
        <w:rPr>
          <w:rFonts w:ascii="Times New Roman" w:hAnsi="Times New Roman" w:cs="Times New Roman"/>
          <w:bCs/>
          <w:sz w:val="20"/>
          <w:szCs w:val="20"/>
          <w:lang w:val="en-US"/>
        </w:rPr>
        <w:t>s</w:t>
      </w:r>
      <w:r>
        <w:rPr>
          <w:rFonts w:ascii="Times New Roman" w:hAnsi="Times New Roman" w:cs="Times New Roman"/>
          <w:bCs/>
          <w:sz w:val="20"/>
          <w:szCs w:val="20"/>
          <w:lang w:val="en-US"/>
        </w:rPr>
        <w:t>:</w:t>
      </w:r>
    </w:p>
    <w:p w:rsidR="00EA798C" w:rsidRPr="000E1492" w:rsidRDefault="00EA798C" w:rsidP="00EA798C">
      <w:pPr>
        <w:jc w:val="both"/>
        <w:rPr>
          <w:rFonts w:ascii="Arial" w:hAnsi="Arial" w:cs="Arial"/>
          <w:b/>
          <w:bCs/>
        </w:rPr>
      </w:pPr>
      <w:r w:rsidRPr="000E1492">
        <w:rPr>
          <w:rFonts w:ascii="Arial" w:hAnsi="Arial" w:cs="Arial"/>
          <w:b/>
          <w:bCs/>
        </w:rPr>
        <w:t>Proposal #</w:t>
      </w:r>
      <w:r w:rsidR="00E322B6">
        <w:rPr>
          <w:rFonts w:ascii="Arial" w:hAnsi="Arial" w:cs="Arial"/>
          <w:b/>
          <w:bCs/>
        </w:rPr>
        <w:t>2</w:t>
      </w:r>
      <w:r w:rsidRPr="000E1492">
        <w:rPr>
          <w:rFonts w:ascii="Arial" w:hAnsi="Arial" w:cs="Arial"/>
          <w:b/>
          <w:bCs/>
        </w:rPr>
        <w:t xml:space="preserve">: </w:t>
      </w:r>
      <w:r w:rsidR="003E47A6" w:rsidRPr="003E47A6">
        <w:rPr>
          <w:rFonts w:ascii="Arial" w:hAnsi="Arial" w:cs="Arial"/>
          <w:b/>
          <w:bCs/>
        </w:rPr>
        <w:t>Frame Based Equipment operation according to ETSI rules should be considered as a baseline for LTE LAA Uplink operation.</w:t>
      </w:r>
    </w:p>
    <w:p w:rsidR="00EA798C" w:rsidRDefault="00EA798C" w:rsidP="00EA798C">
      <w:pPr>
        <w:jc w:val="both"/>
        <w:rPr>
          <w:rFonts w:ascii="Arial" w:hAnsi="Arial" w:cs="Arial"/>
          <w:b/>
          <w:bCs/>
        </w:rPr>
      </w:pPr>
      <w:r w:rsidRPr="000E1492">
        <w:rPr>
          <w:rFonts w:ascii="Arial" w:hAnsi="Arial" w:cs="Arial"/>
          <w:b/>
          <w:bCs/>
        </w:rPr>
        <w:t>Proposal #</w:t>
      </w:r>
      <w:r w:rsidR="00E322B6">
        <w:rPr>
          <w:rFonts w:ascii="Arial" w:hAnsi="Arial" w:cs="Arial"/>
          <w:b/>
          <w:bCs/>
        </w:rPr>
        <w:t>3</w:t>
      </w:r>
      <w:r w:rsidRPr="000E1492">
        <w:rPr>
          <w:rFonts w:ascii="Arial" w:hAnsi="Arial" w:cs="Arial"/>
          <w:b/>
          <w:bCs/>
        </w:rPr>
        <w:t xml:space="preserve">: </w:t>
      </w:r>
      <w:r w:rsidR="003E47A6">
        <w:rPr>
          <w:rFonts w:ascii="Arial" w:hAnsi="Arial" w:cs="Arial"/>
          <w:b/>
          <w:bCs/>
        </w:rPr>
        <w:t>Load</w:t>
      </w:r>
      <w:r w:rsidR="003E47A6" w:rsidRPr="003E47A6">
        <w:rPr>
          <w:rFonts w:ascii="Arial" w:hAnsi="Arial" w:cs="Arial"/>
          <w:b/>
          <w:bCs/>
        </w:rPr>
        <w:t xml:space="preserve"> Based Equipment operation according to ETSI rules should be considered as a baseline for LTE LAA </w:t>
      </w:r>
      <w:r w:rsidR="003E47A6">
        <w:rPr>
          <w:rFonts w:ascii="Arial" w:hAnsi="Arial" w:cs="Arial"/>
          <w:b/>
          <w:bCs/>
        </w:rPr>
        <w:t>Downlink</w:t>
      </w:r>
      <w:r w:rsidR="003E47A6" w:rsidRPr="003E47A6">
        <w:rPr>
          <w:rFonts w:ascii="Arial" w:hAnsi="Arial" w:cs="Arial"/>
          <w:b/>
          <w:bCs/>
        </w:rPr>
        <w:t xml:space="preserve"> operation.</w:t>
      </w:r>
      <w:r w:rsidR="003E47A6" w:rsidRPr="000E1492" w:rsidDel="003E47A6">
        <w:rPr>
          <w:rFonts w:ascii="Arial" w:hAnsi="Arial" w:cs="Arial"/>
          <w:b/>
          <w:bCs/>
        </w:rPr>
        <w:t xml:space="preserve"> </w:t>
      </w:r>
    </w:p>
    <w:p w:rsidR="00EA798C" w:rsidRPr="000E1492" w:rsidRDefault="00EA798C" w:rsidP="00EA798C">
      <w:pPr>
        <w:jc w:val="both"/>
        <w:rPr>
          <w:rFonts w:ascii="Arial" w:hAnsi="Arial" w:cs="Arial"/>
          <w:b/>
          <w:bCs/>
        </w:rPr>
      </w:pPr>
    </w:p>
    <w:p w:rsidR="00601DE4" w:rsidRPr="001863B1" w:rsidRDefault="00687AAE" w:rsidP="00601DE4">
      <w:pPr>
        <w:pStyle w:val="Heading1"/>
        <w:rPr>
          <w:rFonts w:cs="Arial"/>
          <w:lang w:val="en-US" w:eastAsia="zh-CN"/>
        </w:rPr>
      </w:pPr>
      <w:r>
        <w:rPr>
          <w:rFonts w:cs="Arial"/>
          <w:lang w:val="en-US" w:eastAsia="zh-CN"/>
        </w:rPr>
        <w:t>4</w:t>
      </w:r>
      <w:r w:rsidR="00601DE4" w:rsidRPr="001863B1">
        <w:rPr>
          <w:rFonts w:cs="Arial"/>
          <w:lang w:val="en-US" w:eastAsia="zh-CN"/>
        </w:rPr>
        <w:t xml:space="preserve">. </w:t>
      </w:r>
      <w:r w:rsidR="0090711D">
        <w:rPr>
          <w:rFonts w:cs="Arial"/>
          <w:lang w:val="en-US" w:eastAsia="zh-CN"/>
        </w:rPr>
        <w:t xml:space="preserve">LBT for </w:t>
      </w:r>
      <w:r w:rsidR="00964543">
        <w:rPr>
          <w:rFonts w:cs="Arial"/>
          <w:lang w:val="en-US" w:eastAsia="zh-CN"/>
        </w:rPr>
        <w:t xml:space="preserve">LTE </w:t>
      </w:r>
      <w:r w:rsidR="0090711D">
        <w:rPr>
          <w:rFonts w:cs="Arial"/>
          <w:lang w:val="en-US" w:eastAsia="zh-CN"/>
        </w:rPr>
        <w:t>LAA</w:t>
      </w:r>
    </w:p>
    <w:p w:rsidR="001E26A0" w:rsidRDefault="0058041D">
      <w:pPr>
        <w:jc w:val="both"/>
      </w:pPr>
      <w:r>
        <w:t>In the following we depict the LTE LAA operation where UL operation is based on</w:t>
      </w:r>
      <w:r w:rsidR="003A5A20">
        <w:t xml:space="preserve"> ETSI</w:t>
      </w:r>
      <w:r>
        <w:t xml:space="preserve"> rules defined for FBE and DL operation </w:t>
      </w:r>
      <w:r w:rsidR="00E16056">
        <w:t xml:space="preserve">is </w:t>
      </w:r>
      <w:r>
        <w:t xml:space="preserve">based </w:t>
      </w:r>
      <w:r w:rsidR="003A5A20">
        <w:t>ET</w:t>
      </w:r>
      <w:r w:rsidR="006055AD">
        <w:t>SI</w:t>
      </w:r>
      <w:r w:rsidR="003A5A20">
        <w:t xml:space="preserve"> </w:t>
      </w:r>
      <w:r>
        <w:t>on rules defined for LBE, respectively.</w:t>
      </w:r>
    </w:p>
    <w:p w:rsidR="006E1C89" w:rsidRDefault="00693153" w:rsidP="006E1C89">
      <w:pPr>
        <w:rPr>
          <w:b/>
          <w:u w:val="single"/>
        </w:rPr>
      </w:pPr>
      <w:r>
        <w:rPr>
          <w:b/>
          <w:u w:val="single"/>
        </w:rPr>
        <w:t>UL operation based on FBE</w:t>
      </w:r>
    </w:p>
    <w:p w:rsidR="009623F3" w:rsidRDefault="009623F3" w:rsidP="00FB68B0">
      <w:r>
        <w:t xml:space="preserve">Figure </w:t>
      </w:r>
      <w:r w:rsidR="003A25CC">
        <w:t xml:space="preserve">2 </w:t>
      </w:r>
      <w:r>
        <w:t xml:space="preserve">shows the </w:t>
      </w:r>
      <w:r w:rsidR="002074EB">
        <w:t>FBE</w:t>
      </w:r>
      <w:r>
        <w:t xml:space="preserve"> operation</w:t>
      </w:r>
      <w:r w:rsidR="002074EB">
        <w:t xml:space="preserve"> principle</w:t>
      </w:r>
      <w:r>
        <w:t xml:space="preserve"> for LAA UL. LTE TDD with UL-DL configuration #3</w:t>
      </w:r>
      <w:r w:rsidR="00BD6DFF">
        <w:t xml:space="preserve"> </w:t>
      </w:r>
      <w:r>
        <w:t>is used as a reference</w:t>
      </w:r>
      <w:r w:rsidR="00BD6DFF">
        <w:t xml:space="preserve">.  </w:t>
      </w:r>
    </w:p>
    <w:p w:rsidR="00E121BF" w:rsidRPr="00E121BF" w:rsidRDefault="00F65027" w:rsidP="00FB68B0">
      <w:pPr>
        <w:pStyle w:val="ListParagraph"/>
        <w:numPr>
          <w:ilvl w:val="0"/>
          <w:numId w:val="17"/>
        </w:numPr>
        <w:rPr>
          <w:rFonts w:ascii="Times New Roman" w:hAnsi="Times New Roman" w:cs="Times New Roman"/>
          <w:sz w:val="20"/>
          <w:lang w:val="en-US"/>
        </w:rPr>
      </w:pPr>
      <w:r>
        <w:rPr>
          <w:rFonts w:ascii="Times New Roman" w:hAnsi="Times New Roman" w:cs="Times New Roman"/>
          <w:sz w:val="20"/>
          <w:lang w:val="en-US"/>
        </w:rPr>
        <w:t>UE</w:t>
      </w:r>
      <w:r w:rsidR="00B15526">
        <w:rPr>
          <w:rFonts w:ascii="Times New Roman" w:hAnsi="Times New Roman" w:cs="Times New Roman"/>
          <w:sz w:val="20"/>
          <w:lang w:val="en-US"/>
        </w:rPr>
        <w:t xml:space="preserve"> transmissions</w:t>
      </w:r>
      <w:r>
        <w:rPr>
          <w:rFonts w:ascii="Times New Roman" w:hAnsi="Times New Roman" w:cs="Times New Roman"/>
          <w:sz w:val="20"/>
          <w:lang w:val="en-US"/>
        </w:rPr>
        <w:t xml:space="preserve"> follows rules </w:t>
      </w:r>
      <w:r w:rsidR="009623F3">
        <w:rPr>
          <w:rFonts w:ascii="Times New Roman" w:hAnsi="Times New Roman" w:cs="Times New Roman"/>
          <w:sz w:val="20"/>
          <w:lang w:val="en-US"/>
        </w:rPr>
        <w:t>defined for FBE</w:t>
      </w:r>
      <w:r w:rsidR="00E121BF">
        <w:rPr>
          <w:rFonts w:ascii="Times New Roman" w:hAnsi="Times New Roman" w:cs="Times New Roman"/>
          <w:sz w:val="20"/>
          <w:lang w:val="en-US"/>
        </w:rPr>
        <w:t>:</w:t>
      </w:r>
    </w:p>
    <w:p w:rsidR="00E50380" w:rsidRDefault="004E2691">
      <w:pPr>
        <w:pStyle w:val="ListParagraph"/>
        <w:numPr>
          <w:ilvl w:val="1"/>
          <w:numId w:val="17"/>
        </w:numPr>
        <w:rPr>
          <w:rFonts w:ascii="Times New Roman" w:hAnsi="Times New Roman" w:cs="Times New Roman"/>
          <w:sz w:val="20"/>
          <w:szCs w:val="20"/>
          <w:lang w:val="en-US"/>
        </w:rPr>
      </w:pPr>
      <w:r w:rsidRPr="004E2691">
        <w:rPr>
          <w:rFonts w:ascii="Times New Roman" w:hAnsi="Times New Roman" w:cs="Times New Roman"/>
          <w:sz w:val="20"/>
          <w:szCs w:val="20"/>
        </w:rPr>
        <w:t>Fixed Frame Period is set to be 10 ms</w:t>
      </w:r>
      <w:r w:rsidR="008F6203">
        <w:rPr>
          <w:rFonts w:ascii="Times New Roman" w:hAnsi="Times New Roman" w:cs="Times New Roman"/>
          <w:sz w:val="20"/>
          <w:szCs w:val="20"/>
        </w:rPr>
        <w:t xml:space="preserve"> (i.e. 10 subframe</w:t>
      </w:r>
      <w:r w:rsidR="007E5A51">
        <w:rPr>
          <w:rFonts w:ascii="Times New Roman" w:hAnsi="Times New Roman" w:cs="Times New Roman"/>
          <w:sz w:val="20"/>
          <w:szCs w:val="20"/>
        </w:rPr>
        <w:t>s</w:t>
      </w:r>
      <w:r w:rsidR="008F6203">
        <w:rPr>
          <w:rFonts w:ascii="Times New Roman" w:hAnsi="Times New Roman" w:cs="Times New Roman"/>
          <w:sz w:val="20"/>
          <w:szCs w:val="20"/>
        </w:rPr>
        <w:t>)</w:t>
      </w:r>
      <w:r w:rsidR="00F65027">
        <w:rPr>
          <w:rFonts w:ascii="Times New Roman" w:hAnsi="Times New Roman" w:cs="Times New Roman"/>
          <w:sz w:val="20"/>
          <w:szCs w:val="20"/>
        </w:rPr>
        <w:t xml:space="preserve"> in the current example</w:t>
      </w:r>
    </w:p>
    <w:p w:rsidR="00E50380" w:rsidRPr="00E50380" w:rsidRDefault="007E5A51">
      <w:pPr>
        <w:pStyle w:val="ListParagraph"/>
        <w:numPr>
          <w:ilvl w:val="1"/>
          <w:numId w:val="17"/>
        </w:numPr>
        <w:rPr>
          <w:lang w:val="en-US"/>
        </w:rPr>
      </w:pPr>
      <w:r>
        <w:rPr>
          <w:rFonts w:ascii="Times New Roman" w:hAnsi="Times New Roman" w:cs="Times New Roman"/>
          <w:sz w:val="20"/>
          <w:lang w:val="en-US"/>
        </w:rPr>
        <w:t xml:space="preserve">Maximum </w:t>
      </w:r>
      <w:r w:rsidR="00FB68B0" w:rsidRPr="001863B1">
        <w:rPr>
          <w:rFonts w:ascii="Times New Roman" w:hAnsi="Times New Roman" w:cs="Times New Roman"/>
          <w:sz w:val="20"/>
          <w:lang w:val="en-US"/>
        </w:rPr>
        <w:t xml:space="preserve">Channel Occupancy Time </w:t>
      </w:r>
      <w:r>
        <w:rPr>
          <w:rFonts w:ascii="Times New Roman" w:hAnsi="Times New Roman" w:cs="Times New Roman"/>
          <w:sz w:val="20"/>
          <w:lang w:val="en-US"/>
        </w:rPr>
        <w:t>includes</w:t>
      </w:r>
      <w:r w:rsidRPr="001863B1">
        <w:rPr>
          <w:rFonts w:ascii="Times New Roman" w:hAnsi="Times New Roman" w:cs="Times New Roman"/>
          <w:sz w:val="20"/>
          <w:lang w:val="en-US"/>
        </w:rPr>
        <w:t xml:space="preserve"> </w:t>
      </w:r>
      <w:r w:rsidR="00FB68B0" w:rsidRPr="001863B1">
        <w:rPr>
          <w:rFonts w:ascii="Times New Roman" w:hAnsi="Times New Roman" w:cs="Times New Roman"/>
          <w:sz w:val="20"/>
          <w:lang w:val="en-US"/>
        </w:rPr>
        <w:t>of 9</w:t>
      </w:r>
      <w:r w:rsidR="00FB68B0">
        <w:rPr>
          <w:rFonts w:ascii="Times New Roman" w:hAnsi="Times New Roman" w:cs="Times New Roman"/>
          <w:sz w:val="20"/>
          <w:lang w:val="en-US"/>
        </w:rPr>
        <w:t xml:space="preserve"> full</w:t>
      </w:r>
      <w:r w:rsidR="00FB68B0" w:rsidRPr="001863B1">
        <w:rPr>
          <w:rFonts w:ascii="Times New Roman" w:hAnsi="Times New Roman" w:cs="Times New Roman"/>
          <w:sz w:val="20"/>
          <w:lang w:val="en-US"/>
        </w:rPr>
        <w:t xml:space="preserve"> subframes + 1 </w:t>
      </w:r>
      <w:r w:rsidR="008F6203">
        <w:rPr>
          <w:rFonts w:ascii="Times New Roman" w:hAnsi="Times New Roman" w:cs="Times New Roman"/>
          <w:sz w:val="20"/>
          <w:lang w:val="en-US"/>
        </w:rPr>
        <w:t xml:space="preserve">fractional subframe (similar to </w:t>
      </w:r>
      <w:r w:rsidR="00FB68B0" w:rsidRPr="001863B1">
        <w:rPr>
          <w:rFonts w:ascii="Times New Roman" w:hAnsi="Times New Roman" w:cs="Times New Roman"/>
          <w:sz w:val="20"/>
          <w:lang w:val="en-US"/>
        </w:rPr>
        <w:t xml:space="preserve">DwPTS block </w:t>
      </w:r>
      <w:r w:rsidR="008F6203">
        <w:rPr>
          <w:rFonts w:ascii="Times New Roman" w:hAnsi="Times New Roman" w:cs="Times New Roman"/>
          <w:sz w:val="20"/>
          <w:lang w:val="en-US"/>
        </w:rPr>
        <w:t>but in the UL</w:t>
      </w:r>
      <w:r>
        <w:rPr>
          <w:rFonts w:ascii="Times New Roman" w:hAnsi="Times New Roman" w:cs="Times New Roman"/>
          <w:sz w:val="20"/>
          <w:lang w:val="en-US"/>
        </w:rPr>
        <w:t>)</w:t>
      </w:r>
      <w:r w:rsidR="008F6203">
        <w:rPr>
          <w:rFonts w:ascii="Times New Roman" w:hAnsi="Times New Roman" w:cs="Times New Roman"/>
          <w:sz w:val="20"/>
          <w:lang w:val="en-US"/>
        </w:rPr>
        <w:t xml:space="preserve"> </w:t>
      </w:r>
      <w:r w:rsidR="00FB68B0" w:rsidRPr="001863B1">
        <w:rPr>
          <w:rFonts w:ascii="Times New Roman" w:hAnsi="Times New Roman" w:cs="Times New Roman"/>
          <w:sz w:val="20"/>
          <w:lang w:val="en-US"/>
        </w:rPr>
        <w:t xml:space="preserve">with 7 </w:t>
      </w:r>
      <w:r w:rsidR="008F6203">
        <w:rPr>
          <w:rFonts w:ascii="Times New Roman" w:hAnsi="Times New Roman" w:cs="Times New Roman"/>
          <w:sz w:val="20"/>
          <w:lang w:val="en-US"/>
        </w:rPr>
        <w:t>SC-</w:t>
      </w:r>
      <w:r w:rsidR="008F6203" w:rsidRPr="001863B1">
        <w:rPr>
          <w:rFonts w:ascii="Times New Roman" w:hAnsi="Times New Roman" w:cs="Times New Roman"/>
          <w:sz w:val="20"/>
          <w:lang w:val="en-US"/>
        </w:rPr>
        <w:t xml:space="preserve">FDMA </w:t>
      </w:r>
      <w:r w:rsidR="00FB68B0" w:rsidRPr="001863B1">
        <w:rPr>
          <w:rFonts w:ascii="Times New Roman" w:hAnsi="Times New Roman" w:cs="Times New Roman"/>
          <w:sz w:val="20"/>
          <w:lang w:val="en-US"/>
        </w:rPr>
        <w:t>symbols</w:t>
      </w:r>
    </w:p>
    <w:p w:rsidR="00E50380" w:rsidRDefault="00F65027">
      <w:pPr>
        <w:pStyle w:val="ListParagraph"/>
        <w:numPr>
          <w:ilvl w:val="1"/>
          <w:numId w:val="17"/>
        </w:numPr>
        <w:rPr>
          <w:lang w:val="en-US"/>
        </w:rPr>
      </w:pPr>
      <w:r>
        <w:rPr>
          <w:rFonts w:ascii="Times New Roman" w:hAnsi="Times New Roman" w:cs="Times New Roman"/>
          <w:sz w:val="20"/>
          <w:lang w:val="en-US"/>
        </w:rPr>
        <w:t xml:space="preserve">Idle Period </w:t>
      </w:r>
      <w:r w:rsidR="00E16056">
        <w:rPr>
          <w:rFonts w:ascii="Times New Roman" w:hAnsi="Times New Roman" w:cs="Times New Roman"/>
          <w:sz w:val="20"/>
          <w:lang w:val="en-US"/>
        </w:rPr>
        <w:t xml:space="preserve">(GP) </w:t>
      </w:r>
      <w:r>
        <w:rPr>
          <w:rFonts w:ascii="Times New Roman" w:hAnsi="Times New Roman" w:cs="Times New Roman"/>
          <w:sz w:val="20"/>
          <w:lang w:val="en-US"/>
        </w:rPr>
        <w:t xml:space="preserve">consists of </w:t>
      </w:r>
      <w:r w:rsidR="00FB68B0" w:rsidRPr="009623F3">
        <w:rPr>
          <w:rFonts w:ascii="Times New Roman" w:hAnsi="Times New Roman" w:cs="Times New Roman"/>
          <w:sz w:val="20"/>
          <w:lang w:val="en-US"/>
        </w:rPr>
        <w:t xml:space="preserve">7 </w:t>
      </w:r>
      <w:r w:rsidR="007E5A51">
        <w:rPr>
          <w:rFonts w:ascii="Times New Roman" w:hAnsi="Times New Roman" w:cs="Times New Roman"/>
          <w:sz w:val="20"/>
          <w:lang w:val="en-US"/>
        </w:rPr>
        <w:t>SC-</w:t>
      </w:r>
      <w:r w:rsidR="00FB68B0" w:rsidRPr="009623F3">
        <w:rPr>
          <w:rFonts w:ascii="Times New Roman" w:hAnsi="Times New Roman" w:cs="Times New Roman"/>
          <w:sz w:val="20"/>
          <w:lang w:val="en-US"/>
        </w:rPr>
        <w:t>FDMA symbols</w:t>
      </w:r>
      <w:r w:rsidR="00E121BF" w:rsidRPr="009623F3">
        <w:rPr>
          <w:rFonts w:ascii="Times New Roman" w:hAnsi="Times New Roman" w:cs="Times New Roman"/>
          <w:sz w:val="20"/>
          <w:lang w:val="en-US"/>
        </w:rPr>
        <w:t xml:space="preserve">. </w:t>
      </w:r>
      <w:r w:rsidR="00FB68B0" w:rsidRPr="009623F3">
        <w:rPr>
          <w:rFonts w:ascii="Times New Roman" w:hAnsi="Times New Roman" w:cs="Times New Roman"/>
          <w:bCs/>
          <w:sz w:val="20"/>
          <w:szCs w:val="20"/>
          <w:lang w:val="en-US"/>
        </w:rPr>
        <w:t>Duration of Idle Period is 5.26% of the Channel Occupancy Time</w:t>
      </w:r>
    </w:p>
    <w:p w:rsidR="00E50380" w:rsidRDefault="00FB68B0">
      <w:pPr>
        <w:pStyle w:val="ListParagraph"/>
        <w:numPr>
          <w:ilvl w:val="1"/>
          <w:numId w:val="17"/>
        </w:numPr>
        <w:rPr>
          <w:lang w:val="en-US"/>
        </w:rPr>
      </w:pPr>
      <w:r w:rsidRPr="009623F3">
        <w:rPr>
          <w:rFonts w:ascii="Times New Roman" w:hAnsi="Times New Roman" w:cs="Times New Roman"/>
          <w:sz w:val="20"/>
          <w:lang w:val="en-US"/>
        </w:rPr>
        <w:t xml:space="preserve">LBT/CCA takes place at the end of the Idle Period (i.e. before the start of the </w:t>
      </w:r>
      <w:r w:rsidR="00F65027">
        <w:rPr>
          <w:rFonts w:ascii="Times New Roman" w:hAnsi="Times New Roman" w:cs="Times New Roman"/>
          <w:sz w:val="20"/>
          <w:lang w:val="en-US"/>
        </w:rPr>
        <w:t>sub</w:t>
      </w:r>
      <w:r w:rsidRPr="009623F3">
        <w:rPr>
          <w:rFonts w:ascii="Times New Roman" w:hAnsi="Times New Roman" w:cs="Times New Roman"/>
          <w:sz w:val="20"/>
          <w:lang w:val="en-US"/>
        </w:rPr>
        <w:t>frame boundary)</w:t>
      </w:r>
      <w:r w:rsidR="002C053F">
        <w:rPr>
          <w:rFonts w:ascii="Times New Roman" w:hAnsi="Times New Roman" w:cs="Times New Roman"/>
          <w:sz w:val="20"/>
          <w:lang w:val="en-US"/>
        </w:rPr>
        <w:t>.</w:t>
      </w:r>
    </w:p>
    <w:p w:rsidR="00F65027" w:rsidRPr="00F65027" w:rsidRDefault="00F65027" w:rsidP="00F65027">
      <w:pPr>
        <w:pStyle w:val="ListParagraph"/>
        <w:numPr>
          <w:ilvl w:val="0"/>
          <w:numId w:val="17"/>
        </w:numPr>
        <w:rPr>
          <w:rFonts w:ascii="Times New Roman" w:hAnsi="Times New Roman" w:cs="Times New Roman"/>
          <w:lang w:val="en-US"/>
        </w:rPr>
      </w:pPr>
      <w:r>
        <w:rPr>
          <w:rFonts w:ascii="Times New Roman" w:hAnsi="Times New Roman" w:cs="Times New Roman"/>
          <w:sz w:val="20"/>
          <w:szCs w:val="20"/>
          <w:lang w:val="en-US"/>
        </w:rPr>
        <w:t>Fully flexible UL/DL adaptation</w:t>
      </w:r>
    </w:p>
    <w:p w:rsidR="00F65027" w:rsidRPr="00F65027" w:rsidRDefault="00F65027" w:rsidP="00F65027">
      <w:pPr>
        <w:pStyle w:val="ListParagraph"/>
        <w:numPr>
          <w:ilvl w:val="1"/>
          <w:numId w:val="17"/>
        </w:numPr>
        <w:rPr>
          <w:lang w:val="en-US"/>
        </w:rPr>
      </w:pPr>
      <w:r w:rsidRPr="00F65027">
        <w:rPr>
          <w:rFonts w:ascii="Times New Roman" w:hAnsi="Times New Roman" w:cs="Times New Roman"/>
          <w:sz w:val="20"/>
          <w:lang w:val="en-US" w:eastAsia="ko-KR"/>
        </w:rPr>
        <w:t>UE can tra</w:t>
      </w:r>
      <w:r w:rsidR="00954F65">
        <w:rPr>
          <w:rFonts w:ascii="Times New Roman" w:hAnsi="Times New Roman" w:cs="Times New Roman"/>
          <w:sz w:val="20"/>
          <w:lang w:val="en-US" w:eastAsia="ko-KR"/>
        </w:rPr>
        <w:t>n</w:t>
      </w:r>
      <w:r w:rsidRPr="00F65027">
        <w:rPr>
          <w:rFonts w:ascii="Times New Roman" w:hAnsi="Times New Roman" w:cs="Times New Roman"/>
          <w:sz w:val="20"/>
          <w:lang w:val="en-US" w:eastAsia="ko-KR"/>
        </w:rPr>
        <w:t>smit only with the permission of eNB (</w:t>
      </w:r>
      <w:proofErr w:type="spellStart"/>
      <w:r w:rsidRPr="00F65027">
        <w:rPr>
          <w:rFonts w:ascii="Times New Roman" w:hAnsi="Times New Roman" w:cs="Times New Roman"/>
          <w:sz w:val="20"/>
          <w:lang w:val="en-US" w:eastAsia="ko-KR"/>
        </w:rPr>
        <w:t>inline</w:t>
      </w:r>
      <w:proofErr w:type="spellEnd"/>
      <w:r w:rsidRPr="00F65027">
        <w:rPr>
          <w:rFonts w:ascii="Times New Roman" w:hAnsi="Times New Roman" w:cs="Times New Roman"/>
          <w:sz w:val="20"/>
          <w:lang w:val="en-US" w:eastAsia="ko-KR"/>
        </w:rPr>
        <w:t xml:space="preserve"> </w:t>
      </w:r>
      <w:r w:rsidR="008B087B">
        <w:rPr>
          <w:rFonts w:ascii="Times New Roman" w:hAnsi="Times New Roman" w:cs="Times New Roman"/>
          <w:sz w:val="20"/>
          <w:lang w:val="en-US" w:eastAsia="ko-KR"/>
        </w:rPr>
        <w:t>with</w:t>
      </w:r>
      <w:r w:rsidRPr="00F65027">
        <w:rPr>
          <w:rFonts w:ascii="Times New Roman" w:hAnsi="Times New Roman" w:cs="Times New Roman"/>
          <w:sz w:val="20"/>
          <w:lang w:val="en-US" w:eastAsia="ko-KR"/>
        </w:rPr>
        <w:t xml:space="preserve"> normal UL operation)</w:t>
      </w:r>
    </w:p>
    <w:p w:rsidR="00F65027" w:rsidRPr="007E5A51" w:rsidRDefault="00F65027" w:rsidP="00F65027">
      <w:pPr>
        <w:pStyle w:val="ListParagraph"/>
        <w:numPr>
          <w:ilvl w:val="1"/>
          <w:numId w:val="17"/>
        </w:numPr>
        <w:rPr>
          <w:lang w:val="en-US"/>
        </w:rPr>
      </w:pPr>
      <w:r>
        <w:rPr>
          <w:rFonts w:ascii="Times New Roman" w:hAnsi="Times New Roman" w:cs="Times New Roman"/>
          <w:sz w:val="20"/>
          <w:lang w:val="en-US"/>
        </w:rPr>
        <w:t>UL transmission can start only at the beginning of Fixed Frame Period (FFP)</w:t>
      </w:r>
    </w:p>
    <w:p w:rsidR="007E5A51" w:rsidRPr="00F65027" w:rsidRDefault="007E5A51" w:rsidP="00F65027">
      <w:pPr>
        <w:pStyle w:val="ListParagraph"/>
        <w:numPr>
          <w:ilvl w:val="1"/>
          <w:numId w:val="17"/>
        </w:numPr>
        <w:rPr>
          <w:lang w:val="en-US"/>
        </w:rPr>
      </w:pPr>
      <w:proofErr w:type="spellStart"/>
      <w:proofErr w:type="gramStart"/>
      <w:r>
        <w:rPr>
          <w:rFonts w:ascii="Times New Roman" w:hAnsi="Times New Roman" w:cs="Times New Roman"/>
          <w:sz w:val="20"/>
          <w:lang w:val="en-US"/>
        </w:rPr>
        <w:t>eNodeB</w:t>
      </w:r>
      <w:proofErr w:type="spellEnd"/>
      <w:proofErr w:type="gramEnd"/>
      <w:r>
        <w:rPr>
          <w:rFonts w:ascii="Times New Roman" w:hAnsi="Times New Roman" w:cs="Times New Roman"/>
          <w:sz w:val="20"/>
          <w:lang w:val="en-US"/>
        </w:rPr>
        <w:t xml:space="preserve"> may schedule UE (UL) in 0 – 10 subframes from the beginning of each FFP</w:t>
      </w:r>
      <w:r w:rsidR="001A1F42">
        <w:rPr>
          <w:rFonts w:ascii="Times New Roman" w:hAnsi="Times New Roman" w:cs="Times New Roman"/>
          <w:sz w:val="20"/>
          <w:lang w:val="en-US"/>
        </w:rPr>
        <w:t>.</w:t>
      </w:r>
    </w:p>
    <w:p w:rsidR="00E50380" w:rsidRPr="00E50380" w:rsidRDefault="007E5A51">
      <w:pPr>
        <w:pStyle w:val="ListParagraph"/>
        <w:numPr>
          <w:ilvl w:val="1"/>
          <w:numId w:val="17"/>
        </w:numPr>
        <w:rPr>
          <w:b/>
          <w:u w:val="single"/>
        </w:rPr>
      </w:pPr>
      <w:r>
        <w:rPr>
          <w:rFonts w:ascii="Times New Roman" w:hAnsi="Times New Roman" w:cs="Times New Roman"/>
          <w:sz w:val="20"/>
          <w:lang w:val="en-US" w:eastAsia="ko-KR"/>
        </w:rPr>
        <w:t>S</w:t>
      </w:r>
      <w:r w:rsidR="00F65027">
        <w:rPr>
          <w:rFonts w:ascii="Times New Roman" w:hAnsi="Times New Roman" w:cs="Times New Roman"/>
          <w:sz w:val="20"/>
          <w:lang w:val="en-US" w:eastAsia="ko-KR"/>
        </w:rPr>
        <w:t xml:space="preserve">ubframes </w:t>
      </w:r>
      <w:r>
        <w:rPr>
          <w:rFonts w:ascii="Times New Roman" w:hAnsi="Times New Roman" w:cs="Times New Roman"/>
          <w:sz w:val="20"/>
          <w:lang w:val="en-US" w:eastAsia="ko-KR"/>
        </w:rPr>
        <w:t xml:space="preserve">not scheduled for UL </w:t>
      </w:r>
      <w:r w:rsidR="00F65027">
        <w:rPr>
          <w:rFonts w:ascii="Times New Roman" w:hAnsi="Times New Roman" w:cs="Times New Roman"/>
          <w:sz w:val="20"/>
          <w:lang w:val="en-US" w:eastAsia="ko-KR"/>
        </w:rPr>
        <w:t xml:space="preserve">in the given FFP can be used for DL according to </w:t>
      </w:r>
      <w:proofErr w:type="spellStart"/>
      <w:r w:rsidR="00F65027">
        <w:rPr>
          <w:rFonts w:ascii="Times New Roman" w:hAnsi="Times New Roman" w:cs="Times New Roman"/>
          <w:sz w:val="20"/>
          <w:lang w:val="en-US" w:eastAsia="ko-KR"/>
        </w:rPr>
        <w:t>eNB’s</w:t>
      </w:r>
      <w:proofErr w:type="spellEnd"/>
      <w:r w:rsidR="00F65027">
        <w:rPr>
          <w:rFonts w:ascii="Times New Roman" w:hAnsi="Times New Roman" w:cs="Times New Roman"/>
          <w:sz w:val="20"/>
          <w:lang w:val="en-US" w:eastAsia="ko-KR"/>
        </w:rPr>
        <w:t xml:space="preserve"> scheduling decision.</w:t>
      </w:r>
    </w:p>
    <w:p w:rsidR="007E5A51" w:rsidRPr="009623F3" w:rsidRDefault="007E5A51" w:rsidP="007E5A51">
      <w:pPr>
        <w:pStyle w:val="ListParagraph"/>
        <w:numPr>
          <w:ilvl w:val="0"/>
          <w:numId w:val="17"/>
        </w:numPr>
        <w:rPr>
          <w:rFonts w:ascii="Times New Roman" w:hAnsi="Times New Roman" w:cs="Times New Roman"/>
          <w:lang w:val="en-US"/>
        </w:rPr>
      </w:pPr>
      <w:r>
        <w:rPr>
          <w:rFonts w:ascii="Times New Roman" w:hAnsi="Times New Roman" w:cs="Times New Roman"/>
          <w:sz w:val="20"/>
          <w:szCs w:val="20"/>
          <w:lang w:val="en-US"/>
        </w:rPr>
        <w:t>Providing time for CCA and DL/UL switching</w:t>
      </w:r>
    </w:p>
    <w:p w:rsidR="001E26A0" w:rsidRDefault="007E5A51">
      <w:pPr>
        <w:pStyle w:val="ListParagraph"/>
        <w:numPr>
          <w:ilvl w:val="1"/>
          <w:numId w:val="17"/>
        </w:numPr>
        <w:rPr>
          <w:rFonts w:ascii="Times New Roman" w:hAnsi="Times New Roman" w:cs="Times New Roman"/>
          <w:sz w:val="20"/>
          <w:lang w:val="en-US" w:eastAsia="ko-KR"/>
        </w:rPr>
      </w:pPr>
      <w:r>
        <w:rPr>
          <w:rFonts w:ascii="Times New Roman" w:hAnsi="Times New Roman" w:cs="Times New Roman"/>
          <w:sz w:val="20"/>
          <w:lang w:val="en-US" w:eastAsia="ko-KR"/>
        </w:rPr>
        <w:t>DL subframe preceding the first UL subframe contains GP to facilitate UEs’ CCA measurement as well as Rx-</w:t>
      </w:r>
      <w:proofErr w:type="spellStart"/>
      <w:r>
        <w:rPr>
          <w:rFonts w:ascii="Times New Roman" w:hAnsi="Times New Roman" w:cs="Times New Roman"/>
          <w:sz w:val="20"/>
          <w:lang w:val="en-US" w:eastAsia="ko-KR"/>
        </w:rPr>
        <w:t>Tx</w:t>
      </w:r>
      <w:proofErr w:type="spellEnd"/>
      <w:r>
        <w:rPr>
          <w:rFonts w:ascii="Times New Roman" w:hAnsi="Times New Roman" w:cs="Times New Roman"/>
          <w:sz w:val="20"/>
          <w:lang w:val="en-US" w:eastAsia="ko-KR"/>
        </w:rPr>
        <w:t xml:space="preserve"> (DL-UL) switching</w:t>
      </w:r>
      <w:r w:rsidR="00074B23">
        <w:rPr>
          <w:rFonts w:ascii="Times New Roman" w:hAnsi="Times New Roman" w:cs="Times New Roman"/>
          <w:sz w:val="20"/>
          <w:lang w:val="en-US" w:eastAsia="ko-KR"/>
        </w:rPr>
        <w:t xml:space="preserve">. </w:t>
      </w:r>
      <w:r w:rsidR="003E0B56">
        <w:rPr>
          <w:rFonts w:ascii="Times New Roman" w:hAnsi="Times New Roman" w:cs="Times New Roman"/>
          <w:sz w:val="20"/>
          <w:lang w:val="en-US" w:eastAsia="ko-KR"/>
        </w:rPr>
        <w:t>DwPTS or Special subframe can be used to provide this functionality</w:t>
      </w:r>
      <w:r w:rsidR="00074B23">
        <w:rPr>
          <w:rFonts w:ascii="Times New Roman" w:hAnsi="Times New Roman" w:cs="Times New Roman"/>
          <w:sz w:val="20"/>
          <w:lang w:val="en-US" w:eastAsia="ko-KR"/>
        </w:rPr>
        <w:t>.</w:t>
      </w:r>
      <w:r w:rsidR="003E0B56">
        <w:rPr>
          <w:rFonts w:ascii="Times New Roman" w:hAnsi="Times New Roman" w:cs="Times New Roman"/>
          <w:sz w:val="20"/>
          <w:lang w:val="en-US" w:eastAsia="ko-KR"/>
        </w:rPr>
        <w:t xml:space="preserve"> </w:t>
      </w:r>
    </w:p>
    <w:p w:rsidR="007E5A51" w:rsidRDefault="003E0B56" w:rsidP="007E5A51">
      <w:pPr>
        <w:pStyle w:val="ListParagraph"/>
        <w:numPr>
          <w:ilvl w:val="1"/>
          <w:numId w:val="17"/>
        </w:numPr>
        <w:rPr>
          <w:rFonts w:ascii="Times New Roman" w:hAnsi="Times New Roman" w:cs="Times New Roman"/>
          <w:sz w:val="20"/>
          <w:lang w:val="en-US"/>
        </w:rPr>
      </w:pPr>
      <w:r>
        <w:rPr>
          <w:rFonts w:ascii="Times New Roman" w:hAnsi="Times New Roman" w:cs="Times New Roman"/>
          <w:sz w:val="20"/>
          <w:lang w:val="en-US" w:eastAsia="ko-KR"/>
        </w:rPr>
        <w:t xml:space="preserve">Timing Advance principle used in LTE TDD facilitates UE’s </w:t>
      </w:r>
      <w:proofErr w:type="spellStart"/>
      <w:r w:rsidR="007E5A51" w:rsidRPr="00074B23">
        <w:rPr>
          <w:rFonts w:ascii="Times New Roman" w:hAnsi="Times New Roman" w:cs="Times New Roman"/>
          <w:sz w:val="20"/>
          <w:lang w:val="en-US"/>
        </w:rPr>
        <w:t>Tx</w:t>
      </w:r>
      <w:proofErr w:type="spellEnd"/>
      <w:r w:rsidR="007E5A51" w:rsidRPr="00074B23">
        <w:rPr>
          <w:rFonts w:ascii="Times New Roman" w:hAnsi="Times New Roman" w:cs="Times New Roman"/>
          <w:sz w:val="20"/>
          <w:lang w:val="en-US"/>
        </w:rPr>
        <w:t>-Rx (UL-DL) switching.</w:t>
      </w:r>
    </w:p>
    <w:p w:rsidR="001E26A0" w:rsidRDefault="001E26A0">
      <w:pPr>
        <w:pStyle w:val="ListParagraph"/>
        <w:ind w:left="1364"/>
        <w:rPr>
          <w:rFonts w:ascii="Times New Roman" w:hAnsi="Times New Roman" w:cs="Times New Roman"/>
          <w:sz w:val="20"/>
          <w:lang w:val="en-US"/>
        </w:rPr>
      </w:pPr>
    </w:p>
    <w:p w:rsidR="00B32EFE" w:rsidRPr="00074B23" w:rsidRDefault="006D10CB" w:rsidP="006E1C89">
      <w:pPr>
        <w:rPr>
          <w:b/>
          <w:u w:val="single"/>
        </w:rPr>
      </w:pPr>
      <w:r w:rsidRPr="00074B23">
        <w:rPr>
          <w:noProof/>
        </w:rPr>
        <w:drawing>
          <wp:inline distT="0" distB="0" distL="0" distR="0">
            <wp:extent cx="6214110" cy="1520825"/>
            <wp:effectExtent l="1905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214110" cy="1520825"/>
                    </a:xfrm>
                    <a:prstGeom prst="rect">
                      <a:avLst/>
                    </a:prstGeom>
                    <a:noFill/>
                    <a:ln w="9525">
                      <a:noFill/>
                      <a:miter lim="800000"/>
                      <a:headEnd/>
                      <a:tailEnd/>
                    </a:ln>
                  </pic:spPr>
                </pic:pic>
              </a:graphicData>
            </a:graphic>
          </wp:inline>
        </w:drawing>
      </w:r>
    </w:p>
    <w:p w:rsidR="00E50380" w:rsidRDefault="003E0B56">
      <w:pPr>
        <w:pStyle w:val="Caption"/>
        <w:jc w:val="center"/>
      </w:pPr>
      <w:proofErr w:type="gramStart"/>
      <w:r w:rsidRPr="003E0B56">
        <w:rPr>
          <w:rFonts w:ascii="Times New Roman" w:hAnsi="Times New Roman"/>
        </w:rPr>
        <w:t xml:space="preserve">Figure </w:t>
      </w:r>
      <w:r w:rsidR="009C2CBF" w:rsidRPr="003E0B56">
        <w:rPr>
          <w:rFonts w:ascii="Times New Roman" w:hAnsi="Times New Roman"/>
        </w:rPr>
        <w:fldChar w:fldCharType="begin"/>
      </w:r>
      <w:r w:rsidRPr="003E0B56">
        <w:rPr>
          <w:rFonts w:ascii="Times New Roman" w:hAnsi="Times New Roman"/>
        </w:rPr>
        <w:instrText xml:space="preserve"> SEQ Figure \* ARABIC </w:instrText>
      </w:r>
      <w:r w:rsidR="009C2CBF" w:rsidRPr="003E0B56">
        <w:rPr>
          <w:rFonts w:ascii="Times New Roman" w:hAnsi="Times New Roman"/>
        </w:rPr>
        <w:fldChar w:fldCharType="separate"/>
      </w:r>
      <w:r w:rsidR="00CD5A16">
        <w:rPr>
          <w:rFonts w:ascii="Times New Roman" w:hAnsi="Times New Roman"/>
          <w:noProof/>
        </w:rPr>
        <w:t>2</w:t>
      </w:r>
      <w:r w:rsidR="009C2CBF" w:rsidRPr="003E0B56">
        <w:rPr>
          <w:rFonts w:ascii="Times New Roman" w:hAnsi="Times New Roman"/>
        </w:rPr>
        <w:fldChar w:fldCharType="end"/>
      </w:r>
      <w:r w:rsidRPr="003E0B56">
        <w:rPr>
          <w:rFonts w:ascii="Times New Roman" w:hAnsi="Times New Roman"/>
        </w:rPr>
        <w:t>.</w:t>
      </w:r>
      <w:proofErr w:type="gramEnd"/>
      <w:r w:rsidRPr="003E0B56">
        <w:rPr>
          <w:rFonts w:ascii="Times New Roman" w:hAnsi="Times New Roman"/>
        </w:rPr>
        <w:t xml:space="preserve"> Exampl</w:t>
      </w:r>
      <w:r w:rsidR="002074EB" w:rsidRPr="00074B23">
        <w:t>e</w:t>
      </w:r>
      <w:r w:rsidR="002074EB">
        <w:t xml:space="preserve"> </w:t>
      </w:r>
      <w:r w:rsidR="00BA1BAF">
        <w:t xml:space="preserve">of </w:t>
      </w:r>
      <w:r w:rsidR="009623F3">
        <w:t xml:space="preserve">LAA UL </w:t>
      </w:r>
      <w:r w:rsidR="002074EB">
        <w:t>operation</w:t>
      </w:r>
      <w:r w:rsidR="009623F3">
        <w:t xml:space="preserve"> according to rules defined for</w:t>
      </w:r>
      <w:r w:rsidR="00FB68B0" w:rsidRPr="001863B1">
        <w:t xml:space="preserve"> FBE.</w:t>
      </w:r>
    </w:p>
    <w:p w:rsidR="00D36AC6" w:rsidRDefault="00D36AC6" w:rsidP="00D36AC6">
      <w:pPr>
        <w:rPr>
          <w:b/>
          <w:u w:val="single"/>
        </w:rPr>
      </w:pPr>
      <w:r>
        <w:rPr>
          <w:b/>
          <w:u w:val="single"/>
        </w:rPr>
        <w:lastRenderedPageBreak/>
        <w:t>DL operation based on LBE</w:t>
      </w:r>
    </w:p>
    <w:p w:rsidR="00684D0C" w:rsidRDefault="00684D0C" w:rsidP="00684D0C">
      <w:pPr>
        <w:jc w:val="both"/>
      </w:pPr>
      <w:r>
        <w:rPr>
          <w:lang w:val="da-DK"/>
        </w:rPr>
        <w:t xml:space="preserve">It was agreed in RAN1 #79 that </w:t>
      </w:r>
      <w:r w:rsidRPr="00684D0C">
        <w:rPr>
          <w:lang w:val="da-DK"/>
        </w:rPr>
        <w:t>DL LAA design should assume subframe boundary alignment according to the Rel-12</w:t>
      </w:r>
      <w:r>
        <w:rPr>
          <w:lang w:val="da-DK"/>
        </w:rPr>
        <w:t xml:space="preserve"> CA timing relationships </w:t>
      </w:r>
      <w:r w:rsidRPr="00684D0C">
        <w:rPr>
          <w:lang w:val="da-DK"/>
        </w:rPr>
        <w:t>across serving cells aggregated by CA</w:t>
      </w:r>
      <w:r>
        <w:rPr>
          <w:lang w:val="da-DK"/>
        </w:rPr>
        <w:t>. However, a</w:t>
      </w:r>
      <w:r w:rsidRPr="00684D0C">
        <w:rPr>
          <w:lang w:val="da-DK"/>
        </w:rPr>
        <w:t>t least for LBE, some signal(s) can be transmitted by eNB between the time eNB is permitted to transmit and the start of data transmission at least to reserve the channel</w:t>
      </w:r>
      <w:r>
        <w:rPr>
          <w:lang w:val="da-DK"/>
        </w:rPr>
        <w:t>.</w:t>
      </w:r>
    </w:p>
    <w:p w:rsidR="001E26A0" w:rsidRDefault="002074EB">
      <w:pPr>
        <w:spacing w:after="0"/>
        <w:rPr>
          <w:lang w:eastAsia="ko-KR"/>
        </w:rPr>
      </w:pPr>
      <w:r>
        <w:t xml:space="preserve">Figure </w:t>
      </w:r>
      <w:r w:rsidR="003A25CC">
        <w:t xml:space="preserve">3 </w:t>
      </w:r>
      <w:r>
        <w:t xml:space="preserve">shows the LBE operation principle for LAA </w:t>
      </w:r>
      <w:r w:rsidR="00B67CB8">
        <w:t>D</w:t>
      </w:r>
      <w:r>
        <w:t xml:space="preserve">L. </w:t>
      </w:r>
      <w:r w:rsidR="00B67CB8">
        <w:t xml:space="preserve">Again, </w:t>
      </w:r>
      <w:r>
        <w:t>LTE TDD with UL-DL configuration #3 is used as a reference.</w:t>
      </w:r>
      <w:r w:rsidR="00074B23">
        <w:t xml:space="preserve"> </w:t>
      </w:r>
      <w:r w:rsidR="00B67CB8" w:rsidRPr="00BD6DFF">
        <w:rPr>
          <w:lang w:eastAsia="ko-KR"/>
        </w:rPr>
        <w:t>Majority of subframes and related operations can be kept unchanged compared to LTE.</w:t>
      </w:r>
      <w:r w:rsidR="00B67CB8">
        <w:rPr>
          <w:lang w:eastAsia="ko-KR"/>
        </w:rPr>
        <w:t xml:space="preserve"> </w:t>
      </w:r>
      <w:r w:rsidR="000453A4">
        <w:rPr>
          <w:lang w:eastAsia="ko-KR"/>
        </w:rPr>
        <w:t xml:space="preserve">However, there are certain specific </w:t>
      </w:r>
      <w:r w:rsidR="006932D4">
        <w:rPr>
          <w:lang w:eastAsia="ko-KR"/>
        </w:rPr>
        <w:t>subframes</w:t>
      </w:r>
      <w:r w:rsidR="000453A4">
        <w:rPr>
          <w:lang w:eastAsia="ko-KR"/>
        </w:rPr>
        <w:t xml:space="preserve"> that need to be considered in order to support </w:t>
      </w:r>
      <w:r w:rsidR="000E1492">
        <w:rPr>
          <w:lang w:eastAsia="ko-KR"/>
        </w:rPr>
        <w:t>LTE LAA</w:t>
      </w:r>
      <w:r w:rsidR="000453A4">
        <w:rPr>
          <w:lang w:eastAsia="ko-KR"/>
        </w:rPr>
        <w:t xml:space="preserve"> based on rules defined for LBE:</w:t>
      </w:r>
    </w:p>
    <w:p w:rsidR="001E26A0" w:rsidRDefault="001E26A0">
      <w:pPr>
        <w:spacing w:after="0"/>
        <w:rPr>
          <w:sz w:val="8"/>
        </w:rPr>
      </w:pPr>
    </w:p>
    <w:p w:rsidR="001E26A0" w:rsidRDefault="000453A4">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 xml:space="preserve">The first DL subframe </w:t>
      </w:r>
      <w:r w:rsidR="006932D4">
        <w:rPr>
          <w:rFonts w:ascii="Times New Roman" w:hAnsi="Times New Roman" w:cs="Times New Roman"/>
          <w:sz w:val="20"/>
          <w:szCs w:val="20"/>
        </w:rPr>
        <w:t>of the Channel Occupa</w:t>
      </w:r>
      <w:r w:rsidR="00997959">
        <w:rPr>
          <w:rFonts w:ascii="Times New Roman" w:hAnsi="Times New Roman" w:cs="Times New Roman"/>
          <w:sz w:val="20"/>
          <w:szCs w:val="20"/>
        </w:rPr>
        <w:t>n</w:t>
      </w:r>
      <w:r w:rsidR="006932D4">
        <w:rPr>
          <w:rFonts w:ascii="Times New Roman" w:hAnsi="Times New Roman" w:cs="Times New Roman"/>
          <w:sz w:val="20"/>
          <w:szCs w:val="20"/>
        </w:rPr>
        <w:t>cy</w:t>
      </w:r>
    </w:p>
    <w:p w:rsidR="001E26A0" w:rsidRDefault="00B67CB8">
      <w:pPr>
        <w:pStyle w:val="ListParagraph"/>
        <w:numPr>
          <w:ilvl w:val="1"/>
          <w:numId w:val="27"/>
        </w:numPr>
        <w:rPr>
          <w:rFonts w:ascii="Times New Roman" w:hAnsi="Times New Roman" w:cs="Times New Roman"/>
          <w:sz w:val="20"/>
          <w:szCs w:val="20"/>
        </w:rPr>
      </w:pPr>
      <w:r w:rsidRPr="00B67CB8">
        <w:rPr>
          <w:rFonts w:ascii="Times New Roman" w:hAnsi="Times New Roman" w:cs="Times New Roman"/>
          <w:sz w:val="20"/>
          <w:szCs w:val="20"/>
        </w:rPr>
        <w:t>Due to eCCA –procedure, LBE operation need</w:t>
      </w:r>
      <w:r>
        <w:rPr>
          <w:rFonts w:ascii="Times New Roman" w:hAnsi="Times New Roman" w:cs="Times New Roman"/>
          <w:sz w:val="20"/>
          <w:szCs w:val="20"/>
        </w:rPr>
        <w:t>s to support v</w:t>
      </w:r>
      <w:r w:rsidRPr="00B67CB8">
        <w:rPr>
          <w:rFonts w:ascii="Times New Roman" w:hAnsi="Times New Roman" w:cs="Times New Roman"/>
          <w:sz w:val="20"/>
          <w:szCs w:val="20"/>
        </w:rPr>
        <w:t xml:space="preserve">ariable starting timing of </w:t>
      </w:r>
      <w:r>
        <w:rPr>
          <w:rFonts w:ascii="Times New Roman" w:hAnsi="Times New Roman" w:cs="Times New Roman"/>
          <w:sz w:val="20"/>
          <w:szCs w:val="20"/>
        </w:rPr>
        <w:t xml:space="preserve">the </w:t>
      </w:r>
      <w:r w:rsidRPr="00B67CB8">
        <w:rPr>
          <w:rFonts w:ascii="Times New Roman" w:hAnsi="Times New Roman" w:cs="Times New Roman"/>
          <w:sz w:val="20"/>
          <w:szCs w:val="20"/>
        </w:rPr>
        <w:t>transmission</w:t>
      </w:r>
      <w:r w:rsidR="000453A4">
        <w:rPr>
          <w:rFonts w:ascii="Times New Roman" w:hAnsi="Times New Roman" w:cs="Times New Roman"/>
          <w:sz w:val="20"/>
          <w:szCs w:val="20"/>
        </w:rPr>
        <w:t xml:space="preserve"> </w:t>
      </w:r>
      <w:r w:rsidR="004E2691" w:rsidRPr="004E2691">
        <w:rPr>
          <w:rFonts w:ascii="Times New Roman" w:hAnsi="Times New Roman" w:cs="Times New Roman"/>
          <w:b/>
          <w:sz w:val="20"/>
          <w:szCs w:val="20"/>
        </w:rPr>
        <w:sym w:font="Wingdings" w:char="F0E0"/>
      </w:r>
      <w:r w:rsidR="004E2691" w:rsidRPr="004E2691">
        <w:rPr>
          <w:rFonts w:ascii="Times New Roman" w:hAnsi="Times New Roman" w:cs="Times New Roman"/>
          <w:b/>
          <w:sz w:val="20"/>
          <w:szCs w:val="20"/>
        </w:rPr>
        <w:t xml:space="preserve"> </w:t>
      </w:r>
      <w:r w:rsidR="000453A4">
        <w:rPr>
          <w:rFonts w:ascii="Times New Roman" w:hAnsi="Times New Roman" w:cs="Times New Roman"/>
          <w:b/>
          <w:sz w:val="20"/>
          <w:szCs w:val="20"/>
        </w:rPr>
        <w:t xml:space="preserve">DL </w:t>
      </w:r>
      <w:r w:rsidR="004E2691" w:rsidRPr="004E2691">
        <w:rPr>
          <w:rFonts w:ascii="Times New Roman" w:hAnsi="Times New Roman" w:cs="Times New Roman"/>
          <w:b/>
          <w:sz w:val="20"/>
          <w:szCs w:val="20"/>
        </w:rPr>
        <w:t>Subframe shortened from the beginning</w:t>
      </w:r>
    </w:p>
    <w:p w:rsidR="001E26A0" w:rsidRDefault="000E1492">
      <w:pPr>
        <w:pStyle w:val="ListParagraph"/>
        <w:numPr>
          <w:ilvl w:val="1"/>
          <w:numId w:val="27"/>
        </w:numPr>
        <w:rPr>
          <w:rFonts w:ascii="Times New Roman" w:hAnsi="Times New Roman" w:cs="Times New Roman"/>
          <w:sz w:val="20"/>
          <w:szCs w:val="20"/>
        </w:rPr>
      </w:pPr>
      <w:r>
        <w:rPr>
          <w:rFonts w:ascii="Times New Roman" w:hAnsi="Times New Roman" w:cs="Times New Roman"/>
          <w:sz w:val="20"/>
          <w:szCs w:val="20"/>
        </w:rPr>
        <w:t xml:space="preserve">A </w:t>
      </w:r>
      <w:r w:rsidR="007A5706">
        <w:rPr>
          <w:rFonts w:ascii="Times New Roman" w:hAnsi="Times New Roman" w:cs="Times New Roman"/>
          <w:sz w:val="20"/>
          <w:szCs w:val="20"/>
        </w:rPr>
        <w:t>reservation signal</w:t>
      </w:r>
      <w:r w:rsidR="007A5706" w:rsidRPr="007A5706">
        <w:rPr>
          <w:rFonts w:ascii="Times New Roman" w:hAnsi="Times New Roman" w:cs="Times New Roman"/>
          <w:sz w:val="20"/>
          <w:szCs w:val="20"/>
        </w:rPr>
        <w:t xml:space="preserve"> </w:t>
      </w:r>
      <w:r w:rsidR="007A5706">
        <w:rPr>
          <w:rFonts w:ascii="Times New Roman" w:hAnsi="Times New Roman" w:cs="Times New Roman"/>
          <w:sz w:val="20"/>
          <w:szCs w:val="20"/>
        </w:rPr>
        <w:t>needs to be transmitte</w:t>
      </w:r>
      <w:r w:rsidR="00BA1BAF">
        <w:rPr>
          <w:rFonts w:ascii="Times New Roman" w:hAnsi="Times New Roman" w:cs="Times New Roman"/>
          <w:sz w:val="20"/>
          <w:szCs w:val="20"/>
        </w:rPr>
        <w:t>d</w:t>
      </w:r>
      <w:r w:rsidR="007A5706" w:rsidRPr="007A5706">
        <w:rPr>
          <w:rFonts w:ascii="Times New Roman" w:hAnsi="Times New Roman" w:cs="Times New Roman"/>
          <w:sz w:val="20"/>
          <w:szCs w:val="20"/>
        </w:rPr>
        <w:t xml:space="preserve"> in order to reserve the channel from the time the channel gets available till the start of the next regular subframe</w:t>
      </w:r>
      <w:r w:rsidR="007A5706">
        <w:rPr>
          <w:rFonts w:ascii="Times New Roman" w:hAnsi="Times New Roman" w:cs="Times New Roman"/>
          <w:sz w:val="20"/>
          <w:szCs w:val="20"/>
        </w:rPr>
        <w:t xml:space="preserve">. See more details in </w:t>
      </w:r>
      <w:r w:rsidR="007A5706" w:rsidRPr="007A5706">
        <w:rPr>
          <w:rFonts w:ascii="Times New Roman" w:hAnsi="Times New Roman" w:cs="Times New Roman"/>
          <w:sz w:val="20"/>
          <w:szCs w:val="20"/>
        </w:rPr>
        <w:t>[</w:t>
      </w:r>
      <w:r w:rsidR="004E2691" w:rsidRPr="004E2691">
        <w:rPr>
          <w:rFonts w:ascii="Times New Roman" w:hAnsi="Times New Roman" w:cs="Times New Roman"/>
          <w:sz w:val="20"/>
          <w:szCs w:val="20"/>
        </w:rPr>
        <w:t>8</w:t>
      </w:r>
      <w:r w:rsidR="007A5706" w:rsidRPr="007A5706">
        <w:rPr>
          <w:rFonts w:ascii="Times New Roman" w:hAnsi="Times New Roman" w:cs="Times New Roman"/>
          <w:sz w:val="20"/>
          <w:szCs w:val="20"/>
        </w:rPr>
        <w:t>].</w:t>
      </w:r>
    </w:p>
    <w:p w:rsidR="001E26A0" w:rsidRDefault="000453A4">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The last DL subframe of the Channel Occupan</w:t>
      </w:r>
      <w:r w:rsidR="00997959">
        <w:rPr>
          <w:rFonts w:ascii="Times New Roman" w:hAnsi="Times New Roman" w:cs="Times New Roman"/>
          <w:sz w:val="20"/>
          <w:szCs w:val="20"/>
        </w:rPr>
        <w:t>c</w:t>
      </w:r>
      <w:r>
        <w:rPr>
          <w:rFonts w:ascii="Times New Roman" w:hAnsi="Times New Roman" w:cs="Times New Roman"/>
          <w:sz w:val="20"/>
          <w:szCs w:val="20"/>
        </w:rPr>
        <w:t xml:space="preserve">y </w:t>
      </w:r>
    </w:p>
    <w:p w:rsidR="001E26A0" w:rsidRDefault="000453A4">
      <w:pPr>
        <w:pStyle w:val="ListParagraph"/>
        <w:numPr>
          <w:ilvl w:val="1"/>
          <w:numId w:val="27"/>
        </w:numPr>
        <w:rPr>
          <w:rFonts w:ascii="Times New Roman" w:hAnsi="Times New Roman" w:cs="Times New Roman"/>
          <w:sz w:val="20"/>
          <w:szCs w:val="20"/>
        </w:rPr>
      </w:pPr>
      <w:r>
        <w:rPr>
          <w:rFonts w:ascii="Times New Roman" w:hAnsi="Times New Roman" w:cs="Times New Roman"/>
          <w:sz w:val="20"/>
          <w:lang w:val="en-US" w:eastAsia="ko-KR"/>
        </w:rPr>
        <w:t>DL subframe preceding the first UL subframe contains GP to facilitate UEs’ CCA measurement as well as Rx-</w:t>
      </w:r>
      <w:proofErr w:type="spellStart"/>
      <w:r>
        <w:rPr>
          <w:rFonts w:ascii="Times New Roman" w:hAnsi="Times New Roman" w:cs="Times New Roman"/>
          <w:sz w:val="20"/>
          <w:lang w:val="en-US" w:eastAsia="ko-KR"/>
        </w:rPr>
        <w:t>Tx</w:t>
      </w:r>
      <w:proofErr w:type="spellEnd"/>
      <w:r>
        <w:rPr>
          <w:rFonts w:ascii="Times New Roman" w:hAnsi="Times New Roman" w:cs="Times New Roman"/>
          <w:sz w:val="20"/>
          <w:lang w:val="en-US" w:eastAsia="ko-KR"/>
        </w:rPr>
        <w:t xml:space="preserve"> switching </w:t>
      </w:r>
      <w:r w:rsidRPr="000453A4">
        <w:rPr>
          <w:rFonts w:ascii="Times New Roman" w:hAnsi="Times New Roman" w:cs="Times New Roman"/>
          <w:b/>
          <w:sz w:val="20"/>
          <w:szCs w:val="20"/>
        </w:rPr>
        <w:sym w:font="Wingdings" w:char="F0E0"/>
      </w:r>
      <w:r w:rsidRPr="000453A4">
        <w:rPr>
          <w:rFonts w:ascii="Times New Roman" w:hAnsi="Times New Roman" w:cs="Times New Roman"/>
          <w:b/>
          <w:sz w:val="20"/>
          <w:szCs w:val="20"/>
        </w:rPr>
        <w:t xml:space="preserve"> </w:t>
      </w:r>
      <w:r>
        <w:rPr>
          <w:rFonts w:ascii="Times New Roman" w:hAnsi="Times New Roman" w:cs="Times New Roman"/>
          <w:b/>
          <w:sz w:val="20"/>
          <w:szCs w:val="20"/>
        </w:rPr>
        <w:t xml:space="preserve">DL </w:t>
      </w:r>
      <w:r w:rsidRPr="000453A4">
        <w:rPr>
          <w:rFonts w:ascii="Times New Roman" w:hAnsi="Times New Roman" w:cs="Times New Roman"/>
          <w:b/>
          <w:sz w:val="20"/>
          <w:szCs w:val="20"/>
        </w:rPr>
        <w:t xml:space="preserve">Subframe shortened from the </w:t>
      </w:r>
      <w:r>
        <w:rPr>
          <w:rFonts w:ascii="Times New Roman" w:hAnsi="Times New Roman" w:cs="Times New Roman"/>
          <w:b/>
          <w:sz w:val="20"/>
          <w:szCs w:val="20"/>
        </w:rPr>
        <w:t>end</w:t>
      </w:r>
    </w:p>
    <w:p w:rsidR="001E26A0" w:rsidRDefault="000453A4">
      <w:pPr>
        <w:pStyle w:val="ListParagraph"/>
        <w:numPr>
          <w:ilvl w:val="1"/>
          <w:numId w:val="27"/>
        </w:numPr>
        <w:rPr>
          <w:rFonts w:ascii="Times New Roman" w:hAnsi="Times New Roman" w:cs="Times New Roman"/>
          <w:sz w:val="20"/>
          <w:szCs w:val="20"/>
        </w:rPr>
      </w:pPr>
      <w:r w:rsidRPr="000453A4">
        <w:rPr>
          <w:rFonts w:ascii="Times New Roman" w:hAnsi="Times New Roman" w:cs="Times New Roman"/>
          <w:sz w:val="20"/>
          <w:szCs w:val="20"/>
        </w:rPr>
        <w:t xml:space="preserve">Similar subframe is needed </w:t>
      </w:r>
      <w:r>
        <w:rPr>
          <w:rFonts w:ascii="Times New Roman" w:hAnsi="Times New Roman" w:cs="Times New Roman"/>
          <w:sz w:val="20"/>
          <w:szCs w:val="20"/>
        </w:rPr>
        <w:t>in order to maximize the duration of DL part within limitatins given by the regulator</w:t>
      </w:r>
      <w:r w:rsidR="001A1F42">
        <w:rPr>
          <w:rFonts w:ascii="Times New Roman" w:hAnsi="Times New Roman" w:cs="Times New Roman"/>
          <w:sz w:val="20"/>
          <w:szCs w:val="20"/>
        </w:rPr>
        <w:t>.</w:t>
      </w:r>
    </w:p>
    <w:p w:rsidR="001E26A0" w:rsidRDefault="000453A4">
      <w:pPr>
        <w:pStyle w:val="ListParagraph"/>
        <w:numPr>
          <w:ilvl w:val="1"/>
          <w:numId w:val="27"/>
        </w:numPr>
        <w:rPr>
          <w:b/>
          <w:lang w:val="en-US"/>
        </w:rPr>
      </w:pPr>
      <w:r>
        <w:rPr>
          <w:rFonts w:ascii="Times New Roman" w:hAnsi="Times New Roman" w:cs="Times New Roman"/>
          <w:b/>
          <w:sz w:val="20"/>
          <w:lang w:val="en-US"/>
        </w:rPr>
        <w:t xml:space="preserve">DwPTS or </w:t>
      </w:r>
      <w:r w:rsidRPr="00BF2BE9">
        <w:rPr>
          <w:rFonts w:ascii="Times New Roman" w:hAnsi="Times New Roman" w:cs="Times New Roman"/>
          <w:b/>
          <w:sz w:val="20"/>
          <w:lang w:val="en-US"/>
        </w:rPr>
        <w:t xml:space="preserve">Special subframe </w:t>
      </w:r>
      <w:r w:rsidR="00BA2D53" w:rsidRPr="00BF2BE9">
        <w:rPr>
          <w:rFonts w:ascii="Times New Roman" w:hAnsi="Times New Roman" w:cs="Times New Roman"/>
          <w:b/>
          <w:sz w:val="20"/>
          <w:lang w:val="en-US"/>
        </w:rPr>
        <w:t xml:space="preserve">can be used to provide </w:t>
      </w:r>
      <w:r w:rsidR="00BA2D53">
        <w:rPr>
          <w:rFonts w:ascii="Times New Roman" w:hAnsi="Times New Roman" w:cs="Times New Roman"/>
          <w:b/>
          <w:sz w:val="20"/>
          <w:lang w:val="en-US"/>
        </w:rPr>
        <w:t>this functionality.</w:t>
      </w:r>
    </w:p>
    <w:p w:rsidR="001E26A0" w:rsidRDefault="000E1492">
      <w:r w:rsidRPr="00074B23">
        <w:t xml:space="preserve">UL resources can be taken dynamically into DL usage. This provides fully flexible UL/DL adaptation based on eNB scheduling decision. </w:t>
      </w:r>
    </w:p>
    <w:p w:rsidR="008E254D" w:rsidRDefault="008E254D" w:rsidP="008E254D">
      <w:pPr>
        <w:pStyle w:val="ListParagraph"/>
        <w:rPr>
          <w:rFonts w:ascii="Times New Roman" w:hAnsi="Times New Roman" w:cs="Times New Roman"/>
          <w:sz w:val="20"/>
          <w:szCs w:val="20"/>
        </w:rPr>
      </w:pPr>
    </w:p>
    <w:p w:rsidR="00693153" w:rsidRPr="001863B1" w:rsidRDefault="006D10CB" w:rsidP="00693153">
      <w:pPr>
        <w:jc w:val="center"/>
      </w:pPr>
      <w:r>
        <w:rPr>
          <w:noProof/>
        </w:rPr>
        <w:drawing>
          <wp:inline distT="0" distB="0" distL="0" distR="0">
            <wp:extent cx="6209030" cy="1970405"/>
            <wp:effectExtent l="19050" t="0" r="127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6209030" cy="1970405"/>
                    </a:xfrm>
                    <a:prstGeom prst="rect">
                      <a:avLst/>
                    </a:prstGeom>
                    <a:noFill/>
                    <a:ln w="9525">
                      <a:noFill/>
                      <a:miter lim="800000"/>
                      <a:headEnd/>
                      <a:tailEnd/>
                    </a:ln>
                  </pic:spPr>
                </pic:pic>
              </a:graphicData>
            </a:graphic>
          </wp:inline>
        </w:drawing>
      </w:r>
    </w:p>
    <w:p w:rsidR="00693153" w:rsidRPr="001863B1" w:rsidRDefault="00693153" w:rsidP="00693153">
      <w:pPr>
        <w:pStyle w:val="Caption"/>
        <w:jc w:val="center"/>
      </w:pPr>
      <w:proofErr w:type="gramStart"/>
      <w:r w:rsidRPr="001863B1">
        <w:t xml:space="preserve">Figure </w:t>
      </w:r>
      <w:r w:rsidR="009C2CBF" w:rsidRPr="001863B1">
        <w:fldChar w:fldCharType="begin"/>
      </w:r>
      <w:r w:rsidRPr="001863B1">
        <w:instrText xml:space="preserve"> SEQ Figure \* ARABIC </w:instrText>
      </w:r>
      <w:r w:rsidR="009C2CBF" w:rsidRPr="001863B1">
        <w:fldChar w:fldCharType="separate"/>
      </w:r>
      <w:r w:rsidR="00CD5A16">
        <w:rPr>
          <w:noProof/>
        </w:rPr>
        <w:t>3</w:t>
      </w:r>
      <w:r w:rsidR="009C2CBF" w:rsidRPr="001863B1">
        <w:fldChar w:fldCharType="end"/>
      </w:r>
      <w:r w:rsidRPr="001863B1">
        <w:t>.</w:t>
      </w:r>
      <w:proofErr w:type="gramEnd"/>
      <w:r w:rsidRPr="001863B1">
        <w:t xml:space="preserve"> </w:t>
      </w:r>
      <w:r w:rsidR="002074EB">
        <w:t>Example LAA DL operation according to rules defined for L</w:t>
      </w:r>
      <w:r w:rsidR="002074EB" w:rsidRPr="001863B1">
        <w:t>BE.</w:t>
      </w:r>
    </w:p>
    <w:p w:rsidR="00A2526C" w:rsidRDefault="00A2526C" w:rsidP="000E1492">
      <w:pPr>
        <w:rPr>
          <w:b/>
          <w:u w:val="single"/>
        </w:rPr>
      </w:pPr>
    </w:p>
    <w:p w:rsidR="000E1492" w:rsidRDefault="00964543" w:rsidP="000E1492">
      <w:pPr>
        <w:rPr>
          <w:b/>
          <w:u w:val="single"/>
        </w:rPr>
      </w:pPr>
      <w:r>
        <w:rPr>
          <w:b/>
          <w:u w:val="single"/>
        </w:rPr>
        <w:t>Flexible LTE LAA</w:t>
      </w:r>
      <w:r w:rsidR="000E1492">
        <w:rPr>
          <w:b/>
          <w:u w:val="single"/>
        </w:rPr>
        <w:t xml:space="preserve"> configuration</w:t>
      </w:r>
    </w:p>
    <w:p w:rsidR="004428BF" w:rsidRDefault="004428BF" w:rsidP="004428BF">
      <w:r>
        <w:t xml:space="preserve">As discussed above, configuration related to UL Fixed Frame Period defines the properties of the LTE LAA. Figure </w:t>
      </w:r>
      <w:r w:rsidR="003A25CC">
        <w:t xml:space="preserve">4 </w:t>
      </w:r>
      <w:r>
        <w:t xml:space="preserve">shows </w:t>
      </w:r>
      <w:r w:rsidR="00997959">
        <w:t xml:space="preserve">a </w:t>
      </w:r>
      <w:r>
        <w:t xml:space="preserve">few examples of the LTE LAA configurations and related </w:t>
      </w:r>
      <w:proofErr w:type="spellStart"/>
      <w:r>
        <w:t>eNB’s</w:t>
      </w:r>
      <w:proofErr w:type="spellEnd"/>
      <w:r>
        <w:t xml:space="preserve"> scheduling decisions.</w:t>
      </w:r>
    </w:p>
    <w:p w:rsidR="004428BF" w:rsidRDefault="004E2691" w:rsidP="004428BF">
      <w:pPr>
        <w:pStyle w:val="ListParagraph"/>
        <w:numPr>
          <w:ilvl w:val="0"/>
          <w:numId w:val="17"/>
        </w:numPr>
        <w:rPr>
          <w:rFonts w:ascii="Times New Roman" w:hAnsi="Times New Roman" w:cs="Times New Roman"/>
          <w:sz w:val="20"/>
          <w:szCs w:val="20"/>
        </w:rPr>
      </w:pPr>
      <w:r w:rsidRPr="004E2691">
        <w:rPr>
          <w:rFonts w:ascii="Times New Roman" w:hAnsi="Times New Roman" w:cs="Times New Roman"/>
          <w:sz w:val="20"/>
          <w:szCs w:val="20"/>
        </w:rPr>
        <w:t>LTE LAA operates accordi</w:t>
      </w:r>
      <w:r w:rsidR="004428BF">
        <w:rPr>
          <w:rFonts w:ascii="Times New Roman" w:hAnsi="Times New Roman" w:cs="Times New Roman"/>
          <w:sz w:val="20"/>
          <w:szCs w:val="20"/>
        </w:rPr>
        <w:t>ng to DL only scenario in the case when UL Fixed Frame period is not defined</w:t>
      </w:r>
    </w:p>
    <w:p w:rsidR="00FC4CEB" w:rsidRPr="00FC4CEB" w:rsidRDefault="00FC4CEB" w:rsidP="00FC4CEB">
      <w:pPr>
        <w:pStyle w:val="ListParagraph"/>
        <w:numPr>
          <w:ilvl w:val="0"/>
          <w:numId w:val="17"/>
        </w:numPr>
        <w:rPr>
          <w:rFonts w:ascii="Times New Roman" w:hAnsi="Times New Roman" w:cs="Times New Roman"/>
          <w:sz w:val="20"/>
          <w:szCs w:val="20"/>
        </w:rPr>
      </w:pPr>
      <w:r>
        <w:rPr>
          <w:rFonts w:ascii="Times New Roman" w:eastAsia="+mn-ea" w:hAnsi="Times New Roman" w:cs="Times New Roman"/>
          <w:sz w:val="20"/>
          <w:szCs w:val="20"/>
        </w:rPr>
        <w:t>The current solution supports fully d</w:t>
      </w:r>
      <w:r w:rsidR="002C053F">
        <w:rPr>
          <w:rFonts w:ascii="Times New Roman" w:eastAsia="+mn-ea" w:hAnsi="Times New Roman" w:cs="Times New Roman"/>
          <w:sz w:val="20"/>
          <w:szCs w:val="20"/>
        </w:rPr>
        <w:t>ynamic UL/DL traffic adaptation</w:t>
      </w:r>
    </w:p>
    <w:p w:rsidR="00FC4CEB" w:rsidRPr="00FC4CEB" w:rsidRDefault="00FC4CEB" w:rsidP="00FC4CEB">
      <w:pPr>
        <w:pStyle w:val="ListParagraph"/>
        <w:numPr>
          <w:ilvl w:val="0"/>
          <w:numId w:val="17"/>
        </w:numPr>
        <w:rPr>
          <w:rFonts w:ascii="Times New Roman" w:hAnsi="Times New Roman" w:cs="Times New Roman"/>
          <w:sz w:val="20"/>
          <w:szCs w:val="20"/>
        </w:rPr>
      </w:pPr>
      <w:r>
        <w:rPr>
          <w:rFonts w:ascii="Times New Roman" w:eastAsia="+mn-ea" w:hAnsi="Times New Roman" w:cs="Times New Roman"/>
          <w:sz w:val="20"/>
          <w:szCs w:val="20"/>
        </w:rPr>
        <w:t>LTE LAA configuration can be used to facilitate</w:t>
      </w:r>
      <w:r w:rsidR="004E2691" w:rsidRPr="004E2691">
        <w:rPr>
          <w:rFonts w:ascii="Times New Roman" w:eastAsia="+mn-ea" w:hAnsi="Times New Roman" w:cs="Times New Roman"/>
          <w:sz w:val="20"/>
          <w:szCs w:val="20"/>
        </w:rPr>
        <w:t xml:space="preserve"> eIMTA-type of interference coordination within LTE LAA network</w:t>
      </w:r>
      <w:r>
        <w:rPr>
          <w:rFonts w:ascii="Times New Roman" w:eastAsia="+mn-ea" w:hAnsi="Times New Roman" w:cs="Times New Roman"/>
          <w:sz w:val="20"/>
          <w:szCs w:val="20"/>
        </w:rPr>
        <w:t>. See more details in [9]</w:t>
      </w:r>
      <w:r w:rsidR="001A1F42">
        <w:rPr>
          <w:rFonts w:ascii="Times New Roman" w:eastAsia="+mn-ea" w:hAnsi="Times New Roman" w:cs="Times New Roman"/>
          <w:sz w:val="20"/>
          <w:szCs w:val="20"/>
        </w:rPr>
        <w:t>.</w:t>
      </w:r>
    </w:p>
    <w:p w:rsidR="00E50380" w:rsidRDefault="00FC4CEB">
      <w:pPr>
        <w:rPr>
          <w:bCs/>
        </w:rPr>
      </w:pPr>
      <w:r>
        <w:t xml:space="preserve">The current solution will also enable both phased introduction of LTE LAA UL functionality as well as supporting coexistence of </w:t>
      </w:r>
      <w:r w:rsidRPr="00FC4CEB">
        <w:t>two UE categories, DL-only and UL &amp; DL in the same cell</w:t>
      </w:r>
      <w:r>
        <w:t xml:space="preserve">. </w:t>
      </w:r>
      <w:r>
        <w:rPr>
          <w:bCs/>
        </w:rPr>
        <w:t>Based on the above mentioned aspects we make the following proposals:</w:t>
      </w:r>
    </w:p>
    <w:p w:rsidR="00FC4CEB" w:rsidRDefault="00FC4CEB" w:rsidP="00FC4CEB">
      <w:pPr>
        <w:jc w:val="both"/>
        <w:rPr>
          <w:rFonts w:ascii="Arial" w:hAnsi="Arial" w:cs="Arial"/>
          <w:b/>
          <w:bCs/>
        </w:rPr>
      </w:pPr>
      <w:r w:rsidRPr="000E1492">
        <w:rPr>
          <w:rFonts w:ascii="Arial" w:hAnsi="Arial" w:cs="Arial"/>
          <w:b/>
          <w:bCs/>
        </w:rPr>
        <w:t>Proposal #</w:t>
      </w:r>
      <w:r w:rsidR="00E322B6">
        <w:rPr>
          <w:rFonts w:ascii="Arial" w:hAnsi="Arial" w:cs="Arial"/>
          <w:b/>
          <w:bCs/>
        </w:rPr>
        <w:t>4</w:t>
      </w:r>
      <w:r w:rsidRPr="000E1492">
        <w:rPr>
          <w:rFonts w:ascii="Arial" w:hAnsi="Arial" w:cs="Arial"/>
          <w:b/>
          <w:bCs/>
        </w:rPr>
        <w:t xml:space="preserve">: LTE LAA </w:t>
      </w:r>
      <w:r>
        <w:rPr>
          <w:rFonts w:ascii="Arial" w:hAnsi="Arial" w:cs="Arial"/>
          <w:b/>
          <w:bCs/>
        </w:rPr>
        <w:t>shall</w:t>
      </w:r>
      <w:r w:rsidRPr="000E1492">
        <w:rPr>
          <w:rFonts w:ascii="Arial" w:hAnsi="Arial" w:cs="Arial"/>
          <w:b/>
          <w:bCs/>
        </w:rPr>
        <w:t xml:space="preserve"> support configurable burst length and flexible UL/DL operation</w:t>
      </w:r>
      <w:r w:rsidR="008E254D">
        <w:rPr>
          <w:rFonts w:ascii="Arial" w:hAnsi="Arial" w:cs="Arial"/>
          <w:b/>
          <w:bCs/>
        </w:rPr>
        <w:t>.</w:t>
      </w:r>
    </w:p>
    <w:p w:rsidR="00687AAE" w:rsidRPr="000E1492" w:rsidRDefault="00687AAE" w:rsidP="00FC4CEB">
      <w:pPr>
        <w:jc w:val="both"/>
        <w:rPr>
          <w:rFonts w:ascii="Arial" w:hAnsi="Arial" w:cs="Arial"/>
          <w:b/>
          <w:bCs/>
        </w:rPr>
      </w:pPr>
    </w:p>
    <w:p w:rsidR="00933CE4" w:rsidRDefault="006D10CB" w:rsidP="00D43986">
      <w:r>
        <w:rPr>
          <w:noProof/>
        </w:rPr>
        <w:drawing>
          <wp:inline distT="0" distB="0" distL="0" distR="0">
            <wp:extent cx="6203950" cy="1429385"/>
            <wp:effectExtent l="19050" t="0" r="635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6203950" cy="1429385"/>
                    </a:xfrm>
                    <a:prstGeom prst="rect">
                      <a:avLst/>
                    </a:prstGeom>
                    <a:noFill/>
                    <a:ln w="9525">
                      <a:noFill/>
                      <a:miter lim="800000"/>
                      <a:headEnd/>
                      <a:tailEnd/>
                    </a:ln>
                  </pic:spPr>
                </pic:pic>
              </a:graphicData>
            </a:graphic>
          </wp:inline>
        </w:drawing>
      </w:r>
    </w:p>
    <w:p w:rsidR="000E1492" w:rsidRPr="001863B1" w:rsidRDefault="000E1492" w:rsidP="000E1492">
      <w:pPr>
        <w:pStyle w:val="Caption"/>
        <w:jc w:val="center"/>
      </w:pPr>
      <w:proofErr w:type="gramStart"/>
      <w:r w:rsidRPr="001863B1">
        <w:t xml:space="preserve">Figure </w:t>
      </w:r>
      <w:r w:rsidR="003A25CC">
        <w:t>4</w:t>
      </w:r>
      <w:r w:rsidRPr="001863B1">
        <w:t>.</w:t>
      </w:r>
      <w:proofErr w:type="gramEnd"/>
      <w:r w:rsidRPr="001863B1">
        <w:t xml:space="preserve"> </w:t>
      </w:r>
      <w:proofErr w:type="gramStart"/>
      <w:r>
        <w:t xml:space="preserve">Example </w:t>
      </w:r>
      <w:r w:rsidR="00FC4CEB">
        <w:t>of flexible LTE LAA configuration</w:t>
      </w:r>
      <w:r w:rsidRPr="001863B1">
        <w:t>.</w:t>
      </w:r>
      <w:proofErr w:type="gramEnd"/>
    </w:p>
    <w:p w:rsidR="006E1C89" w:rsidRPr="001863B1" w:rsidRDefault="006E1C89" w:rsidP="00D43986"/>
    <w:p w:rsidR="0034111C" w:rsidRPr="001863B1" w:rsidRDefault="003B42B1">
      <w:pPr>
        <w:pStyle w:val="Heading1"/>
        <w:rPr>
          <w:rFonts w:cs="Arial"/>
          <w:lang w:val="en-US"/>
        </w:rPr>
      </w:pPr>
      <w:r w:rsidRPr="001863B1">
        <w:rPr>
          <w:rFonts w:cs="Arial"/>
          <w:lang w:val="en-US"/>
        </w:rPr>
        <w:t>5</w:t>
      </w:r>
      <w:r w:rsidR="00FD0F4A" w:rsidRPr="001863B1">
        <w:rPr>
          <w:rFonts w:cs="Arial"/>
          <w:lang w:val="en-US"/>
        </w:rPr>
        <w:t xml:space="preserve">. </w:t>
      </w:r>
      <w:r w:rsidRPr="001863B1">
        <w:rPr>
          <w:rFonts w:cs="Arial"/>
          <w:lang w:val="en-US"/>
        </w:rPr>
        <w:t>Summary</w:t>
      </w:r>
    </w:p>
    <w:p w:rsidR="00D44382" w:rsidRPr="001863B1" w:rsidRDefault="00D44382" w:rsidP="00CA3D63">
      <w:pPr>
        <w:jc w:val="both"/>
        <w:rPr>
          <w:rFonts w:ascii="Arial" w:hAnsi="Arial" w:cs="Arial"/>
          <w:lang w:eastAsia="zh-CN"/>
        </w:rPr>
      </w:pPr>
      <w:r w:rsidRPr="001863B1">
        <w:rPr>
          <w:rFonts w:ascii="Arial" w:hAnsi="Arial" w:cs="Arial"/>
          <w:lang w:eastAsia="zh-CN"/>
        </w:rPr>
        <w:t>In this</w:t>
      </w:r>
      <w:r w:rsidR="00293C3B" w:rsidRPr="001863B1">
        <w:rPr>
          <w:rFonts w:ascii="Arial" w:hAnsi="Arial" w:cs="Arial"/>
          <w:lang w:eastAsia="zh-CN"/>
        </w:rPr>
        <w:t xml:space="preserve"> contribution we have discussed </w:t>
      </w:r>
      <w:r w:rsidR="006D1CD5" w:rsidRPr="001863B1">
        <w:rPr>
          <w:rFonts w:ascii="Arial" w:hAnsi="Arial" w:cs="Arial"/>
          <w:lang w:eastAsia="zh-CN"/>
        </w:rPr>
        <w:t xml:space="preserve">candidate solutions for Listen-Before-Talk (LBT) and channel access </w:t>
      </w:r>
      <w:r w:rsidR="00293C3B" w:rsidRPr="001863B1">
        <w:rPr>
          <w:rFonts w:ascii="Arial" w:hAnsi="Arial" w:cs="Arial"/>
          <w:lang w:eastAsia="zh-CN"/>
        </w:rPr>
        <w:t xml:space="preserve">based on regulatory rules defined by ETSI. </w:t>
      </w:r>
      <w:r w:rsidR="00A0328B" w:rsidRPr="001863B1">
        <w:rPr>
          <w:rFonts w:ascii="Arial" w:hAnsi="Arial" w:cs="Arial"/>
          <w:lang w:eastAsia="zh-CN"/>
        </w:rPr>
        <w:t>Based on the discussion w</w:t>
      </w:r>
      <w:r w:rsidR="0090005D" w:rsidRPr="001863B1">
        <w:rPr>
          <w:rFonts w:ascii="Arial" w:hAnsi="Arial" w:cs="Arial"/>
          <w:lang w:eastAsia="zh-CN"/>
        </w:rPr>
        <w:t xml:space="preserve">e make the following </w:t>
      </w:r>
      <w:r w:rsidR="00293C3B" w:rsidRPr="001863B1">
        <w:rPr>
          <w:rFonts w:ascii="Arial" w:hAnsi="Arial" w:cs="Arial"/>
          <w:lang w:eastAsia="zh-CN"/>
        </w:rPr>
        <w:t>observation</w:t>
      </w:r>
      <w:r w:rsidR="00E4044D">
        <w:rPr>
          <w:rFonts w:ascii="Arial" w:hAnsi="Arial" w:cs="Arial"/>
          <w:lang w:eastAsia="zh-CN"/>
        </w:rPr>
        <w:t>s</w:t>
      </w:r>
      <w:r w:rsidR="00293C3B" w:rsidRPr="001863B1">
        <w:rPr>
          <w:rFonts w:ascii="Arial" w:hAnsi="Arial" w:cs="Arial"/>
          <w:lang w:eastAsia="zh-CN"/>
        </w:rPr>
        <w:t xml:space="preserve"> and proposals:</w:t>
      </w:r>
    </w:p>
    <w:p w:rsidR="00293C3B" w:rsidRDefault="00293C3B" w:rsidP="00293C3B">
      <w:pPr>
        <w:jc w:val="both"/>
        <w:rPr>
          <w:rFonts w:ascii="Arial" w:hAnsi="Arial" w:cs="Arial"/>
          <w:b/>
          <w:bCs/>
        </w:rPr>
      </w:pPr>
      <w:r w:rsidRPr="001863B1">
        <w:rPr>
          <w:rFonts w:ascii="Arial" w:hAnsi="Arial" w:cs="Arial"/>
          <w:b/>
          <w:bCs/>
        </w:rPr>
        <w:t xml:space="preserve">Observation #1: </w:t>
      </w:r>
      <w:r w:rsidR="005E2109" w:rsidRPr="001863B1">
        <w:rPr>
          <w:rFonts w:ascii="Arial" w:hAnsi="Arial" w:cs="Arial"/>
          <w:b/>
          <w:bCs/>
        </w:rPr>
        <w:t>A single global solution which enhances LTE to enable licensed-assisted access to unlicensed spectrum must fulfill, besides others, the LBT rules defined by ETSI.</w:t>
      </w:r>
    </w:p>
    <w:p w:rsidR="00B64CD1" w:rsidRDefault="00B64CD1" w:rsidP="00B64CD1">
      <w:pPr>
        <w:jc w:val="both"/>
        <w:rPr>
          <w:lang w:eastAsia="ko-KR"/>
        </w:rPr>
      </w:pPr>
      <w:r>
        <w:rPr>
          <w:rFonts w:ascii="Arial" w:hAnsi="Arial" w:cs="Arial"/>
          <w:b/>
          <w:bCs/>
        </w:rPr>
        <w:t xml:space="preserve">Observation </w:t>
      </w:r>
      <w:r w:rsidRPr="001863B1">
        <w:rPr>
          <w:rFonts w:ascii="Arial" w:hAnsi="Arial" w:cs="Arial"/>
          <w:b/>
          <w:bCs/>
        </w:rPr>
        <w:t>#</w:t>
      </w:r>
      <w:r>
        <w:rPr>
          <w:rFonts w:ascii="Arial" w:hAnsi="Arial" w:cs="Arial"/>
          <w:b/>
          <w:bCs/>
        </w:rPr>
        <w:t>2</w:t>
      </w:r>
      <w:r w:rsidRPr="001863B1">
        <w:rPr>
          <w:rFonts w:ascii="Arial" w:hAnsi="Arial" w:cs="Arial"/>
          <w:b/>
          <w:bCs/>
        </w:rPr>
        <w:t>:</w:t>
      </w:r>
      <w:r>
        <w:rPr>
          <w:rFonts w:ascii="Arial" w:hAnsi="Arial" w:cs="Arial"/>
          <w:b/>
          <w:bCs/>
        </w:rPr>
        <w:t xml:space="preserve"> Frame structure 2</w:t>
      </w:r>
      <w:r w:rsidR="00891F03">
        <w:rPr>
          <w:rFonts w:ascii="Arial" w:hAnsi="Arial" w:cs="Arial"/>
          <w:b/>
          <w:bCs/>
        </w:rPr>
        <w:t xml:space="preserve"> as such</w:t>
      </w:r>
      <w:r>
        <w:rPr>
          <w:rFonts w:ascii="Arial" w:hAnsi="Arial" w:cs="Arial"/>
          <w:b/>
          <w:bCs/>
        </w:rPr>
        <w:t xml:space="preserve"> is not a sufficient solution for LTE LAA UL-DL operation.</w:t>
      </w:r>
    </w:p>
    <w:p w:rsidR="00293C3B" w:rsidRPr="001863B1" w:rsidRDefault="00293C3B" w:rsidP="00293C3B">
      <w:pPr>
        <w:jc w:val="both"/>
        <w:rPr>
          <w:rFonts w:ascii="Arial" w:hAnsi="Arial" w:cs="Arial"/>
          <w:b/>
          <w:bCs/>
        </w:rPr>
      </w:pPr>
      <w:r w:rsidRPr="001863B1">
        <w:rPr>
          <w:rFonts w:ascii="Arial" w:hAnsi="Arial" w:cs="Arial"/>
          <w:b/>
          <w:bCs/>
        </w:rPr>
        <w:t xml:space="preserve">Proposal #1: Frame structure type 2 building blocks </w:t>
      </w:r>
      <w:r w:rsidR="00107AA9">
        <w:rPr>
          <w:rFonts w:ascii="Arial" w:hAnsi="Arial" w:cs="Arial"/>
          <w:b/>
          <w:bCs/>
        </w:rPr>
        <w:t>can be</w:t>
      </w:r>
      <w:r w:rsidR="00107AA9" w:rsidRPr="001863B1">
        <w:rPr>
          <w:rFonts w:ascii="Arial" w:hAnsi="Arial" w:cs="Arial"/>
          <w:b/>
          <w:bCs/>
        </w:rPr>
        <w:t xml:space="preserve"> </w:t>
      </w:r>
      <w:r w:rsidRPr="001863B1">
        <w:rPr>
          <w:rFonts w:ascii="Arial" w:hAnsi="Arial" w:cs="Arial"/>
          <w:b/>
          <w:bCs/>
        </w:rPr>
        <w:t xml:space="preserve">used to facilitate LBT. </w:t>
      </w:r>
    </w:p>
    <w:p w:rsidR="00107AA9" w:rsidRPr="000E1492" w:rsidRDefault="00107AA9" w:rsidP="00107AA9">
      <w:pPr>
        <w:jc w:val="both"/>
        <w:rPr>
          <w:rFonts w:ascii="Arial" w:hAnsi="Arial" w:cs="Arial"/>
          <w:b/>
          <w:bCs/>
        </w:rPr>
      </w:pPr>
      <w:r w:rsidRPr="000E1492">
        <w:rPr>
          <w:rFonts w:ascii="Arial" w:hAnsi="Arial" w:cs="Arial"/>
          <w:b/>
          <w:bCs/>
        </w:rPr>
        <w:t>Proposal #</w:t>
      </w:r>
      <w:r>
        <w:rPr>
          <w:rFonts w:ascii="Arial" w:hAnsi="Arial" w:cs="Arial"/>
          <w:b/>
          <w:bCs/>
        </w:rPr>
        <w:t>2</w:t>
      </w:r>
      <w:r w:rsidRPr="000E1492">
        <w:rPr>
          <w:rFonts w:ascii="Arial" w:hAnsi="Arial" w:cs="Arial"/>
          <w:b/>
          <w:bCs/>
        </w:rPr>
        <w:t xml:space="preserve">: </w:t>
      </w:r>
      <w:r w:rsidRPr="003E47A6">
        <w:rPr>
          <w:rFonts w:ascii="Arial" w:hAnsi="Arial" w:cs="Arial"/>
          <w:b/>
          <w:bCs/>
        </w:rPr>
        <w:t>Frame Based Equipment operation according to ETSI rules should be considered as a baseline for LTE LAA Uplink operation.</w:t>
      </w:r>
    </w:p>
    <w:p w:rsidR="00107AA9" w:rsidRDefault="00107AA9" w:rsidP="00107AA9">
      <w:pPr>
        <w:jc w:val="both"/>
        <w:rPr>
          <w:rFonts w:ascii="Arial" w:hAnsi="Arial" w:cs="Arial"/>
          <w:b/>
          <w:bCs/>
        </w:rPr>
      </w:pPr>
      <w:r w:rsidRPr="000E1492">
        <w:rPr>
          <w:rFonts w:ascii="Arial" w:hAnsi="Arial" w:cs="Arial"/>
          <w:b/>
          <w:bCs/>
        </w:rPr>
        <w:t>Proposal #</w:t>
      </w:r>
      <w:r>
        <w:rPr>
          <w:rFonts w:ascii="Arial" w:hAnsi="Arial" w:cs="Arial"/>
          <w:b/>
          <w:bCs/>
        </w:rPr>
        <w:t>3</w:t>
      </w:r>
      <w:r w:rsidRPr="000E1492">
        <w:rPr>
          <w:rFonts w:ascii="Arial" w:hAnsi="Arial" w:cs="Arial"/>
          <w:b/>
          <w:bCs/>
        </w:rPr>
        <w:t xml:space="preserve">: </w:t>
      </w:r>
      <w:r>
        <w:rPr>
          <w:rFonts w:ascii="Arial" w:hAnsi="Arial" w:cs="Arial"/>
          <w:b/>
          <w:bCs/>
        </w:rPr>
        <w:t>Load</w:t>
      </w:r>
      <w:r w:rsidRPr="003E47A6">
        <w:rPr>
          <w:rFonts w:ascii="Arial" w:hAnsi="Arial" w:cs="Arial"/>
          <w:b/>
          <w:bCs/>
        </w:rPr>
        <w:t xml:space="preserve"> Based Equipment operation according to ETSI rules should be considered as a baseline for LTE LAA </w:t>
      </w:r>
      <w:r>
        <w:rPr>
          <w:rFonts w:ascii="Arial" w:hAnsi="Arial" w:cs="Arial"/>
          <w:b/>
          <w:bCs/>
        </w:rPr>
        <w:t>Downlink</w:t>
      </w:r>
      <w:r w:rsidRPr="003E47A6">
        <w:rPr>
          <w:rFonts w:ascii="Arial" w:hAnsi="Arial" w:cs="Arial"/>
          <w:b/>
          <w:bCs/>
        </w:rPr>
        <w:t xml:space="preserve"> operation.</w:t>
      </w:r>
      <w:r w:rsidRPr="000E1492" w:rsidDel="003E47A6">
        <w:rPr>
          <w:rFonts w:ascii="Arial" w:hAnsi="Arial" w:cs="Arial"/>
          <w:b/>
          <w:bCs/>
        </w:rPr>
        <w:t xml:space="preserve"> </w:t>
      </w:r>
    </w:p>
    <w:p w:rsidR="00E50380" w:rsidRDefault="00AF787D">
      <w:pPr>
        <w:jc w:val="both"/>
        <w:rPr>
          <w:rFonts w:ascii="Arial" w:hAnsi="Arial" w:cs="Arial"/>
          <w:b/>
          <w:bCs/>
        </w:rPr>
      </w:pPr>
      <w:r w:rsidRPr="000E1492">
        <w:rPr>
          <w:rFonts w:ascii="Arial" w:hAnsi="Arial" w:cs="Arial"/>
          <w:b/>
          <w:bCs/>
        </w:rPr>
        <w:t>Proposal #</w:t>
      </w:r>
      <w:r w:rsidR="00E322B6">
        <w:rPr>
          <w:rFonts w:ascii="Arial" w:hAnsi="Arial" w:cs="Arial"/>
          <w:b/>
          <w:bCs/>
        </w:rPr>
        <w:t>4</w:t>
      </w:r>
      <w:r w:rsidRPr="000E1492">
        <w:rPr>
          <w:rFonts w:ascii="Arial" w:hAnsi="Arial" w:cs="Arial"/>
          <w:b/>
          <w:bCs/>
        </w:rPr>
        <w:t xml:space="preserve">: LTE LAA </w:t>
      </w:r>
      <w:r w:rsidR="00C7747D">
        <w:rPr>
          <w:rFonts w:ascii="Arial" w:hAnsi="Arial" w:cs="Arial"/>
          <w:b/>
          <w:bCs/>
        </w:rPr>
        <w:t>shall</w:t>
      </w:r>
      <w:r w:rsidRPr="000E1492">
        <w:rPr>
          <w:rFonts w:ascii="Arial" w:hAnsi="Arial" w:cs="Arial"/>
          <w:b/>
          <w:bCs/>
        </w:rPr>
        <w:t xml:space="preserve"> support configurable burst length and flexible UL/DL operation</w:t>
      </w:r>
      <w:r w:rsidR="00C7747D">
        <w:rPr>
          <w:rFonts w:ascii="Arial" w:hAnsi="Arial" w:cs="Arial"/>
          <w:b/>
          <w:bCs/>
        </w:rPr>
        <w:t>.</w:t>
      </w:r>
    </w:p>
    <w:p w:rsidR="008E254D" w:rsidRDefault="008E254D">
      <w:pPr>
        <w:jc w:val="both"/>
        <w:rPr>
          <w:rFonts w:ascii="Arial" w:hAnsi="Arial" w:cs="Arial"/>
          <w:b/>
          <w:bCs/>
        </w:rPr>
      </w:pPr>
    </w:p>
    <w:p w:rsidR="0034111C" w:rsidRPr="001863B1" w:rsidRDefault="0034111C">
      <w:pPr>
        <w:pStyle w:val="Heading1"/>
        <w:rPr>
          <w:rFonts w:cs="Arial"/>
          <w:lang w:val="en-US"/>
        </w:rPr>
      </w:pPr>
      <w:r w:rsidRPr="001863B1">
        <w:rPr>
          <w:rFonts w:cs="Arial"/>
          <w:lang w:val="en-US"/>
        </w:rPr>
        <w:t>References</w:t>
      </w:r>
    </w:p>
    <w:p w:rsidR="00346554" w:rsidRPr="001863B1" w:rsidRDefault="00346554" w:rsidP="00033402">
      <w:pPr>
        <w:numPr>
          <w:ilvl w:val="0"/>
          <w:numId w:val="1"/>
        </w:numPr>
        <w:rPr>
          <w:sz w:val="18"/>
        </w:rPr>
      </w:pPr>
      <w:r w:rsidRPr="001863B1">
        <w:rPr>
          <w:sz w:val="18"/>
          <w:lang w:eastAsia="zh-CN"/>
        </w:rPr>
        <w:t>RP-141646, “</w:t>
      </w:r>
      <w:r w:rsidRPr="001863B1">
        <w:rPr>
          <w:i/>
          <w:sz w:val="18"/>
          <w:lang w:eastAsia="zh-CN"/>
        </w:rPr>
        <w:t>Study on Licensed-Assisted Access using LTE</w:t>
      </w:r>
      <w:r w:rsidRPr="001863B1">
        <w:rPr>
          <w:sz w:val="18"/>
          <w:lang w:eastAsia="zh-CN"/>
        </w:rPr>
        <w:t xml:space="preserve">”, Ericsson, Qualcomm, </w:t>
      </w:r>
      <w:proofErr w:type="spellStart"/>
      <w:r w:rsidRPr="001863B1">
        <w:rPr>
          <w:sz w:val="18"/>
          <w:lang w:eastAsia="zh-CN"/>
        </w:rPr>
        <w:t>Huawei</w:t>
      </w:r>
      <w:proofErr w:type="spellEnd"/>
      <w:r w:rsidRPr="001863B1">
        <w:rPr>
          <w:sz w:val="18"/>
          <w:lang w:eastAsia="zh-CN"/>
        </w:rPr>
        <w:t>, Alcatel-Lucent</w:t>
      </w:r>
    </w:p>
    <w:p w:rsidR="003F1171" w:rsidRPr="001863B1" w:rsidRDefault="003F1171" w:rsidP="00033402">
      <w:pPr>
        <w:numPr>
          <w:ilvl w:val="0"/>
          <w:numId w:val="1"/>
        </w:numPr>
        <w:rPr>
          <w:sz w:val="18"/>
        </w:rPr>
      </w:pPr>
      <w:r w:rsidRPr="001863B1">
        <w:rPr>
          <w:sz w:val="18"/>
        </w:rPr>
        <w:t>RP-140054, “</w:t>
      </w:r>
      <w:r w:rsidRPr="001863B1">
        <w:rPr>
          <w:i/>
          <w:sz w:val="18"/>
        </w:rPr>
        <w:t>Review of Regulatory Requirements for Unlicensed Spectrum</w:t>
      </w:r>
      <w:r w:rsidRPr="001863B1">
        <w:rPr>
          <w:sz w:val="18"/>
        </w:rPr>
        <w:t xml:space="preserve">”, Alcatel-Lucent, Alcatel-Lucent Shanghai Bell, Ericsson, </w:t>
      </w:r>
      <w:proofErr w:type="spellStart"/>
      <w:r w:rsidRPr="001863B1">
        <w:rPr>
          <w:sz w:val="18"/>
        </w:rPr>
        <w:t>Huawei</w:t>
      </w:r>
      <w:proofErr w:type="spellEnd"/>
      <w:r w:rsidRPr="001863B1">
        <w:rPr>
          <w:sz w:val="18"/>
        </w:rPr>
        <w:t xml:space="preserve">, </w:t>
      </w:r>
      <w:proofErr w:type="spellStart"/>
      <w:r w:rsidRPr="001863B1">
        <w:rPr>
          <w:sz w:val="18"/>
        </w:rPr>
        <w:t>HiSilicon</w:t>
      </w:r>
      <w:proofErr w:type="spellEnd"/>
      <w:r w:rsidRPr="001863B1">
        <w:rPr>
          <w:sz w:val="18"/>
        </w:rPr>
        <w:t>, IAESI, LG, Nokia, NSN, Qualcomm</w:t>
      </w:r>
    </w:p>
    <w:p w:rsidR="00EA349E" w:rsidRPr="00843B06" w:rsidRDefault="00EA349E" w:rsidP="00EA349E">
      <w:pPr>
        <w:pStyle w:val="BodyText"/>
        <w:numPr>
          <w:ilvl w:val="0"/>
          <w:numId w:val="1"/>
        </w:numPr>
        <w:rPr>
          <w:sz w:val="18"/>
          <w:lang w:val="en-US"/>
        </w:rPr>
      </w:pPr>
      <w:bookmarkStart w:id="0" w:name="_Ref398884562"/>
      <w:r w:rsidRPr="001863B1">
        <w:rPr>
          <w:sz w:val="18"/>
          <w:lang w:val="en-US"/>
        </w:rPr>
        <w:t>ETSI EN 301 893, Harmonized European Standard, “</w:t>
      </w:r>
      <w:r w:rsidRPr="008E254D">
        <w:rPr>
          <w:i/>
          <w:sz w:val="18"/>
          <w:lang w:val="en-US"/>
        </w:rPr>
        <w:t xml:space="preserve">Broadband Radio Access Networks (BRAN); 5 GHz high performance </w:t>
      </w:r>
      <w:r w:rsidR="002A6DA4">
        <w:rPr>
          <w:i/>
          <w:sz w:val="18"/>
          <w:lang w:val="en-US"/>
        </w:rPr>
        <w:t>RLAN</w:t>
      </w:r>
      <w:r w:rsidR="002A6DA4">
        <w:rPr>
          <w:sz w:val="18"/>
          <w:lang w:val="en-US"/>
        </w:rPr>
        <w:t>”</w:t>
      </w:r>
      <w:bookmarkEnd w:id="0"/>
      <w:r w:rsidR="002A6DA4">
        <w:rPr>
          <w:sz w:val="18"/>
          <w:lang w:val="en-US"/>
        </w:rPr>
        <w:t>, v.1.7.1</w:t>
      </w:r>
    </w:p>
    <w:p w:rsidR="00EA349E" w:rsidRPr="00843B06" w:rsidRDefault="002A6DA4" w:rsidP="00EA349E">
      <w:pPr>
        <w:pStyle w:val="BodyText"/>
        <w:numPr>
          <w:ilvl w:val="0"/>
          <w:numId w:val="1"/>
        </w:numPr>
        <w:rPr>
          <w:sz w:val="18"/>
          <w:lang w:val="en-US"/>
        </w:rPr>
      </w:pPr>
      <w:r>
        <w:rPr>
          <w:sz w:val="18"/>
          <w:lang w:val="en-US"/>
        </w:rPr>
        <w:t>ETSI EN 302 502, Harmonized European Standard, “</w:t>
      </w:r>
      <w:r>
        <w:rPr>
          <w:i/>
          <w:sz w:val="18"/>
          <w:lang w:val="en-US"/>
        </w:rPr>
        <w:t>Broadband Radio Access Networks (BRAN); 5,8 GHz fixed broadband data transmitting systems</w:t>
      </w:r>
      <w:r>
        <w:rPr>
          <w:sz w:val="18"/>
          <w:lang w:val="en-US"/>
        </w:rPr>
        <w:t>”</w:t>
      </w:r>
    </w:p>
    <w:p w:rsidR="00EA349E" w:rsidRPr="00843B06" w:rsidRDefault="002A6DA4" w:rsidP="00EA349E">
      <w:pPr>
        <w:pStyle w:val="BodyText"/>
        <w:numPr>
          <w:ilvl w:val="0"/>
          <w:numId w:val="1"/>
        </w:numPr>
        <w:rPr>
          <w:sz w:val="18"/>
          <w:lang w:val="en-US"/>
        </w:rPr>
      </w:pPr>
      <w:r>
        <w:rPr>
          <w:sz w:val="18"/>
          <w:lang w:val="en-US"/>
        </w:rPr>
        <w:t>ETSI EN 302 571, Harmonized European Standard, “</w:t>
      </w:r>
      <w:r>
        <w:rPr>
          <w:i/>
          <w:sz w:val="18"/>
          <w:lang w:val="en-US"/>
        </w:rPr>
        <w:t>Intelligent Transport Systems (ITS); Radio communications equipment operating in the 5 855 MHz to 5 925 MHz frequency band</w:t>
      </w:r>
      <w:r>
        <w:rPr>
          <w:sz w:val="18"/>
          <w:lang w:val="en-US"/>
        </w:rPr>
        <w:t>”</w:t>
      </w:r>
      <w:bookmarkStart w:id="1" w:name="_GoBack"/>
      <w:bookmarkEnd w:id="1"/>
    </w:p>
    <w:p w:rsidR="00222A1E" w:rsidRPr="00843B06" w:rsidRDefault="002A6DA4" w:rsidP="00EA349E">
      <w:pPr>
        <w:pStyle w:val="BodyText"/>
        <w:numPr>
          <w:ilvl w:val="0"/>
          <w:numId w:val="1"/>
        </w:numPr>
        <w:rPr>
          <w:sz w:val="18"/>
          <w:lang w:val="en-US"/>
        </w:rPr>
      </w:pPr>
      <w:r>
        <w:rPr>
          <w:sz w:val="18"/>
          <w:lang w:val="en-US"/>
        </w:rPr>
        <w:t>R1-144183, “</w:t>
      </w:r>
      <w:r>
        <w:rPr>
          <w:i/>
          <w:sz w:val="18"/>
          <w:lang w:val="en-US"/>
        </w:rPr>
        <w:t>Channel Access Mechanisms according to ETSI regulations</w:t>
      </w:r>
      <w:r>
        <w:rPr>
          <w:sz w:val="18"/>
          <w:lang w:val="en-US"/>
        </w:rPr>
        <w:t>”, Nokia Networks, Nokia Corporation</w:t>
      </w:r>
    </w:p>
    <w:p w:rsidR="00293C3B" w:rsidRPr="00843B06" w:rsidRDefault="003E47A6" w:rsidP="00293C3B">
      <w:pPr>
        <w:pStyle w:val="BodyText"/>
        <w:numPr>
          <w:ilvl w:val="0"/>
          <w:numId w:val="1"/>
        </w:numPr>
        <w:rPr>
          <w:sz w:val="18"/>
          <w:lang w:val="en-US"/>
        </w:rPr>
      </w:pPr>
      <w:r w:rsidRPr="003E47A6">
        <w:rPr>
          <w:sz w:val="18"/>
          <w:lang w:val="en-US"/>
        </w:rPr>
        <w:t>R1-</w:t>
      </w:r>
      <w:r w:rsidRPr="00107AA9">
        <w:rPr>
          <w:sz w:val="18"/>
          <w:lang w:val="en-US"/>
        </w:rPr>
        <w:t>150457</w:t>
      </w:r>
      <w:r w:rsidR="003E0B56" w:rsidRPr="00107AA9">
        <w:rPr>
          <w:sz w:val="18"/>
          <w:lang w:val="en-US"/>
        </w:rPr>
        <w:t>,</w:t>
      </w:r>
      <w:r w:rsidR="002A6DA4" w:rsidRPr="00107AA9">
        <w:rPr>
          <w:sz w:val="18"/>
          <w:lang w:val="en-US"/>
        </w:rPr>
        <w:t xml:space="preserve"> “</w:t>
      </w:r>
      <w:r w:rsidRPr="00107AA9">
        <w:rPr>
          <w:i/>
          <w:sz w:val="18"/>
          <w:lang w:val="en-US"/>
        </w:rPr>
        <w:t xml:space="preserve">On UE </w:t>
      </w:r>
      <w:proofErr w:type="spellStart"/>
      <w:r w:rsidRPr="00107AA9">
        <w:rPr>
          <w:i/>
          <w:sz w:val="18"/>
          <w:lang w:val="en-US"/>
        </w:rPr>
        <w:t>sychnronization</w:t>
      </w:r>
      <w:proofErr w:type="spellEnd"/>
      <w:r w:rsidR="002A6DA4">
        <w:rPr>
          <w:i/>
          <w:sz w:val="18"/>
          <w:lang w:val="en-US"/>
        </w:rPr>
        <w:t xml:space="preserve"> for LTE LAA</w:t>
      </w:r>
      <w:r w:rsidR="002A6DA4">
        <w:rPr>
          <w:sz w:val="18"/>
          <w:lang w:val="en-US"/>
        </w:rPr>
        <w:t>”, Nokia Networks, Nokia Corporation</w:t>
      </w:r>
    </w:p>
    <w:p w:rsidR="007A5706" w:rsidRPr="00843B06" w:rsidRDefault="003E0B56" w:rsidP="007A5706">
      <w:pPr>
        <w:pStyle w:val="BodyText"/>
        <w:numPr>
          <w:ilvl w:val="0"/>
          <w:numId w:val="1"/>
        </w:numPr>
        <w:rPr>
          <w:sz w:val="18"/>
          <w:lang w:val="en-US"/>
        </w:rPr>
      </w:pPr>
      <w:r>
        <w:rPr>
          <w:sz w:val="18"/>
          <w:lang w:val="en-US"/>
        </w:rPr>
        <w:t>R1-15</w:t>
      </w:r>
      <w:r w:rsidRPr="003E0B56">
        <w:rPr>
          <w:sz w:val="18"/>
          <w:lang w:val="en-US"/>
        </w:rPr>
        <w:t>0496</w:t>
      </w:r>
      <w:r>
        <w:rPr>
          <w:sz w:val="18"/>
          <w:lang w:val="en-US"/>
        </w:rPr>
        <w:t>, “</w:t>
      </w:r>
      <w:r>
        <w:rPr>
          <w:i/>
          <w:sz w:val="18"/>
          <w:lang w:val="en-US"/>
        </w:rPr>
        <w:t>LAA LBT</w:t>
      </w:r>
      <w:r w:rsidR="002A6DA4">
        <w:rPr>
          <w:i/>
          <w:sz w:val="18"/>
          <w:lang w:val="en-US"/>
        </w:rPr>
        <w:t xml:space="preserve"> operation using Reservation signals</w:t>
      </w:r>
      <w:r w:rsidR="002A6DA4">
        <w:rPr>
          <w:sz w:val="18"/>
          <w:lang w:val="en-US"/>
        </w:rPr>
        <w:t>”, Nokia Corporation, Nokia Networks</w:t>
      </w:r>
    </w:p>
    <w:p w:rsidR="00FC4CEB" w:rsidRPr="00843B06" w:rsidRDefault="003E0B56" w:rsidP="00FC4CEB">
      <w:pPr>
        <w:pStyle w:val="BodyText"/>
        <w:numPr>
          <w:ilvl w:val="0"/>
          <w:numId w:val="1"/>
        </w:numPr>
        <w:rPr>
          <w:sz w:val="18"/>
          <w:lang w:val="en-US"/>
        </w:rPr>
      </w:pPr>
      <w:r w:rsidRPr="003E0B56">
        <w:rPr>
          <w:sz w:val="18"/>
          <w:lang w:val="en-US"/>
        </w:rPr>
        <w:t>R1-150456</w:t>
      </w:r>
      <w:r>
        <w:rPr>
          <w:sz w:val="18"/>
          <w:lang w:val="en-US"/>
        </w:rPr>
        <w:t>, “</w:t>
      </w:r>
      <w:r>
        <w:rPr>
          <w:i/>
          <w:sz w:val="18"/>
          <w:lang w:val="en-US"/>
        </w:rPr>
        <w:t>On LTE</w:t>
      </w:r>
      <w:r w:rsidR="002A6DA4">
        <w:rPr>
          <w:i/>
          <w:sz w:val="18"/>
          <w:lang w:val="en-US"/>
        </w:rPr>
        <w:t xml:space="preserve"> LAA inter-cell interference management mechanisms</w:t>
      </w:r>
      <w:r w:rsidR="002A6DA4">
        <w:rPr>
          <w:sz w:val="18"/>
          <w:lang w:val="en-US"/>
        </w:rPr>
        <w:t>”, Nokia Networks, Nokia Corporation</w:t>
      </w:r>
    </w:p>
    <w:p w:rsidR="00BA2D53" w:rsidRPr="00843B06" w:rsidRDefault="002A6DA4" w:rsidP="00FC4CEB">
      <w:pPr>
        <w:pStyle w:val="BodyText"/>
        <w:numPr>
          <w:ilvl w:val="0"/>
          <w:numId w:val="1"/>
        </w:numPr>
        <w:rPr>
          <w:sz w:val="18"/>
          <w:lang w:val="en-US"/>
        </w:rPr>
      </w:pPr>
      <w:r>
        <w:rPr>
          <w:sz w:val="18"/>
          <w:lang w:val="en-US"/>
        </w:rPr>
        <w:t>R1-144000, “</w:t>
      </w:r>
      <w:r>
        <w:rPr>
          <w:i/>
          <w:sz w:val="18"/>
          <w:lang w:val="en-US"/>
        </w:rPr>
        <w:t>Solutions for required functionalities and design targets</w:t>
      </w:r>
      <w:r>
        <w:rPr>
          <w:sz w:val="18"/>
          <w:lang w:val="en-US"/>
        </w:rPr>
        <w:t>”,</w:t>
      </w:r>
      <w:r>
        <w:rPr>
          <w:sz w:val="18"/>
          <w:lang w:val="en-US"/>
        </w:rPr>
        <w:tab/>
        <w:t>Qualcomm Inc.</w:t>
      </w:r>
    </w:p>
    <w:p w:rsidR="00B7466A" w:rsidRDefault="00B7466A" w:rsidP="003E47A6">
      <w:pPr>
        <w:pStyle w:val="BodyText"/>
        <w:ind w:left="357"/>
      </w:pPr>
    </w:p>
    <w:sectPr w:rsidR="00B7466A"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ACE383" w15:done="0"/>
  <w15:commentEx w15:paraId="640FD9CA" w15:done="0"/>
  <w15:commentEx w15:paraId="7376FED9" w15:done="0"/>
  <w15:commentEx w15:paraId="6372229C" w15:done="0"/>
  <w15:commentEx w15:paraId="63F6443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CD1" w:rsidRDefault="00B11CD1">
      <w:r>
        <w:separator/>
      </w:r>
    </w:p>
  </w:endnote>
  <w:endnote w:type="continuationSeparator" w:id="0">
    <w:p w:rsidR="00B11CD1" w:rsidRDefault="00B11C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CD1" w:rsidRDefault="00B11CD1">
      <w:r>
        <w:separator/>
      </w:r>
    </w:p>
  </w:footnote>
  <w:footnote w:type="continuationSeparator" w:id="0">
    <w:p w:rsidR="00B11CD1" w:rsidRDefault="00B11C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FA2"/>
    <w:multiLevelType w:val="hybridMultilevel"/>
    <w:tmpl w:val="E7C87BA8"/>
    <w:lvl w:ilvl="0" w:tplc="02F0094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41DB"/>
    <w:multiLevelType w:val="hybridMultilevel"/>
    <w:tmpl w:val="686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54534"/>
    <w:multiLevelType w:val="hybridMultilevel"/>
    <w:tmpl w:val="55341D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A1016FE"/>
    <w:multiLevelType w:val="hybridMultilevel"/>
    <w:tmpl w:val="D5D8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F0552"/>
    <w:multiLevelType w:val="hybridMultilevel"/>
    <w:tmpl w:val="AE72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396C43"/>
    <w:multiLevelType w:val="hybridMultilevel"/>
    <w:tmpl w:val="F62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2DF7218"/>
    <w:multiLevelType w:val="hybridMultilevel"/>
    <w:tmpl w:val="857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CF5BF7"/>
    <w:multiLevelType w:val="hybridMultilevel"/>
    <w:tmpl w:val="BAEEA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E915CA"/>
    <w:multiLevelType w:val="hybridMultilevel"/>
    <w:tmpl w:val="DCB81BDE"/>
    <w:lvl w:ilvl="0" w:tplc="95127D42">
      <w:start w:val="836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4A2E0B"/>
    <w:multiLevelType w:val="hybridMultilevel"/>
    <w:tmpl w:val="379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01480"/>
    <w:multiLevelType w:val="hybridMultilevel"/>
    <w:tmpl w:val="34D06B56"/>
    <w:lvl w:ilvl="0" w:tplc="849CB9FA">
      <w:start w:val="1"/>
      <w:numFmt w:val="decimal"/>
      <w:lvlText w:val="(%1)"/>
      <w:lvlJc w:val="left"/>
      <w:pPr>
        <w:ind w:left="815" w:hanging="360"/>
      </w:pPr>
      <w:rPr>
        <w:rFonts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2">
    <w:nsid w:val="33A16F85"/>
    <w:multiLevelType w:val="hybridMultilevel"/>
    <w:tmpl w:val="1EE6A8F0"/>
    <w:lvl w:ilvl="0" w:tplc="849CB9F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348C136F"/>
    <w:multiLevelType w:val="hybridMultilevel"/>
    <w:tmpl w:val="55C4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7B42C8"/>
    <w:multiLevelType w:val="hybridMultilevel"/>
    <w:tmpl w:val="809E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22606D"/>
    <w:multiLevelType w:val="hybridMultilevel"/>
    <w:tmpl w:val="DEB8E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EE1F59"/>
    <w:multiLevelType w:val="hybridMultilevel"/>
    <w:tmpl w:val="7CB0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DD2170"/>
    <w:multiLevelType w:val="hybridMultilevel"/>
    <w:tmpl w:val="167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E320E"/>
    <w:multiLevelType w:val="hybridMultilevel"/>
    <w:tmpl w:val="0F44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641EC8"/>
    <w:multiLevelType w:val="hybridMultilevel"/>
    <w:tmpl w:val="47E0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D06349"/>
    <w:multiLevelType w:val="hybridMultilevel"/>
    <w:tmpl w:val="5E460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F37D8"/>
    <w:multiLevelType w:val="hybridMultilevel"/>
    <w:tmpl w:val="3C68D54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993274E"/>
    <w:multiLevelType w:val="hybridMultilevel"/>
    <w:tmpl w:val="3892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F66755"/>
    <w:multiLevelType w:val="hybridMultilevel"/>
    <w:tmpl w:val="0778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8E2E29"/>
    <w:multiLevelType w:val="hybridMultilevel"/>
    <w:tmpl w:val="4154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D37C9D"/>
    <w:multiLevelType w:val="hybridMultilevel"/>
    <w:tmpl w:val="D7182C4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7">
    <w:nsid w:val="66FD55D1"/>
    <w:multiLevelType w:val="hybridMultilevel"/>
    <w:tmpl w:val="47E8EB62"/>
    <w:lvl w:ilvl="0" w:tplc="14FEB91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6CF8243E"/>
    <w:multiLevelType w:val="hybridMultilevel"/>
    <w:tmpl w:val="5464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0">
    <w:nsid w:val="75645597"/>
    <w:multiLevelType w:val="hybridMultilevel"/>
    <w:tmpl w:val="77F21E06"/>
    <w:lvl w:ilvl="0" w:tplc="21BA3376">
      <w:start w:val="1"/>
      <w:numFmt w:val="bullet"/>
      <w:lvlText w:val="•"/>
      <w:lvlJc w:val="left"/>
      <w:pPr>
        <w:tabs>
          <w:tab w:val="num" w:pos="720"/>
        </w:tabs>
        <w:ind w:left="720" w:hanging="360"/>
      </w:pPr>
      <w:rPr>
        <w:rFonts w:ascii="Arial" w:hAnsi="Arial" w:hint="default"/>
      </w:rPr>
    </w:lvl>
    <w:lvl w:ilvl="1" w:tplc="91DE7EA8" w:tentative="1">
      <w:start w:val="1"/>
      <w:numFmt w:val="bullet"/>
      <w:lvlText w:val="•"/>
      <w:lvlJc w:val="left"/>
      <w:pPr>
        <w:tabs>
          <w:tab w:val="num" w:pos="1440"/>
        </w:tabs>
        <w:ind w:left="1440" w:hanging="360"/>
      </w:pPr>
      <w:rPr>
        <w:rFonts w:ascii="Arial" w:hAnsi="Arial" w:hint="default"/>
      </w:rPr>
    </w:lvl>
    <w:lvl w:ilvl="2" w:tplc="910AD050" w:tentative="1">
      <w:start w:val="1"/>
      <w:numFmt w:val="bullet"/>
      <w:lvlText w:val="•"/>
      <w:lvlJc w:val="left"/>
      <w:pPr>
        <w:tabs>
          <w:tab w:val="num" w:pos="2160"/>
        </w:tabs>
        <w:ind w:left="2160" w:hanging="360"/>
      </w:pPr>
      <w:rPr>
        <w:rFonts w:ascii="Arial" w:hAnsi="Arial" w:hint="default"/>
      </w:rPr>
    </w:lvl>
    <w:lvl w:ilvl="3" w:tplc="42843666" w:tentative="1">
      <w:start w:val="1"/>
      <w:numFmt w:val="bullet"/>
      <w:lvlText w:val="•"/>
      <w:lvlJc w:val="left"/>
      <w:pPr>
        <w:tabs>
          <w:tab w:val="num" w:pos="2880"/>
        </w:tabs>
        <w:ind w:left="2880" w:hanging="360"/>
      </w:pPr>
      <w:rPr>
        <w:rFonts w:ascii="Arial" w:hAnsi="Arial" w:hint="default"/>
      </w:rPr>
    </w:lvl>
    <w:lvl w:ilvl="4" w:tplc="5784BE0E" w:tentative="1">
      <w:start w:val="1"/>
      <w:numFmt w:val="bullet"/>
      <w:lvlText w:val="•"/>
      <w:lvlJc w:val="left"/>
      <w:pPr>
        <w:tabs>
          <w:tab w:val="num" w:pos="3600"/>
        </w:tabs>
        <w:ind w:left="3600" w:hanging="360"/>
      </w:pPr>
      <w:rPr>
        <w:rFonts w:ascii="Arial" w:hAnsi="Arial" w:hint="default"/>
      </w:rPr>
    </w:lvl>
    <w:lvl w:ilvl="5" w:tplc="BC6632E4" w:tentative="1">
      <w:start w:val="1"/>
      <w:numFmt w:val="bullet"/>
      <w:lvlText w:val="•"/>
      <w:lvlJc w:val="left"/>
      <w:pPr>
        <w:tabs>
          <w:tab w:val="num" w:pos="4320"/>
        </w:tabs>
        <w:ind w:left="4320" w:hanging="360"/>
      </w:pPr>
      <w:rPr>
        <w:rFonts w:ascii="Arial" w:hAnsi="Arial" w:hint="default"/>
      </w:rPr>
    </w:lvl>
    <w:lvl w:ilvl="6" w:tplc="BD305116" w:tentative="1">
      <w:start w:val="1"/>
      <w:numFmt w:val="bullet"/>
      <w:lvlText w:val="•"/>
      <w:lvlJc w:val="left"/>
      <w:pPr>
        <w:tabs>
          <w:tab w:val="num" w:pos="5040"/>
        </w:tabs>
        <w:ind w:left="5040" w:hanging="360"/>
      </w:pPr>
      <w:rPr>
        <w:rFonts w:ascii="Arial" w:hAnsi="Arial" w:hint="default"/>
      </w:rPr>
    </w:lvl>
    <w:lvl w:ilvl="7" w:tplc="422CEA44" w:tentative="1">
      <w:start w:val="1"/>
      <w:numFmt w:val="bullet"/>
      <w:lvlText w:val="•"/>
      <w:lvlJc w:val="left"/>
      <w:pPr>
        <w:tabs>
          <w:tab w:val="num" w:pos="5760"/>
        </w:tabs>
        <w:ind w:left="5760" w:hanging="360"/>
      </w:pPr>
      <w:rPr>
        <w:rFonts w:ascii="Arial" w:hAnsi="Arial" w:hint="default"/>
      </w:rPr>
    </w:lvl>
    <w:lvl w:ilvl="8" w:tplc="E44A7F6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9"/>
  </w:num>
  <w:num w:numId="3">
    <w:abstractNumId w:val="0"/>
  </w:num>
  <w:num w:numId="4">
    <w:abstractNumId w:val="6"/>
  </w:num>
  <w:num w:numId="5">
    <w:abstractNumId w:val="23"/>
  </w:num>
  <w:num w:numId="6">
    <w:abstractNumId w:val="20"/>
  </w:num>
  <w:num w:numId="7">
    <w:abstractNumId w:val="4"/>
  </w:num>
  <w:num w:numId="8">
    <w:abstractNumId w:val="3"/>
  </w:num>
  <w:num w:numId="9">
    <w:abstractNumId w:val="17"/>
  </w:num>
  <w:num w:numId="10">
    <w:abstractNumId w:val="8"/>
  </w:num>
  <w:num w:numId="11">
    <w:abstractNumId w:val="18"/>
  </w:num>
  <w:num w:numId="12">
    <w:abstractNumId w:val="15"/>
  </w:num>
  <w:num w:numId="13">
    <w:abstractNumId w:val="16"/>
  </w:num>
  <w:num w:numId="14">
    <w:abstractNumId w:val="26"/>
  </w:num>
  <w:num w:numId="15">
    <w:abstractNumId w:val="12"/>
  </w:num>
  <w:num w:numId="16">
    <w:abstractNumId w:val="11"/>
  </w:num>
  <w:num w:numId="17">
    <w:abstractNumId w:val="22"/>
  </w:num>
  <w:num w:numId="18">
    <w:abstractNumId w:val="24"/>
  </w:num>
  <w:num w:numId="19">
    <w:abstractNumId w:val="7"/>
  </w:num>
  <w:num w:numId="20">
    <w:abstractNumId w:val="13"/>
  </w:num>
  <w:num w:numId="2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5"/>
  </w:num>
  <w:num w:numId="24">
    <w:abstractNumId w:val="28"/>
  </w:num>
  <w:num w:numId="25">
    <w:abstractNumId w:val="5"/>
  </w:num>
  <w:num w:numId="26">
    <w:abstractNumId w:val="1"/>
  </w:num>
  <w:num w:numId="27">
    <w:abstractNumId w:val="21"/>
  </w:num>
  <w:num w:numId="28">
    <w:abstractNumId w:val="30"/>
  </w:num>
  <w:num w:numId="29">
    <w:abstractNumId w:val="10"/>
  </w:num>
  <w:num w:numId="30">
    <w:abstractNumId w:val="9"/>
  </w:num>
  <w:num w:numId="31">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4706"/>
    <w:rsid w:val="00004F8F"/>
    <w:rsid w:val="0000596C"/>
    <w:rsid w:val="00005A68"/>
    <w:rsid w:val="00006B22"/>
    <w:rsid w:val="00006F23"/>
    <w:rsid w:val="000070DF"/>
    <w:rsid w:val="000074C4"/>
    <w:rsid w:val="000106D7"/>
    <w:rsid w:val="00010772"/>
    <w:rsid w:val="000108E0"/>
    <w:rsid w:val="00012CB6"/>
    <w:rsid w:val="00012F7D"/>
    <w:rsid w:val="000139AC"/>
    <w:rsid w:val="00013E39"/>
    <w:rsid w:val="000144A0"/>
    <w:rsid w:val="00016847"/>
    <w:rsid w:val="00016DEC"/>
    <w:rsid w:val="00017688"/>
    <w:rsid w:val="00020BD7"/>
    <w:rsid w:val="000210A6"/>
    <w:rsid w:val="00022458"/>
    <w:rsid w:val="00022902"/>
    <w:rsid w:val="000229A6"/>
    <w:rsid w:val="00026250"/>
    <w:rsid w:val="00026F66"/>
    <w:rsid w:val="0002702F"/>
    <w:rsid w:val="000274FA"/>
    <w:rsid w:val="00027527"/>
    <w:rsid w:val="00027C6B"/>
    <w:rsid w:val="00027DBD"/>
    <w:rsid w:val="00030A8F"/>
    <w:rsid w:val="00030D8B"/>
    <w:rsid w:val="0003192D"/>
    <w:rsid w:val="00032116"/>
    <w:rsid w:val="00033024"/>
    <w:rsid w:val="00033402"/>
    <w:rsid w:val="00033847"/>
    <w:rsid w:val="00033945"/>
    <w:rsid w:val="00035437"/>
    <w:rsid w:val="0003551F"/>
    <w:rsid w:val="00035551"/>
    <w:rsid w:val="0003589A"/>
    <w:rsid w:val="00036454"/>
    <w:rsid w:val="000401E2"/>
    <w:rsid w:val="0004196F"/>
    <w:rsid w:val="00041D4C"/>
    <w:rsid w:val="00042626"/>
    <w:rsid w:val="000438DD"/>
    <w:rsid w:val="00043D01"/>
    <w:rsid w:val="00043EF3"/>
    <w:rsid w:val="000443CD"/>
    <w:rsid w:val="000453A4"/>
    <w:rsid w:val="00045643"/>
    <w:rsid w:val="00047751"/>
    <w:rsid w:val="00052172"/>
    <w:rsid w:val="00052481"/>
    <w:rsid w:val="00054FD3"/>
    <w:rsid w:val="0005588B"/>
    <w:rsid w:val="00056800"/>
    <w:rsid w:val="000600D6"/>
    <w:rsid w:val="00060241"/>
    <w:rsid w:val="00060AB3"/>
    <w:rsid w:val="00060C2F"/>
    <w:rsid w:val="00061217"/>
    <w:rsid w:val="00061255"/>
    <w:rsid w:val="00061BD2"/>
    <w:rsid w:val="00062AC1"/>
    <w:rsid w:val="00062D3E"/>
    <w:rsid w:val="00062FAD"/>
    <w:rsid w:val="000631FE"/>
    <w:rsid w:val="0006353F"/>
    <w:rsid w:val="000656F5"/>
    <w:rsid w:val="00066440"/>
    <w:rsid w:val="00066C0E"/>
    <w:rsid w:val="000677B9"/>
    <w:rsid w:val="000678D7"/>
    <w:rsid w:val="0007336D"/>
    <w:rsid w:val="00074B23"/>
    <w:rsid w:val="00075539"/>
    <w:rsid w:val="00075D70"/>
    <w:rsid w:val="000764B9"/>
    <w:rsid w:val="0007685A"/>
    <w:rsid w:val="000768E9"/>
    <w:rsid w:val="00076DB9"/>
    <w:rsid w:val="000806DC"/>
    <w:rsid w:val="00080BB7"/>
    <w:rsid w:val="00081D6F"/>
    <w:rsid w:val="00083956"/>
    <w:rsid w:val="00083C00"/>
    <w:rsid w:val="00083CE6"/>
    <w:rsid w:val="00083FF3"/>
    <w:rsid w:val="00084B72"/>
    <w:rsid w:val="00086545"/>
    <w:rsid w:val="0008697F"/>
    <w:rsid w:val="00087B24"/>
    <w:rsid w:val="0009080D"/>
    <w:rsid w:val="0009295A"/>
    <w:rsid w:val="00094981"/>
    <w:rsid w:val="0009552B"/>
    <w:rsid w:val="00095676"/>
    <w:rsid w:val="00095AE5"/>
    <w:rsid w:val="000A29C2"/>
    <w:rsid w:val="000A2D4E"/>
    <w:rsid w:val="000A2FD9"/>
    <w:rsid w:val="000A3E79"/>
    <w:rsid w:val="000A41BB"/>
    <w:rsid w:val="000A479E"/>
    <w:rsid w:val="000A4B85"/>
    <w:rsid w:val="000A6C43"/>
    <w:rsid w:val="000A72DB"/>
    <w:rsid w:val="000B0C21"/>
    <w:rsid w:val="000B196C"/>
    <w:rsid w:val="000B1B81"/>
    <w:rsid w:val="000B35EB"/>
    <w:rsid w:val="000B49EF"/>
    <w:rsid w:val="000B52BA"/>
    <w:rsid w:val="000B64AB"/>
    <w:rsid w:val="000B6D23"/>
    <w:rsid w:val="000B7AF9"/>
    <w:rsid w:val="000B7C12"/>
    <w:rsid w:val="000B7D6E"/>
    <w:rsid w:val="000B7DD1"/>
    <w:rsid w:val="000C0ABF"/>
    <w:rsid w:val="000C1957"/>
    <w:rsid w:val="000C2E8F"/>
    <w:rsid w:val="000C3D6B"/>
    <w:rsid w:val="000C4096"/>
    <w:rsid w:val="000C5EDB"/>
    <w:rsid w:val="000C61A7"/>
    <w:rsid w:val="000C620D"/>
    <w:rsid w:val="000C7297"/>
    <w:rsid w:val="000D03AB"/>
    <w:rsid w:val="000D1820"/>
    <w:rsid w:val="000D19E3"/>
    <w:rsid w:val="000D1FE1"/>
    <w:rsid w:val="000D278C"/>
    <w:rsid w:val="000D2830"/>
    <w:rsid w:val="000D2AAB"/>
    <w:rsid w:val="000D7604"/>
    <w:rsid w:val="000E08B0"/>
    <w:rsid w:val="000E1492"/>
    <w:rsid w:val="000E1865"/>
    <w:rsid w:val="000E3F92"/>
    <w:rsid w:val="000E4539"/>
    <w:rsid w:val="000E50D2"/>
    <w:rsid w:val="000E5222"/>
    <w:rsid w:val="000E52EF"/>
    <w:rsid w:val="000E5B1D"/>
    <w:rsid w:val="000E6FE9"/>
    <w:rsid w:val="000E750A"/>
    <w:rsid w:val="000E7611"/>
    <w:rsid w:val="000F0CEB"/>
    <w:rsid w:val="000F1678"/>
    <w:rsid w:val="000F2627"/>
    <w:rsid w:val="000F3616"/>
    <w:rsid w:val="000F4F19"/>
    <w:rsid w:val="000F598D"/>
    <w:rsid w:val="000F7278"/>
    <w:rsid w:val="000F7AAB"/>
    <w:rsid w:val="001003E6"/>
    <w:rsid w:val="001003FD"/>
    <w:rsid w:val="00100A55"/>
    <w:rsid w:val="00100DCF"/>
    <w:rsid w:val="00100FD8"/>
    <w:rsid w:val="00102887"/>
    <w:rsid w:val="00103809"/>
    <w:rsid w:val="001045BB"/>
    <w:rsid w:val="00105197"/>
    <w:rsid w:val="00105541"/>
    <w:rsid w:val="00105E0C"/>
    <w:rsid w:val="00107006"/>
    <w:rsid w:val="00107AA9"/>
    <w:rsid w:val="001123E4"/>
    <w:rsid w:val="00112856"/>
    <w:rsid w:val="001147F9"/>
    <w:rsid w:val="00114E2C"/>
    <w:rsid w:val="0011594C"/>
    <w:rsid w:val="00117391"/>
    <w:rsid w:val="001174F7"/>
    <w:rsid w:val="00121725"/>
    <w:rsid w:val="00122B8B"/>
    <w:rsid w:val="00123143"/>
    <w:rsid w:val="00123181"/>
    <w:rsid w:val="00124842"/>
    <w:rsid w:val="00126405"/>
    <w:rsid w:val="00126BF1"/>
    <w:rsid w:val="00130353"/>
    <w:rsid w:val="00130650"/>
    <w:rsid w:val="00130CD1"/>
    <w:rsid w:val="00137EBC"/>
    <w:rsid w:val="00140132"/>
    <w:rsid w:val="00140938"/>
    <w:rsid w:val="001423FA"/>
    <w:rsid w:val="001424C5"/>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7031C"/>
    <w:rsid w:val="00170348"/>
    <w:rsid w:val="001717FC"/>
    <w:rsid w:val="001732DA"/>
    <w:rsid w:val="00174CC4"/>
    <w:rsid w:val="001751F0"/>
    <w:rsid w:val="001806F0"/>
    <w:rsid w:val="001814CC"/>
    <w:rsid w:val="00183CFD"/>
    <w:rsid w:val="00183DCC"/>
    <w:rsid w:val="00184083"/>
    <w:rsid w:val="001843A9"/>
    <w:rsid w:val="00184C3A"/>
    <w:rsid w:val="00184D97"/>
    <w:rsid w:val="001863B1"/>
    <w:rsid w:val="00190E80"/>
    <w:rsid w:val="00191087"/>
    <w:rsid w:val="00192500"/>
    <w:rsid w:val="00192555"/>
    <w:rsid w:val="00193E12"/>
    <w:rsid w:val="00194700"/>
    <w:rsid w:val="0019474E"/>
    <w:rsid w:val="00194760"/>
    <w:rsid w:val="001952E1"/>
    <w:rsid w:val="0019597D"/>
    <w:rsid w:val="00197931"/>
    <w:rsid w:val="00197960"/>
    <w:rsid w:val="001A07A1"/>
    <w:rsid w:val="001A0EF5"/>
    <w:rsid w:val="001A1F42"/>
    <w:rsid w:val="001A23A3"/>
    <w:rsid w:val="001A312D"/>
    <w:rsid w:val="001A3AA5"/>
    <w:rsid w:val="001A3D37"/>
    <w:rsid w:val="001A4585"/>
    <w:rsid w:val="001A59F4"/>
    <w:rsid w:val="001A74BB"/>
    <w:rsid w:val="001A75E3"/>
    <w:rsid w:val="001A7D12"/>
    <w:rsid w:val="001B0B30"/>
    <w:rsid w:val="001B17F9"/>
    <w:rsid w:val="001B209D"/>
    <w:rsid w:val="001B2E26"/>
    <w:rsid w:val="001B32B3"/>
    <w:rsid w:val="001B3691"/>
    <w:rsid w:val="001B39C6"/>
    <w:rsid w:val="001B438F"/>
    <w:rsid w:val="001B448B"/>
    <w:rsid w:val="001B4AE2"/>
    <w:rsid w:val="001B540C"/>
    <w:rsid w:val="001B5A3E"/>
    <w:rsid w:val="001B62D7"/>
    <w:rsid w:val="001B7A0B"/>
    <w:rsid w:val="001C02AB"/>
    <w:rsid w:val="001C0479"/>
    <w:rsid w:val="001C1C28"/>
    <w:rsid w:val="001C203E"/>
    <w:rsid w:val="001C236C"/>
    <w:rsid w:val="001C238D"/>
    <w:rsid w:val="001C2C2B"/>
    <w:rsid w:val="001C3233"/>
    <w:rsid w:val="001C363A"/>
    <w:rsid w:val="001C58B8"/>
    <w:rsid w:val="001C6157"/>
    <w:rsid w:val="001C645C"/>
    <w:rsid w:val="001C6596"/>
    <w:rsid w:val="001C707F"/>
    <w:rsid w:val="001D1002"/>
    <w:rsid w:val="001D385D"/>
    <w:rsid w:val="001D3BDA"/>
    <w:rsid w:val="001D406E"/>
    <w:rsid w:val="001D4F83"/>
    <w:rsid w:val="001D746C"/>
    <w:rsid w:val="001D7F87"/>
    <w:rsid w:val="001E01BB"/>
    <w:rsid w:val="001E0242"/>
    <w:rsid w:val="001E03DE"/>
    <w:rsid w:val="001E0699"/>
    <w:rsid w:val="001E11B6"/>
    <w:rsid w:val="001E13D5"/>
    <w:rsid w:val="001E2527"/>
    <w:rsid w:val="001E26A0"/>
    <w:rsid w:val="001E29AD"/>
    <w:rsid w:val="001E2CB5"/>
    <w:rsid w:val="001E2D49"/>
    <w:rsid w:val="001E455E"/>
    <w:rsid w:val="001E4DB1"/>
    <w:rsid w:val="001E4E90"/>
    <w:rsid w:val="001E58DD"/>
    <w:rsid w:val="001E5A5C"/>
    <w:rsid w:val="001E5B3E"/>
    <w:rsid w:val="001E5D83"/>
    <w:rsid w:val="001E64AA"/>
    <w:rsid w:val="001E771E"/>
    <w:rsid w:val="001F2007"/>
    <w:rsid w:val="001F2625"/>
    <w:rsid w:val="001F440E"/>
    <w:rsid w:val="001F470B"/>
    <w:rsid w:val="001F532D"/>
    <w:rsid w:val="001F76D5"/>
    <w:rsid w:val="002004AE"/>
    <w:rsid w:val="00201828"/>
    <w:rsid w:val="0020224A"/>
    <w:rsid w:val="00202452"/>
    <w:rsid w:val="0020343F"/>
    <w:rsid w:val="002038B4"/>
    <w:rsid w:val="00204E3B"/>
    <w:rsid w:val="002051AA"/>
    <w:rsid w:val="00205634"/>
    <w:rsid w:val="00205B99"/>
    <w:rsid w:val="00205DD0"/>
    <w:rsid w:val="0020668A"/>
    <w:rsid w:val="002074EB"/>
    <w:rsid w:val="0021012D"/>
    <w:rsid w:val="0021043C"/>
    <w:rsid w:val="00211EAC"/>
    <w:rsid w:val="00214248"/>
    <w:rsid w:val="0021685F"/>
    <w:rsid w:val="002169C2"/>
    <w:rsid w:val="00216BAE"/>
    <w:rsid w:val="002178F5"/>
    <w:rsid w:val="002200CB"/>
    <w:rsid w:val="002217C0"/>
    <w:rsid w:val="00222A1E"/>
    <w:rsid w:val="00223FC1"/>
    <w:rsid w:val="00226792"/>
    <w:rsid w:val="00226A74"/>
    <w:rsid w:val="00232209"/>
    <w:rsid w:val="00232723"/>
    <w:rsid w:val="00232BF1"/>
    <w:rsid w:val="00234A83"/>
    <w:rsid w:val="00235864"/>
    <w:rsid w:val="00240360"/>
    <w:rsid w:val="002414D6"/>
    <w:rsid w:val="00241F2E"/>
    <w:rsid w:val="00242389"/>
    <w:rsid w:val="00242976"/>
    <w:rsid w:val="00242EE3"/>
    <w:rsid w:val="00246421"/>
    <w:rsid w:val="0024649F"/>
    <w:rsid w:val="002469CB"/>
    <w:rsid w:val="00246D9B"/>
    <w:rsid w:val="002475FB"/>
    <w:rsid w:val="002478C1"/>
    <w:rsid w:val="00247FB5"/>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5FCE"/>
    <w:rsid w:val="002672D4"/>
    <w:rsid w:val="00267E81"/>
    <w:rsid w:val="002700D2"/>
    <w:rsid w:val="0027190C"/>
    <w:rsid w:val="00272491"/>
    <w:rsid w:val="00272B00"/>
    <w:rsid w:val="0027423D"/>
    <w:rsid w:val="00274373"/>
    <w:rsid w:val="002758E6"/>
    <w:rsid w:val="00276EB7"/>
    <w:rsid w:val="0027708A"/>
    <w:rsid w:val="00277131"/>
    <w:rsid w:val="00280E94"/>
    <w:rsid w:val="00281CD4"/>
    <w:rsid w:val="00282A39"/>
    <w:rsid w:val="00283431"/>
    <w:rsid w:val="0028374F"/>
    <w:rsid w:val="00283802"/>
    <w:rsid w:val="00284092"/>
    <w:rsid w:val="002851EF"/>
    <w:rsid w:val="002853FE"/>
    <w:rsid w:val="002902FE"/>
    <w:rsid w:val="00290970"/>
    <w:rsid w:val="002916C9"/>
    <w:rsid w:val="0029237E"/>
    <w:rsid w:val="002927B5"/>
    <w:rsid w:val="0029342D"/>
    <w:rsid w:val="00293C3B"/>
    <w:rsid w:val="002958A7"/>
    <w:rsid w:val="00295C14"/>
    <w:rsid w:val="00296805"/>
    <w:rsid w:val="00296F2A"/>
    <w:rsid w:val="00297ED8"/>
    <w:rsid w:val="002A1C97"/>
    <w:rsid w:val="002A2226"/>
    <w:rsid w:val="002A3267"/>
    <w:rsid w:val="002A3A0F"/>
    <w:rsid w:val="002A4404"/>
    <w:rsid w:val="002A5475"/>
    <w:rsid w:val="002A54EE"/>
    <w:rsid w:val="002A56C7"/>
    <w:rsid w:val="002A5766"/>
    <w:rsid w:val="002A58FC"/>
    <w:rsid w:val="002A5A84"/>
    <w:rsid w:val="002A65A1"/>
    <w:rsid w:val="002A6AC2"/>
    <w:rsid w:val="002A6DA4"/>
    <w:rsid w:val="002A6DDA"/>
    <w:rsid w:val="002A735B"/>
    <w:rsid w:val="002B06FE"/>
    <w:rsid w:val="002B0B52"/>
    <w:rsid w:val="002B0DC1"/>
    <w:rsid w:val="002B1D8E"/>
    <w:rsid w:val="002B304E"/>
    <w:rsid w:val="002B4629"/>
    <w:rsid w:val="002B4922"/>
    <w:rsid w:val="002B5585"/>
    <w:rsid w:val="002B7270"/>
    <w:rsid w:val="002B759B"/>
    <w:rsid w:val="002C052B"/>
    <w:rsid w:val="002C053F"/>
    <w:rsid w:val="002C1E13"/>
    <w:rsid w:val="002C2B60"/>
    <w:rsid w:val="002C3510"/>
    <w:rsid w:val="002C3A9E"/>
    <w:rsid w:val="002C3D7D"/>
    <w:rsid w:val="002C49AB"/>
    <w:rsid w:val="002C5567"/>
    <w:rsid w:val="002C6136"/>
    <w:rsid w:val="002C765E"/>
    <w:rsid w:val="002C7E9A"/>
    <w:rsid w:val="002C7EAE"/>
    <w:rsid w:val="002D0373"/>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758"/>
    <w:rsid w:val="00300CC2"/>
    <w:rsid w:val="00301DFC"/>
    <w:rsid w:val="00302895"/>
    <w:rsid w:val="00303197"/>
    <w:rsid w:val="0030434A"/>
    <w:rsid w:val="00305EE3"/>
    <w:rsid w:val="00305EF2"/>
    <w:rsid w:val="00306474"/>
    <w:rsid w:val="00306B59"/>
    <w:rsid w:val="00306CEB"/>
    <w:rsid w:val="00307835"/>
    <w:rsid w:val="003105BF"/>
    <w:rsid w:val="003105CA"/>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507"/>
    <w:rsid w:val="00332519"/>
    <w:rsid w:val="003328AB"/>
    <w:rsid w:val="00332CB5"/>
    <w:rsid w:val="00332CCB"/>
    <w:rsid w:val="003338AF"/>
    <w:rsid w:val="003360E3"/>
    <w:rsid w:val="00337258"/>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30A"/>
    <w:rsid w:val="0035065D"/>
    <w:rsid w:val="00350D58"/>
    <w:rsid w:val="00350E34"/>
    <w:rsid w:val="00351EEE"/>
    <w:rsid w:val="00352532"/>
    <w:rsid w:val="003526E7"/>
    <w:rsid w:val="00352D21"/>
    <w:rsid w:val="003538E1"/>
    <w:rsid w:val="003539E6"/>
    <w:rsid w:val="00353E12"/>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77B"/>
    <w:rsid w:val="003676C5"/>
    <w:rsid w:val="00370512"/>
    <w:rsid w:val="003708AE"/>
    <w:rsid w:val="003709E3"/>
    <w:rsid w:val="00374FA6"/>
    <w:rsid w:val="003750BB"/>
    <w:rsid w:val="003756AA"/>
    <w:rsid w:val="00375C8E"/>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90AA5"/>
    <w:rsid w:val="003911B2"/>
    <w:rsid w:val="003924DA"/>
    <w:rsid w:val="00393D5C"/>
    <w:rsid w:val="003943AE"/>
    <w:rsid w:val="0039466D"/>
    <w:rsid w:val="0039679C"/>
    <w:rsid w:val="003967BD"/>
    <w:rsid w:val="0039729D"/>
    <w:rsid w:val="00397C16"/>
    <w:rsid w:val="003A0BF6"/>
    <w:rsid w:val="003A160A"/>
    <w:rsid w:val="003A25CC"/>
    <w:rsid w:val="003A3407"/>
    <w:rsid w:val="003A3AA0"/>
    <w:rsid w:val="003A48B0"/>
    <w:rsid w:val="003A4914"/>
    <w:rsid w:val="003A59EB"/>
    <w:rsid w:val="003A5A20"/>
    <w:rsid w:val="003A60A6"/>
    <w:rsid w:val="003A6CBC"/>
    <w:rsid w:val="003A75FC"/>
    <w:rsid w:val="003A761D"/>
    <w:rsid w:val="003A78F0"/>
    <w:rsid w:val="003A7FF3"/>
    <w:rsid w:val="003B0C60"/>
    <w:rsid w:val="003B42B1"/>
    <w:rsid w:val="003B468F"/>
    <w:rsid w:val="003B4FAA"/>
    <w:rsid w:val="003B55CE"/>
    <w:rsid w:val="003B6B3F"/>
    <w:rsid w:val="003B7549"/>
    <w:rsid w:val="003C0BA9"/>
    <w:rsid w:val="003C1B33"/>
    <w:rsid w:val="003C251F"/>
    <w:rsid w:val="003C5437"/>
    <w:rsid w:val="003C62C0"/>
    <w:rsid w:val="003C676A"/>
    <w:rsid w:val="003C6BAF"/>
    <w:rsid w:val="003C6CAA"/>
    <w:rsid w:val="003C75DB"/>
    <w:rsid w:val="003D38F3"/>
    <w:rsid w:val="003D46BC"/>
    <w:rsid w:val="003D6511"/>
    <w:rsid w:val="003D6B5D"/>
    <w:rsid w:val="003D75FA"/>
    <w:rsid w:val="003E0B56"/>
    <w:rsid w:val="003E0D12"/>
    <w:rsid w:val="003E19E0"/>
    <w:rsid w:val="003E27E7"/>
    <w:rsid w:val="003E2F64"/>
    <w:rsid w:val="003E300E"/>
    <w:rsid w:val="003E3611"/>
    <w:rsid w:val="003E47A6"/>
    <w:rsid w:val="003E5021"/>
    <w:rsid w:val="003E51FC"/>
    <w:rsid w:val="003E532B"/>
    <w:rsid w:val="003E54E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226E"/>
    <w:rsid w:val="0040392E"/>
    <w:rsid w:val="004049D4"/>
    <w:rsid w:val="00404E9F"/>
    <w:rsid w:val="00404F05"/>
    <w:rsid w:val="004056F5"/>
    <w:rsid w:val="00406E14"/>
    <w:rsid w:val="00407D79"/>
    <w:rsid w:val="004110D6"/>
    <w:rsid w:val="00411660"/>
    <w:rsid w:val="004128AA"/>
    <w:rsid w:val="004145E9"/>
    <w:rsid w:val="00414C8A"/>
    <w:rsid w:val="00415318"/>
    <w:rsid w:val="00415E8D"/>
    <w:rsid w:val="0041619C"/>
    <w:rsid w:val="004169C9"/>
    <w:rsid w:val="00417347"/>
    <w:rsid w:val="004176E6"/>
    <w:rsid w:val="0041774E"/>
    <w:rsid w:val="004209DB"/>
    <w:rsid w:val="00420A52"/>
    <w:rsid w:val="00420CD6"/>
    <w:rsid w:val="00420FFE"/>
    <w:rsid w:val="004220ED"/>
    <w:rsid w:val="00422216"/>
    <w:rsid w:val="00422379"/>
    <w:rsid w:val="00425DAC"/>
    <w:rsid w:val="0042679C"/>
    <w:rsid w:val="00426DA5"/>
    <w:rsid w:val="0043097C"/>
    <w:rsid w:val="00430A2D"/>
    <w:rsid w:val="00430E15"/>
    <w:rsid w:val="00431569"/>
    <w:rsid w:val="00431E5D"/>
    <w:rsid w:val="0043333F"/>
    <w:rsid w:val="00434C66"/>
    <w:rsid w:val="004353F8"/>
    <w:rsid w:val="00435714"/>
    <w:rsid w:val="004358E7"/>
    <w:rsid w:val="00435AF9"/>
    <w:rsid w:val="00435D00"/>
    <w:rsid w:val="004373D5"/>
    <w:rsid w:val="00437B83"/>
    <w:rsid w:val="00440335"/>
    <w:rsid w:val="00440A15"/>
    <w:rsid w:val="00441A31"/>
    <w:rsid w:val="004426A5"/>
    <w:rsid w:val="004428BF"/>
    <w:rsid w:val="004433A4"/>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178B"/>
    <w:rsid w:val="00461FDB"/>
    <w:rsid w:val="004634AF"/>
    <w:rsid w:val="00463967"/>
    <w:rsid w:val="00463AEA"/>
    <w:rsid w:val="004651EC"/>
    <w:rsid w:val="00465A39"/>
    <w:rsid w:val="00465B42"/>
    <w:rsid w:val="004670A3"/>
    <w:rsid w:val="00467523"/>
    <w:rsid w:val="00467CF8"/>
    <w:rsid w:val="004700DE"/>
    <w:rsid w:val="0047108E"/>
    <w:rsid w:val="004714FC"/>
    <w:rsid w:val="00472A3E"/>
    <w:rsid w:val="004732AA"/>
    <w:rsid w:val="00473EDA"/>
    <w:rsid w:val="0047505D"/>
    <w:rsid w:val="004750B5"/>
    <w:rsid w:val="00475DB7"/>
    <w:rsid w:val="004763D2"/>
    <w:rsid w:val="00476980"/>
    <w:rsid w:val="00483252"/>
    <w:rsid w:val="00483F0A"/>
    <w:rsid w:val="0048432E"/>
    <w:rsid w:val="004845BE"/>
    <w:rsid w:val="0048483C"/>
    <w:rsid w:val="00487371"/>
    <w:rsid w:val="00487722"/>
    <w:rsid w:val="004919A5"/>
    <w:rsid w:val="00491CD0"/>
    <w:rsid w:val="00492D42"/>
    <w:rsid w:val="0049341F"/>
    <w:rsid w:val="004935E6"/>
    <w:rsid w:val="00495CAC"/>
    <w:rsid w:val="0049644C"/>
    <w:rsid w:val="004969BB"/>
    <w:rsid w:val="004A07C4"/>
    <w:rsid w:val="004A1F67"/>
    <w:rsid w:val="004A372E"/>
    <w:rsid w:val="004A445E"/>
    <w:rsid w:val="004A4CF5"/>
    <w:rsid w:val="004A5364"/>
    <w:rsid w:val="004A5A42"/>
    <w:rsid w:val="004A5CB4"/>
    <w:rsid w:val="004A608E"/>
    <w:rsid w:val="004A7882"/>
    <w:rsid w:val="004B1CF2"/>
    <w:rsid w:val="004B230B"/>
    <w:rsid w:val="004B2CA3"/>
    <w:rsid w:val="004B2F45"/>
    <w:rsid w:val="004B329D"/>
    <w:rsid w:val="004B3677"/>
    <w:rsid w:val="004B3B68"/>
    <w:rsid w:val="004B5411"/>
    <w:rsid w:val="004B663F"/>
    <w:rsid w:val="004B66AA"/>
    <w:rsid w:val="004B68E5"/>
    <w:rsid w:val="004B7E5A"/>
    <w:rsid w:val="004B7F01"/>
    <w:rsid w:val="004C10F8"/>
    <w:rsid w:val="004C243B"/>
    <w:rsid w:val="004C28FB"/>
    <w:rsid w:val="004C3DAA"/>
    <w:rsid w:val="004C4EF8"/>
    <w:rsid w:val="004C4F15"/>
    <w:rsid w:val="004C6DA3"/>
    <w:rsid w:val="004D1274"/>
    <w:rsid w:val="004D2CB3"/>
    <w:rsid w:val="004D48FF"/>
    <w:rsid w:val="004D4AF7"/>
    <w:rsid w:val="004D4F47"/>
    <w:rsid w:val="004D5CE2"/>
    <w:rsid w:val="004D719E"/>
    <w:rsid w:val="004E092A"/>
    <w:rsid w:val="004E1553"/>
    <w:rsid w:val="004E19D5"/>
    <w:rsid w:val="004E2691"/>
    <w:rsid w:val="004E2B33"/>
    <w:rsid w:val="004E34E0"/>
    <w:rsid w:val="004E4435"/>
    <w:rsid w:val="004E4575"/>
    <w:rsid w:val="004E4B2F"/>
    <w:rsid w:val="004E6FFF"/>
    <w:rsid w:val="004E779D"/>
    <w:rsid w:val="004F02BD"/>
    <w:rsid w:val="004F0DB4"/>
    <w:rsid w:val="004F15C3"/>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6A6"/>
    <w:rsid w:val="005138EF"/>
    <w:rsid w:val="0051423C"/>
    <w:rsid w:val="00514999"/>
    <w:rsid w:val="00514EC4"/>
    <w:rsid w:val="00515ACC"/>
    <w:rsid w:val="00515E9C"/>
    <w:rsid w:val="00517072"/>
    <w:rsid w:val="00522089"/>
    <w:rsid w:val="00522BBD"/>
    <w:rsid w:val="00522D97"/>
    <w:rsid w:val="005267DB"/>
    <w:rsid w:val="00526E9B"/>
    <w:rsid w:val="005274A8"/>
    <w:rsid w:val="005304A3"/>
    <w:rsid w:val="005308B7"/>
    <w:rsid w:val="0053167A"/>
    <w:rsid w:val="00532491"/>
    <w:rsid w:val="005324CC"/>
    <w:rsid w:val="00532B58"/>
    <w:rsid w:val="00533879"/>
    <w:rsid w:val="005339B5"/>
    <w:rsid w:val="0053401E"/>
    <w:rsid w:val="005341F2"/>
    <w:rsid w:val="0053578C"/>
    <w:rsid w:val="00537A3D"/>
    <w:rsid w:val="00537BE5"/>
    <w:rsid w:val="00537DB3"/>
    <w:rsid w:val="00540554"/>
    <w:rsid w:val="005407B0"/>
    <w:rsid w:val="00540AC1"/>
    <w:rsid w:val="00540D9C"/>
    <w:rsid w:val="00541789"/>
    <w:rsid w:val="0054680A"/>
    <w:rsid w:val="005468C0"/>
    <w:rsid w:val="005476E4"/>
    <w:rsid w:val="00553F3B"/>
    <w:rsid w:val="005556F2"/>
    <w:rsid w:val="00556D67"/>
    <w:rsid w:val="00557731"/>
    <w:rsid w:val="00563094"/>
    <w:rsid w:val="00563272"/>
    <w:rsid w:val="005647BA"/>
    <w:rsid w:val="00565237"/>
    <w:rsid w:val="005652F6"/>
    <w:rsid w:val="005655CB"/>
    <w:rsid w:val="00565F3F"/>
    <w:rsid w:val="005679FB"/>
    <w:rsid w:val="00570930"/>
    <w:rsid w:val="00570945"/>
    <w:rsid w:val="00570CFB"/>
    <w:rsid w:val="0057103B"/>
    <w:rsid w:val="005739A8"/>
    <w:rsid w:val="00574213"/>
    <w:rsid w:val="005756BD"/>
    <w:rsid w:val="005765CA"/>
    <w:rsid w:val="00577225"/>
    <w:rsid w:val="0057776F"/>
    <w:rsid w:val="00577FDB"/>
    <w:rsid w:val="005800EC"/>
    <w:rsid w:val="0058041D"/>
    <w:rsid w:val="005806D1"/>
    <w:rsid w:val="00580EE2"/>
    <w:rsid w:val="005817D3"/>
    <w:rsid w:val="0058187E"/>
    <w:rsid w:val="0058197D"/>
    <w:rsid w:val="00582383"/>
    <w:rsid w:val="00583012"/>
    <w:rsid w:val="00584094"/>
    <w:rsid w:val="00584244"/>
    <w:rsid w:val="005846A8"/>
    <w:rsid w:val="0058470D"/>
    <w:rsid w:val="005851B7"/>
    <w:rsid w:val="00585317"/>
    <w:rsid w:val="005856DF"/>
    <w:rsid w:val="00587976"/>
    <w:rsid w:val="0059082D"/>
    <w:rsid w:val="00591016"/>
    <w:rsid w:val="00592D05"/>
    <w:rsid w:val="00594943"/>
    <w:rsid w:val="00595080"/>
    <w:rsid w:val="0059569D"/>
    <w:rsid w:val="00595C45"/>
    <w:rsid w:val="00596488"/>
    <w:rsid w:val="00596AE2"/>
    <w:rsid w:val="0059724B"/>
    <w:rsid w:val="005A1869"/>
    <w:rsid w:val="005A1D29"/>
    <w:rsid w:val="005A2B1B"/>
    <w:rsid w:val="005A3EA6"/>
    <w:rsid w:val="005A4617"/>
    <w:rsid w:val="005A4993"/>
    <w:rsid w:val="005A52AD"/>
    <w:rsid w:val="005B0D2D"/>
    <w:rsid w:val="005B18F1"/>
    <w:rsid w:val="005B1BDB"/>
    <w:rsid w:val="005B4777"/>
    <w:rsid w:val="005B4F5A"/>
    <w:rsid w:val="005B55F4"/>
    <w:rsid w:val="005B7492"/>
    <w:rsid w:val="005B7727"/>
    <w:rsid w:val="005C0678"/>
    <w:rsid w:val="005C1C1E"/>
    <w:rsid w:val="005C2A23"/>
    <w:rsid w:val="005C2B41"/>
    <w:rsid w:val="005C2CBE"/>
    <w:rsid w:val="005C3832"/>
    <w:rsid w:val="005C3A5B"/>
    <w:rsid w:val="005C4803"/>
    <w:rsid w:val="005C5CF3"/>
    <w:rsid w:val="005C605B"/>
    <w:rsid w:val="005C652D"/>
    <w:rsid w:val="005C75A4"/>
    <w:rsid w:val="005C7D2F"/>
    <w:rsid w:val="005D19EC"/>
    <w:rsid w:val="005D1EEA"/>
    <w:rsid w:val="005D217B"/>
    <w:rsid w:val="005D2594"/>
    <w:rsid w:val="005D2CF7"/>
    <w:rsid w:val="005D40DD"/>
    <w:rsid w:val="005D4974"/>
    <w:rsid w:val="005D5FAD"/>
    <w:rsid w:val="005D737F"/>
    <w:rsid w:val="005E0A3E"/>
    <w:rsid w:val="005E0E10"/>
    <w:rsid w:val="005E2109"/>
    <w:rsid w:val="005E27E9"/>
    <w:rsid w:val="005E3721"/>
    <w:rsid w:val="005E4F10"/>
    <w:rsid w:val="005E64DE"/>
    <w:rsid w:val="005E697C"/>
    <w:rsid w:val="005E700E"/>
    <w:rsid w:val="005E7082"/>
    <w:rsid w:val="005E7CA1"/>
    <w:rsid w:val="005F22BE"/>
    <w:rsid w:val="005F3020"/>
    <w:rsid w:val="005F400F"/>
    <w:rsid w:val="006010A9"/>
    <w:rsid w:val="006011F5"/>
    <w:rsid w:val="00601272"/>
    <w:rsid w:val="00601DE4"/>
    <w:rsid w:val="006028BE"/>
    <w:rsid w:val="00603A79"/>
    <w:rsid w:val="00604A24"/>
    <w:rsid w:val="006052CE"/>
    <w:rsid w:val="006055AD"/>
    <w:rsid w:val="00606EF6"/>
    <w:rsid w:val="00607778"/>
    <w:rsid w:val="0061048D"/>
    <w:rsid w:val="0061242C"/>
    <w:rsid w:val="00612B6D"/>
    <w:rsid w:val="00615EFA"/>
    <w:rsid w:val="006227F6"/>
    <w:rsid w:val="0062362B"/>
    <w:rsid w:val="006238ED"/>
    <w:rsid w:val="0062412F"/>
    <w:rsid w:val="006247C4"/>
    <w:rsid w:val="00630CD2"/>
    <w:rsid w:val="0063123C"/>
    <w:rsid w:val="006335A8"/>
    <w:rsid w:val="006341CB"/>
    <w:rsid w:val="00635515"/>
    <w:rsid w:val="00641459"/>
    <w:rsid w:val="006428BD"/>
    <w:rsid w:val="00642A69"/>
    <w:rsid w:val="00644A6D"/>
    <w:rsid w:val="00644E61"/>
    <w:rsid w:val="006451E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6ED"/>
    <w:rsid w:val="00663948"/>
    <w:rsid w:val="00663E18"/>
    <w:rsid w:val="00665367"/>
    <w:rsid w:val="00665970"/>
    <w:rsid w:val="0066620B"/>
    <w:rsid w:val="00670290"/>
    <w:rsid w:val="006705E4"/>
    <w:rsid w:val="00670A68"/>
    <w:rsid w:val="006722CD"/>
    <w:rsid w:val="00672485"/>
    <w:rsid w:val="00674DB2"/>
    <w:rsid w:val="0067539D"/>
    <w:rsid w:val="00677151"/>
    <w:rsid w:val="00680FD4"/>
    <w:rsid w:val="0068160C"/>
    <w:rsid w:val="0068177A"/>
    <w:rsid w:val="006819A1"/>
    <w:rsid w:val="00682D3B"/>
    <w:rsid w:val="00684D0C"/>
    <w:rsid w:val="00685CFA"/>
    <w:rsid w:val="006869FE"/>
    <w:rsid w:val="00686D6E"/>
    <w:rsid w:val="00687647"/>
    <w:rsid w:val="00687A58"/>
    <w:rsid w:val="00687AAE"/>
    <w:rsid w:val="00691A14"/>
    <w:rsid w:val="00692AB1"/>
    <w:rsid w:val="00693153"/>
    <w:rsid w:val="006932D4"/>
    <w:rsid w:val="0069434A"/>
    <w:rsid w:val="006956A8"/>
    <w:rsid w:val="006973F2"/>
    <w:rsid w:val="0069752D"/>
    <w:rsid w:val="00697EF3"/>
    <w:rsid w:val="006A0A30"/>
    <w:rsid w:val="006A0E64"/>
    <w:rsid w:val="006A4123"/>
    <w:rsid w:val="006A49C7"/>
    <w:rsid w:val="006A4E01"/>
    <w:rsid w:val="006A54CA"/>
    <w:rsid w:val="006A72DD"/>
    <w:rsid w:val="006B03F4"/>
    <w:rsid w:val="006B07EC"/>
    <w:rsid w:val="006B14AC"/>
    <w:rsid w:val="006B1893"/>
    <w:rsid w:val="006B1D30"/>
    <w:rsid w:val="006B1D64"/>
    <w:rsid w:val="006B2451"/>
    <w:rsid w:val="006B3724"/>
    <w:rsid w:val="006B3AE8"/>
    <w:rsid w:val="006B5671"/>
    <w:rsid w:val="006B6F3F"/>
    <w:rsid w:val="006B7F85"/>
    <w:rsid w:val="006C11BD"/>
    <w:rsid w:val="006C1480"/>
    <w:rsid w:val="006C2964"/>
    <w:rsid w:val="006C36D4"/>
    <w:rsid w:val="006C3B44"/>
    <w:rsid w:val="006C3C1E"/>
    <w:rsid w:val="006C42D3"/>
    <w:rsid w:val="006C5CF7"/>
    <w:rsid w:val="006C5D07"/>
    <w:rsid w:val="006C6F7D"/>
    <w:rsid w:val="006D0069"/>
    <w:rsid w:val="006D0172"/>
    <w:rsid w:val="006D095F"/>
    <w:rsid w:val="006D0A01"/>
    <w:rsid w:val="006D0CFB"/>
    <w:rsid w:val="006D10CB"/>
    <w:rsid w:val="006D14BE"/>
    <w:rsid w:val="006D1CD5"/>
    <w:rsid w:val="006D1D0F"/>
    <w:rsid w:val="006D22C2"/>
    <w:rsid w:val="006D27A0"/>
    <w:rsid w:val="006D31BB"/>
    <w:rsid w:val="006D36D6"/>
    <w:rsid w:val="006D4244"/>
    <w:rsid w:val="006D42A7"/>
    <w:rsid w:val="006D4334"/>
    <w:rsid w:val="006D47AF"/>
    <w:rsid w:val="006D4DA2"/>
    <w:rsid w:val="006D612A"/>
    <w:rsid w:val="006E05A7"/>
    <w:rsid w:val="006E164B"/>
    <w:rsid w:val="006E1C89"/>
    <w:rsid w:val="006E1E58"/>
    <w:rsid w:val="006E25E5"/>
    <w:rsid w:val="006E300E"/>
    <w:rsid w:val="006E439F"/>
    <w:rsid w:val="006E48D6"/>
    <w:rsid w:val="006E502A"/>
    <w:rsid w:val="006E53A1"/>
    <w:rsid w:val="006E572B"/>
    <w:rsid w:val="006E5F3D"/>
    <w:rsid w:val="006F0494"/>
    <w:rsid w:val="006F099D"/>
    <w:rsid w:val="006F43E7"/>
    <w:rsid w:val="006F485D"/>
    <w:rsid w:val="006F4886"/>
    <w:rsid w:val="006F4E4F"/>
    <w:rsid w:val="006F4F4F"/>
    <w:rsid w:val="006F4F8A"/>
    <w:rsid w:val="006F77BB"/>
    <w:rsid w:val="00701583"/>
    <w:rsid w:val="00701F19"/>
    <w:rsid w:val="007026CA"/>
    <w:rsid w:val="00702A88"/>
    <w:rsid w:val="0070342B"/>
    <w:rsid w:val="0070482E"/>
    <w:rsid w:val="00704D3F"/>
    <w:rsid w:val="00706FD8"/>
    <w:rsid w:val="007072E2"/>
    <w:rsid w:val="00707C0F"/>
    <w:rsid w:val="007102CD"/>
    <w:rsid w:val="00710B49"/>
    <w:rsid w:val="00710F42"/>
    <w:rsid w:val="00711E13"/>
    <w:rsid w:val="00712065"/>
    <w:rsid w:val="0071291A"/>
    <w:rsid w:val="00712C85"/>
    <w:rsid w:val="007132EA"/>
    <w:rsid w:val="007139B3"/>
    <w:rsid w:val="007152B4"/>
    <w:rsid w:val="0071542E"/>
    <w:rsid w:val="00715FAD"/>
    <w:rsid w:val="00717D31"/>
    <w:rsid w:val="0072071D"/>
    <w:rsid w:val="00720A37"/>
    <w:rsid w:val="007219A7"/>
    <w:rsid w:val="007221D7"/>
    <w:rsid w:val="00722E92"/>
    <w:rsid w:val="00723277"/>
    <w:rsid w:val="007251FB"/>
    <w:rsid w:val="00725A3F"/>
    <w:rsid w:val="00725E4C"/>
    <w:rsid w:val="00727705"/>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7D7"/>
    <w:rsid w:val="00741AE1"/>
    <w:rsid w:val="0074243B"/>
    <w:rsid w:val="00742C6E"/>
    <w:rsid w:val="007430F3"/>
    <w:rsid w:val="00745BB8"/>
    <w:rsid w:val="007473B9"/>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53A2"/>
    <w:rsid w:val="007663A8"/>
    <w:rsid w:val="0076691E"/>
    <w:rsid w:val="00766DA8"/>
    <w:rsid w:val="00770D5A"/>
    <w:rsid w:val="00772ECA"/>
    <w:rsid w:val="007731CB"/>
    <w:rsid w:val="00773D95"/>
    <w:rsid w:val="00774C78"/>
    <w:rsid w:val="00774D3B"/>
    <w:rsid w:val="0077548E"/>
    <w:rsid w:val="00775571"/>
    <w:rsid w:val="00775599"/>
    <w:rsid w:val="007755D4"/>
    <w:rsid w:val="00776158"/>
    <w:rsid w:val="0077632A"/>
    <w:rsid w:val="0078088B"/>
    <w:rsid w:val="00780EDC"/>
    <w:rsid w:val="0078132E"/>
    <w:rsid w:val="00781995"/>
    <w:rsid w:val="00781BB4"/>
    <w:rsid w:val="00781BC7"/>
    <w:rsid w:val="0078307B"/>
    <w:rsid w:val="0078471B"/>
    <w:rsid w:val="007860C3"/>
    <w:rsid w:val="00787028"/>
    <w:rsid w:val="00787B4A"/>
    <w:rsid w:val="00790248"/>
    <w:rsid w:val="00790286"/>
    <w:rsid w:val="00790991"/>
    <w:rsid w:val="00791EF3"/>
    <w:rsid w:val="0079306D"/>
    <w:rsid w:val="00793156"/>
    <w:rsid w:val="007932BB"/>
    <w:rsid w:val="00793566"/>
    <w:rsid w:val="007940CF"/>
    <w:rsid w:val="00794E18"/>
    <w:rsid w:val="007965A3"/>
    <w:rsid w:val="007977CC"/>
    <w:rsid w:val="00797AE2"/>
    <w:rsid w:val="007A012E"/>
    <w:rsid w:val="007A1057"/>
    <w:rsid w:val="007A1F9C"/>
    <w:rsid w:val="007A4ED5"/>
    <w:rsid w:val="007A5706"/>
    <w:rsid w:val="007A5808"/>
    <w:rsid w:val="007A5BE7"/>
    <w:rsid w:val="007A642D"/>
    <w:rsid w:val="007A6E0E"/>
    <w:rsid w:val="007A7244"/>
    <w:rsid w:val="007B0F9D"/>
    <w:rsid w:val="007B1D43"/>
    <w:rsid w:val="007B214B"/>
    <w:rsid w:val="007B2DBF"/>
    <w:rsid w:val="007B42A3"/>
    <w:rsid w:val="007B49AE"/>
    <w:rsid w:val="007B4C16"/>
    <w:rsid w:val="007B54A5"/>
    <w:rsid w:val="007B5624"/>
    <w:rsid w:val="007B6482"/>
    <w:rsid w:val="007C001B"/>
    <w:rsid w:val="007C09E5"/>
    <w:rsid w:val="007C1028"/>
    <w:rsid w:val="007C2338"/>
    <w:rsid w:val="007C34A0"/>
    <w:rsid w:val="007C36D3"/>
    <w:rsid w:val="007C4609"/>
    <w:rsid w:val="007C4CE6"/>
    <w:rsid w:val="007C4D84"/>
    <w:rsid w:val="007C4DF3"/>
    <w:rsid w:val="007C5856"/>
    <w:rsid w:val="007C697F"/>
    <w:rsid w:val="007C7355"/>
    <w:rsid w:val="007C73B1"/>
    <w:rsid w:val="007C7689"/>
    <w:rsid w:val="007C78B9"/>
    <w:rsid w:val="007C7ACE"/>
    <w:rsid w:val="007C7D71"/>
    <w:rsid w:val="007C7D96"/>
    <w:rsid w:val="007D0500"/>
    <w:rsid w:val="007D0C44"/>
    <w:rsid w:val="007D2A28"/>
    <w:rsid w:val="007D47A2"/>
    <w:rsid w:val="007D6D46"/>
    <w:rsid w:val="007D6E17"/>
    <w:rsid w:val="007D71D3"/>
    <w:rsid w:val="007D7D39"/>
    <w:rsid w:val="007E0EEC"/>
    <w:rsid w:val="007E32BB"/>
    <w:rsid w:val="007E4049"/>
    <w:rsid w:val="007E4EB3"/>
    <w:rsid w:val="007E500D"/>
    <w:rsid w:val="007E56AA"/>
    <w:rsid w:val="007E5A51"/>
    <w:rsid w:val="007E6A20"/>
    <w:rsid w:val="007E79D5"/>
    <w:rsid w:val="007F021F"/>
    <w:rsid w:val="007F0841"/>
    <w:rsid w:val="007F11CA"/>
    <w:rsid w:val="007F13C5"/>
    <w:rsid w:val="007F1838"/>
    <w:rsid w:val="007F1B73"/>
    <w:rsid w:val="007F24F2"/>
    <w:rsid w:val="007F27C1"/>
    <w:rsid w:val="007F2A3B"/>
    <w:rsid w:val="007F4079"/>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901"/>
    <w:rsid w:val="0080512B"/>
    <w:rsid w:val="0080577E"/>
    <w:rsid w:val="0080660B"/>
    <w:rsid w:val="00811327"/>
    <w:rsid w:val="008118BD"/>
    <w:rsid w:val="00814AE0"/>
    <w:rsid w:val="00815265"/>
    <w:rsid w:val="008153D0"/>
    <w:rsid w:val="008154C5"/>
    <w:rsid w:val="00816388"/>
    <w:rsid w:val="00817B26"/>
    <w:rsid w:val="00820174"/>
    <w:rsid w:val="00820494"/>
    <w:rsid w:val="0082049A"/>
    <w:rsid w:val="00822686"/>
    <w:rsid w:val="00822A1E"/>
    <w:rsid w:val="00823AD4"/>
    <w:rsid w:val="00823D58"/>
    <w:rsid w:val="00824A4D"/>
    <w:rsid w:val="00824D34"/>
    <w:rsid w:val="00826DD9"/>
    <w:rsid w:val="00827056"/>
    <w:rsid w:val="0082745F"/>
    <w:rsid w:val="008275CC"/>
    <w:rsid w:val="0083250E"/>
    <w:rsid w:val="00832563"/>
    <w:rsid w:val="00832BBB"/>
    <w:rsid w:val="00833BFF"/>
    <w:rsid w:val="00833FB0"/>
    <w:rsid w:val="00834447"/>
    <w:rsid w:val="008349AB"/>
    <w:rsid w:val="00834C57"/>
    <w:rsid w:val="00834E89"/>
    <w:rsid w:val="008369B1"/>
    <w:rsid w:val="0084067A"/>
    <w:rsid w:val="0084187D"/>
    <w:rsid w:val="00842430"/>
    <w:rsid w:val="00842533"/>
    <w:rsid w:val="00843485"/>
    <w:rsid w:val="008436C7"/>
    <w:rsid w:val="00843B06"/>
    <w:rsid w:val="00844D2C"/>
    <w:rsid w:val="0084618E"/>
    <w:rsid w:val="008469C7"/>
    <w:rsid w:val="00846AD5"/>
    <w:rsid w:val="00846E2D"/>
    <w:rsid w:val="008477D0"/>
    <w:rsid w:val="00847A33"/>
    <w:rsid w:val="00847FAE"/>
    <w:rsid w:val="0085097D"/>
    <w:rsid w:val="008509F7"/>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1384"/>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AD1"/>
    <w:rsid w:val="0087652D"/>
    <w:rsid w:val="00880857"/>
    <w:rsid w:val="008808DC"/>
    <w:rsid w:val="00880E96"/>
    <w:rsid w:val="0088122D"/>
    <w:rsid w:val="008826CD"/>
    <w:rsid w:val="00882944"/>
    <w:rsid w:val="00882ACE"/>
    <w:rsid w:val="00884A05"/>
    <w:rsid w:val="00887A57"/>
    <w:rsid w:val="00891F03"/>
    <w:rsid w:val="0089570D"/>
    <w:rsid w:val="00896820"/>
    <w:rsid w:val="00897AF4"/>
    <w:rsid w:val="008A03A4"/>
    <w:rsid w:val="008A04CB"/>
    <w:rsid w:val="008A1CB6"/>
    <w:rsid w:val="008A1FB9"/>
    <w:rsid w:val="008A2BE0"/>
    <w:rsid w:val="008A3A34"/>
    <w:rsid w:val="008A3A91"/>
    <w:rsid w:val="008A4F00"/>
    <w:rsid w:val="008B00D7"/>
    <w:rsid w:val="008B087B"/>
    <w:rsid w:val="008B0A56"/>
    <w:rsid w:val="008B19DE"/>
    <w:rsid w:val="008B216E"/>
    <w:rsid w:val="008B4894"/>
    <w:rsid w:val="008B4DA5"/>
    <w:rsid w:val="008B4E96"/>
    <w:rsid w:val="008B57C4"/>
    <w:rsid w:val="008B6FD9"/>
    <w:rsid w:val="008B78A4"/>
    <w:rsid w:val="008C164C"/>
    <w:rsid w:val="008C22DF"/>
    <w:rsid w:val="008C39E2"/>
    <w:rsid w:val="008C6D62"/>
    <w:rsid w:val="008C7C2A"/>
    <w:rsid w:val="008D0807"/>
    <w:rsid w:val="008D1BEE"/>
    <w:rsid w:val="008D26E4"/>
    <w:rsid w:val="008D28DA"/>
    <w:rsid w:val="008D2E03"/>
    <w:rsid w:val="008D49A7"/>
    <w:rsid w:val="008D5245"/>
    <w:rsid w:val="008D64FB"/>
    <w:rsid w:val="008D6E5F"/>
    <w:rsid w:val="008D6EB8"/>
    <w:rsid w:val="008D6F48"/>
    <w:rsid w:val="008D772D"/>
    <w:rsid w:val="008E0828"/>
    <w:rsid w:val="008E254D"/>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CB5"/>
    <w:rsid w:val="008F5A15"/>
    <w:rsid w:val="008F6203"/>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11D"/>
    <w:rsid w:val="009076C6"/>
    <w:rsid w:val="00907D42"/>
    <w:rsid w:val="00910A22"/>
    <w:rsid w:val="00911316"/>
    <w:rsid w:val="00911982"/>
    <w:rsid w:val="00911D00"/>
    <w:rsid w:val="009139F4"/>
    <w:rsid w:val="00914D8C"/>
    <w:rsid w:val="00914DF4"/>
    <w:rsid w:val="009158F6"/>
    <w:rsid w:val="009177E8"/>
    <w:rsid w:val="00920470"/>
    <w:rsid w:val="00921D00"/>
    <w:rsid w:val="00922A7F"/>
    <w:rsid w:val="009232AB"/>
    <w:rsid w:val="009233E4"/>
    <w:rsid w:val="00923CB8"/>
    <w:rsid w:val="0092481D"/>
    <w:rsid w:val="00924870"/>
    <w:rsid w:val="00925A16"/>
    <w:rsid w:val="009262E1"/>
    <w:rsid w:val="00926D48"/>
    <w:rsid w:val="00927EAF"/>
    <w:rsid w:val="009316B0"/>
    <w:rsid w:val="009326D8"/>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F1E"/>
    <w:rsid w:val="00941035"/>
    <w:rsid w:val="0094243F"/>
    <w:rsid w:val="0094518F"/>
    <w:rsid w:val="009457D3"/>
    <w:rsid w:val="00947F01"/>
    <w:rsid w:val="00950158"/>
    <w:rsid w:val="00950A5D"/>
    <w:rsid w:val="009537D6"/>
    <w:rsid w:val="009541E6"/>
    <w:rsid w:val="00954896"/>
    <w:rsid w:val="00954BD7"/>
    <w:rsid w:val="00954F65"/>
    <w:rsid w:val="00956276"/>
    <w:rsid w:val="009623F3"/>
    <w:rsid w:val="009643FC"/>
    <w:rsid w:val="00964543"/>
    <w:rsid w:val="00964BC8"/>
    <w:rsid w:val="00966F50"/>
    <w:rsid w:val="00967582"/>
    <w:rsid w:val="00971A3A"/>
    <w:rsid w:val="009728C6"/>
    <w:rsid w:val="0097347A"/>
    <w:rsid w:val="00973658"/>
    <w:rsid w:val="00973EC5"/>
    <w:rsid w:val="00974734"/>
    <w:rsid w:val="00974D7D"/>
    <w:rsid w:val="00975AE7"/>
    <w:rsid w:val="0097624A"/>
    <w:rsid w:val="00976A23"/>
    <w:rsid w:val="0097727A"/>
    <w:rsid w:val="0098242C"/>
    <w:rsid w:val="009835E3"/>
    <w:rsid w:val="0098377D"/>
    <w:rsid w:val="009843A7"/>
    <w:rsid w:val="00984680"/>
    <w:rsid w:val="0098482C"/>
    <w:rsid w:val="009849F0"/>
    <w:rsid w:val="009859E9"/>
    <w:rsid w:val="009865CE"/>
    <w:rsid w:val="009872F0"/>
    <w:rsid w:val="00987476"/>
    <w:rsid w:val="0098767A"/>
    <w:rsid w:val="00987B75"/>
    <w:rsid w:val="00987FF7"/>
    <w:rsid w:val="00990325"/>
    <w:rsid w:val="00992E03"/>
    <w:rsid w:val="009962F3"/>
    <w:rsid w:val="009969D8"/>
    <w:rsid w:val="009969E9"/>
    <w:rsid w:val="00996E4F"/>
    <w:rsid w:val="00997959"/>
    <w:rsid w:val="009A012D"/>
    <w:rsid w:val="009A07DF"/>
    <w:rsid w:val="009A0EC5"/>
    <w:rsid w:val="009A1872"/>
    <w:rsid w:val="009A230F"/>
    <w:rsid w:val="009A335D"/>
    <w:rsid w:val="009A3BE0"/>
    <w:rsid w:val="009A5A01"/>
    <w:rsid w:val="009A5A64"/>
    <w:rsid w:val="009A5CA9"/>
    <w:rsid w:val="009A5DB6"/>
    <w:rsid w:val="009A72C3"/>
    <w:rsid w:val="009B06A1"/>
    <w:rsid w:val="009B1422"/>
    <w:rsid w:val="009B14C7"/>
    <w:rsid w:val="009B3C14"/>
    <w:rsid w:val="009B5B10"/>
    <w:rsid w:val="009B5FA1"/>
    <w:rsid w:val="009B69F6"/>
    <w:rsid w:val="009B78F6"/>
    <w:rsid w:val="009B7A80"/>
    <w:rsid w:val="009C2CBF"/>
    <w:rsid w:val="009C331A"/>
    <w:rsid w:val="009C367A"/>
    <w:rsid w:val="009C5262"/>
    <w:rsid w:val="009C5C04"/>
    <w:rsid w:val="009C7DF6"/>
    <w:rsid w:val="009D01B1"/>
    <w:rsid w:val="009D0E51"/>
    <w:rsid w:val="009D130D"/>
    <w:rsid w:val="009D1BB6"/>
    <w:rsid w:val="009D1EFC"/>
    <w:rsid w:val="009D1F1E"/>
    <w:rsid w:val="009D2308"/>
    <w:rsid w:val="009D43B3"/>
    <w:rsid w:val="009D49E9"/>
    <w:rsid w:val="009D4A05"/>
    <w:rsid w:val="009D5ADD"/>
    <w:rsid w:val="009D61C0"/>
    <w:rsid w:val="009D6260"/>
    <w:rsid w:val="009D6D55"/>
    <w:rsid w:val="009D797C"/>
    <w:rsid w:val="009E0B54"/>
    <w:rsid w:val="009E2638"/>
    <w:rsid w:val="009E2A26"/>
    <w:rsid w:val="009E2F29"/>
    <w:rsid w:val="009E380B"/>
    <w:rsid w:val="009E46B3"/>
    <w:rsid w:val="009E58C0"/>
    <w:rsid w:val="009E5AF5"/>
    <w:rsid w:val="009E6F3C"/>
    <w:rsid w:val="009F0060"/>
    <w:rsid w:val="009F00FA"/>
    <w:rsid w:val="009F165A"/>
    <w:rsid w:val="009F26D2"/>
    <w:rsid w:val="009F2C25"/>
    <w:rsid w:val="009F3F89"/>
    <w:rsid w:val="009F496D"/>
    <w:rsid w:val="009F4B89"/>
    <w:rsid w:val="009F5B2B"/>
    <w:rsid w:val="009F6098"/>
    <w:rsid w:val="00A000C7"/>
    <w:rsid w:val="00A00C39"/>
    <w:rsid w:val="00A00C9D"/>
    <w:rsid w:val="00A01880"/>
    <w:rsid w:val="00A01FE7"/>
    <w:rsid w:val="00A0328B"/>
    <w:rsid w:val="00A033CC"/>
    <w:rsid w:val="00A03C39"/>
    <w:rsid w:val="00A04400"/>
    <w:rsid w:val="00A05F2F"/>
    <w:rsid w:val="00A067C9"/>
    <w:rsid w:val="00A10204"/>
    <w:rsid w:val="00A10261"/>
    <w:rsid w:val="00A10EB8"/>
    <w:rsid w:val="00A12859"/>
    <w:rsid w:val="00A12EA4"/>
    <w:rsid w:val="00A13A52"/>
    <w:rsid w:val="00A13FEE"/>
    <w:rsid w:val="00A14234"/>
    <w:rsid w:val="00A15581"/>
    <w:rsid w:val="00A158D8"/>
    <w:rsid w:val="00A16942"/>
    <w:rsid w:val="00A170B8"/>
    <w:rsid w:val="00A20E4D"/>
    <w:rsid w:val="00A20F8C"/>
    <w:rsid w:val="00A21245"/>
    <w:rsid w:val="00A21FA9"/>
    <w:rsid w:val="00A23CF9"/>
    <w:rsid w:val="00A24022"/>
    <w:rsid w:val="00A24BB0"/>
    <w:rsid w:val="00A250A2"/>
    <w:rsid w:val="00A2526C"/>
    <w:rsid w:val="00A26192"/>
    <w:rsid w:val="00A26794"/>
    <w:rsid w:val="00A26F24"/>
    <w:rsid w:val="00A333E4"/>
    <w:rsid w:val="00A34301"/>
    <w:rsid w:val="00A34471"/>
    <w:rsid w:val="00A348DE"/>
    <w:rsid w:val="00A35D42"/>
    <w:rsid w:val="00A37A42"/>
    <w:rsid w:val="00A40639"/>
    <w:rsid w:val="00A40CA7"/>
    <w:rsid w:val="00A414C6"/>
    <w:rsid w:val="00A41F5A"/>
    <w:rsid w:val="00A43365"/>
    <w:rsid w:val="00A43447"/>
    <w:rsid w:val="00A43B72"/>
    <w:rsid w:val="00A44F44"/>
    <w:rsid w:val="00A456B4"/>
    <w:rsid w:val="00A47DA5"/>
    <w:rsid w:val="00A50D4B"/>
    <w:rsid w:val="00A5157F"/>
    <w:rsid w:val="00A54327"/>
    <w:rsid w:val="00A55E06"/>
    <w:rsid w:val="00A56158"/>
    <w:rsid w:val="00A561EA"/>
    <w:rsid w:val="00A562AE"/>
    <w:rsid w:val="00A602CC"/>
    <w:rsid w:val="00A60DAE"/>
    <w:rsid w:val="00A6117B"/>
    <w:rsid w:val="00A6226E"/>
    <w:rsid w:val="00A6252D"/>
    <w:rsid w:val="00A637E3"/>
    <w:rsid w:val="00A65148"/>
    <w:rsid w:val="00A65A8E"/>
    <w:rsid w:val="00A66DB6"/>
    <w:rsid w:val="00A67C90"/>
    <w:rsid w:val="00A67E76"/>
    <w:rsid w:val="00A70508"/>
    <w:rsid w:val="00A70F58"/>
    <w:rsid w:val="00A71229"/>
    <w:rsid w:val="00A718A4"/>
    <w:rsid w:val="00A72CC3"/>
    <w:rsid w:val="00A74F6A"/>
    <w:rsid w:val="00A75A1B"/>
    <w:rsid w:val="00A77A89"/>
    <w:rsid w:val="00A77BD3"/>
    <w:rsid w:val="00A810C2"/>
    <w:rsid w:val="00A816A4"/>
    <w:rsid w:val="00A81AE7"/>
    <w:rsid w:val="00A8228E"/>
    <w:rsid w:val="00A82A55"/>
    <w:rsid w:val="00A82C3F"/>
    <w:rsid w:val="00A83282"/>
    <w:rsid w:val="00A833A9"/>
    <w:rsid w:val="00A84B41"/>
    <w:rsid w:val="00A85A26"/>
    <w:rsid w:val="00A85A87"/>
    <w:rsid w:val="00A869CE"/>
    <w:rsid w:val="00A875E8"/>
    <w:rsid w:val="00A8797E"/>
    <w:rsid w:val="00A91567"/>
    <w:rsid w:val="00A91D0E"/>
    <w:rsid w:val="00A92221"/>
    <w:rsid w:val="00A93B0C"/>
    <w:rsid w:val="00A95D3E"/>
    <w:rsid w:val="00A96247"/>
    <w:rsid w:val="00A96D71"/>
    <w:rsid w:val="00AA09CB"/>
    <w:rsid w:val="00AA1A16"/>
    <w:rsid w:val="00AA2C58"/>
    <w:rsid w:val="00AA5FE6"/>
    <w:rsid w:val="00AA6FA0"/>
    <w:rsid w:val="00AA7B2C"/>
    <w:rsid w:val="00AB089A"/>
    <w:rsid w:val="00AB1165"/>
    <w:rsid w:val="00AB1ABF"/>
    <w:rsid w:val="00AB221A"/>
    <w:rsid w:val="00AB2A9C"/>
    <w:rsid w:val="00AB30D3"/>
    <w:rsid w:val="00AB40CC"/>
    <w:rsid w:val="00AB4706"/>
    <w:rsid w:val="00AB4EB6"/>
    <w:rsid w:val="00AB5009"/>
    <w:rsid w:val="00AB53BB"/>
    <w:rsid w:val="00AB57AC"/>
    <w:rsid w:val="00AB62E7"/>
    <w:rsid w:val="00AC01FC"/>
    <w:rsid w:val="00AC08FA"/>
    <w:rsid w:val="00AC0AE8"/>
    <w:rsid w:val="00AC13E8"/>
    <w:rsid w:val="00AC1A47"/>
    <w:rsid w:val="00AC2418"/>
    <w:rsid w:val="00AC30C6"/>
    <w:rsid w:val="00AC513A"/>
    <w:rsid w:val="00AC58C3"/>
    <w:rsid w:val="00AC5DD6"/>
    <w:rsid w:val="00AC7CE8"/>
    <w:rsid w:val="00AD25DD"/>
    <w:rsid w:val="00AD26E0"/>
    <w:rsid w:val="00AD26EB"/>
    <w:rsid w:val="00AD3CAD"/>
    <w:rsid w:val="00AD4663"/>
    <w:rsid w:val="00AD49F2"/>
    <w:rsid w:val="00AD58A2"/>
    <w:rsid w:val="00AD5F6B"/>
    <w:rsid w:val="00AD7E6C"/>
    <w:rsid w:val="00AE1223"/>
    <w:rsid w:val="00AE300A"/>
    <w:rsid w:val="00AE3A6A"/>
    <w:rsid w:val="00AE3EA9"/>
    <w:rsid w:val="00AE4762"/>
    <w:rsid w:val="00AE4B52"/>
    <w:rsid w:val="00AE6AAA"/>
    <w:rsid w:val="00AF1855"/>
    <w:rsid w:val="00AF39F3"/>
    <w:rsid w:val="00AF4F1A"/>
    <w:rsid w:val="00AF5714"/>
    <w:rsid w:val="00AF5B82"/>
    <w:rsid w:val="00AF7024"/>
    <w:rsid w:val="00AF787D"/>
    <w:rsid w:val="00B00959"/>
    <w:rsid w:val="00B02902"/>
    <w:rsid w:val="00B0298D"/>
    <w:rsid w:val="00B03717"/>
    <w:rsid w:val="00B03CBA"/>
    <w:rsid w:val="00B04255"/>
    <w:rsid w:val="00B051EB"/>
    <w:rsid w:val="00B0628F"/>
    <w:rsid w:val="00B06863"/>
    <w:rsid w:val="00B110E4"/>
    <w:rsid w:val="00B11CD1"/>
    <w:rsid w:val="00B131A5"/>
    <w:rsid w:val="00B13237"/>
    <w:rsid w:val="00B132F8"/>
    <w:rsid w:val="00B139CD"/>
    <w:rsid w:val="00B14765"/>
    <w:rsid w:val="00B15068"/>
    <w:rsid w:val="00B15526"/>
    <w:rsid w:val="00B15BE2"/>
    <w:rsid w:val="00B15F25"/>
    <w:rsid w:val="00B15F2F"/>
    <w:rsid w:val="00B16858"/>
    <w:rsid w:val="00B17FC2"/>
    <w:rsid w:val="00B2051E"/>
    <w:rsid w:val="00B21DEB"/>
    <w:rsid w:val="00B22CDA"/>
    <w:rsid w:val="00B240B0"/>
    <w:rsid w:val="00B254B6"/>
    <w:rsid w:val="00B25CCC"/>
    <w:rsid w:val="00B26111"/>
    <w:rsid w:val="00B266DA"/>
    <w:rsid w:val="00B268F5"/>
    <w:rsid w:val="00B27967"/>
    <w:rsid w:val="00B3011D"/>
    <w:rsid w:val="00B32EFE"/>
    <w:rsid w:val="00B32F7E"/>
    <w:rsid w:val="00B3390C"/>
    <w:rsid w:val="00B35A6D"/>
    <w:rsid w:val="00B3607E"/>
    <w:rsid w:val="00B366D0"/>
    <w:rsid w:val="00B368DE"/>
    <w:rsid w:val="00B36F02"/>
    <w:rsid w:val="00B37FC6"/>
    <w:rsid w:val="00B4163E"/>
    <w:rsid w:val="00B41DAF"/>
    <w:rsid w:val="00B4288F"/>
    <w:rsid w:val="00B43EDC"/>
    <w:rsid w:val="00B43F63"/>
    <w:rsid w:val="00B4426C"/>
    <w:rsid w:val="00B44C65"/>
    <w:rsid w:val="00B451EA"/>
    <w:rsid w:val="00B4564A"/>
    <w:rsid w:val="00B46DFC"/>
    <w:rsid w:val="00B46E60"/>
    <w:rsid w:val="00B4729F"/>
    <w:rsid w:val="00B51C74"/>
    <w:rsid w:val="00B5216A"/>
    <w:rsid w:val="00B5302D"/>
    <w:rsid w:val="00B5510B"/>
    <w:rsid w:val="00B55644"/>
    <w:rsid w:val="00B55DB1"/>
    <w:rsid w:val="00B56C0B"/>
    <w:rsid w:val="00B57E78"/>
    <w:rsid w:val="00B60B0D"/>
    <w:rsid w:val="00B614F4"/>
    <w:rsid w:val="00B617DD"/>
    <w:rsid w:val="00B61A32"/>
    <w:rsid w:val="00B634F0"/>
    <w:rsid w:val="00B64CD1"/>
    <w:rsid w:val="00B66DAA"/>
    <w:rsid w:val="00B67CB8"/>
    <w:rsid w:val="00B710AF"/>
    <w:rsid w:val="00B71A5D"/>
    <w:rsid w:val="00B71C43"/>
    <w:rsid w:val="00B725F0"/>
    <w:rsid w:val="00B730E1"/>
    <w:rsid w:val="00B73721"/>
    <w:rsid w:val="00B7466A"/>
    <w:rsid w:val="00B74B71"/>
    <w:rsid w:val="00B75FD4"/>
    <w:rsid w:val="00B76541"/>
    <w:rsid w:val="00B777C6"/>
    <w:rsid w:val="00B77A7A"/>
    <w:rsid w:val="00B809AE"/>
    <w:rsid w:val="00B81B14"/>
    <w:rsid w:val="00B84270"/>
    <w:rsid w:val="00B84A38"/>
    <w:rsid w:val="00B90345"/>
    <w:rsid w:val="00B91E10"/>
    <w:rsid w:val="00B93F4E"/>
    <w:rsid w:val="00B94389"/>
    <w:rsid w:val="00B95818"/>
    <w:rsid w:val="00B969DD"/>
    <w:rsid w:val="00B976BC"/>
    <w:rsid w:val="00BA05F0"/>
    <w:rsid w:val="00BA0DF0"/>
    <w:rsid w:val="00BA1BAF"/>
    <w:rsid w:val="00BA29D8"/>
    <w:rsid w:val="00BA2D53"/>
    <w:rsid w:val="00BA2DEA"/>
    <w:rsid w:val="00BA3BF8"/>
    <w:rsid w:val="00BA4014"/>
    <w:rsid w:val="00BA5FC8"/>
    <w:rsid w:val="00BA7276"/>
    <w:rsid w:val="00BA79E9"/>
    <w:rsid w:val="00BB01AA"/>
    <w:rsid w:val="00BB02BF"/>
    <w:rsid w:val="00BB3AAE"/>
    <w:rsid w:val="00BB4574"/>
    <w:rsid w:val="00BB4A1C"/>
    <w:rsid w:val="00BB5D8F"/>
    <w:rsid w:val="00BB5E79"/>
    <w:rsid w:val="00BB5EE8"/>
    <w:rsid w:val="00BB6AA7"/>
    <w:rsid w:val="00BB706E"/>
    <w:rsid w:val="00BB734C"/>
    <w:rsid w:val="00BC035A"/>
    <w:rsid w:val="00BC05CE"/>
    <w:rsid w:val="00BC079C"/>
    <w:rsid w:val="00BC0857"/>
    <w:rsid w:val="00BC0BE5"/>
    <w:rsid w:val="00BC12B8"/>
    <w:rsid w:val="00BC2D55"/>
    <w:rsid w:val="00BC390F"/>
    <w:rsid w:val="00BC3FC3"/>
    <w:rsid w:val="00BC4084"/>
    <w:rsid w:val="00BC41EC"/>
    <w:rsid w:val="00BC4578"/>
    <w:rsid w:val="00BC4632"/>
    <w:rsid w:val="00BC4BC8"/>
    <w:rsid w:val="00BC59DF"/>
    <w:rsid w:val="00BC5DD8"/>
    <w:rsid w:val="00BC628B"/>
    <w:rsid w:val="00BD1C85"/>
    <w:rsid w:val="00BD1F6E"/>
    <w:rsid w:val="00BD23D8"/>
    <w:rsid w:val="00BD4438"/>
    <w:rsid w:val="00BD6250"/>
    <w:rsid w:val="00BD6DFF"/>
    <w:rsid w:val="00BD7138"/>
    <w:rsid w:val="00BD7F69"/>
    <w:rsid w:val="00BE0252"/>
    <w:rsid w:val="00BE067C"/>
    <w:rsid w:val="00BE176C"/>
    <w:rsid w:val="00BE4E1F"/>
    <w:rsid w:val="00BE7BCE"/>
    <w:rsid w:val="00BF0401"/>
    <w:rsid w:val="00BF0451"/>
    <w:rsid w:val="00BF1488"/>
    <w:rsid w:val="00BF24EE"/>
    <w:rsid w:val="00BF2BE9"/>
    <w:rsid w:val="00BF3100"/>
    <w:rsid w:val="00BF49A4"/>
    <w:rsid w:val="00BF4D99"/>
    <w:rsid w:val="00BF5AAD"/>
    <w:rsid w:val="00BF6B00"/>
    <w:rsid w:val="00BF6C5A"/>
    <w:rsid w:val="00BF72EF"/>
    <w:rsid w:val="00C00E08"/>
    <w:rsid w:val="00C033A3"/>
    <w:rsid w:val="00C03FD0"/>
    <w:rsid w:val="00C044BB"/>
    <w:rsid w:val="00C05C43"/>
    <w:rsid w:val="00C05C83"/>
    <w:rsid w:val="00C07F3A"/>
    <w:rsid w:val="00C10139"/>
    <w:rsid w:val="00C11407"/>
    <w:rsid w:val="00C11C3B"/>
    <w:rsid w:val="00C12221"/>
    <w:rsid w:val="00C13241"/>
    <w:rsid w:val="00C13D62"/>
    <w:rsid w:val="00C1539E"/>
    <w:rsid w:val="00C153B0"/>
    <w:rsid w:val="00C1762B"/>
    <w:rsid w:val="00C20D1E"/>
    <w:rsid w:val="00C20EFB"/>
    <w:rsid w:val="00C224B1"/>
    <w:rsid w:val="00C227E0"/>
    <w:rsid w:val="00C23ED6"/>
    <w:rsid w:val="00C24C10"/>
    <w:rsid w:val="00C251BC"/>
    <w:rsid w:val="00C252AF"/>
    <w:rsid w:val="00C2704D"/>
    <w:rsid w:val="00C27413"/>
    <w:rsid w:val="00C30091"/>
    <w:rsid w:val="00C303DB"/>
    <w:rsid w:val="00C31864"/>
    <w:rsid w:val="00C324C2"/>
    <w:rsid w:val="00C3333E"/>
    <w:rsid w:val="00C3480F"/>
    <w:rsid w:val="00C3493E"/>
    <w:rsid w:val="00C34A32"/>
    <w:rsid w:val="00C374BA"/>
    <w:rsid w:val="00C406BB"/>
    <w:rsid w:val="00C42495"/>
    <w:rsid w:val="00C42F28"/>
    <w:rsid w:val="00C433DF"/>
    <w:rsid w:val="00C44E64"/>
    <w:rsid w:val="00C4578F"/>
    <w:rsid w:val="00C45852"/>
    <w:rsid w:val="00C4746B"/>
    <w:rsid w:val="00C50FED"/>
    <w:rsid w:val="00C51488"/>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F38"/>
    <w:rsid w:val="00C66816"/>
    <w:rsid w:val="00C668B7"/>
    <w:rsid w:val="00C67416"/>
    <w:rsid w:val="00C70725"/>
    <w:rsid w:val="00C7220E"/>
    <w:rsid w:val="00C73327"/>
    <w:rsid w:val="00C73519"/>
    <w:rsid w:val="00C754AB"/>
    <w:rsid w:val="00C770AA"/>
    <w:rsid w:val="00C7710D"/>
    <w:rsid w:val="00C7747D"/>
    <w:rsid w:val="00C802D7"/>
    <w:rsid w:val="00C804A9"/>
    <w:rsid w:val="00C81848"/>
    <w:rsid w:val="00C82C01"/>
    <w:rsid w:val="00C8371D"/>
    <w:rsid w:val="00C84970"/>
    <w:rsid w:val="00C84B9A"/>
    <w:rsid w:val="00C853F4"/>
    <w:rsid w:val="00C86E89"/>
    <w:rsid w:val="00C872A7"/>
    <w:rsid w:val="00C877EB"/>
    <w:rsid w:val="00C87E01"/>
    <w:rsid w:val="00C87F30"/>
    <w:rsid w:val="00C92D8C"/>
    <w:rsid w:val="00C93658"/>
    <w:rsid w:val="00C937A2"/>
    <w:rsid w:val="00C93CFC"/>
    <w:rsid w:val="00C9439C"/>
    <w:rsid w:val="00C95C82"/>
    <w:rsid w:val="00C962E4"/>
    <w:rsid w:val="00C96EDB"/>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345"/>
    <w:rsid w:val="00CB43BA"/>
    <w:rsid w:val="00CB49A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2D8"/>
    <w:rsid w:val="00CC59CA"/>
    <w:rsid w:val="00CC5F32"/>
    <w:rsid w:val="00CC64DD"/>
    <w:rsid w:val="00CC6DA9"/>
    <w:rsid w:val="00CD0EFE"/>
    <w:rsid w:val="00CD3691"/>
    <w:rsid w:val="00CD3CD0"/>
    <w:rsid w:val="00CD4D22"/>
    <w:rsid w:val="00CD5A16"/>
    <w:rsid w:val="00CD5C5E"/>
    <w:rsid w:val="00CD5E5C"/>
    <w:rsid w:val="00CD618A"/>
    <w:rsid w:val="00CD67A4"/>
    <w:rsid w:val="00CD7460"/>
    <w:rsid w:val="00CD7AE4"/>
    <w:rsid w:val="00CD7EE6"/>
    <w:rsid w:val="00CE1074"/>
    <w:rsid w:val="00CE1C82"/>
    <w:rsid w:val="00CE1EDF"/>
    <w:rsid w:val="00CE5258"/>
    <w:rsid w:val="00CE538D"/>
    <w:rsid w:val="00CE54DD"/>
    <w:rsid w:val="00CE6D13"/>
    <w:rsid w:val="00CE6E63"/>
    <w:rsid w:val="00CE702C"/>
    <w:rsid w:val="00CF0255"/>
    <w:rsid w:val="00CF2822"/>
    <w:rsid w:val="00CF2DFA"/>
    <w:rsid w:val="00CF3EDD"/>
    <w:rsid w:val="00CF5CEF"/>
    <w:rsid w:val="00CF6849"/>
    <w:rsid w:val="00CF71DA"/>
    <w:rsid w:val="00CF76AE"/>
    <w:rsid w:val="00CF7710"/>
    <w:rsid w:val="00CF7AFF"/>
    <w:rsid w:val="00D0172E"/>
    <w:rsid w:val="00D0198B"/>
    <w:rsid w:val="00D0316C"/>
    <w:rsid w:val="00D05EC5"/>
    <w:rsid w:val="00D0683B"/>
    <w:rsid w:val="00D06B3B"/>
    <w:rsid w:val="00D0731C"/>
    <w:rsid w:val="00D109CE"/>
    <w:rsid w:val="00D1117E"/>
    <w:rsid w:val="00D1164E"/>
    <w:rsid w:val="00D129F6"/>
    <w:rsid w:val="00D133D0"/>
    <w:rsid w:val="00D14307"/>
    <w:rsid w:val="00D157D9"/>
    <w:rsid w:val="00D1609C"/>
    <w:rsid w:val="00D17FB5"/>
    <w:rsid w:val="00D20C9A"/>
    <w:rsid w:val="00D21394"/>
    <w:rsid w:val="00D21AF0"/>
    <w:rsid w:val="00D22E34"/>
    <w:rsid w:val="00D253F6"/>
    <w:rsid w:val="00D25407"/>
    <w:rsid w:val="00D25416"/>
    <w:rsid w:val="00D2542E"/>
    <w:rsid w:val="00D25ACE"/>
    <w:rsid w:val="00D26B55"/>
    <w:rsid w:val="00D26EC8"/>
    <w:rsid w:val="00D32284"/>
    <w:rsid w:val="00D36AC6"/>
    <w:rsid w:val="00D4104F"/>
    <w:rsid w:val="00D424E0"/>
    <w:rsid w:val="00D42E54"/>
    <w:rsid w:val="00D4344D"/>
    <w:rsid w:val="00D43741"/>
    <w:rsid w:val="00D43986"/>
    <w:rsid w:val="00D44382"/>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73495"/>
    <w:rsid w:val="00D744C4"/>
    <w:rsid w:val="00D75AD3"/>
    <w:rsid w:val="00D76D11"/>
    <w:rsid w:val="00D8005D"/>
    <w:rsid w:val="00D80C1B"/>
    <w:rsid w:val="00D82005"/>
    <w:rsid w:val="00D845FC"/>
    <w:rsid w:val="00D84C1B"/>
    <w:rsid w:val="00D857A6"/>
    <w:rsid w:val="00D85D18"/>
    <w:rsid w:val="00D90345"/>
    <w:rsid w:val="00D91F68"/>
    <w:rsid w:val="00D92885"/>
    <w:rsid w:val="00D93A8D"/>
    <w:rsid w:val="00D96DB3"/>
    <w:rsid w:val="00DA1594"/>
    <w:rsid w:val="00DA1DFA"/>
    <w:rsid w:val="00DA21F5"/>
    <w:rsid w:val="00DA2287"/>
    <w:rsid w:val="00DA29E6"/>
    <w:rsid w:val="00DA4814"/>
    <w:rsid w:val="00DA6875"/>
    <w:rsid w:val="00DA6A7E"/>
    <w:rsid w:val="00DA7648"/>
    <w:rsid w:val="00DA7A65"/>
    <w:rsid w:val="00DB095D"/>
    <w:rsid w:val="00DB2CDE"/>
    <w:rsid w:val="00DB2D9A"/>
    <w:rsid w:val="00DB4125"/>
    <w:rsid w:val="00DB485A"/>
    <w:rsid w:val="00DB5B99"/>
    <w:rsid w:val="00DB6589"/>
    <w:rsid w:val="00DB73B0"/>
    <w:rsid w:val="00DB7C07"/>
    <w:rsid w:val="00DC18E9"/>
    <w:rsid w:val="00DC1907"/>
    <w:rsid w:val="00DC3F99"/>
    <w:rsid w:val="00DC4894"/>
    <w:rsid w:val="00DC5ED1"/>
    <w:rsid w:val="00DC7322"/>
    <w:rsid w:val="00DC7F73"/>
    <w:rsid w:val="00DD01A9"/>
    <w:rsid w:val="00DD043F"/>
    <w:rsid w:val="00DD4666"/>
    <w:rsid w:val="00DD65F7"/>
    <w:rsid w:val="00DD670D"/>
    <w:rsid w:val="00DD6F08"/>
    <w:rsid w:val="00DE04FC"/>
    <w:rsid w:val="00DE1144"/>
    <w:rsid w:val="00DE2761"/>
    <w:rsid w:val="00DE2BE5"/>
    <w:rsid w:val="00DE3146"/>
    <w:rsid w:val="00DE32E1"/>
    <w:rsid w:val="00DE3865"/>
    <w:rsid w:val="00DE43C0"/>
    <w:rsid w:val="00DE4BB1"/>
    <w:rsid w:val="00DE5BBA"/>
    <w:rsid w:val="00DE7101"/>
    <w:rsid w:val="00DF0814"/>
    <w:rsid w:val="00DF17FF"/>
    <w:rsid w:val="00DF46C0"/>
    <w:rsid w:val="00DF4A4B"/>
    <w:rsid w:val="00DF4E5D"/>
    <w:rsid w:val="00DF67BC"/>
    <w:rsid w:val="00DF6F8A"/>
    <w:rsid w:val="00DF75F4"/>
    <w:rsid w:val="00E00275"/>
    <w:rsid w:val="00E01038"/>
    <w:rsid w:val="00E01A25"/>
    <w:rsid w:val="00E02C5A"/>
    <w:rsid w:val="00E031F3"/>
    <w:rsid w:val="00E04194"/>
    <w:rsid w:val="00E04ADC"/>
    <w:rsid w:val="00E0547D"/>
    <w:rsid w:val="00E06245"/>
    <w:rsid w:val="00E10A3E"/>
    <w:rsid w:val="00E121BF"/>
    <w:rsid w:val="00E1232B"/>
    <w:rsid w:val="00E15C6D"/>
    <w:rsid w:val="00E16056"/>
    <w:rsid w:val="00E16557"/>
    <w:rsid w:val="00E16A3D"/>
    <w:rsid w:val="00E16E04"/>
    <w:rsid w:val="00E174C2"/>
    <w:rsid w:val="00E211AC"/>
    <w:rsid w:val="00E22DFF"/>
    <w:rsid w:val="00E22F98"/>
    <w:rsid w:val="00E22FB6"/>
    <w:rsid w:val="00E2305F"/>
    <w:rsid w:val="00E23294"/>
    <w:rsid w:val="00E25BF0"/>
    <w:rsid w:val="00E262C5"/>
    <w:rsid w:val="00E27B5B"/>
    <w:rsid w:val="00E27BD1"/>
    <w:rsid w:val="00E27DD8"/>
    <w:rsid w:val="00E30409"/>
    <w:rsid w:val="00E3142E"/>
    <w:rsid w:val="00E322B6"/>
    <w:rsid w:val="00E32741"/>
    <w:rsid w:val="00E349F5"/>
    <w:rsid w:val="00E35063"/>
    <w:rsid w:val="00E35116"/>
    <w:rsid w:val="00E356D1"/>
    <w:rsid w:val="00E37663"/>
    <w:rsid w:val="00E4044D"/>
    <w:rsid w:val="00E40691"/>
    <w:rsid w:val="00E414D9"/>
    <w:rsid w:val="00E421AF"/>
    <w:rsid w:val="00E4278C"/>
    <w:rsid w:val="00E428BB"/>
    <w:rsid w:val="00E433D0"/>
    <w:rsid w:val="00E433D8"/>
    <w:rsid w:val="00E44821"/>
    <w:rsid w:val="00E45FAD"/>
    <w:rsid w:val="00E47578"/>
    <w:rsid w:val="00E476A4"/>
    <w:rsid w:val="00E50380"/>
    <w:rsid w:val="00E51586"/>
    <w:rsid w:val="00E522AA"/>
    <w:rsid w:val="00E523F5"/>
    <w:rsid w:val="00E52899"/>
    <w:rsid w:val="00E5305B"/>
    <w:rsid w:val="00E53D92"/>
    <w:rsid w:val="00E547AF"/>
    <w:rsid w:val="00E54BFA"/>
    <w:rsid w:val="00E54C06"/>
    <w:rsid w:val="00E55C86"/>
    <w:rsid w:val="00E5763C"/>
    <w:rsid w:val="00E57CAE"/>
    <w:rsid w:val="00E605F1"/>
    <w:rsid w:val="00E60F02"/>
    <w:rsid w:val="00E61A26"/>
    <w:rsid w:val="00E63867"/>
    <w:rsid w:val="00E64439"/>
    <w:rsid w:val="00E64472"/>
    <w:rsid w:val="00E65307"/>
    <w:rsid w:val="00E66C5C"/>
    <w:rsid w:val="00E67801"/>
    <w:rsid w:val="00E7015D"/>
    <w:rsid w:val="00E708C8"/>
    <w:rsid w:val="00E709F2"/>
    <w:rsid w:val="00E71333"/>
    <w:rsid w:val="00E72C93"/>
    <w:rsid w:val="00E74C6B"/>
    <w:rsid w:val="00E74EEF"/>
    <w:rsid w:val="00E75022"/>
    <w:rsid w:val="00E77B49"/>
    <w:rsid w:val="00E77EB6"/>
    <w:rsid w:val="00E800B3"/>
    <w:rsid w:val="00E806B6"/>
    <w:rsid w:val="00E80918"/>
    <w:rsid w:val="00E82011"/>
    <w:rsid w:val="00E83A67"/>
    <w:rsid w:val="00E84693"/>
    <w:rsid w:val="00E863DB"/>
    <w:rsid w:val="00E86433"/>
    <w:rsid w:val="00E86B52"/>
    <w:rsid w:val="00E86D83"/>
    <w:rsid w:val="00E8711B"/>
    <w:rsid w:val="00E876EA"/>
    <w:rsid w:val="00E9103F"/>
    <w:rsid w:val="00E920A5"/>
    <w:rsid w:val="00E92E08"/>
    <w:rsid w:val="00E935CF"/>
    <w:rsid w:val="00E96CC7"/>
    <w:rsid w:val="00E97BF9"/>
    <w:rsid w:val="00EA16DC"/>
    <w:rsid w:val="00EA349E"/>
    <w:rsid w:val="00EA42DA"/>
    <w:rsid w:val="00EA4365"/>
    <w:rsid w:val="00EA52F7"/>
    <w:rsid w:val="00EA5CA1"/>
    <w:rsid w:val="00EA708F"/>
    <w:rsid w:val="00EA72CE"/>
    <w:rsid w:val="00EA798C"/>
    <w:rsid w:val="00EA7A02"/>
    <w:rsid w:val="00EA7AEA"/>
    <w:rsid w:val="00EB09A5"/>
    <w:rsid w:val="00EB0EC3"/>
    <w:rsid w:val="00EB14FB"/>
    <w:rsid w:val="00EB1D02"/>
    <w:rsid w:val="00EB2AFC"/>
    <w:rsid w:val="00EB2F3E"/>
    <w:rsid w:val="00EB4A87"/>
    <w:rsid w:val="00EB535A"/>
    <w:rsid w:val="00EB5C31"/>
    <w:rsid w:val="00EB6A55"/>
    <w:rsid w:val="00EB6AFC"/>
    <w:rsid w:val="00EC0730"/>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64B"/>
    <w:rsid w:val="00ED4DAB"/>
    <w:rsid w:val="00ED5BA5"/>
    <w:rsid w:val="00ED740D"/>
    <w:rsid w:val="00ED746E"/>
    <w:rsid w:val="00ED74EF"/>
    <w:rsid w:val="00ED780E"/>
    <w:rsid w:val="00ED7E4B"/>
    <w:rsid w:val="00EE0E39"/>
    <w:rsid w:val="00EE114F"/>
    <w:rsid w:val="00EE16EC"/>
    <w:rsid w:val="00EE1857"/>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6EEB"/>
    <w:rsid w:val="00EF7104"/>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5E89"/>
    <w:rsid w:val="00F36F73"/>
    <w:rsid w:val="00F431DC"/>
    <w:rsid w:val="00F4348A"/>
    <w:rsid w:val="00F44349"/>
    <w:rsid w:val="00F4450E"/>
    <w:rsid w:val="00F46016"/>
    <w:rsid w:val="00F461E4"/>
    <w:rsid w:val="00F479D7"/>
    <w:rsid w:val="00F51118"/>
    <w:rsid w:val="00F5151D"/>
    <w:rsid w:val="00F531DA"/>
    <w:rsid w:val="00F532E8"/>
    <w:rsid w:val="00F53D74"/>
    <w:rsid w:val="00F6084B"/>
    <w:rsid w:val="00F609BB"/>
    <w:rsid w:val="00F610D2"/>
    <w:rsid w:val="00F6138D"/>
    <w:rsid w:val="00F61D2C"/>
    <w:rsid w:val="00F637D4"/>
    <w:rsid w:val="00F63849"/>
    <w:rsid w:val="00F6419B"/>
    <w:rsid w:val="00F6459D"/>
    <w:rsid w:val="00F64806"/>
    <w:rsid w:val="00F64E77"/>
    <w:rsid w:val="00F65027"/>
    <w:rsid w:val="00F668A2"/>
    <w:rsid w:val="00F6747C"/>
    <w:rsid w:val="00F675C2"/>
    <w:rsid w:val="00F67FCF"/>
    <w:rsid w:val="00F7041C"/>
    <w:rsid w:val="00F70675"/>
    <w:rsid w:val="00F708F4"/>
    <w:rsid w:val="00F70E48"/>
    <w:rsid w:val="00F71A00"/>
    <w:rsid w:val="00F733F3"/>
    <w:rsid w:val="00F734FD"/>
    <w:rsid w:val="00F737E3"/>
    <w:rsid w:val="00F74366"/>
    <w:rsid w:val="00F7596D"/>
    <w:rsid w:val="00F7621E"/>
    <w:rsid w:val="00F764CE"/>
    <w:rsid w:val="00F775B6"/>
    <w:rsid w:val="00F80CD6"/>
    <w:rsid w:val="00F80F87"/>
    <w:rsid w:val="00F80FAD"/>
    <w:rsid w:val="00F820C4"/>
    <w:rsid w:val="00F91558"/>
    <w:rsid w:val="00F91786"/>
    <w:rsid w:val="00F922AB"/>
    <w:rsid w:val="00F92BD8"/>
    <w:rsid w:val="00F92F20"/>
    <w:rsid w:val="00F93DD3"/>
    <w:rsid w:val="00F94178"/>
    <w:rsid w:val="00F9488C"/>
    <w:rsid w:val="00F94D05"/>
    <w:rsid w:val="00F94D9F"/>
    <w:rsid w:val="00F95C97"/>
    <w:rsid w:val="00F97AB0"/>
    <w:rsid w:val="00F97DCC"/>
    <w:rsid w:val="00FA0422"/>
    <w:rsid w:val="00FA043E"/>
    <w:rsid w:val="00FA0C0A"/>
    <w:rsid w:val="00FA0EC8"/>
    <w:rsid w:val="00FA12E8"/>
    <w:rsid w:val="00FA1FFF"/>
    <w:rsid w:val="00FA2104"/>
    <w:rsid w:val="00FA42AD"/>
    <w:rsid w:val="00FA5648"/>
    <w:rsid w:val="00FA56E2"/>
    <w:rsid w:val="00FA5ED2"/>
    <w:rsid w:val="00FA7D1B"/>
    <w:rsid w:val="00FA7EC2"/>
    <w:rsid w:val="00FA7F0D"/>
    <w:rsid w:val="00FB14BB"/>
    <w:rsid w:val="00FB20FF"/>
    <w:rsid w:val="00FB267B"/>
    <w:rsid w:val="00FB35BC"/>
    <w:rsid w:val="00FB45A2"/>
    <w:rsid w:val="00FB4C99"/>
    <w:rsid w:val="00FB5401"/>
    <w:rsid w:val="00FB5C9C"/>
    <w:rsid w:val="00FB6422"/>
    <w:rsid w:val="00FB68B0"/>
    <w:rsid w:val="00FC187B"/>
    <w:rsid w:val="00FC1A57"/>
    <w:rsid w:val="00FC1A8B"/>
    <w:rsid w:val="00FC1E83"/>
    <w:rsid w:val="00FC322B"/>
    <w:rsid w:val="00FC3839"/>
    <w:rsid w:val="00FC46A1"/>
    <w:rsid w:val="00FC4CEB"/>
    <w:rsid w:val="00FC5A3E"/>
    <w:rsid w:val="00FC5ADA"/>
    <w:rsid w:val="00FC6D74"/>
    <w:rsid w:val="00FC6ED0"/>
    <w:rsid w:val="00FC70B1"/>
    <w:rsid w:val="00FC720E"/>
    <w:rsid w:val="00FD0599"/>
    <w:rsid w:val="00FD0D91"/>
    <w:rsid w:val="00FD0E72"/>
    <w:rsid w:val="00FD0F4A"/>
    <w:rsid w:val="00FD1605"/>
    <w:rsid w:val="00FD26CD"/>
    <w:rsid w:val="00FD43C2"/>
    <w:rsid w:val="00FD583B"/>
    <w:rsid w:val="00FD5D82"/>
    <w:rsid w:val="00FD5E87"/>
    <w:rsid w:val="00FD6702"/>
    <w:rsid w:val="00FD7FA6"/>
    <w:rsid w:val="00FE136F"/>
    <w:rsid w:val="00FE37CA"/>
    <w:rsid w:val="00FE3A57"/>
    <w:rsid w:val="00FE3C0B"/>
    <w:rsid w:val="00FE3FCE"/>
    <w:rsid w:val="00FE4529"/>
    <w:rsid w:val="00FE766E"/>
    <w:rsid w:val="00FE7A1C"/>
    <w:rsid w:val="00FE7A6F"/>
    <w:rsid w:val="00FF00D9"/>
    <w:rsid w:val="00FF07F5"/>
    <w:rsid w:val="00FF1C27"/>
    <w:rsid w:val="00FF43A8"/>
    <w:rsid w:val="00FF46A3"/>
    <w:rsid w:val="00FF5421"/>
    <w:rsid w:val="00FF67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link w:val="BodyTextChar"/>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BodyTextChar">
    <w:name w:val="Body Text Char"/>
    <w:link w:val="BodyText"/>
    <w:rsid w:val="00EA349E"/>
    <w:rPr>
      <w:rFonts w:ascii="Times New Roman" w:eastAsia="Times New Roman" w:hAnsi="Times New Roman"/>
      <w:lang w:val="en-GB"/>
    </w:rPr>
  </w:style>
  <w:style w:type="character" w:customStyle="1" w:styleId="HeaderChar">
    <w:name w:val="Header Char"/>
    <w:aliases w:val="header odd Char1"/>
    <w:link w:val="Header"/>
    <w:locked/>
    <w:rsid w:val="00A85A26"/>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44764874">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3458519">
      <w:bodyDiv w:val="1"/>
      <w:marLeft w:val="0"/>
      <w:marRight w:val="0"/>
      <w:marTop w:val="0"/>
      <w:marBottom w:val="0"/>
      <w:divBdr>
        <w:top w:val="none" w:sz="0" w:space="0" w:color="auto"/>
        <w:left w:val="none" w:sz="0" w:space="0" w:color="auto"/>
        <w:bottom w:val="none" w:sz="0" w:space="0" w:color="auto"/>
        <w:right w:val="none" w:sz="0" w:space="0" w:color="auto"/>
      </w:divBdr>
      <w:divsChild>
        <w:div w:id="174462222">
          <w:marLeft w:val="0"/>
          <w:marRight w:val="0"/>
          <w:marTop w:val="0"/>
          <w:marBottom w:val="120"/>
          <w:divBdr>
            <w:top w:val="none" w:sz="0" w:space="0" w:color="auto"/>
            <w:left w:val="none" w:sz="0" w:space="0" w:color="auto"/>
            <w:bottom w:val="none" w:sz="0" w:space="0" w:color="auto"/>
            <w:right w:val="none" w:sz="0" w:space="0" w:color="auto"/>
          </w:divBdr>
        </w:div>
        <w:div w:id="280964466">
          <w:marLeft w:val="0"/>
          <w:marRight w:val="0"/>
          <w:marTop w:val="0"/>
          <w:marBottom w:val="120"/>
          <w:divBdr>
            <w:top w:val="none" w:sz="0" w:space="0" w:color="auto"/>
            <w:left w:val="none" w:sz="0" w:space="0" w:color="auto"/>
            <w:bottom w:val="none" w:sz="0" w:space="0" w:color="auto"/>
            <w:right w:val="none" w:sz="0" w:space="0" w:color="auto"/>
          </w:divBdr>
        </w:div>
        <w:div w:id="1331519221">
          <w:marLeft w:val="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760877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7333684">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DC1F5-D5F0-451A-A33B-7EC423CC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&amp; Nokia Corporation</dc:creator>
  <cp:lastModifiedBy>Timo Lunttila</cp:lastModifiedBy>
  <cp:revision>3</cp:revision>
  <cp:lastPrinted>2015-01-16T06:51:00Z</cp:lastPrinted>
  <dcterms:created xsi:type="dcterms:W3CDTF">2015-03-16T10:14:00Z</dcterms:created>
  <dcterms:modified xsi:type="dcterms:W3CDTF">2015-03-16T10:14:00Z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ies>
</file>