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6724A" w14:textId="77777777" w:rsidR="00812C96" w:rsidRDefault="00706A2D">
      <w:pPr>
        <w:pStyle w:val="3GPPHeader"/>
        <w:tabs>
          <w:tab w:val="right" w:pos="9360"/>
        </w:tabs>
        <w:spacing w:after="60"/>
      </w:pPr>
      <w:r>
        <w:t>3GPP TSG-RAN WG1 Meeting #9</w:t>
      </w:r>
      <w:r w:rsidR="00786F61">
        <w:t>9</w:t>
      </w:r>
      <w:r>
        <w:tab/>
      </w:r>
      <w:r w:rsidR="00CF7A54" w:rsidRPr="00CF7A54">
        <w:t>R1-1913134</w:t>
      </w:r>
    </w:p>
    <w:p w14:paraId="02FB66B7" w14:textId="77777777" w:rsidR="00812C96" w:rsidRPr="00786F61" w:rsidRDefault="00786F61" w:rsidP="00786F61">
      <w:pPr>
        <w:tabs>
          <w:tab w:val="right" w:pos="9360"/>
        </w:tabs>
        <w:suppressAutoHyphens w:val="0"/>
        <w:overflowPunct/>
        <w:spacing w:after="60" w:line="276" w:lineRule="auto"/>
        <w:jc w:val="left"/>
        <w:textAlignment w:val="auto"/>
        <w:rPr>
          <w:rFonts w:eastAsia="Times New Roman"/>
          <w:b/>
          <w:color w:val="auto"/>
          <w:sz w:val="24"/>
        </w:rPr>
      </w:pPr>
      <w:r w:rsidRPr="00786F61">
        <w:rPr>
          <w:rFonts w:eastAsia="Times New Roman"/>
          <w:b/>
          <w:color w:val="auto"/>
          <w:sz w:val="24"/>
        </w:rPr>
        <w:t>Reno, US, November 18th – 22nd, 2019</w:t>
      </w:r>
      <w:r w:rsidRPr="00786F61">
        <w:rPr>
          <w:rFonts w:eastAsia="Times New Roman"/>
          <w:b/>
          <w:color w:val="auto"/>
          <w:sz w:val="24"/>
        </w:rPr>
        <w:tab/>
      </w:r>
    </w:p>
    <w:p w14:paraId="01A02831" w14:textId="77777777" w:rsidR="00786F61" w:rsidRDefault="00786F61">
      <w:pPr>
        <w:pStyle w:val="3GPPHeader"/>
        <w:spacing w:after="60" w:line="276" w:lineRule="auto"/>
        <w:ind w:left="1695" w:hanging="1695"/>
        <w:jc w:val="left"/>
        <w:rPr>
          <w:sz w:val="22"/>
          <w:szCs w:val="22"/>
        </w:rPr>
      </w:pPr>
    </w:p>
    <w:p w14:paraId="78328BA2" w14:textId="77777777" w:rsidR="00812C96" w:rsidRPr="00CF7A54" w:rsidRDefault="00706A2D" w:rsidP="00CF7A54">
      <w:pPr>
        <w:pStyle w:val="3GPPHeader"/>
        <w:spacing w:after="60" w:line="276" w:lineRule="auto"/>
        <w:ind w:left="1695" w:hanging="1695"/>
        <w:jc w:val="left"/>
        <w:rPr>
          <w:sz w:val="22"/>
          <w:szCs w:val="22"/>
        </w:rPr>
      </w:pPr>
      <w:r>
        <w:rPr>
          <w:sz w:val="22"/>
          <w:szCs w:val="22"/>
        </w:rPr>
        <w:t>Title:</w:t>
      </w:r>
      <w:r>
        <w:rPr>
          <w:sz w:val="22"/>
          <w:szCs w:val="22"/>
        </w:rPr>
        <w:tab/>
      </w:r>
      <w:r w:rsidR="00CF7A54" w:rsidRPr="00CF7A54">
        <w:rPr>
          <w:sz w:val="22"/>
          <w:szCs w:val="22"/>
        </w:rPr>
        <w:t>On more delay tolerant retransmission mechanisms for NTN</w:t>
      </w:r>
    </w:p>
    <w:p w14:paraId="4623C0A7" w14:textId="77777777" w:rsidR="00812C96" w:rsidRDefault="00706A2D">
      <w:pPr>
        <w:pStyle w:val="3GPPHeader"/>
        <w:spacing w:after="60" w:line="276" w:lineRule="auto"/>
        <w:ind w:left="1686" w:hanging="1686"/>
        <w:rPr>
          <w:sz w:val="22"/>
          <w:szCs w:val="22"/>
          <w:lang w:val="en-US"/>
        </w:rPr>
      </w:pPr>
      <w:r>
        <w:rPr>
          <w:sz w:val="22"/>
          <w:szCs w:val="22"/>
          <w:lang w:val="en-US"/>
        </w:rPr>
        <w:t>Source:</w:t>
      </w:r>
      <w:r>
        <w:rPr>
          <w:sz w:val="22"/>
          <w:szCs w:val="22"/>
          <w:lang w:val="en-US"/>
        </w:rPr>
        <w:tab/>
      </w:r>
      <w:r>
        <w:rPr>
          <w:sz w:val="22"/>
          <w:szCs w:val="22"/>
          <w:lang w:val="en-US"/>
        </w:rPr>
        <w:tab/>
        <w:t>Nomor Research GmbH</w:t>
      </w:r>
    </w:p>
    <w:p w14:paraId="64A2A899" w14:textId="77777777" w:rsidR="00812C96" w:rsidRDefault="00706A2D">
      <w:pPr>
        <w:spacing w:after="60" w:line="276" w:lineRule="auto"/>
        <w:ind w:left="1710" w:hanging="1710"/>
        <w:rPr>
          <w:b/>
          <w:sz w:val="22"/>
          <w:szCs w:val="22"/>
        </w:rPr>
      </w:pPr>
      <w:r>
        <w:rPr>
          <w:b/>
          <w:sz w:val="22"/>
          <w:szCs w:val="22"/>
        </w:rPr>
        <w:t>Type:</w:t>
      </w:r>
      <w:r>
        <w:rPr>
          <w:b/>
          <w:sz w:val="22"/>
          <w:szCs w:val="22"/>
        </w:rPr>
        <w:tab/>
        <w:t>Discussion</w:t>
      </w:r>
    </w:p>
    <w:p w14:paraId="4F2ADEEE" w14:textId="77777777" w:rsidR="00812C96" w:rsidRDefault="00706A2D">
      <w:pPr>
        <w:pStyle w:val="3GPPHeader"/>
        <w:spacing w:after="60" w:line="276" w:lineRule="auto"/>
        <w:rPr>
          <w:sz w:val="22"/>
          <w:szCs w:val="22"/>
        </w:rPr>
      </w:pPr>
      <w:r>
        <w:rPr>
          <w:sz w:val="22"/>
          <w:szCs w:val="22"/>
        </w:rPr>
        <w:t>Document for:</w:t>
      </w:r>
      <w:r>
        <w:rPr>
          <w:sz w:val="22"/>
          <w:szCs w:val="22"/>
        </w:rPr>
        <w:tab/>
      </w:r>
      <w:r w:rsidRPr="00FF09E4">
        <w:rPr>
          <w:sz w:val="22"/>
          <w:szCs w:val="22"/>
        </w:rPr>
        <w:t>Decision</w:t>
      </w:r>
    </w:p>
    <w:p w14:paraId="3AB73923" w14:textId="77777777" w:rsidR="00812C96" w:rsidRDefault="00706A2D">
      <w:pPr>
        <w:pStyle w:val="3GPPHeader"/>
        <w:spacing w:after="60" w:line="276" w:lineRule="auto"/>
        <w:rPr>
          <w:sz w:val="22"/>
          <w:szCs w:val="22"/>
        </w:rPr>
      </w:pPr>
      <w:r>
        <w:rPr>
          <w:sz w:val="22"/>
          <w:szCs w:val="22"/>
        </w:rPr>
        <w:t xml:space="preserve">Agenda Item: </w:t>
      </w:r>
      <w:r>
        <w:rPr>
          <w:sz w:val="22"/>
          <w:szCs w:val="22"/>
        </w:rPr>
        <w:tab/>
        <w:t>7.2.5.</w:t>
      </w:r>
      <w:r w:rsidR="00CF7A54">
        <w:rPr>
          <w:sz w:val="22"/>
          <w:szCs w:val="22"/>
        </w:rPr>
        <w:t>4</w:t>
      </w:r>
      <w:r>
        <w:rPr>
          <w:sz w:val="22"/>
          <w:szCs w:val="22"/>
        </w:rPr>
        <w:t xml:space="preserve"> </w:t>
      </w:r>
      <w:r w:rsidR="00CF7A54" w:rsidRPr="00CF7A54">
        <w:rPr>
          <w:sz w:val="22"/>
          <w:szCs w:val="22"/>
        </w:rPr>
        <w:t>More delay-tolerant re-transmission mechanisms</w:t>
      </w:r>
    </w:p>
    <w:p w14:paraId="2217C40A" w14:textId="77777777" w:rsidR="00812C96" w:rsidRDefault="00706A2D">
      <w:pPr>
        <w:pStyle w:val="3GPPHeader"/>
        <w:spacing w:after="60" w:line="276" w:lineRule="auto"/>
        <w:ind w:left="1686" w:hanging="1686"/>
        <w:rPr>
          <w:sz w:val="22"/>
          <w:szCs w:val="22"/>
        </w:rPr>
      </w:pPr>
      <w:r>
        <w:rPr>
          <w:sz w:val="22"/>
          <w:szCs w:val="22"/>
        </w:rPr>
        <w:t xml:space="preserve">Study Item: </w:t>
      </w:r>
      <w:r>
        <w:rPr>
          <w:sz w:val="22"/>
          <w:szCs w:val="22"/>
        </w:rPr>
        <w:tab/>
      </w:r>
      <w:proofErr w:type="spellStart"/>
      <w:r>
        <w:rPr>
          <w:sz w:val="22"/>
          <w:szCs w:val="22"/>
          <w:lang w:val="en-US"/>
        </w:rPr>
        <w:t>FS_NR_NTN_solutions</w:t>
      </w:r>
      <w:proofErr w:type="spellEnd"/>
      <w:r>
        <w:rPr>
          <w:sz w:val="22"/>
          <w:szCs w:val="22"/>
          <w:lang w:val="en-US"/>
        </w:rPr>
        <w:t>: Study on solutions for NR to support non-terrestrial networks (NTN)</w:t>
      </w:r>
    </w:p>
    <w:p w14:paraId="04C882B0" w14:textId="77777777" w:rsidR="00812C96" w:rsidRDefault="00706A2D">
      <w:pPr>
        <w:pStyle w:val="Heading1"/>
        <w:numPr>
          <w:ilvl w:val="0"/>
          <w:numId w:val="2"/>
        </w:numPr>
        <w:tabs>
          <w:tab w:val="left" w:pos="432"/>
        </w:tabs>
      </w:pPr>
      <w:bookmarkStart w:id="0" w:name="_Ref16667598"/>
      <w:bookmarkEnd w:id="0"/>
      <w:r>
        <w:t>Introduction</w:t>
      </w:r>
    </w:p>
    <w:p w14:paraId="0A6965A0" w14:textId="6209DFFC" w:rsidR="00812C96" w:rsidRDefault="00C62136" w:rsidP="00FF60F4">
      <w:pPr>
        <w:pStyle w:val="Doc-text2"/>
        <w:ind w:left="0" w:firstLine="0"/>
        <w:jc w:val="both"/>
        <w:rPr>
          <w:sz w:val="22"/>
        </w:rPr>
      </w:pPr>
      <w:r>
        <w:rPr>
          <w:sz w:val="22"/>
        </w:rPr>
        <w:t xml:space="preserve">During previous meetings in RAN1 and RAN2, </w:t>
      </w:r>
      <w:r w:rsidR="00BC6083">
        <w:rPr>
          <w:sz w:val="22"/>
        </w:rPr>
        <w:t xml:space="preserve">several agreements, see appendix, </w:t>
      </w:r>
      <w:r>
        <w:rPr>
          <w:sz w:val="22"/>
        </w:rPr>
        <w:t>have been reached regarding HARQ</w:t>
      </w:r>
      <w:r w:rsidR="00BC6083">
        <w:rPr>
          <w:sz w:val="22"/>
        </w:rPr>
        <w:t xml:space="preserve"> in NTN. </w:t>
      </w:r>
      <w:r>
        <w:rPr>
          <w:sz w:val="22"/>
        </w:rPr>
        <w:t>However, there is still the remaining question whether more than 16 HARQ processes shall be allowed</w:t>
      </w:r>
      <w:r w:rsidR="00590BD5">
        <w:rPr>
          <w:sz w:val="22"/>
        </w:rPr>
        <w:t xml:space="preserve"> </w:t>
      </w:r>
      <w:r w:rsidR="00BC6083">
        <w:rPr>
          <w:sz w:val="22"/>
        </w:rPr>
        <w:t>for</w:t>
      </w:r>
      <w:r w:rsidR="00590BD5">
        <w:rPr>
          <w:sz w:val="22"/>
        </w:rPr>
        <w:t xml:space="preserve"> NTN</w:t>
      </w:r>
      <w:r w:rsidR="004935CB">
        <w:rPr>
          <w:sz w:val="22"/>
        </w:rPr>
        <w:t>,</w:t>
      </w:r>
      <w:r w:rsidR="00590BD5">
        <w:rPr>
          <w:sz w:val="22"/>
        </w:rPr>
        <w:t xml:space="preserve"> because of the large transmission delay</w:t>
      </w:r>
      <w:r w:rsidR="00BE7642">
        <w:rPr>
          <w:sz w:val="22"/>
        </w:rPr>
        <w:t xml:space="preserve"> in NTN</w:t>
      </w:r>
      <w:r>
        <w:rPr>
          <w:sz w:val="22"/>
        </w:rPr>
        <w:t xml:space="preserve">. This document discusses the enhancement of the number of HARQ processes based on </w:t>
      </w:r>
      <w:r w:rsidR="00706A2D">
        <w:rPr>
          <w:sz w:val="22"/>
        </w:rPr>
        <w:t>system-level</w:t>
      </w:r>
      <w:r w:rsidR="00786F61">
        <w:rPr>
          <w:sz w:val="22"/>
        </w:rPr>
        <w:t xml:space="preserve"> simulation</w:t>
      </w:r>
      <w:r>
        <w:rPr>
          <w:sz w:val="22"/>
        </w:rPr>
        <w:t>s</w:t>
      </w:r>
      <w:r w:rsidR="00706A2D">
        <w:rPr>
          <w:sz w:val="22"/>
        </w:rPr>
        <w:t>.</w:t>
      </w:r>
    </w:p>
    <w:p w14:paraId="086C69C5" w14:textId="77777777" w:rsidR="00812C96" w:rsidRDefault="00590BD5">
      <w:pPr>
        <w:pStyle w:val="Heading1"/>
        <w:numPr>
          <w:ilvl w:val="0"/>
          <w:numId w:val="2"/>
        </w:numPr>
        <w:tabs>
          <w:tab w:val="left" w:pos="432"/>
        </w:tabs>
      </w:pPr>
      <w:r>
        <w:t>Discussion</w:t>
      </w:r>
    </w:p>
    <w:p w14:paraId="42225859" w14:textId="10026071" w:rsidR="0000468F" w:rsidRDefault="00590BD5" w:rsidP="00136B52">
      <w:pPr>
        <w:rPr>
          <w:rFonts w:eastAsia="PMingLiU"/>
          <w:sz w:val="22"/>
          <w:lang w:eastAsia="zh-TW"/>
        </w:rPr>
      </w:pPr>
      <w:r>
        <w:rPr>
          <w:rFonts w:eastAsia="PMingLiU"/>
          <w:sz w:val="22"/>
          <w:lang w:eastAsia="zh-TW"/>
        </w:rPr>
        <w:t xml:space="preserve">In </w:t>
      </w:r>
      <w:r w:rsidR="00BC6083">
        <w:rPr>
          <w:rFonts w:eastAsia="PMingLiU"/>
          <w:sz w:val="22"/>
          <w:lang w:eastAsia="zh-TW"/>
        </w:rPr>
        <w:t>Release 15 NR specification</w:t>
      </w:r>
      <w:r>
        <w:rPr>
          <w:rFonts w:eastAsia="PMingLiU"/>
          <w:sz w:val="22"/>
          <w:lang w:eastAsia="zh-TW"/>
        </w:rPr>
        <w:t xml:space="preserve"> </w:t>
      </w:r>
      <w:r w:rsidR="00BC6083">
        <w:rPr>
          <w:rFonts w:eastAsia="PMingLiU"/>
          <w:sz w:val="22"/>
          <w:lang w:eastAsia="zh-TW"/>
        </w:rPr>
        <w:t xml:space="preserve">up to 16 HARQ processes are supported per UE in downlink </w:t>
      </w:r>
      <w:proofErr w:type="gramStart"/>
      <w:r w:rsidR="00BC6083">
        <w:rPr>
          <w:rFonts w:eastAsia="PMingLiU"/>
          <w:sz w:val="22"/>
          <w:lang w:eastAsia="zh-TW"/>
        </w:rPr>
        <w:t>direction</w:t>
      </w:r>
      <w:proofErr w:type="gramEnd"/>
      <w:r w:rsidR="00BC6083">
        <w:rPr>
          <w:rFonts w:eastAsia="PMingLiU"/>
          <w:sz w:val="22"/>
          <w:lang w:eastAsia="zh-TW"/>
        </w:rPr>
        <w:fldChar w:fldCharType="begin"/>
      </w:r>
      <w:r w:rsidR="00BC6083">
        <w:rPr>
          <w:rFonts w:eastAsia="PMingLiU"/>
          <w:sz w:val="22"/>
          <w:lang w:eastAsia="zh-TW"/>
        </w:rPr>
        <w:instrText xml:space="preserve"> REF _Ref24443048 \r \h </w:instrText>
      </w:r>
      <w:r w:rsidR="00BC6083">
        <w:rPr>
          <w:rFonts w:eastAsia="PMingLiU"/>
          <w:sz w:val="22"/>
          <w:lang w:eastAsia="zh-TW"/>
        </w:rPr>
      </w:r>
      <w:r w:rsidR="00BC6083">
        <w:rPr>
          <w:rFonts w:eastAsia="PMingLiU"/>
          <w:sz w:val="22"/>
          <w:lang w:eastAsia="zh-TW"/>
        </w:rPr>
        <w:fldChar w:fldCharType="separate"/>
      </w:r>
      <w:r w:rsidR="003B7A3B">
        <w:rPr>
          <w:rFonts w:eastAsia="PMingLiU"/>
          <w:sz w:val="22"/>
          <w:lang w:eastAsia="zh-TW"/>
        </w:rPr>
        <w:t>[2]</w:t>
      </w:r>
      <w:r w:rsidR="00BC6083">
        <w:rPr>
          <w:rFonts w:eastAsia="PMingLiU"/>
          <w:sz w:val="22"/>
          <w:lang w:eastAsia="zh-TW"/>
        </w:rPr>
        <w:fldChar w:fldCharType="end"/>
      </w:r>
      <w:r w:rsidR="004935CB">
        <w:rPr>
          <w:rFonts w:eastAsia="PMingLiU"/>
          <w:sz w:val="22"/>
          <w:lang w:eastAsia="zh-TW"/>
        </w:rPr>
        <w:t>.</w:t>
      </w:r>
      <w:r w:rsidR="00BC6083">
        <w:rPr>
          <w:rFonts w:eastAsia="PMingLiU"/>
          <w:sz w:val="22"/>
          <w:lang w:eastAsia="zh-TW"/>
        </w:rPr>
        <w:t xml:space="preserve"> </w:t>
      </w:r>
      <w:r w:rsidR="0000468F">
        <w:rPr>
          <w:rFonts w:eastAsia="PMingLiU"/>
          <w:sz w:val="22"/>
          <w:lang w:eastAsia="zh-TW"/>
        </w:rPr>
        <w:t>The parallel HARQ processes are used to avoid</w:t>
      </w:r>
      <w:r w:rsidR="00EE37AD">
        <w:rPr>
          <w:rFonts w:eastAsia="PMingLiU"/>
          <w:sz w:val="22"/>
          <w:lang w:eastAsia="zh-TW"/>
        </w:rPr>
        <w:t xml:space="preserve"> or decrease</w:t>
      </w:r>
      <w:r w:rsidR="0000468F">
        <w:rPr>
          <w:rFonts w:eastAsia="PMingLiU"/>
          <w:sz w:val="22"/>
          <w:lang w:eastAsia="zh-TW"/>
        </w:rPr>
        <w:t xml:space="preserve"> </w:t>
      </w:r>
      <w:r w:rsidR="004935CB">
        <w:rPr>
          <w:rFonts w:eastAsia="PMingLiU"/>
          <w:sz w:val="22"/>
          <w:lang w:eastAsia="zh-TW"/>
        </w:rPr>
        <w:t xml:space="preserve">delay </w:t>
      </w:r>
      <w:r w:rsidR="0000468F">
        <w:rPr>
          <w:rFonts w:eastAsia="PMingLiU"/>
          <w:sz w:val="22"/>
          <w:lang w:eastAsia="zh-TW"/>
        </w:rPr>
        <w:t xml:space="preserve">due to stop-and-wait procedure, i.e. gNB needs to wait for UL HARQ feedback before transmitting a retransmission or new data. An increase of waiting time results in a decrease of user throughput. </w:t>
      </w:r>
      <w:r w:rsidR="0075103F">
        <w:rPr>
          <w:rFonts w:eastAsia="PMingLiU"/>
          <w:sz w:val="22"/>
          <w:lang w:eastAsia="zh-TW"/>
        </w:rPr>
        <w:t>While the disabling of HARQ is already agreed as a solution to overcome the large transmission delay, an increase</w:t>
      </w:r>
      <w:r w:rsidR="0000468F">
        <w:rPr>
          <w:rFonts w:eastAsia="PMingLiU"/>
          <w:sz w:val="22"/>
          <w:lang w:eastAsia="zh-TW"/>
        </w:rPr>
        <w:t xml:space="preserve"> </w:t>
      </w:r>
      <w:r w:rsidR="0075103F">
        <w:rPr>
          <w:rFonts w:eastAsia="PMingLiU"/>
          <w:sz w:val="22"/>
          <w:lang w:eastAsia="zh-TW"/>
        </w:rPr>
        <w:t xml:space="preserve">of </w:t>
      </w:r>
      <w:r w:rsidR="0000468F">
        <w:rPr>
          <w:rFonts w:eastAsia="PMingLiU"/>
          <w:sz w:val="22"/>
          <w:lang w:eastAsia="zh-TW"/>
        </w:rPr>
        <w:t>the number of HARQ p</w:t>
      </w:r>
      <w:r w:rsidR="00EE37AD">
        <w:rPr>
          <w:rFonts w:eastAsia="PMingLiU"/>
          <w:sz w:val="22"/>
          <w:lang w:eastAsia="zh-TW"/>
        </w:rPr>
        <w:t xml:space="preserve">rocesses </w:t>
      </w:r>
      <w:r w:rsidR="0075103F">
        <w:rPr>
          <w:rFonts w:eastAsia="PMingLiU"/>
          <w:sz w:val="22"/>
          <w:lang w:eastAsia="zh-TW"/>
        </w:rPr>
        <w:t>is still under discussion in RAN1</w:t>
      </w:r>
      <w:r w:rsidR="00EE37AD">
        <w:rPr>
          <w:rFonts w:eastAsia="PMingLiU"/>
          <w:sz w:val="22"/>
          <w:lang w:eastAsia="zh-TW"/>
        </w:rPr>
        <w:t>.</w:t>
      </w:r>
    </w:p>
    <w:p w14:paraId="3AA4277F" w14:textId="463A9555" w:rsidR="008E5E16" w:rsidRDefault="0075103F" w:rsidP="00136B52">
      <w:pPr>
        <w:rPr>
          <w:rFonts w:eastAsia="PMingLiU"/>
          <w:sz w:val="22"/>
          <w:lang w:eastAsia="zh-TW"/>
        </w:rPr>
      </w:pPr>
      <w:r>
        <w:rPr>
          <w:rFonts w:eastAsia="PMingLiU"/>
          <w:sz w:val="22"/>
          <w:lang w:eastAsia="zh-TW"/>
        </w:rPr>
        <w:t>To investigate the HARQ performance</w:t>
      </w:r>
      <w:r w:rsidR="00EE37AD">
        <w:rPr>
          <w:rFonts w:eastAsia="PMingLiU"/>
          <w:sz w:val="22"/>
          <w:lang w:eastAsia="zh-TW"/>
        </w:rPr>
        <w:t>, we performed system-level simulations</w:t>
      </w:r>
      <w:r w:rsidR="003041BB">
        <w:rPr>
          <w:rFonts w:eastAsia="PMingLiU"/>
          <w:sz w:val="22"/>
          <w:lang w:eastAsia="zh-TW"/>
        </w:rPr>
        <w:t xml:space="preserve"> </w:t>
      </w:r>
      <w:r w:rsidR="008E5E16">
        <w:rPr>
          <w:rFonts w:eastAsia="PMingLiU"/>
          <w:sz w:val="22"/>
          <w:lang w:eastAsia="zh-TW"/>
        </w:rPr>
        <w:t xml:space="preserve">for </w:t>
      </w:r>
      <w:r w:rsidR="00EE37AD">
        <w:rPr>
          <w:rFonts w:eastAsia="PMingLiU"/>
          <w:sz w:val="22"/>
          <w:lang w:eastAsia="zh-TW"/>
        </w:rPr>
        <w:t>LEO-1200 S-Band scenario (Case 14)</w:t>
      </w:r>
      <w:r w:rsidR="009E587B">
        <w:rPr>
          <w:rFonts w:eastAsia="PMingLiU"/>
          <w:sz w:val="22"/>
          <w:lang w:eastAsia="zh-TW"/>
        </w:rPr>
        <w:t xml:space="preserve"> comparing a system with 16HARQ processes and 32HARQ processes</w:t>
      </w:r>
      <w:r w:rsidR="003041BB">
        <w:rPr>
          <w:rFonts w:eastAsia="PMingLiU"/>
          <w:sz w:val="22"/>
          <w:lang w:eastAsia="zh-TW"/>
        </w:rPr>
        <w:t>.</w:t>
      </w:r>
      <w:r w:rsidR="00EE37AD">
        <w:rPr>
          <w:rFonts w:eastAsia="PMingLiU"/>
          <w:sz w:val="22"/>
          <w:lang w:eastAsia="zh-TW"/>
        </w:rPr>
        <w:t xml:space="preserve"> The applied configuration </w:t>
      </w:r>
      <w:r w:rsidR="008E5E16">
        <w:rPr>
          <w:rFonts w:eastAsia="PMingLiU"/>
          <w:sz w:val="22"/>
          <w:lang w:eastAsia="zh-TW"/>
        </w:rPr>
        <w:t>parameters are listed in Table 1</w:t>
      </w:r>
      <w:r w:rsidR="00EE37AD">
        <w:rPr>
          <w:rFonts w:eastAsia="PMingLiU"/>
          <w:sz w:val="22"/>
          <w:lang w:eastAsia="zh-TW"/>
        </w:rPr>
        <w:t xml:space="preserve">. </w:t>
      </w:r>
    </w:p>
    <w:p w14:paraId="468C12D2" w14:textId="77777777" w:rsidR="00D608BE" w:rsidRPr="00DB04A6" w:rsidRDefault="00D608BE" w:rsidP="00D608BE">
      <w:pPr>
        <w:pStyle w:val="Caption"/>
        <w:keepNext/>
        <w:jc w:val="center"/>
        <w:rPr>
          <w:color w:val="00000A"/>
          <w:sz w:val="20"/>
        </w:rPr>
      </w:pPr>
      <w:r w:rsidRPr="00DB04A6">
        <w:rPr>
          <w:color w:val="00000A"/>
          <w:sz w:val="20"/>
        </w:rPr>
        <w:t xml:space="preserve">Table </w:t>
      </w:r>
      <w:r w:rsidRPr="00DB04A6">
        <w:rPr>
          <w:color w:val="00000A"/>
          <w:sz w:val="20"/>
        </w:rPr>
        <w:fldChar w:fldCharType="begin"/>
      </w:r>
      <w:r w:rsidRPr="00DB04A6">
        <w:rPr>
          <w:color w:val="00000A"/>
          <w:sz w:val="20"/>
        </w:rPr>
        <w:instrText xml:space="preserve"> SEQ Table \* ARABIC </w:instrText>
      </w:r>
      <w:r w:rsidRPr="00DB04A6">
        <w:rPr>
          <w:color w:val="00000A"/>
          <w:sz w:val="20"/>
        </w:rPr>
        <w:fldChar w:fldCharType="separate"/>
      </w:r>
      <w:r>
        <w:rPr>
          <w:noProof/>
          <w:color w:val="00000A"/>
          <w:sz w:val="20"/>
        </w:rPr>
        <w:t>1</w:t>
      </w:r>
      <w:r w:rsidRPr="00DB04A6">
        <w:rPr>
          <w:color w:val="00000A"/>
          <w:sz w:val="20"/>
        </w:rPr>
        <w:fldChar w:fldCharType="end"/>
      </w:r>
      <w:r w:rsidRPr="00DB04A6">
        <w:rPr>
          <w:color w:val="00000A"/>
          <w:sz w:val="20"/>
        </w:rPr>
        <w:t xml:space="preserve"> Configuration Parameters SLS</w:t>
      </w:r>
    </w:p>
    <w:tbl>
      <w:tblPr>
        <w:tblStyle w:val="TableGrid"/>
        <w:tblW w:w="0" w:type="auto"/>
        <w:tblLook w:val="04A0" w:firstRow="1" w:lastRow="0" w:firstColumn="1" w:lastColumn="0" w:noHBand="0" w:noVBand="1"/>
      </w:tblPr>
      <w:tblGrid>
        <w:gridCol w:w="3139"/>
        <w:gridCol w:w="3078"/>
      </w:tblGrid>
      <w:tr w:rsidR="00D608BE" w14:paraId="0C5B3C4D" w14:textId="77777777" w:rsidTr="00241868">
        <w:tc>
          <w:tcPr>
            <w:tcW w:w="0" w:type="auto"/>
          </w:tcPr>
          <w:p w14:paraId="06BADA69" w14:textId="77777777" w:rsidR="00D608BE" w:rsidRDefault="00D608BE" w:rsidP="00241868">
            <w:pPr>
              <w:rPr>
                <w:rFonts w:eastAsia="PMingLiU"/>
                <w:sz w:val="22"/>
                <w:lang w:eastAsia="zh-TW"/>
              </w:rPr>
            </w:pPr>
            <w:r>
              <w:rPr>
                <w:rFonts w:eastAsia="PMingLiU"/>
                <w:sz w:val="22"/>
                <w:lang w:eastAsia="zh-TW"/>
              </w:rPr>
              <w:t>Scenario</w:t>
            </w:r>
          </w:p>
        </w:tc>
        <w:tc>
          <w:tcPr>
            <w:tcW w:w="0" w:type="auto"/>
          </w:tcPr>
          <w:p w14:paraId="495992A2" w14:textId="77777777" w:rsidR="00D608BE" w:rsidRDefault="00D608BE" w:rsidP="00241868">
            <w:pPr>
              <w:rPr>
                <w:rFonts w:eastAsia="PMingLiU"/>
                <w:sz w:val="22"/>
                <w:lang w:eastAsia="zh-TW"/>
              </w:rPr>
            </w:pPr>
            <w:r>
              <w:rPr>
                <w:rFonts w:eastAsia="PMingLiU"/>
                <w:sz w:val="22"/>
                <w:lang w:eastAsia="zh-TW"/>
              </w:rPr>
              <w:t>LEO-1200, S-band (Case 14)</w:t>
            </w:r>
          </w:p>
        </w:tc>
      </w:tr>
      <w:tr w:rsidR="00D608BE" w14:paraId="503FF8B5" w14:textId="77777777" w:rsidTr="00241868">
        <w:tc>
          <w:tcPr>
            <w:tcW w:w="0" w:type="auto"/>
          </w:tcPr>
          <w:p w14:paraId="23251B95" w14:textId="77777777" w:rsidR="00D608BE" w:rsidRDefault="00D608BE" w:rsidP="00241868">
            <w:pPr>
              <w:rPr>
                <w:rFonts w:eastAsia="PMingLiU"/>
                <w:sz w:val="22"/>
                <w:lang w:eastAsia="zh-TW"/>
              </w:rPr>
            </w:pPr>
            <w:r>
              <w:rPr>
                <w:rFonts w:eastAsia="PMingLiU"/>
                <w:sz w:val="22"/>
                <w:lang w:eastAsia="zh-TW"/>
              </w:rPr>
              <w:t>Duplexing</w:t>
            </w:r>
          </w:p>
        </w:tc>
        <w:tc>
          <w:tcPr>
            <w:tcW w:w="0" w:type="auto"/>
          </w:tcPr>
          <w:p w14:paraId="619FF327" w14:textId="77777777" w:rsidR="00D608BE" w:rsidRDefault="00D608BE" w:rsidP="00241868">
            <w:pPr>
              <w:rPr>
                <w:rFonts w:eastAsia="PMingLiU"/>
                <w:sz w:val="22"/>
                <w:lang w:eastAsia="zh-TW"/>
              </w:rPr>
            </w:pPr>
            <w:r>
              <w:rPr>
                <w:rFonts w:eastAsia="PMingLiU"/>
                <w:sz w:val="22"/>
                <w:lang w:eastAsia="zh-TW"/>
              </w:rPr>
              <w:t>FDD</w:t>
            </w:r>
          </w:p>
        </w:tc>
      </w:tr>
      <w:tr w:rsidR="00D608BE" w14:paraId="296B67D4" w14:textId="77777777" w:rsidTr="00241868">
        <w:tc>
          <w:tcPr>
            <w:tcW w:w="0" w:type="auto"/>
          </w:tcPr>
          <w:p w14:paraId="413513EA" w14:textId="77777777" w:rsidR="00D608BE" w:rsidRDefault="00D608BE" w:rsidP="00241868">
            <w:pPr>
              <w:rPr>
                <w:rFonts w:eastAsia="PMingLiU"/>
                <w:sz w:val="22"/>
                <w:lang w:eastAsia="zh-TW"/>
              </w:rPr>
            </w:pPr>
            <w:r>
              <w:rPr>
                <w:rFonts w:eastAsia="PMingLiU"/>
                <w:sz w:val="22"/>
                <w:lang w:eastAsia="zh-TW"/>
              </w:rPr>
              <w:t>Numerology</w:t>
            </w:r>
          </w:p>
        </w:tc>
        <w:tc>
          <w:tcPr>
            <w:tcW w:w="0" w:type="auto"/>
          </w:tcPr>
          <w:p w14:paraId="2C49E1E2" w14:textId="77777777" w:rsidR="00D608BE" w:rsidRDefault="00D608BE" w:rsidP="00241868">
            <w:pPr>
              <w:rPr>
                <w:rFonts w:eastAsia="PMingLiU"/>
                <w:sz w:val="22"/>
                <w:lang w:eastAsia="zh-TW"/>
              </w:rPr>
            </w:pPr>
            <w:r>
              <w:rPr>
                <w:rFonts w:eastAsia="PMingLiU"/>
                <w:sz w:val="22"/>
                <w:lang w:eastAsia="zh-TW"/>
              </w:rPr>
              <w:t>15kHz, 14 OFDM symbol slot</w:t>
            </w:r>
          </w:p>
        </w:tc>
      </w:tr>
      <w:tr w:rsidR="00D608BE" w14:paraId="061AF8D4" w14:textId="77777777" w:rsidTr="00241868">
        <w:tc>
          <w:tcPr>
            <w:tcW w:w="0" w:type="auto"/>
          </w:tcPr>
          <w:p w14:paraId="187B09DB" w14:textId="77777777" w:rsidR="00D608BE" w:rsidRDefault="00D608BE" w:rsidP="00241868">
            <w:pPr>
              <w:rPr>
                <w:rFonts w:eastAsia="PMingLiU"/>
                <w:sz w:val="22"/>
                <w:lang w:eastAsia="zh-TW"/>
              </w:rPr>
            </w:pPr>
            <w:r>
              <w:rPr>
                <w:rFonts w:eastAsia="PMingLiU"/>
                <w:sz w:val="22"/>
                <w:lang w:eastAsia="zh-TW"/>
              </w:rPr>
              <w:t>Simulation bandwidth</w:t>
            </w:r>
          </w:p>
        </w:tc>
        <w:tc>
          <w:tcPr>
            <w:tcW w:w="0" w:type="auto"/>
          </w:tcPr>
          <w:p w14:paraId="4335E83B" w14:textId="77777777" w:rsidR="00D608BE" w:rsidRDefault="00D608BE" w:rsidP="00241868">
            <w:pPr>
              <w:rPr>
                <w:rFonts w:eastAsia="PMingLiU"/>
                <w:sz w:val="22"/>
                <w:lang w:eastAsia="zh-TW"/>
              </w:rPr>
            </w:pPr>
            <w:r>
              <w:rPr>
                <w:rFonts w:eastAsia="PMingLiU"/>
                <w:sz w:val="22"/>
                <w:lang w:eastAsia="zh-TW"/>
              </w:rPr>
              <w:t>30MHz</w:t>
            </w:r>
          </w:p>
        </w:tc>
      </w:tr>
      <w:tr w:rsidR="00D608BE" w14:paraId="305AE8C1" w14:textId="77777777" w:rsidTr="00241868">
        <w:tc>
          <w:tcPr>
            <w:tcW w:w="0" w:type="auto"/>
          </w:tcPr>
          <w:p w14:paraId="53C884E0" w14:textId="77777777" w:rsidR="00D608BE" w:rsidRDefault="00D608BE" w:rsidP="00241868">
            <w:pPr>
              <w:rPr>
                <w:rFonts w:eastAsia="PMingLiU"/>
                <w:sz w:val="22"/>
                <w:lang w:eastAsia="zh-TW"/>
              </w:rPr>
            </w:pPr>
            <w:r>
              <w:rPr>
                <w:rFonts w:eastAsia="PMingLiU"/>
                <w:sz w:val="22"/>
                <w:lang w:eastAsia="zh-TW"/>
              </w:rPr>
              <w:t>Transmission delay (one way)</w:t>
            </w:r>
          </w:p>
        </w:tc>
        <w:tc>
          <w:tcPr>
            <w:tcW w:w="0" w:type="auto"/>
          </w:tcPr>
          <w:p w14:paraId="4E9E777D" w14:textId="77777777" w:rsidR="00D608BE" w:rsidRDefault="00D608BE" w:rsidP="00241868">
            <w:pPr>
              <w:rPr>
                <w:rFonts w:eastAsia="PMingLiU"/>
                <w:sz w:val="22"/>
                <w:lang w:eastAsia="zh-TW"/>
              </w:rPr>
            </w:pPr>
            <w:r>
              <w:rPr>
                <w:rFonts w:eastAsia="PMingLiU"/>
                <w:sz w:val="22"/>
                <w:lang w:eastAsia="zh-TW"/>
              </w:rPr>
              <w:t>16ms</w:t>
            </w:r>
          </w:p>
        </w:tc>
      </w:tr>
      <w:tr w:rsidR="00D608BE" w14:paraId="15DFBF28" w14:textId="77777777" w:rsidTr="00241868">
        <w:tc>
          <w:tcPr>
            <w:tcW w:w="0" w:type="auto"/>
          </w:tcPr>
          <w:p w14:paraId="2A9FEEA2" w14:textId="77777777" w:rsidR="00D608BE" w:rsidRDefault="00D608BE" w:rsidP="00241868">
            <w:pPr>
              <w:rPr>
                <w:rFonts w:eastAsia="PMingLiU"/>
                <w:sz w:val="22"/>
                <w:lang w:eastAsia="zh-TW"/>
              </w:rPr>
            </w:pPr>
            <w:r>
              <w:rPr>
                <w:rFonts w:eastAsia="PMingLiU"/>
                <w:sz w:val="22"/>
                <w:lang w:eastAsia="zh-TW"/>
              </w:rPr>
              <w:t>Scheduling</w:t>
            </w:r>
          </w:p>
        </w:tc>
        <w:tc>
          <w:tcPr>
            <w:tcW w:w="0" w:type="auto"/>
          </w:tcPr>
          <w:p w14:paraId="5492915F" w14:textId="77777777" w:rsidR="00D608BE" w:rsidRDefault="00D608BE" w:rsidP="00241868">
            <w:pPr>
              <w:rPr>
                <w:rFonts w:eastAsia="PMingLiU"/>
                <w:sz w:val="22"/>
                <w:lang w:eastAsia="zh-TW"/>
              </w:rPr>
            </w:pPr>
            <w:r>
              <w:rPr>
                <w:rFonts w:eastAsia="PMingLiU"/>
                <w:sz w:val="22"/>
                <w:lang w:eastAsia="zh-TW"/>
              </w:rPr>
              <w:t>Proportional Fair</w:t>
            </w:r>
          </w:p>
        </w:tc>
      </w:tr>
      <w:tr w:rsidR="00D608BE" w14:paraId="16A6D102" w14:textId="77777777" w:rsidTr="00241868">
        <w:tc>
          <w:tcPr>
            <w:tcW w:w="0" w:type="auto"/>
          </w:tcPr>
          <w:p w14:paraId="43B52C9C" w14:textId="77777777" w:rsidR="00D608BE" w:rsidRDefault="00D608BE" w:rsidP="00241868">
            <w:pPr>
              <w:rPr>
                <w:rFonts w:eastAsia="PMingLiU"/>
                <w:sz w:val="22"/>
                <w:lang w:eastAsia="zh-TW"/>
              </w:rPr>
            </w:pPr>
            <w:r>
              <w:rPr>
                <w:rFonts w:eastAsia="PMingLiU"/>
                <w:sz w:val="22"/>
                <w:lang w:eastAsia="zh-TW"/>
              </w:rPr>
              <w:t>Resource Utilization (RU)</w:t>
            </w:r>
          </w:p>
        </w:tc>
        <w:tc>
          <w:tcPr>
            <w:tcW w:w="0" w:type="auto"/>
          </w:tcPr>
          <w:p w14:paraId="187D36AA" w14:textId="77777777" w:rsidR="00D608BE" w:rsidRDefault="00D608BE" w:rsidP="00241868">
            <w:pPr>
              <w:rPr>
                <w:rFonts w:eastAsia="PMingLiU"/>
                <w:sz w:val="22"/>
                <w:lang w:eastAsia="zh-TW"/>
              </w:rPr>
            </w:pPr>
            <w:r>
              <w:rPr>
                <w:rFonts w:eastAsia="PMingLiU"/>
                <w:sz w:val="22"/>
                <w:lang w:eastAsia="zh-TW"/>
              </w:rPr>
              <w:t>20%</w:t>
            </w:r>
          </w:p>
        </w:tc>
      </w:tr>
      <w:tr w:rsidR="00D608BE" w14:paraId="669E3362" w14:textId="77777777" w:rsidTr="00241868">
        <w:tc>
          <w:tcPr>
            <w:tcW w:w="0" w:type="auto"/>
          </w:tcPr>
          <w:p w14:paraId="18ACE483" w14:textId="77777777" w:rsidR="00D608BE" w:rsidRDefault="00D608BE" w:rsidP="00241868">
            <w:pPr>
              <w:rPr>
                <w:rFonts w:eastAsia="PMingLiU"/>
                <w:sz w:val="22"/>
                <w:lang w:eastAsia="zh-TW"/>
              </w:rPr>
            </w:pPr>
            <w:r w:rsidRPr="00786F61">
              <w:rPr>
                <w:rFonts w:eastAsia="PMingLiU"/>
                <w:sz w:val="22"/>
                <w:lang w:eastAsia="zh-TW"/>
              </w:rPr>
              <w:lastRenderedPageBreak/>
              <w:t>Handover margin (dB)</w:t>
            </w:r>
          </w:p>
        </w:tc>
        <w:tc>
          <w:tcPr>
            <w:tcW w:w="0" w:type="auto"/>
          </w:tcPr>
          <w:p w14:paraId="3BC74491" w14:textId="77777777" w:rsidR="00D608BE" w:rsidRDefault="00D608BE" w:rsidP="00241868">
            <w:pPr>
              <w:rPr>
                <w:rFonts w:eastAsia="PMingLiU"/>
                <w:sz w:val="22"/>
                <w:lang w:eastAsia="zh-TW"/>
              </w:rPr>
            </w:pPr>
            <w:r>
              <w:rPr>
                <w:rFonts w:eastAsia="PMingLiU"/>
                <w:sz w:val="22"/>
                <w:lang w:eastAsia="zh-TW"/>
              </w:rPr>
              <w:t>3</w:t>
            </w:r>
          </w:p>
        </w:tc>
      </w:tr>
      <w:tr w:rsidR="00D608BE" w14:paraId="52A76CFF" w14:textId="77777777" w:rsidTr="00241868">
        <w:tc>
          <w:tcPr>
            <w:tcW w:w="0" w:type="auto"/>
          </w:tcPr>
          <w:p w14:paraId="5E262618" w14:textId="77777777" w:rsidR="00D608BE" w:rsidRDefault="00D608BE" w:rsidP="00241868">
            <w:pPr>
              <w:rPr>
                <w:rFonts w:eastAsia="PMingLiU"/>
                <w:sz w:val="22"/>
                <w:lang w:eastAsia="zh-TW"/>
              </w:rPr>
            </w:pPr>
            <w:r w:rsidRPr="00DB04A6">
              <w:rPr>
                <w:rFonts w:eastAsia="PMingLiU"/>
                <w:sz w:val="22"/>
                <w:lang w:eastAsia="zh-TW"/>
              </w:rPr>
              <w:t>UT attachment</w:t>
            </w:r>
          </w:p>
        </w:tc>
        <w:tc>
          <w:tcPr>
            <w:tcW w:w="0" w:type="auto"/>
          </w:tcPr>
          <w:p w14:paraId="78904B58" w14:textId="77777777" w:rsidR="00D608BE" w:rsidRDefault="00D608BE" w:rsidP="00241868">
            <w:pPr>
              <w:rPr>
                <w:rFonts w:eastAsia="PMingLiU"/>
                <w:sz w:val="22"/>
                <w:lang w:eastAsia="zh-TW"/>
              </w:rPr>
            </w:pPr>
            <w:r w:rsidRPr="00DB04A6">
              <w:rPr>
                <w:rFonts w:eastAsia="PMingLiU"/>
                <w:sz w:val="22"/>
                <w:lang w:eastAsia="zh-TW"/>
              </w:rPr>
              <w:t>Based on RSRP</w:t>
            </w:r>
          </w:p>
        </w:tc>
      </w:tr>
    </w:tbl>
    <w:p w14:paraId="7C0D608E" w14:textId="77777777" w:rsidR="00D608BE" w:rsidRDefault="00D608BE" w:rsidP="00136B52">
      <w:pPr>
        <w:rPr>
          <w:rFonts w:eastAsia="PMingLiU"/>
          <w:sz w:val="22"/>
          <w:lang w:eastAsia="zh-TW"/>
        </w:rPr>
      </w:pPr>
    </w:p>
    <w:p w14:paraId="283E1356" w14:textId="77777777" w:rsidR="009E587B" w:rsidRDefault="00D608BE" w:rsidP="00136B52">
      <w:pPr>
        <w:rPr>
          <w:rFonts w:eastAsia="PMingLiU"/>
          <w:sz w:val="22"/>
          <w:lang w:eastAsia="zh-TW"/>
        </w:rPr>
      </w:pPr>
      <w:r>
        <w:rPr>
          <w:rFonts w:eastAsia="PMingLiU"/>
          <w:sz w:val="22"/>
          <w:lang w:eastAsia="zh-TW"/>
        </w:rPr>
        <w:t>Figure 1</w:t>
      </w:r>
      <w:r w:rsidR="009E587B">
        <w:rPr>
          <w:rFonts w:eastAsia="PMingLiU"/>
          <w:sz w:val="22"/>
          <w:lang w:eastAsia="zh-TW"/>
        </w:rPr>
        <w:t xml:space="preserve"> shows the </w:t>
      </w:r>
      <w:r w:rsidR="00651329">
        <w:rPr>
          <w:rFonts w:eastAsia="PMingLiU"/>
          <w:sz w:val="22"/>
          <w:lang w:eastAsia="zh-TW"/>
        </w:rPr>
        <w:t xml:space="preserve">resulting </w:t>
      </w:r>
      <w:r w:rsidR="009E587B">
        <w:rPr>
          <w:rFonts w:eastAsia="PMingLiU"/>
          <w:sz w:val="22"/>
          <w:lang w:eastAsia="zh-TW"/>
        </w:rPr>
        <w:t xml:space="preserve">user spectral efficiency for the following 4 different parameter sets: </w:t>
      </w:r>
    </w:p>
    <w:p w14:paraId="70788582" w14:textId="77777777" w:rsidR="009E587B" w:rsidRDefault="009E587B" w:rsidP="009E587B">
      <w:pPr>
        <w:pStyle w:val="ListParagraph"/>
        <w:numPr>
          <w:ilvl w:val="0"/>
          <w:numId w:val="13"/>
        </w:numPr>
        <w:rPr>
          <w:rFonts w:eastAsia="PMingLiU"/>
          <w:sz w:val="22"/>
          <w:lang w:eastAsia="zh-TW"/>
        </w:rPr>
      </w:pPr>
      <w:r>
        <w:rPr>
          <w:rFonts w:eastAsia="PMingLiU"/>
          <w:sz w:val="22"/>
          <w:lang w:eastAsia="zh-TW"/>
        </w:rPr>
        <w:t>Set 1: “16HARQ, 15UEs”: system with 16HARQ processes and 15 UEs per cell</w:t>
      </w:r>
    </w:p>
    <w:p w14:paraId="5AA6C010" w14:textId="77777777" w:rsidR="009E587B" w:rsidRDefault="009E587B" w:rsidP="009E587B">
      <w:pPr>
        <w:pStyle w:val="ListParagraph"/>
        <w:numPr>
          <w:ilvl w:val="0"/>
          <w:numId w:val="13"/>
        </w:numPr>
        <w:rPr>
          <w:rFonts w:eastAsia="PMingLiU"/>
          <w:sz w:val="22"/>
          <w:lang w:eastAsia="zh-TW"/>
        </w:rPr>
      </w:pPr>
      <w:r>
        <w:rPr>
          <w:rFonts w:eastAsia="PMingLiU"/>
          <w:sz w:val="22"/>
          <w:lang w:eastAsia="zh-TW"/>
        </w:rPr>
        <w:t xml:space="preserve">Set 2: “32HARQ, 15UEs”: system with 32HARQ processes and 15 UEs per cell </w:t>
      </w:r>
    </w:p>
    <w:p w14:paraId="4A231F1F" w14:textId="77777777" w:rsidR="009E587B" w:rsidRDefault="009E587B" w:rsidP="009E587B">
      <w:pPr>
        <w:pStyle w:val="ListParagraph"/>
        <w:numPr>
          <w:ilvl w:val="0"/>
          <w:numId w:val="13"/>
        </w:numPr>
        <w:rPr>
          <w:rFonts w:eastAsia="PMingLiU"/>
          <w:sz w:val="22"/>
          <w:lang w:eastAsia="zh-TW"/>
        </w:rPr>
      </w:pPr>
      <w:r>
        <w:rPr>
          <w:rFonts w:eastAsia="PMingLiU"/>
          <w:sz w:val="22"/>
          <w:lang w:eastAsia="zh-TW"/>
        </w:rPr>
        <w:t>Set 3: “16HARQ, 20UEs”: system with 16HARQ processes and 20 UEs per cell</w:t>
      </w:r>
    </w:p>
    <w:p w14:paraId="406DC506" w14:textId="77777777" w:rsidR="009E587B" w:rsidRDefault="009E587B" w:rsidP="009E587B">
      <w:pPr>
        <w:pStyle w:val="ListParagraph"/>
        <w:numPr>
          <w:ilvl w:val="0"/>
          <w:numId w:val="13"/>
        </w:numPr>
        <w:rPr>
          <w:rFonts w:eastAsia="PMingLiU"/>
          <w:sz w:val="22"/>
          <w:lang w:eastAsia="zh-TW"/>
        </w:rPr>
      </w:pPr>
      <w:r>
        <w:rPr>
          <w:rFonts w:eastAsia="PMingLiU"/>
          <w:sz w:val="22"/>
          <w:lang w:eastAsia="zh-TW"/>
        </w:rPr>
        <w:t>Set 4: “32HARQ, 20UEs”: system with 32HARQ processes and 20 UEs per cell</w:t>
      </w:r>
    </w:p>
    <w:p w14:paraId="4E2C4C13" w14:textId="507FC641" w:rsidR="009E587B" w:rsidRDefault="004935CB" w:rsidP="009E587B">
      <w:pPr>
        <w:rPr>
          <w:rFonts w:eastAsia="PMingLiU"/>
          <w:sz w:val="22"/>
          <w:lang w:eastAsia="zh-TW"/>
        </w:rPr>
      </w:pPr>
      <w:r>
        <w:rPr>
          <w:rFonts w:eastAsia="PMingLiU"/>
          <w:sz w:val="22"/>
          <w:lang w:eastAsia="zh-TW"/>
        </w:rPr>
        <w:t>The f</w:t>
      </w:r>
      <w:r w:rsidR="009E587B">
        <w:rPr>
          <w:rFonts w:eastAsia="PMingLiU"/>
          <w:sz w:val="22"/>
          <w:lang w:eastAsia="zh-TW"/>
        </w:rPr>
        <w:t>ollowing observations can be made:</w:t>
      </w:r>
    </w:p>
    <w:p w14:paraId="146F4707" w14:textId="77777777" w:rsidR="009E587B" w:rsidRDefault="009E587B" w:rsidP="00713374">
      <w:pPr>
        <w:ind w:left="2160" w:hanging="2160"/>
        <w:rPr>
          <w:rFonts w:eastAsia="PMingLiU"/>
          <w:sz w:val="22"/>
          <w:lang w:eastAsia="zh-TW"/>
        </w:rPr>
      </w:pPr>
      <w:r w:rsidRPr="00D608BE">
        <w:rPr>
          <w:rFonts w:eastAsia="PMingLiU"/>
          <w:b/>
          <w:sz w:val="22"/>
          <w:lang w:eastAsia="zh-TW"/>
        </w:rPr>
        <w:t>Observation 1:</w:t>
      </w:r>
      <w:r>
        <w:rPr>
          <w:rFonts w:eastAsia="PMingLiU"/>
          <w:sz w:val="22"/>
          <w:lang w:eastAsia="zh-TW"/>
        </w:rPr>
        <w:t xml:space="preserve"> </w:t>
      </w:r>
      <w:r>
        <w:rPr>
          <w:rFonts w:eastAsia="PMingLiU"/>
          <w:sz w:val="22"/>
          <w:lang w:eastAsia="zh-TW"/>
        </w:rPr>
        <w:tab/>
        <w:t>Considering a LEO-1200 S-Band scenario with 15UEs per cell, the user spectral efficiency can be increased, if 32HARQ processes instead of 16 HARQ processes are used.</w:t>
      </w:r>
    </w:p>
    <w:p w14:paraId="0C048E05" w14:textId="2312DE33" w:rsidR="009E587B" w:rsidRDefault="009E587B" w:rsidP="00651329">
      <w:pPr>
        <w:ind w:left="2160" w:hanging="2160"/>
        <w:rPr>
          <w:rFonts w:eastAsia="PMingLiU"/>
          <w:sz w:val="22"/>
          <w:lang w:eastAsia="zh-TW"/>
        </w:rPr>
      </w:pPr>
      <w:r w:rsidRPr="00D608BE">
        <w:rPr>
          <w:rFonts w:eastAsia="PMingLiU"/>
          <w:b/>
          <w:sz w:val="22"/>
          <w:lang w:eastAsia="zh-TW"/>
        </w:rPr>
        <w:t xml:space="preserve">Observation 2: </w:t>
      </w:r>
      <w:r>
        <w:rPr>
          <w:rFonts w:eastAsia="PMingLiU"/>
          <w:sz w:val="22"/>
          <w:lang w:eastAsia="zh-TW"/>
        </w:rPr>
        <w:tab/>
        <w:t xml:space="preserve">Considering a LEO-1200 S-Band scenario with 20UEs per cell, the user spectral efficiency </w:t>
      </w:r>
      <w:r w:rsidR="004935CB">
        <w:rPr>
          <w:rFonts w:eastAsia="PMingLiU"/>
          <w:sz w:val="22"/>
          <w:lang w:eastAsia="zh-TW"/>
        </w:rPr>
        <w:t>obtained with</w:t>
      </w:r>
      <w:r>
        <w:rPr>
          <w:rFonts w:eastAsia="PMingLiU"/>
          <w:sz w:val="22"/>
          <w:lang w:eastAsia="zh-TW"/>
        </w:rPr>
        <w:t xml:space="preserve"> 16 or 32 HARQ processes</w:t>
      </w:r>
      <w:r w:rsidR="004935CB">
        <w:rPr>
          <w:rFonts w:eastAsia="PMingLiU"/>
          <w:sz w:val="22"/>
          <w:lang w:eastAsia="zh-TW"/>
        </w:rPr>
        <w:t>, respectively is similar</w:t>
      </w:r>
      <w:r>
        <w:rPr>
          <w:rFonts w:eastAsia="PMingLiU"/>
          <w:sz w:val="22"/>
          <w:lang w:eastAsia="zh-TW"/>
        </w:rPr>
        <w:t>.</w:t>
      </w:r>
    </w:p>
    <w:p w14:paraId="25C90B51" w14:textId="77777777" w:rsidR="00464208" w:rsidRDefault="00464208" w:rsidP="00464208">
      <w:pPr>
        <w:keepNext/>
        <w:ind w:left="2160" w:hanging="2160"/>
        <w:jc w:val="center"/>
      </w:pPr>
      <w:r>
        <w:rPr>
          <w:rFonts w:eastAsia="PMingLiU"/>
          <w:noProof/>
          <w:sz w:val="22"/>
          <w:lang w:val="en-US" w:eastAsia="en-US"/>
        </w:rPr>
        <w:drawing>
          <wp:inline distT="0" distB="0" distL="0" distR="0" wp14:anchorId="5D211E3D" wp14:editId="5A91EFD6">
            <wp:extent cx="4773168" cy="3584448"/>
            <wp:effectExtent l="0" t="0" r="8890" b="0"/>
            <wp:docPr id="1" name="Picture 1" descr="F:\03-ESA\next_meeting\SE_us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3-ESA\next_meeting\SE_user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73168" cy="3584448"/>
                    </a:xfrm>
                    <a:prstGeom prst="rect">
                      <a:avLst/>
                    </a:prstGeom>
                    <a:noFill/>
                    <a:ln>
                      <a:noFill/>
                    </a:ln>
                  </pic:spPr>
                </pic:pic>
              </a:graphicData>
            </a:graphic>
          </wp:inline>
        </w:drawing>
      </w:r>
    </w:p>
    <w:p w14:paraId="2CC3F06D" w14:textId="25E3172E" w:rsidR="00D608BE" w:rsidRPr="00464208" w:rsidRDefault="00464208" w:rsidP="00464208">
      <w:pPr>
        <w:pStyle w:val="Caption"/>
        <w:keepNext/>
        <w:jc w:val="center"/>
        <w:rPr>
          <w:color w:val="00000A"/>
          <w:sz w:val="20"/>
        </w:rPr>
      </w:pPr>
      <w:r w:rsidRPr="00464208">
        <w:rPr>
          <w:color w:val="00000A"/>
          <w:sz w:val="20"/>
        </w:rPr>
        <w:t xml:space="preserve">Figure </w:t>
      </w:r>
      <w:r w:rsidRPr="00464208">
        <w:rPr>
          <w:color w:val="00000A"/>
          <w:sz w:val="20"/>
        </w:rPr>
        <w:fldChar w:fldCharType="begin"/>
      </w:r>
      <w:r w:rsidRPr="00464208">
        <w:rPr>
          <w:color w:val="00000A"/>
          <w:sz w:val="20"/>
        </w:rPr>
        <w:instrText xml:space="preserve"> SEQ Figure \* ARABIC </w:instrText>
      </w:r>
      <w:r w:rsidRPr="00464208">
        <w:rPr>
          <w:color w:val="00000A"/>
          <w:sz w:val="20"/>
        </w:rPr>
        <w:fldChar w:fldCharType="separate"/>
      </w:r>
      <w:r w:rsidRPr="00464208">
        <w:rPr>
          <w:color w:val="00000A"/>
          <w:sz w:val="20"/>
        </w:rPr>
        <w:t>1</w:t>
      </w:r>
      <w:r w:rsidRPr="00464208">
        <w:rPr>
          <w:color w:val="00000A"/>
          <w:sz w:val="20"/>
        </w:rPr>
        <w:fldChar w:fldCharType="end"/>
      </w:r>
      <w:r w:rsidRPr="00464208">
        <w:rPr>
          <w:color w:val="00000A"/>
          <w:sz w:val="20"/>
        </w:rPr>
        <w:t xml:space="preserve"> CDF </w:t>
      </w:r>
      <w:r w:rsidR="004935CB">
        <w:rPr>
          <w:color w:val="00000A"/>
          <w:sz w:val="20"/>
        </w:rPr>
        <w:t>of</w:t>
      </w:r>
      <w:r w:rsidR="004935CB" w:rsidRPr="00464208">
        <w:rPr>
          <w:color w:val="00000A"/>
          <w:sz w:val="20"/>
        </w:rPr>
        <w:t xml:space="preserve"> </w:t>
      </w:r>
      <w:r w:rsidRPr="00464208">
        <w:rPr>
          <w:color w:val="00000A"/>
          <w:sz w:val="20"/>
        </w:rPr>
        <w:t>User Spectral Efficiency</w:t>
      </w:r>
    </w:p>
    <w:p w14:paraId="73EB62CE" w14:textId="13FD1296" w:rsidR="00D608BE" w:rsidRDefault="00D608BE" w:rsidP="009E587B">
      <w:pPr>
        <w:rPr>
          <w:rFonts w:eastAsia="PMingLiU"/>
          <w:sz w:val="22"/>
          <w:lang w:eastAsia="zh-TW"/>
        </w:rPr>
      </w:pPr>
      <w:r>
        <w:rPr>
          <w:rFonts w:eastAsia="PMingLiU"/>
          <w:sz w:val="22"/>
          <w:lang w:eastAsia="zh-TW"/>
        </w:rPr>
        <w:t xml:space="preserve">Considering the large cell size in NTN, e.g. 90km satellite beam diameter in LEO-1200, see Table 6.1.1-1 in </w:t>
      </w:r>
      <w:r>
        <w:rPr>
          <w:rFonts w:eastAsia="PMingLiU"/>
          <w:sz w:val="22"/>
          <w:lang w:eastAsia="zh-TW"/>
        </w:rPr>
        <w:fldChar w:fldCharType="begin"/>
      </w:r>
      <w:r>
        <w:rPr>
          <w:rFonts w:eastAsia="PMingLiU"/>
          <w:sz w:val="22"/>
          <w:lang w:eastAsia="zh-TW"/>
        </w:rPr>
        <w:instrText xml:space="preserve"> REF _Ref21091174 \r \h </w:instrText>
      </w:r>
      <w:r>
        <w:rPr>
          <w:rFonts w:eastAsia="PMingLiU"/>
          <w:sz w:val="22"/>
          <w:lang w:eastAsia="zh-TW"/>
        </w:rPr>
      </w:r>
      <w:r>
        <w:rPr>
          <w:rFonts w:eastAsia="PMingLiU"/>
          <w:sz w:val="22"/>
          <w:lang w:eastAsia="zh-TW"/>
        </w:rPr>
        <w:fldChar w:fldCharType="separate"/>
      </w:r>
      <w:r w:rsidR="003B7A3B">
        <w:rPr>
          <w:rFonts w:eastAsia="PMingLiU"/>
          <w:sz w:val="22"/>
          <w:lang w:eastAsia="zh-TW"/>
        </w:rPr>
        <w:t>[1]</w:t>
      </w:r>
      <w:r>
        <w:rPr>
          <w:rFonts w:eastAsia="PMingLiU"/>
          <w:sz w:val="22"/>
          <w:lang w:eastAsia="zh-TW"/>
        </w:rPr>
        <w:fldChar w:fldCharType="end"/>
      </w:r>
      <w:r>
        <w:rPr>
          <w:rFonts w:eastAsia="PMingLiU"/>
          <w:sz w:val="22"/>
          <w:lang w:eastAsia="zh-TW"/>
        </w:rPr>
        <w:t xml:space="preserve">, we assume the </w:t>
      </w:r>
      <w:r w:rsidR="004935CB">
        <w:rPr>
          <w:rFonts w:eastAsia="PMingLiU"/>
          <w:sz w:val="22"/>
          <w:lang w:eastAsia="zh-TW"/>
        </w:rPr>
        <w:t xml:space="preserve">typical </w:t>
      </w:r>
      <w:r>
        <w:rPr>
          <w:rFonts w:eastAsia="PMingLiU"/>
          <w:sz w:val="22"/>
          <w:lang w:eastAsia="zh-TW"/>
        </w:rPr>
        <w:t xml:space="preserve">number of UEs </w:t>
      </w:r>
      <w:r w:rsidR="004935CB">
        <w:rPr>
          <w:rFonts w:eastAsia="PMingLiU"/>
          <w:sz w:val="22"/>
          <w:lang w:eastAsia="zh-TW"/>
        </w:rPr>
        <w:t xml:space="preserve">per cell </w:t>
      </w:r>
      <w:r>
        <w:rPr>
          <w:rFonts w:eastAsia="PMingLiU"/>
          <w:sz w:val="22"/>
          <w:lang w:eastAsia="zh-TW"/>
        </w:rPr>
        <w:t>wi</w:t>
      </w:r>
      <w:r w:rsidR="00651329">
        <w:rPr>
          <w:rFonts w:eastAsia="PMingLiU"/>
          <w:sz w:val="22"/>
          <w:lang w:eastAsia="zh-TW"/>
        </w:rPr>
        <w:t xml:space="preserve">ll even be larger than 20. Therefore, we conclude </w:t>
      </w:r>
      <w:r>
        <w:rPr>
          <w:rFonts w:eastAsia="PMingLiU"/>
          <w:sz w:val="22"/>
          <w:lang w:eastAsia="zh-TW"/>
        </w:rPr>
        <w:t xml:space="preserve">that </w:t>
      </w:r>
      <w:r w:rsidR="00651329">
        <w:rPr>
          <w:rFonts w:eastAsia="PMingLiU"/>
          <w:sz w:val="22"/>
          <w:lang w:eastAsia="zh-TW"/>
        </w:rPr>
        <w:t>also for NTN</w:t>
      </w:r>
      <w:r>
        <w:rPr>
          <w:rFonts w:eastAsia="PMingLiU"/>
          <w:sz w:val="22"/>
          <w:lang w:eastAsia="zh-TW"/>
        </w:rPr>
        <w:t xml:space="preserve"> 16HARQ processes are </w:t>
      </w:r>
      <w:r w:rsidR="00651329">
        <w:rPr>
          <w:rFonts w:eastAsia="PMingLiU"/>
          <w:sz w:val="22"/>
          <w:lang w:eastAsia="zh-TW"/>
        </w:rPr>
        <w:t>sufficient</w:t>
      </w:r>
      <w:r>
        <w:rPr>
          <w:rFonts w:eastAsia="PMingLiU"/>
          <w:sz w:val="22"/>
          <w:lang w:eastAsia="zh-TW"/>
        </w:rPr>
        <w:t>.</w:t>
      </w:r>
    </w:p>
    <w:p w14:paraId="283A778B" w14:textId="77777777" w:rsidR="00FF3380" w:rsidRDefault="00FF3380" w:rsidP="00FF3380">
      <w:pPr>
        <w:ind w:left="2160" w:hanging="2160"/>
        <w:rPr>
          <w:rFonts w:eastAsia="PMingLiU"/>
          <w:sz w:val="22"/>
          <w:lang w:eastAsia="zh-TW"/>
        </w:rPr>
      </w:pPr>
      <w:r w:rsidRPr="00FF3380">
        <w:rPr>
          <w:rFonts w:eastAsia="PMingLiU"/>
          <w:b/>
          <w:sz w:val="22"/>
          <w:lang w:eastAsia="zh-TW"/>
        </w:rPr>
        <w:t>Observation 3:</w:t>
      </w:r>
      <w:r>
        <w:rPr>
          <w:rFonts w:eastAsia="PMingLiU"/>
          <w:sz w:val="22"/>
          <w:lang w:eastAsia="zh-TW"/>
        </w:rPr>
        <w:t xml:space="preserve"> </w:t>
      </w:r>
      <w:r>
        <w:rPr>
          <w:rFonts w:eastAsia="PMingLiU"/>
          <w:sz w:val="22"/>
          <w:lang w:eastAsia="zh-TW"/>
        </w:rPr>
        <w:tab/>
        <w:t>Considering the large cell size in NTN, more than 20UEs per cell can be assumed.</w:t>
      </w:r>
    </w:p>
    <w:p w14:paraId="6608C8F7" w14:textId="1B1FDA65" w:rsidR="009E587B" w:rsidRDefault="0075103F" w:rsidP="009E587B">
      <w:pPr>
        <w:rPr>
          <w:rFonts w:eastAsia="PMingLiU"/>
          <w:sz w:val="22"/>
          <w:lang w:eastAsia="zh-TW"/>
        </w:rPr>
      </w:pPr>
      <w:r>
        <w:rPr>
          <w:rFonts w:eastAsia="PMingLiU"/>
          <w:sz w:val="22"/>
          <w:lang w:eastAsia="zh-TW"/>
        </w:rPr>
        <w:lastRenderedPageBreak/>
        <w:t>So far, network settings and scheduling operation was not yet optimized for such large propagation delay with a low number of HARQ processes. W</w:t>
      </w:r>
      <w:r w:rsidR="00D608BE">
        <w:rPr>
          <w:rFonts w:eastAsia="PMingLiU"/>
          <w:sz w:val="22"/>
          <w:lang w:eastAsia="zh-TW"/>
        </w:rPr>
        <w:t xml:space="preserve">e can </w:t>
      </w:r>
      <w:r>
        <w:rPr>
          <w:rFonts w:eastAsia="PMingLiU"/>
          <w:sz w:val="22"/>
          <w:lang w:eastAsia="zh-TW"/>
        </w:rPr>
        <w:t xml:space="preserve">for instance </w:t>
      </w:r>
      <w:r w:rsidR="00D608BE">
        <w:rPr>
          <w:rFonts w:eastAsia="PMingLiU"/>
          <w:sz w:val="22"/>
          <w:lang w:eastAsia="zh-TW"/>
        </w:rPr>
        <w:t xml:space="preserve">decrease the number of </w:t>
      </w:r>
      <w:r w:rsidR="00651329">
        <w:rPr>
          <w:rFonts w:eastAsia="PMingLiU"/>
          <w:sz w:val="22"/>
          <w:lang w:eastAsia="zh-TW"/>
        </w:rPr>
        <w:t>necessary</w:t>
      </w:r>
      <w:r w:rsidR="00D608BE">
        <w:rPr>
          <w:rFonts w:eastAsia="PMingLiU"/>
          <w:sz w:val="22"/>
          <w:lang w:eastAsia="zh-TW"/>
        </w:rPr>
        <w:t xml:space="preserve"> HARQ processes by some kind of </w:t>
      </w:r>
      <w:r>
        <w:rPr>
          <w:rFonts w:eastAsia="PMingLiU"/>
          <w:sz w:val="22"/>
          <w:lang w:eastAsia="zh-TW"/>
        </w:rPr>
        <w:t xml:space="preserve">TDM </w:t>
      </w:r>
      <w:r w:rsidR="00D608BE">
        <w:rPr>
          <w:rFonts w:eastAsia="PMingLiU"/>
          <w:sz w:val="22"/>
          <w:lang w:eastAsia="zh-TW"/>
        </w:rPr>
        <w:t>scheduling</w:t>
      </w:r>
      <w:r>
        <w:rPr>
          <w:rFonts w:eastAsia="PMingLiU"/>
          <w:sz w:val="22"/>
          <w:lang w:eastAsia="zh-TW"/>
        </w:rPr>
        <w:t xml:space="preserve"> of UEs in the downlink</w:t>
      </w:r>
      <w:r w:rsidR="00FF3380">
        <w:rPr>
          <w:rFonts w:eastAsia="PMingLiU"/>
          <w:sz w:val="22"/>
          <w:lang w:eastAsia="zh-TW"/>
        </w:rPr>
        <w:t>,</w:t>
      </w:r>
      <w:r w:rsidR="00D608BE">
        <w:rPr>
          <w:rFonts w:eastAsia="PMingLiU"/>
          <w:sz w:val="22"/>
          <w:lang w:eastAsia="zh-TW"/>
        </w:rPr>
        <w:t xml:space="preserve"> e.g. </w:t>
      </w:r>
      <w:r w:rsidR="008C14FA">
        <w:rPr>
          <w:rFonts w:eastAsia="PMingLiU"/>
          <w:sz w:val="22"/>
          <w:lang w:eastAsia="zh-TW"/>
        </w:rPr>
        <w:t>restrict the number of UEs scheduled per TTI using rather per-UE allocations in each TTI and scheduling different UEs in different TTIs</w:t>
      </w:r>
      <w:r w:rsidR="00D608BE">
        <w:rPr>
          <w:rFonts w:eastAsia="PMingLiU"/>
          <w:sz w:val="22"/>
          <w:lang w:eastAsia="zh-TW"/>
        </w:rPr>
        <w:t xml:space="preserve">. </w:t>
      </w:r>
      <w:r w:rsidR="00651329">
        <w:rPr>
          <w:rFonts w:eastAsia="PMingLiU"/>
          <w:sz w:val="22"/>
          <w:lang w:eastAsia="zh-TW"/>
        </w:rPr>
        <w:t>This will show, that already for 15UEs per cell 16 HARQ processes are sufficient.</w:t>
      </w:r>
    </w:p>
    <w:p w14:paraId="7A1291C8" w14:textId="2FA4F34F" w:rsidR="00FF3380" w:rsidRDefault="00FF3380" w:rsidP="00FF3380">
      <w:pPr>
        <w:ind w:left="2160" w:hanging="2160"/>
        <w:rPr>
          <w:rFonts w:eastAsia="PMingLiU"/>
          <w:sz w:val="22"/>
          <w:lang w:eastAsia="zh-TW"/>
        </w:rPr>
      </w:pPr>
      <w:r w:rsidRPr="00FF3380">
        <w:rPr>
          <w:rFonts w:eastAsia="PMingLiU"/>
          <w:b/>
          <w:sz w:val="22"/>
          <w:lang w:eastAsia="zh-TW"/>
        </w:rPr>
        <w:t>Observation 4:</w:t>
      </w:r>
      <w:r>
        <w:rPr>
          <w:rFonts w:eastAsia="PMingLiU"/>
          <w:sz w:val="22"/>
          <w:lang w:eastAsia="zh-TW"/>
        </w:rPr>
        <w:t xml:space="preserve"> </w:t>
      </w:r>
      <w:r>
        <w:rPr>
          <w:rFonts w:eastAsia="PMingLiU"/>
          <w:sz w:val="22"/>
          <w:lang w:eastAsia="zh-TW"/>
        </w:rPr>
        <w:tab/>
        <w:t xml:space="preserve">By </w:t>
      </w:r>
      <w:r w:rsidR="0075103F">
        <w:rPr>
          <w:rFonts w:eastAsia="PMingLiU"/>
          <w:sz w:val="22"/>
          <w:lang w:eastAsia="zh-TW"/>
        </w:rPr>
        <w:t xml:space="preserve">TDM </w:t>
      </w:r>
      <w:r>
        <w:rPr>
          <w:rFonts w:eastAsia="PMingLiU"/>
          <w:sz w:val="22"/>
          <w:lang w:eastAsia="zh-TW"/>
        </w:rPr>
        <w:t>scheduling</w:t>
      </w:r>
      <w:r w:rsidR="0075103F">
        <w:rPr>
          <w:rFonts w:eastAsia="PMingLiU"/>
          <w:sz w:val="22"/>
          <w:lang w:eastAsia="zh-TW"/>
        </w:rPr>
        <w:t xml:space="preserve"> of UE</w:t>
      </w:r>
      <w:r w:rsidR="003D4258">
        <w:rPr>
          <w:rFonts w:eastAsia="PMingLiU"/>
          <w:sz w:val="22"/>
          <w:lang w:eastAsia="zh-TW"/>
        </w:rPr>
        <w:t>s in downlink</w:t>
      </w:r>
      <w:r>
        <w:rPr>
          <w:rFonts w:eastAsia="PMingLiU"/>
          <w:sz w:val="22"/>
          <w:lang w:eastAsia="zh-TW"/>
        </w:rPr>
        <w:t xml:space="preserve">, e.g. </w:t>
      </w:r>
      <w:r w:rsidR="008C14FA">
        <w:rPr>
          <w:rFonts w:eastAsia="PMingLiU"/>
          <w:sz w:val="22"/>
          <w:lang w:eastAsia="zh-TW"/>
        </w:rPr>
        <w:t>making larger resource assignments to fewer UEs per TTI, i.e. scheduling UEs less frequently in time</w:t>
      </w:r>
      <w:r>
        <w:rPr>
          <w:rFonts w:eastAsia="PMingLiU"/>
          <w:sz w:val="22"/>
          <w:lang w:eastAsia="zh-TW"/>
        </w:rPr>
        <w:t>, the number of needed HARQ processes can be decreased.</w:t>
      </w:r>
    </w:p>
    <w:p w14:paraId="25A6DC29" w14:textId="1890CCEA" w:rsidR="0075103F" w:rsidRDefault="0075103F" w:rsidP="009E587B">
      <w:pPr>
        <w:rPr>
          <w:rFonts w:eastAsia="PMingLiU"/>
          <w:sz w:val="22"/>
          <w:lang w:eastAsia="zh-TW"/>
        </w:rPr>
      </w:pPr>
      <w:r>
        <w:rPr>
          <w:rFonts w:eastAsia="PMingLiU"/>
          <w:sz w:val="22"/>
          <w:lang w:eastAsia="zh-TW"/>
        </w:rPr>
        <w:t xml:space="preserve">If </w:t>
      </w:r>
      <w:r w:rsidR="00C13219">
        <w:rPr>
          <w:rFonts w:eastAsia="PMingLiU"/>
          <w:sz w:val="22"/>
          <w:lang w:eastAsia="zh-TW"/>
        </w:rPr>
        <w:t xml:space="preserve">HARQ stalling is experienced for a lower number of UEs, HARQ disabling can further reduce a potential loss </w:t>
      </w:r>
      <w:r w:rsidR="00C46786">
        <w:rPr>
          <w:rFonts w:eastAsia="PMingLiU"/>
          <w:sz w:val="22"/>
          <w:lang w:eastAsia="zh-TW"/>
        </w:rPr>
        <w:t>in spectral efficiency compared to</w:t>
      </w:r>
      <w:r w:rsidR="00C13219">
        <w:rPr>
          <w:rFonts w:eastAsia="PMingLiU"/>
          <w:sz w:val="22"/>
          <w:lang w:eastAsia="zh-TW"/>
        </w:rPr>
        <w:t xml:space="preserve"> a larger number of HARQ processes. For instance, 1 out of 16 HARQ processes can be disabled and can be configured to use a higher aggregation factor (“blind transmissions”). This process can be used continuously until one of the 15 blocked HARQ </w:t>
      </w:r>
      <w:r w:rsidR="00C46786">
        <w:rPr>
          <w:rFonts w:eastAsia="PMingLiU"/>
          <w:sz w:val="22"/>
          <w:lang w:eastAsia="zh-TW"/>
        </w:rPr>
        <w:t xml:space="preserve">processes </w:t>
      </w:r>
      <w:r w:rsidR="00C13219">
        <w:rPr>
          <w:rFonts w:eastAsia="PMingLiU"/>
          <w:sz w:val="22"/>
          <w:lang w:eastAsia="zh-TW"/>
        </w:rPr>
        <w:t xml:space="preserve">becomes available again. </w:t>
      </w:r>
    </w:p>
    <w:p w14:paraId="523EF5C6" w14:textId="07E106F8" w:rsidR="00C46786" w:rsidRDefault="00FF3380" w:rsidP="00FF3380">
      <w:pPr>
        <w:ind w:left="2160" w:hanging="2160"/>
        <w:rPr>
          <w:rFonts w:eastAsia="PMingLiU"/>
          <w:sz w:val="22"/>
          <w:lang w:eastAsia="zh-TW"/>
        </w:rPr>
      </w:pPr>
      <w:r w:rsidRPr="00FF3380">
        <w:rPr>
          <w:rFonts w:eastAsia="PMingLiU"/>
          <w:b/>
          <w:sz w:val="22"/>
          <w:lang w:eastAsia="zh-TW"/>
        </w:rPr>
        <w:t>Observation 5:</w:t>
      </w:r>
      <w:r>
        <w:rPr>
          <w:rFonts w:eastAsia="PMingLiU"/>
          <w:sz w:val="22"/>
          <w:lang w:eastAsia="zh-TW"/>
        </w:rPr>
        <w:t xml:space="preserve"> </w:t>
      </w:r>
      <w:r>
        <w:rPr>
          <w:rFonts w:eastAsia="PMingLiU"/>
          <w:sz w:val="22"/>
          <w:lang w:eastAsia="zh-TW"/>
        </w:rPr>
        <w:tab/>
      </w:r>
      <w:r w:rsidR="003D4258">
        <w:rPr>
          <w:rFonts w:eastAsia="PMingLiU"/>
          <w:sz w:val="22"/>
          <w:lang w:eastAsia="zh-TW"/>
        </w:rPr>
        <w:t>A single disabled HARQ process with</w:t>
      </w:r>
      <w:r>
        <w:rPr>
          <w:rFonts w:eastAsia="PMingLiU"/>
          <w:sz w:val="22"/>
          <w:lang w:eastAsia="zh-TW"/>
        </w:rPr>
        <w:t xml:space="preserve"> higher aggregation factor </w:t>
      </w:r>
      <w:r w:rsidR="003D4258">
        <w:rPr>
          <w:rFonts w:eastAsia="PMingLiU"/>
          <w:sz w:val="22"/>
          <w:lang w:eastAsia="zh-TW"/>
        </w:rPr>
        <w:t xml:space="preserve">will </w:t>
      </w:r>
      <w:r>
        <w:rPr>
          <w:rFonts w:eastAsia="PMingLiU"/>
          <w:sz w:val="22"/>
          <w:lang w:eastAsia="zh-TW"/>
        </w:rPr>
        <w:t>increase the user spectral efficiency, if all possible HARQ processes are in use.</w:t>
      </w:r>
    </w:p>
    <w:p w14:paraId="5C74D5E1" w14:textId="7DF510C7" w:rsidR="00C13219" w:rsidRDefault="00C13219" w:rsidP="00C13219">
      <w:pPr>
        <w:rPr>
          <w:rFonts w:eastAsia="PMingLiU"/>
          <w:sz w:val="22"/>
          <w:lang w:eastAsia="zh-TW"/>
        </w:rPr>
      </w:pPr>
      <w:r>
        <w:rPr>
          <w:rFonts w:eastAsia="PMingLiU"/>
          <w:sz w:val="22"/>
          <w:lang w:eastAsia="zh-TW"/>
        </w:rPr>
        <w:t>The better the aggregation factor is adjusted to the actual channel condition, the smaller is a potential loss by blocked HARQ processes.</w:t>
      </w:r>
      <w:r w:rsidR="001E5A21">
        <w:rPr>
          <w:rFonts w:eastAsia="PMingLiU"/>
          <w:sz w:val="22"/>
          <w:lang w:eastAsia="zh-TW"/>
        </w:rPr>
        <w:t xml:space="preserve"> In case of a lowly load cell (unlikely scenario in NTN) with lots of capacity allocated to very few UEs</w:t>
      </w:r>
      <w:r w:rsidR="003D4258">
        <w:rPr>
          <w:rFonts w:eastAsia="PMingLiU"/>
          <w:sz w:val="22"/>
          <w:lang w:eastAsia="zh-TW"/>
        </w:rPr>
        <w:t>,</w:t>
      </w:r>
      <w:r w:rsidR="001E5A21">
        <w:rPr>
          <w:rFonts w:eastAsia="PMingLiU"/>
          <w:sz w:val="22"/>
          <w:lang w:eastAsia="zh-TW"/>
        </w:rPr>
        <w:t xml:space="preserve"> a loss in spectral efficiency might be acceptable. </w:t>
      </w:r>
    </w:p>
    <w:p w14:paraId="018BF2FA" w14:textId="16B94D5B" w:rsidR="001E5A21" w:rsidRDefault="001E5A21" w:rsidP="00FF60F4">
      <w:pPr>
        <w:ind w:left="2160" w:hanging="2160"/>
        <w:rPr>
          <w:rFonts w:eastAsia="PMingLiU"/>
          <w:sz w:val="22"/>
          <w:lang w:eastAsia="zh-TW"/>
        </w:rPr>
      </w:pPr>
      <w:r w:rsidRPr="00FF3380">
        <w:rPr>
          <w:rFonts w:eastAsia="PMingLiU"/>
          <w:b/>
          <w:sz w:val="22"/>
          <w:lang w:eastAsia="zh-TW"/>
        </w:rPr>
        <w:t xml:space="preserve">Observation </w:t>
      </w:r>
      <w:r w:rsidR="00FF60F4">
        <w:rPr>
          <w:rFonts w:eastAsia="PMingLiU"/>
          <w:b/>
          <w:sz w:val="22"/>
          <w:lang w:eastAsia="zh-TW"/>
        </w:rPr>
        <w:t>6</w:t>
      </w:r>
      <w:r w:rsidRPr="00FF3380">
        <w:rPr>
          <w:rFonts w:eastAsia="PMingLiU"/>
          <w:b/>
          <w:sz w:val="22"/>
          <w:lang w:eastAsia="zh-TW"/>
        </w:rPr>
        <w:t>:</w:t>
      </w:r>
      <w:r>
        <w:rPr>
          <w:rFonts w:eastAsia="PMingLiU"/>
          <w:sz w:val="22"/>
          <w:lang w:eastAsia="zh-TW"/>
        </w:rPr>
        <w:t xml:space="preserve"> </w:t>
      </w:r>
      <w:r>
        <w:rPr>
          <w:rFonts w:eastAsia="PMingLiU"/>
          <w:sz w:val="22"/>
          <w:lang w:eastAsia="zh-TW"/>
        </w:rPr>
        <w:tab/>
        <w:t>In case of a lowly load cell (unlikely scenario in NTN) with lots of capacity allocated to very few UEs</w:t>
      </w:r>
      <w:r w:rsidR="003D4258">
        <w:rPr>
          <w:rFonts w:eastAsia="PMingLiU"/>
          <w:sz w:val="22"/>
          <w:lang w:eastAsia="zh-TW"/>
        </w:rPr>
        <w:t>,</w:t>
      </w:r>
      <w:r>
        <w:rPr>
          <w:rFonts w:eastAsia="PMingLiU"/>
          <w:sz w:val="22"/>
          <w:lang w:eastAsia="zh-TW"/>
        </w:rPr>
        <w:t xml:space="preserve"> a loss in spectral efficiency might be acceptable.</w:t>
      </w:r>
    </w:p>
    <w:p w14:paraId="39D3D860" w14:textId="73F36BA0" w:rsidR="00FF3380" w:rsidRDefault="00FF3380" w:rsidP="009E587B">
      <w:pPr>
        <w:rPr>
          <w:rFonts w:eastAsia="PMingLiU"/>
          <w:sz w:val="22"/>
          <w:lang w:eastAsia="zh-TW"/>
        </w:rPr>
      </w:pPr>
      <w:r>
        <w:rPr>
          <w:rFonts w:eastAsia="PMingLiU"/>
          <w:sz w:val="22"/>
          <w:lang w:eastAsia="zh-TW"/>
        </w:rPr>
        <w:t>Therefore, we propose the following:</w:t>
      </w:r>
    </w:p>
    <w:p w14:paraId="0F20A3EF" w14:textId="77777777" w:rsidR="00136B52" w:rsidRPr="00FF3380" w:rsidRDefault="00136B52" w:rsidP="00FF3380">
      <w:pPr>
        <w:ind w:left="1440" w:hanging="1440"/>
        <w:rPr>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r>
      <w:r w:rsidR="00FF3380">
        <w:rPr>
          <w:rFonts w:eastAsia="PMingLiU"/>
          <w:sz w:val="22"/>
          <w:lang w:eastAsia="zh-TW"/>
        </w:rPr>
        <w:t>There is no need to increase the number of HARQ processes for NTN.</w:t>
      </w:r>
    </w:p>
    <w:p w14:paraId="723DBF1E" w14:textId="77777777" w:rsidR="003044DB" w:rsidRDefault="003044DB" w:rsidP="003044DB">
      <w:pPr>
        <w:pStyle w:val="Heading1"/>
        <w:numPr>
          <w:ilvl w:val="0"/>
          <w:numId w:val="2"/>
        </w:numPr>
        <w:tabs>
          <w:tab w:val="left" w:pos="432"/>
        </w:tabs>
      </w:pPr>
      <w:r>
        <w:t>Conclusions</w:t>
      </w:r>
    </w:p>
    <w:p w14:paraId="45D9E40D" w14:textId="77777777" w:rsidR="003044DB" w:rsidRPr="003044DB" w:rsidRDefault="00FF3380" w:rsidP="003044DB">
      <w:pPr>
        <w:rPr>
          <w:rFonts w:eastAsia="PMingLiU"/>
          <w:sz w:val="22"/>
          <w:lang w:eastAsia="zh-TW"/>
        </w:rPr>
      </w:pPr>
      <w:r>
        <w:rPr>
          <w:rFonts w:eastAsia="PMingLiU"/>
          <w:sz w:val="22"/>
          <w:lang w:eastAsia="zh-TW"/>
        </w:rPr>
        <w:t>In this document, the need to increase the number of HARQ processes for NTN has been discussed</w:t>
      </w:r>
      <w:r w:rsidR="003044DB" w:rsidRPr="003044DB">
        <w:rPr>
          <w:rFonts w:eastAsia="PMingLiU"/>
          <w:sz w:val="22"/>
          <w:lang w:eastAsia="zh-TW"/>
        </w:rPr>
        <w:t xml:space="preserve">. The following </w:t>
      </w:r>
      <w:r>
        <w:rPr>
          <w:rFonts w:eastAsia="PMingLiU"/>
          <w:sz w:val="22"/>
          <w:lang w:eastAsia="zh-TW"/>
        </w:rPr>
        <w:t xml:space="preserve">observations and </w:t>
      </w:r>
      <w:r w:rsidR="003044DB" w:rsidRPr="003044DB">
        <w:rPr>
          <w:rFonts w:eastAsia="PMingLiU"/>
          <w:sz w:val="22"/>
          <w:lang w:eastAsia="zh-TW"/>
        </w:rPr>
        <w:t>proposals are made:</w:t>
      </w:r>
    </w:p>
    <w:p w14:paraId="530E8DD4" w14:textId="77777777" w:rsidR="00FF3380" w:rsidRDefault="00FF3380" w:rsidP="00713374">
      <w:pPr>
        <w:ind w:left="2160" w:hanging="2160"/>
        <w:rPr>
          <w:rFonts w:eastAsia="PMingLiU"/>
          <w:sz w:val="22"/>
          <w:lang w:eastAsia="zh-TW"/>
        </w:rPr>
      </w:pPr>
      <w:r w:rsidRPr="00D608BE">
        <w:rPr>
          <w:rFonts w:eastAsia="PMingLiU"/>
          <w:b/>
          <w:sz w:val="22"/>
          <w:lang w:eastAsia="zh-TW"/>
        </w:rPr>
        <w:t>Observation 1:</w:t>
      </w:r>
      <w:r>
        <w:rPr>
          <w:rFonts w:eastAsia="PMingLiU"/>
          <w:sz w:val="22"/>
          <w:lang w:eastAsia="zh-TW"/>
        </w:rPr>
        <w:t xml:space="preserve"> </w:t>
      </w:r>
      <w:r>
        <w:rPr>
          <w:rFonts w:eastAsia="PMingLiU"/>
          <w:sz w:val="22"/>
          <w:lang w:eastAsia="zh-TW"/>
        </w:rPr>
        <w:tab/>
        <w:t>Considering a LEO-1200 S-Band scenario with 15UEs per cell, the user spectral efficiency can be increased, if 32HARQ processes instead of 16 HARQ processes are used.</w:t>
      </w:r>
    </w:p>
    <w:p w14:paraId="7063E650" w14:textId="77777777" w:rsidR="00FF3380" w:rsidRDefault="00FF3380" w:rsidP="00FF3380">
      <w:pPr>
        <w:ind w:left="2160" w:hanging="2160"/>
        <w:rPr>
          <w:rFonts w:eastAsia="PMingLiU"/>
          <w:sz w:val="22"/>
          <w:lang w:eastAsia="zh-TW"/>
        </w:rPr>
      </w:pPr>
      <w:r w:rsidRPr="00D608BE">
        <w:rPr>
          <w:rFonts w:eastAsia="PMingLiU"/>
          <w:b/>
          <w:sz w:val="22"/>
          <w:lang w:eastAsia="zh-TW"/>
        </w:rPr>
        <w:t xml:space="preserve">Observation 2: </w:t>
      </w:r>
      <w:r>
        <w:rPr>
          <w:rFonts w:eastAsia="PMingLiU"/>
          <w:sz w:val="22"/>
          <w:lang w:eastAsia="zh-TW"/>
        </w:rPr>
        <w:tab/>
        <w:t>Considering a LEO-1200 S-Band scenario with 20UEs per cell, the user spectral efficiency performs similar independent if 16 or 32 HARQ processes are used.</w:t>
      </w:r>
    </w:p>
    <w:p w14:paraId="43878545" w14:textId="77777777" w:rsidR="00FF3380" w:rsidRDefault="00FF3380" w:rsidP="00FF3380">
      <w:pPr>
        <w:ind w:left="2160" w:hanging="2160"/>
        <w:rPr>
          <w:rFonts w:eastAsia="PMingLiU"/>
          <w:sz w:val="22"/>
          <w:lang w:eastAsia="zh-TW"/>
        </w:rPr>
      </w:pPr>
      <w:r w:rsidRPr="00FF3380">
        <w:rPr>
          <w:rFonts w:eastAsia="PMingLiU"/>
          <w:b/>
          <w:sz w:val="22"/>
          <w:lang w:eastAsia="zh-TW"/>
        </w:rPr>
        <w:t>Observation 3:</w:t>
      </w:r>
      <w:r>
        <w:rPr>
          <w:rFonts w:eastAsia="PMingLiU"/>
          <w:sz w:val="22"/>
          <w:lang w:eastAsia="zh-TW"/>
        </w:rPr>
        <w:t xml:space="preserve"> </w:t>
      </w:r>
      <w:r>
        <w:rPr>
          <w:rFonts w:eastAsia="PMingLiU"/>
          <w:sz w:val="22"/>
          <w:lang w:eastAsia="zh-TW"/>
        </w:rPr>
        <w:tab/>
        <w:t>Considering the large cell size in NTN, more than 20UEs per cell can be assumed.</w:t>
      </w:r>
    </w:p>
    <w:p w14:paraId="458DD464" w14:textId="77777777" w:rsidR="00713374" w:rsidRDefault="00713374" w:rsidP="00713374">
      <w:pPr>
        <w:ind w:left="2160" w:hanging="2160"/>
        <w:rPr>
          <w:rFonts w:eastAsia="PMingLiU"/>
          <w:sz w:val="22"/>
          <w:lang w:eastAsia="zh-TW"/>
        </w:rPr>
      </w:pPr>
      <w:r w:rsidRPr="00FF3380">
        <w:rPr>
          <w:rFonts w:eastAsia="PMingLiU"/>
          <w:b/>
          <w:sz w:val="22"/>
          <w:lang w:eastAsia="zh-TW"/>
        </w:rPr>
        <w:t>Observation 4:</w:t>
      </w:r>
      <w:r>
        <w:rPr>
          <w:rFonts w:eastAsia="PMingLiU"/>
          <w:sz w:val="22"/>
          <w:lang w:eastAsia="zh-TW"/>
        </w:rPr>
        <w:t xml:space="preserve"> </w:t>
      </w:r>
      <w:r>
        <w:rPr>
          <w:rFonts w:eastAsia="PMingLiU"/>
          <w:sz w:val="22"/>
          <w:lang w:eastAsia="zh-TW"/>
        </w:rPr>
        <w:tab/>
        <w:t>By TDM scheduling of UEs in downlink, e.g. making larger resource assignments to fewer UEs per TTI, i.e. scheduling UEs less frequently in time, the number of needed HARQ processes can be decreased.</w:t>
      </w:r>
    </w:p>
    <w:p w14:paraId="5B8E8D3A" w14:textId="77777777" w:rsidR="00713374" w:rsidRDefault="00713374" w:rsidP="00713374">
      <w:pPr>
        <w:ind w:left="2160" w:hanging="2160"/>
        <w:rPr>
          <w:rFonts w:eastAsia="PMingLiU"/>
          <w:sz w:val="22"/>
          <w:lang w:eastAsia="zh-TW"/>
        </w:rPr>
      </w:pPr>
      <w:r w:rsidRPr="00FF3380">
        <w:rPr>
          <w:rFonts w:eastAsia="PMingLiU"/>
          <w:b/>
          <w:sz w:val="22"/>
          <w:lang w:eastAsia="zh-TW"/>
        </w:rPr>
        <w:lastRenderedPageBreak/>
        <w:t>Observation 5:</w:t>
      </w:r>
      <w:r>
        <w:rPr>
          <w:rFonts w:eastAsia="PMingLiU"/>
          <w:sz w:val="22"/>
          <w:lang w:eastAsia="zh-TW"/>
        </w:rPr>
        <w:t xml:space="preserve"> </w:t>
      </w:r>
      <w:r>
        <w:rPr>
          <w:rFonts w:eastAsia="PMingLiU"/>
          <w:sz w:val="22"/>
          <w:lang w:eastAsia="zh-TW"/>
        </w:rPr>
        <w:tab/>
        <w:t>A single disabled HARQ process with higher aggregation factor will increase the user spectral efficiency, if all possible HARQ processes are in use.</w:t>
      </w:r>
    </w:p>
    <w:p w14:paraId="0CA6474C" w14:textId="77777777" w:rsidR="00FF60F4" w:rsidRDefault="00FF60F4" w:rsidP="00FF60F4">
      <w:pPr>
        <w:ind w:left="2160" w:hanging="2160"/>
        <w:rPr>
          <w:rFonts w:eastAsia="PMingLiU"/>
          <w:sz w:val="22"/>
          <w:lang w:eastAsia="zh-TW"/>
        </w:rPr>
      </w:pPr>
      <w:r w:rsidRPr="00FF3380">
        <w:rPr>
          <w:rFonts w:eastAsia="PMingLiU"/>
          <w:b/>
          <w:sz w:val="22"/>
          <w:lang w:eastAsia="zh-TW"/>
        </w:rPr>
        <w:t xml:space="preserve">Observation </w:t>
      </w:r>
      <w:r>
        <w:rPr>
          <w:rFonts w:eastAsia="PMingLiU"/>
          <w:b/>
          <w:sz w:val="22"/>
          <w:lang w:eastAsia="zh-TW"/>
        </w:rPr>
        <w:t>6</w:t>
      </w:r>
      <w:r w:rsidRPr="00FF3380">
        <w:rPr>
          <w:rFonts w:eastAsia="PMingLiU"/>
          <w:b/>
          <w:sz w:val="22"/>
          <w:lang w:eastAsia="zh-TW"/>
        </w:rPr>
        <w:t>:</w:t>
      </w:r>
      <w:r>
        <w:rPr>
          <w:rFonts w:eastAsia="PMingLiU"/>
          <w:sz w:val="22"/>
          <w:lang w:eastAsia="zh-TW"/>
        </w:rPr>
        <w:t xml:space="preserve"> </w:t>
      </w:r>
      <w:r>
        <w:rPr>
          <w:rFonts w:eastAsia="PMingLiU"/>
          <w:sz w:val="22"/>
          <w:lang w:eastAsia="zh-TW"/>
        </w:rPr>
        <w:tab/>
        <w:t>In case of a lowly load cell (unlikely scenario in NTN) with lots of capacity allocated to very few UEs, a loss in spectral efficiency might be acceptable.</w:t>
      </w:r>
    </w:p>
    <w:p w14:paraId="6C196D98" w14:textId="77777777" w:rsidR="00F34391" w:rsidRPr="00FF3380" w:rsidRDefault="00FF3380" w:rsidP="00FF3380">
      <w:pPr>
        <w:ind w:left="2160" w:hanging="2160"/>
        <w:rPr>
          <w:rFonts w:eastAsia="PMingLiU"/>
          <w:sz w:val="22"/>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t>There is no need to increase the number of HARQ processes for NTN.</w:t>
      </w:r>
    </w:p>
    <w:p w14:paraId="268E5FE6" w14:textId="77777777" w:rsidR="00812C96" w:rsidRDefault="00706A2D">
      <w:pPr>
        <w:pStyle w:val="Heading1"/>
        <w:numPr>
          <w:ilvl w:val="0"/>
          <w:numId w:val="2"/>
        </w:numPr>
        <w:tabs>
          <w:tab w:val="left" w:pos="432"/>
        </w:tabs>
      </w:pPr>
      <w:r>
        <w:t xml:space="preserve">References </w:t>
      </w:r>
    </w:p>
    <w:p w14:paraId="3F01C1D0" w14:textId="77777777" w:rsidR="00B64C96" w:rsidRPr="00BC6083" w:rsidRDefault="00B64C96">
      <w:pPr>
        <w:pStyle w:val="Reference"/>
        <w:numPr>
          <w:ilvl w:val="0"/>
          <w:numId w:val="3"/>
        </w:numPr>
        <w:spacing w:after="60"/>
      </w:pPr>
      <w:bookmarkStart w:id="1" w:name="_Ref3992012"/>
      <w:bookmarkStart w:id="2" w:name="_Ref9505553"/>
      <w:bookmarkStart w:id="3" w:name="_Ref21091174"/>
      <w:bookmarkEnd w:id="1"/>
      <w:bookmarkEnd w:id="2"/>
      <w:r>
        <w:rPr>
          <w:sz w:val="22"/>
          <w:szCs w:val="22"/>
        </w:rPr>
        <w:t>3GPP TR 38.821 V0.8.0, “Solutions for NR to support non-terrestrial networks (NTN) (Release 16)”</w:t>
      </w:r>
      <w:bookmarkEnd w:id="3"/>
    </w:p>
    <w:p w14:paraId="41751870" w14:textId="77777777" w:rsidR="00BC6083" w:rsidRPr="00BC6083" w:rsidRDefault="00BC6083" w:rsidP="00BC6083">
      <w:pPr>
        <w:pStyle w:val="Reference"/>
        <w:numPr>
          <w:ilvl w:val="0"/>
          <w:numId w:val="3"/>
        </w:numPr>
        <w:spacing w:after="60"/>
        <w:rPr>
          <w:sz w:val="22"/>
          <w:szCs w:val="22"/>
        </w:rPr>
      </w:pPr>
      <w:bookmarkStart w:id="4" w:name="_Ref24443048"/>
      <w:r>
        <w:rPr>
          <w:sz w:val="22"/>
          <w:szCs w:val="22"/>
        </w:rPr>
        <w:t>3GPP TS 38.331 V15.7.0, “</w:t>
      </w:r>
      <w:r w:rsidRPr="00BC6083">
        <w:rPr>
          <w:sz w:val="22"/>
          <w:szCs w:val="22"/>
        </w:rPr>
        <w:t>Radio Resource Control (RRC) protocol specification</w:t>
      </w:r>
      <w:bookmarkEnd w:id="4"/>
    </w:p>
    <w:p w14:paraId="1876974A" w14:textId="384F1A11" w:rsidR="00BC6083" w:rsidRPr="00C84884" w:rsidRDefault="00BC6083" w:rsidP="00C84884">
      <w:pPr>
        <w:pStyle w:val="Reference"/>
        <w:spacing w:after="60"/>
        <w:ind w:left="567" w:firstLine="0"/>
      </w:pPr>
      <w:r w:rsidRPr="00BC6083">
        <w:rPr>
          <w:sz w:val="22"/>
          <w:szCs w:val="22"/>
        </w:rPr>
        <w:t>(Release 15</w:t>
      </w:r>
      <w:r>
        <w:rPr>
          <w:sz w:val="22"/>
          <w:szCs w:val="22"/>
        </w:rPr>
        <w:t>)”</w:t>
      </w:r>
      <w:bookmarkStart w:id="5" w:name="_GoBack"/>
      <w:bookmarkEnd w:id="5"/>
    </w:p>
    <w:p w14:paraId="1896B4A6" w14:textId="77777777" w:rsidR="00BC6083" w:rsidRPr="00BC6083" w:rsidRDefault="00BC6083" w:rsidP="00BC6083">
      <w:pPr>
        <w:pStyle w:val="Heading1"/>
        <w:numPr>
          <w:ilvl w:val="0"/>
          <w:numId w:val="2"/>
        </w:numPr>
        <w:tabs>
          <w:tab w:val="left" w:pos="432"/>
        </w:tabs>
      </w:pPr>
      <w:r w:rsidRPr="00BC6083">
        <w:t>Appendix</w:t>
      </w:r>
      <w:r>
        <w:t>: Agreements on HARQ in RAN1 and RAN2</w:t>
      </w:r>
    </w:p>
    <w:p w14:paraId="689CF1B6" w14:textId="77777777" w:rsidR="00BC6083" w:rsidRPr="00C62136" w:rsidRDefault="00BC6083" w:rsidP="00BC6083">
      <w:pPr>
        <w:pStyle w:val="Doc-text2"/>
        <w:tabs>
          <w:tab w:val="clear" w:pos="1622"/>
        </w:tabs>
        <w:ind w:left="0" w:firstLine="0"/>
        <w:rPr>
          <w:sz w:val="22"/>
        </w:rPr>
      </w:pPr>
      <w:r w:rsidRPr="00C62136">
        <w:rPr>
          <w:sz w:val="22"/>
        </w:rPr>
        <w:t>RAN2#105 agreement</w:t>
      </w:r>
      <w:r>
        <w:rPr>
          <w:sz w:val="22"/>
        </w:rPr>
        <w:t>s</w:t>
      </w:r>
      <w:r w:rsidRPr="00C62136">
        <w:rPr>
          <w:sz w:val="22"/>
        </w:rPr>
        <w:t>:</w:t>
      </w:r>
    </w:p>
    <w:p w14:paraId="67F1AFCD" w14:textId="77777777" w:rsidR="00BC6083" w:rsidRDefault="00BC6083" w:rsidP="00BC6083">
      <w:pPr>
        <w:pStyle w:val="Doc-text2"/>
        <w:numPr>
          <w:ilvl w:val="0"/>
          <w:numId w:val="7"/>
        </w:numPr>
        <w:tabs>
          <w:tab w:val="clear" w:pos="1622"/>
        </w:tabs>
        <w:rPr>
          <w:sz w:val="22"/>
        </w:rPr>
      </w:pPr>
      <w:r w:rsidRPr="00C62136">
        <w:rPr>
          <w:sz w:val="22"/>
        </w:rPr>
        <w:t>Retransmissions at one or several layers shall be supported for NTN and configurable by the network</w:t>
      </w:r>
    </w:p>
    <w:p w14:paraId="3DF23FC3" w14:textId="77777777" w:rsidR="00BC6083" w:rsidRPr="00C62136" w:rsidRDefault="00BC6083" w:rsidP="00BC6083">
      <w:pPr>
        <w:pStyle w:val="Doc-text2"/>
        <w:numPr>
          <w:ilvl w:val="0"/>
          <w:numId w:val="7"/>
        </w:numPr>
        <w:tabs>
          <w:tab w:val="clear" w:pos="1622"/>
        </w:tabs>
        <w:rPr>
          <w:sz w:val="22"/>
        </w:rPr>
      </w:pPr>
      <w:r w:rsidRPr="00C62136">
        <w:rPr>
          <w:sz w:val="22"/>
        </w:rPr>
        <w:t>The network should be able to configure the UE whether the HARQ is “turned off”.  There is no UL feedback for DL transmission if HARQ is turned off.  FFS the impact on other procedures and how to configure</w:t>
      </w:r>
    </w:p>
    <w:p w14:paraId="1184F216" w14:textId="77777777" w:rsidR="00BC6083" w:rsidRPr="00C62136" w:rsidRDefault="00BC6083" w:rsidP="00BC6083">
      <w:pPr>
        <w:pStyle w:val="Doc-text2"/>
        <w:tabs>
          <w:tab w:val="clear" w:pos="1622"/>
        </w:tabs>
        <w:ind w:left="0" w:firstLine="0"/>
        <w:rPr>
          <w:sz w:val="22"/>
        </w:rPr>
      </w:pPr>
      <w:r w:rsidRPr="00C62136">
        <w:rPr>
          <w:sz w:val="22"/>
        </w:rPr>
        <w:t>RAN2#106 agreements:</w:t>
      </w:r>
    </w:p>
    <w:p w14:paraId="3447EC17" w14:textId="77777777" w:rsidR="00BC6083" w:rsidRPr="00C62136" w:rsidRDefault="00BC6083" w:rsidP="00BC6083">
      <w:pPr>
        <w:pStyle w:val="Doc-text2"/>
        <w:numPr>
          <w:ilvl w:val="0"/>
          <w:numId w:val="7"/>
        </w:numPr>
        <w:tabs>
          <w:tab w:val="clear" w:pos="1622"/>
        </w:tabs>
        <w:rPr>
          <w:sz w:val="22"/>
        </w:rPr>
      </w:pPr>
      <w:r w:rsidRPr="00C62136">
        <w:rPr>
          <w:sz w:val="22"/>
        </w:rPr>
        <w:t xml:space="preserve">If HARQ feedback is disabled, blind HARQ (re)transmissions are still possible to improve robustness.  What blind HARQ retransmissions mean will be captured in email discussion.  </w:t>
      </w:r>
    </w:p>
    <w:p w14:paraId="46390DBD" w14:textId="77777777" w:rsidR="00BC6083" w:rsidRPr="00C62136" w:rsidRDefault="00BC6083" w:rsidP="00BC6083">
      <w:pPr>
        <w:pStyle w:val="Doc-text2"/>
        <w:numPr>
          <w:ilvl w:val="0"/>
          <w:numId w:val="7"/>
        </w:numPr>
        <w:tabs>
          <w:tab w:val="clear" w:pos="1622"/>
        </w:tabs>
        <w:rPr>
          <w:sz w:val="22"/>
        </w:rPr>
      </w:pPr>
      <w:r w:rsidRPr="00C62136">
        <w:rPr>
          <w:sz w:val="22"/>
        </w:rPr>
        <w:t xml:space="preserve">Even if HARQ feedback is disabled, the HARQ processes are still configured. </w:t>
      </w:r>
    </w:p>
    <w:p w14:paraId="15D0EE45" w14:textId="77777777" w:rsidR="00BC6083" w:rsidRPr="00C62136" w:rsidRDefault="00BC6083" w:rsidP="00BC6083">
      <w:pPr>
        <w:pStyle w:val="Doc-text2"/>
        <w:numPr>
          <w:ilvl w:val="0"/>
          <w:numId w:val="7"/>
        </w:numPr>
        <w:tabs>
          <w:tab w:val="clear" w:pos="1622"/>
        </w:tabs>
        <w:rPr>
          <w:sz w:val="22"/>
        </w:rPr>
      </w:pPr>
      <w:r w:rsidRPr="00C62136">
        <w:rPr>
          <w:sz w:val="22"/>
        </w:rPr>
        <w:t xml:space="preserve">Enabling / disabling of HARQ feedback is a network decision. </w:t>
      </w:r>
    </w:p>
    <w:p w14:paraId="0B51820B" w14:textId="77777777" w:rsidR="00BC6083" w:rsidRPr="00C62136" w:rsidRDefault="00BC6083" w:rsidP="00BC6083">
      <w:pPr>
        <w:pStyle w:val="Doc-text2"/>
        <w:tabs>
          <w:tab w:val="clear" w:pos="1622"/>
        </w:tabs>
        <w:ind w:left="0" w:firstLine="0"/>
        <w:rPr>
          <w:sz w:val="22"/>
        </w:rPr>
      </w:pPr>
      <w:r w:rsidRPr="00C62136">
        <w:rPr>
          <w:sz w:val="22"/>
        </w:rPr>
        <w:t>RAN2#107 agreements</w:t>
      </w:r>
      <w:r>
        <w:rPr>
          <w:sz w:val="22"/>
        </w:rPr>
        <w:t>:</w:t>
      </w:r>
    </w:p>
    <w:p w14:paraId="50F6A395" w14:textId="77777777" w:rsidR="00BC6083" w:rsidRPr="00590BD5" w:rsidRDefault="00BC6083" w:rsidP="00BC6083">
      <w:pPr>
        <w:pStyle w:val="Doc-text2"/>
        <w:numPr>
          <w:ilvl w:val="0"/>
          <w:numId w:val="7"/>
        </w:numPr>
        <w:rPr>
          <w:sz w:val="22"/>
        </w:rPr>
      </w:pPr>
      <w:r w:rsidRPr="00590BD5">
        <w:rPr>
          <w:sz w:val="22"/>
        </w:rPr>
        <w:t xml:space="preserve">Multiple transmissions of the same TB in a bundle (e.g. MAC schedules packets in a bundle with </w:t>
      </w:r>
      <w:proofErr w:type="spellStart"/>
      <w:r w:rsidRPr="00590BD5">
        <w:rPr>
          <w:sz w:val="22"/>
        </w:rPr>
        <w:t>pdsch-AggregationFactor</w:t>
      </w:r>
      <w:proofErr w:type="spellEnd"/>
      <w:r w:rsidRPr="00590BD5">
        <w:rPr>
          <w:sz w:val="22"/>
        </w:rPr>
        <w:t xml:space="preserve"> &gt; 1 in downlink and </w:t>
      </w:r>
      <w:proofErr w:type="spellStart"/>
      <w:r w:rsidRPr="00590BD5">
        <w:rPr>
          <w:sz w:val="22"/>
        </w:rPr>
        <w:t>pusch-AggregationFactor</w:t>
      </w:r>
      <w:proofErr w:type="spellEnd"/>
      <w:r w:rsidRPr="00590BD5">
        <w:rPr>
          <w:sz w:val="22"/>
        </w:rPr>
        <w:t xml:space="preserve"> &gt; 1 in the uplink) according to NR Rel.15 are possible and might be useful to lower the residual BLER, particularly in case HARQ feedback is disabled. Enhancements, if any, are up to RAN1 to discuss.</w:t>
      </w:r>
    </w:p>
    <w:p w14:paraId="20EE5ED3" w14:textId="77777777" w:rsidR="00BC6083" w:rsidRPr="00590BD5" w:rsidRDefault="00BC6083" w:rsidP="00BC6083">
      <w:pPr>
        <w:pStyle w:val="Doc-text2"/>
        <w:numPr>
          <w:ilvl w:val="0"/>
          <w:numId w:val="7"/>
        </w:numPr>
        <w:rPr>
          <w:sz w:val="22"/>
        </w:rPr>
      </w:pPr>
      <w:r w:rsidRPr="00590BD5">
        <w:rPr>
          <w:sz w:val="22"/>
        </w:rPr>
        <w:t xml:space="preserve">Soft combining of multiple transmissions of the same TB in a bundle (e.g. MAC schedules packets in a bundle with </w:t>
      </w:r>
      <w:proofErr w:type="spellStart"/>
      <w:r w:rsidRPr="00590BD5">
        <w:rPr>
          <w:sz w:val="22"/>
        </w:rPr>
        <w:t>pdsch-AggregationFactor</w:t>
      </w:r>
      <w:proofErr w:type="spellEnd"/>
      <w:r w:rsidRPr="00590BD5">
        <w:rPr>
          <w:sz w:val="22"/>
        </w:rPr>
        <w:t xml:space="preserve"> &gt; 1 in downlink and </w:t>
      </w:r>
      <w:proofErr w:type="spellStart"/>
      <w:r w:rsidRPr="00590BD5">
        <w:rPr>
          <w:sz w:val="22"/>
        </w:rPr>
        <w:t>pusch-AggregationFactor</w:t>
      </w:r>
      <w:proofErr w:type="spellEnd"/>
      <w:r w:rsidRPr="00590BD5">
        <w:rPr>
          <w:sz w:val="22"/>
        </w:rPr>
        <w:t xml:space="preserve"> &gt; 1 in the uplink) according to NR Rel.15 is supported in the receiver. </w:t>
      </w:r>
    </w:p>
    <w:p w14:paraId="73B89A5E" w14:textId="77777777" w:rsidR="00BC6083" w:rsidRPr="00590BD5" w:rsidRDefault="00BC6083" w:rsidP="00BC6083">
      <w:pPr>
        <w:pStyle w:val="Doc-text2"/>
        <w:numPr>
          <w:ilvl w:val="0"/>
          <w:numId w:val="7"/>
        </w:numPr>
        <w:rPr>
          <w:sz w:val="22"/>
        </w:rPr>
      </w:pPr>
      <w:r w:rsidRPr="00590BD5">
        <w:rPr>
          <w:sz w:val="22"/>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0C070090" w14:textId="77777777" w:rsidR="00BC6083" w:rsidRPr="00590BD5" w:rsidRDefault="00BC6083" w:rsidP="00BC6083">
      <w:pPr>
        <w:pStyle w:val="Doc-text2"/>
        <w:numPr>
          <w:ilvl w:val="0"/>
          <w:numId w:val="7"/>
        </w:numPr>
        <w:rPr>
          <w:sz w:val="22"/>
        </w:rPr>
      </w:pPr>
      <w:r w:rsidRPr="00590BD5">
        <w:rPr>
          <w:sz w:val="22"/>
        </w:rPr>
        <w:lastRenderedPageBreak/>
        <w:t xml:space="preserve">Soft combining of multiple transmissions of the same TB by the MAC scheduler (e.g. MAC schedules the same TB on the same HARQ process without the NDI being toggled) according to NR Rel.15 is supported in the receiver.  </w:t>
      </w:r>
    </w:p>
    <w:p w14:paraId="03AD43E5" w14:textId="77777777" w:rsidR="00BC6083" w:rsidRPr="00590BD5" w:rsidRDefault="00BC6083" w:rsidP="00BC6083">
      <w:pPr>
        <w:pStyle w:val="Doc-text2"/>
        <w:numPr>
          <w:ilvl w:val="0"/>
          <w:numId w:val="7"/>
        </w:numPr>
        <w:rPr>
          <w:sz w:val="22"/>
        </w:rPr>
      </w:pPr>
      <w:r w:rsidRPr="00590BD5">
        <w:rPr>
          <w:sz w:val="22"/>
        </w:rPr>
        <w:t xml:space="preserve">It should be possible to semi-statically enable / disable HARQ feedback by RRC signalling. </w:t>
      </w:r>
    </w:p>
    <w:p w14:paraId="291268C8" w14:textId="77777777" w:rsidR="00BC6083" w:rsidRPr="00590BD5" w:rsidRDefault="00BC6083" w:rsidP="00BC6083">
      <w:pPr>
        <w:pStyle w:val="Doc-text2"/>
        <w:numPr>
          <w:ilvl w:val="0"/>
          <w:numId w:val="7"/>
        </w:numPr>
        <w:rPr>
          <w:sz w:val="22"/>
        </w:rPr>
      </w:pPr>
      <w:r w:rsidRPr="00590BD5">
        <w:rPr>
          <w:sz w:val="22"/>
        </w:rPr>
        <w:t xml:space="preserve">The enabling / disabling of HARQ feedback can be configurable on a per UE and per HARQ process basis via RRC signalling. </w:t>
      </w:r>
    </w:p>
    <w:p w14:paraId="424A8A29" w14:textId="77777777" w:rsidR="00BC6083" w:rsidRPr="00C62136" w:rsidRDefault="00BC6083" w:rsidP="00BC6083">
      <w:pPr>
        <w:pStyle w:val="Doc-text2"/>
        <w:tabs>
          <w:tab w:val="clear" w:pos="1622"/>
        </w:tabs>
        <w:ind w:left="0" w:firstLine="0"/>
        <w:rPr>
          <w:sz w:val="22"/>
        </w:rPr>
      </w:pPr>
      <w:r w:rsidRPr="00C62136">
        <w:rPr>
          <w:sz w:val="22"/>
        </w:rPr>
        <w:t>RAN1#97 agreements:</w:t>
      </w:r>
    </w:p>
    <w:p w14:paraId="40A32800" w14:textId="77777777" w:rsidR="00BC6083" w:rsidRDefault="00BC6083" w:rsidP="00BC6083">
      <w:pPr>
        <w:pStyle w:val="Doc-text2"/>
        <w:numPr>
          <w:ilvl w:val="0"/>
          <w:numId w:val="10"/>
        </w:numPr>
        <w:tabs>
          <w:tab w:val="clear" w:pos="1622"/>
        </w:tabs>
        <w:rPr>
          <w:sz w:val="22"/>
        </w:rPr>
      </w:pPr>
      <w:r w:rsidRPr="00C62136">
        <w:rPr>
          <w:sz w:val="22"/>
        </w:rPr>
        <w:t xml:space="preserve">Network disabling of HARQ via RRC configuration should be supported. </w:t>
      </w:r>
    </w:p>
    <w:p w14:paraId="4E42716C" w14:textId="77777777" w:rsidR="00BC6083" w:rsidRDefault="00BC6083" w:rsidP="00BC6083">
      <w:pPr>
        <w:pStyle w:val="Doc-text2"/>
        <w:numPr>
          <w:ilvl w:val="1"/>
          <w:numId w:val="10"/>
        </w:numPr>
        <w:tabs>
          <w:tab w:val="clear" w:pos="1622"/>
        </w:tabs>
        <w:rPr>
          <w:sz w:val="22"/>
        </w:rPr>
      </w:pPr>
      <w:r w:rsidRPr="00C62136">
        <w:rPr>
          <w:sz w:val="22"/>
        </w:rPr>
        <w:t>FFS: Dynamic disabling of HARQ by gNB.</w:t>
      </w:r>
    </w:p>
    <w:p w14:paraId="66062BE0" w14:textId="77777777" w:rsidR="00BC6083" w:rsidRDefault="00BC6083" w:rsidP="00BC6083">
      <w:pPr>
        <w:pStyle w:val="Doc-text2"/>
        <w:numPr>
          <w:ilvl w:val="0"/>
          <w:numId w:val="10"/>
        </w:numPr>
        <w:tabs>
          <w:tab w:val="clear" w:pos="1622"/>
        </w:tabs>
        <w:rPr>
          <w:sz w:val="22"/>
        </w:rPr>
      </w:pPr>
      <w:r w:rsidRPr="00C62136">
        <w:rPr>
          <w:sz w:val="22"/>
        </w:rPr>
        <w:t>Evaluate impact of Satellite RTT when HARQ is enabled and potential solutions if needed</w:t>
      </w:r>
    </w:p>
    <w:p w14:paraId="15CE22F1" w14:textId="77777777" w:rsidR="00BC6083" w:rsidRDefault="00BC6083" w:rsidP="00BC6083">
      <w:pPr>
        <w:pStyle w:val="Doc-text2"/>
        <w:numPr>
          <w:ilvl w:val="1"/>
          <w:numId w:val="10"/>
        </w:numPr>
        <w:tabs>
          <w:tab w:val="clear" w:pos="1622"/>
        </w:tabs>
        <w:rPr>
          <w:sz w:val="22"/>
        </w:rPr>
      </w:pPr>
      <w:r w:rsidRPr="00C62136">
        <w:rPr>
          <w:sz w:val="22"/>
        </w:rPr>
        <w:t>At least the following aspects should be considered if the number of HARQ processes is &gt; 16:</w:t>
      </w:r>
    </w:p>
    <w:p w14:paraId="201F46FA" w14:textId="77777777" w:rsidR="00BC6083" w:rsidRDefault="00BC6083" w:rsidP="00BC6083">
      <w:pPr>
        <w:pStyle w:val="Doc-text2"/>
        <w:numPr>
          <w:ilvl w:val="2"/>
          <w:numId w:val="10"/>
        </w:numPr>
        <w:tabs>
          <w:tab w:val="clear" w:pos="1622"/>
        </w:tabs>
        <w:rPr>
          <w:sz w:val="22"/>
        </w:rPr>
      </w:pPr>
      <w:r w:rsidRPr="00C62136">
        <w:rPr>
          <w:sz w:val="22"/>
        </w:rPr>
        <w:t>DCI size</w:t>
      </w:r>
    </w:p>
    <w:p w14:paraId="6AF2ACF9" w14:textId="77777777" w:rsidR="00BC6083" w:rsidRPr="00C62136" w:rsidRDefault="00BC6083" w:rsidP="00BC6083">
      <w:pPr>
        <w:pStyle w:val="Doc-text2"/>
        <w:numPr>
          <w:ilvl w:val="2"/>
          <w:numId w:val="10"/>
        </w:numPr>
        <w:tabs>
          <w:tab w:val="clear" w:pos="1622"/>
        </w:tabs>
        <w:rPr>
          <w:sz w:val="22"/>
        </w:rPr>
      </w:pPr>
      <w:r w:rsidRPr="00C62136">
        <w:rPr>
          <w:sz w:val="22"/>
        </w:rPr>
        <w:t>HARQ soft buffer size</w:t>
      </w:r>
    </w:p>
    <w:p w14:paraId="7AE2C996" w14:textId="77777777" w:rsidR="00BC6083" w:rsidRDefault="00BC6083" w:rsidP="00BC6083">
      <w:pPr>
        <w:pStyle w:val="Doc-text2"/>
        <w:tabs>
          <w:tab w:val="clear" w:pos="1622"/>
        </w:tabs>
        <w:ind w:left="0" w:firstLine="0"/>
        <w:rPr>
          <w:sz w:val="22"/>
        </w:rPr>
      </w:pPr>
      <w:r w:rsidRPr="00C62136">
        <w:rPr>
          <w:sz w:val="22"/>
        </w:rPr>
        <w:t>RAN1#</w:t>
      </w:r>
      <w:r>
        <w:rPr>
          <w:sz w:val="22"/>
        </w:rPr>
        <w:t>98 agreements:</w:t>
      </w:r>
    </w:p>
    <w:p w14:paraId="695C6684" w14:textId="77777777" w:rsidR="00BC6083" w:rsidRPr="00C62136" w:rsidRDefault="00BC6083" w:rsidP="00BC6083">
      <w:pPr>
        <w:pStyle w:val="Doc-text2"/>
        <w:numPr>
          <w:ilvl w:val="0"/>
          <w:numId w:val="11"/>
        </w:numPr>
        <w:tabs>
          <w:tab w:val="clear" w:pos="1622"/>
        </w:tabs>
        <w:rPr>
          <w:sz w:val="22"/>
        </w:rPr>
      </w:pPr>
      <w:r w:rsidRPr="00C62136">
        <w:rPr>
          <w:sz w:val="22"/>
        </w:rPr>
        <w:t xml:space="preserve">RAN1 does not need to further discuss dynamic disabling of HARQ by </w:t>
      </w:r>
      <w:proofErr w:type="spellStart"/>
      <w:r w:rsidRPr="00C62136">
        <w:rPr>
          <w:sz w:val="22"/>
        </w:rPr>
        <w:t>gNB</w:t>
      </w:r>
      <w:proofErr w:type="spellEnd"/>
      <w:r w:rsidRPr="00C62136">
        <w:rPr>
          <w:sz w:val="22"/>
        </w:rPr>
        <w:t xml:space="preserve"> following the RAN2#107 decision stating the following</w:t>
      </w:r>
    </w:p>
    <w:p w14:paraId="18D5CCDE" w14:textId="77777777" w:rsidR="00BC6083" w:rsidRPr="000B6A17" w:rsidRDefault="00BC6083" w:rsidP="000B6A17">
      <w:pPr>
        <w:pStyle w:val="Doc-text2"/>
        <w:numPr>
          <w:ilvl w:val="1"/>
          <w:numId w:val="11"/>
        </w:numPr>
        <w:tabs>
          <w:tab w:val="clear" w:pos="1622"/>
        </w:tabs>
        <w:rPr>
          <w:sz w:val="22"/>
        </w:rPr>
      </w:pPr>
      <w:r w:rsidRPr="00C62136">
        <w:rPr>
          <w:sz w:val="22"/>
        </w:rPr>
        <w:t>The enabling / disabling of HARQ feedback should be configurable on a per UE and per HARQ process basis</w:t>
      </w:r>
    </w:p>
    <w:sectPr w:rsidR="00BC6083" w:rsidRPr="000B6A17">
      <w:pgSz w:w="12240" w:h="15840"/>
      <w:pgMar w:top="1440" w:right="1440" w:bottom="1440" w:left="1440" w:header="0" w:footer="0" w:gutter="0"/>
      <w:cols w:space="720"/>
      <w:formProt w:val="0"/>
      <w:docGrid w:linePitch="360" w:charSpace="2047"/>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DF1021" w15:done="0"/>
  <w15:commentEx w15:paraId="035B9A67" w15:done="0"/>
  <w15:commentEx w15:paraId="11608393" w15:done="0"/>
  <w15:commentEx w15:paraId="1533A9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3A969" w16cid:durableId="217546B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charset w:val="00"/>
    <w:family w:val="swiss"/>
    <w:pitch w:val="variable"/>
    <w:sig w:usb0="A00002AF" w:usb1="500078FB" w:usb2="00000000" w:usb3="00000000" w:csb0="0000009F" w:csb1="00000000"/>
  </w:font>
  <w:font w:name="Noto Sans CJK SC Regular">
    <w:panose1 w:val="00000000000000000000"/>
    <w:charset w:val="80"/>
    <w:family w:val="swiss"/>
    <w:notTrueType/>
    <w:pitch w:val="variable"/>
    <w:sig w:usb0="30000207" w:usb1="2BDF3C10" w:usb2="00000016" w:usb3="00000000" w:csb0="002E0107" w:csb1="00000000"/>
  </w:font>
  <w:font w:name="FreeSans">
    <w:altName w:val="Times New Roman"/>
    <w:charset w:val="00"/>
    <w:family w:val="swiss"/>
    <w:pitch w:val="variable"/>
    <w:sig w:usb0="E4838EFF" w:usb1="4200FDFF" w:usb2="000030A0" w:usb3="00000000" w:csb0="000001B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1145D"/>
    <w:multiLevelType w:val="hybridMultilevel"/>
    <w:tmpl w:val="E4960E08"/>
    <w:lvl w:ilvl="0" w:tplc="B882C980">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43604A"/>
    <w:multiLevelType w:val="multilevel"/>
    <w:tmpl w:val="9F90DE98"/>
    <w:lvl w:ilvl="0">
      <w:start w:val="1"/>
      <w:numFmt w:val="decimal"/>
      <w:pStyle w:val="Heading1"/>
      <w:lvlText w:val="[%1]"/>
      <w:lvlJc w:val="left"/>
      <w:pPr>
        <w:ind w:left="72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6A3572D"/>
    <w:multiLevelType w:val="hybridMultilevel"/>
    <w:tmpl w:val="8BEA3842"/>
    <w:lvl w:ilvl="0" w:tplc="B882C980">
      <w:numFmt w:val="bullet"/>
      <w:lvlText w:val="•"/>
      <w:lvlJc w:val="left"/>
      <w:pPr>
        <w:ind w:left="1080" w:hanging="72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EB25D1"/>
    <w:multiLevelType w:val="multilevel"/>
    <w:tmpl w:val="0526E728"/>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8FF5899"/>
    <w:multiLevelType w:val="multilevel"/>
    <w:tmpl w:val="4628037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D256D20"/>
    <w:multiLevelType w:val="hybridMultilevel"/>
    <w:tmpl w:val="8236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341C28"/>
    <w:multiLevelType w:val="hybridMultilevel"/>
    <w:tmpl w:val="B6985476"/>
    <w:lvl w:ilvl="0" w:tplc="B882C980">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325C51"/>
    <w:multiLevelType w:val="hybridMultilevel"/>
    <w:tmpl w:val="A58ED314"/>
    <w:lvl w:ilvl="0" w:tplc="B882C980">
      <w:numFmt w:val="bullet"/>
      <w:lvlText w:val="•"/>
      <w:lvlJc w:val="left"/>
      <w:pPr>
        <w:ind w:left="1080" w:hanging="72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CD6CB9"/>
    <w:multiLevelType w:val="hybridMultilevel"/>
    <w:tmpl w:val="6A28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895D7B"/>
    <w:multiLevelType w:val="hybridMultilevel"/>
    <w:tmpl w:val="277C0EE8"/>
    <w:lvl w:ilvl="0" w:tplc="1054D7B0">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D96FA6"/>
    <w:multiLevelType w:val="hybridMultilevel"/>
    <w:tmpl w:val="303CE6AA"/>
    <w:lvl w:ilvl="0" w:tplc="BB9CF748">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7C5E0F"/>
    <w:multiLevelType w:val="hybridMultilevel"/>
    <w:tmpl w:val="4CE2C7FC"/>
    <w:lvl w:ilvl="0" w:tplc="B882C980">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9"/>
  </w:num>
  <w:num w:numId="5">
    <w:abstractNumId w:val="10"/>
  </w:num>
  <w:num w:numId="6">
    <w:abstractNumId w:val="8"/>
  </w:num>
  <w:num w:numId="7">
    <w:abstractNumId w:val="6"/>
  </w:num>
  <w:num w:numId="8">
    <w:abstractNumId w:val="0"/>
  </w:num>
  <w:num w:numId="9">
    <w:abstractNumId w:val="11"/>
  </w:num>
  <w:num w:numId="10">
    <w:abstractNumId w:val="7"/>
  </w:num>
  <w:num w:numId="11">
    <w:abstractNumId w:val="2"/>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i">
    <w15:presenceInfo w15:providerId="None" w15:userId="pauli"/>
  </w15:person>
  <w15:person w15:author="Eiko Seidel">
    <w15:presenceInfo w15:providerId="Windows Live" w15:userId="26f11d7144b3d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C96"/>
    <w:rsid w:val="0000468F"/>
    <w:rsid w:val="000B6A17"/>
    <w:rsid w:val="00133E2D"/>
    <w:rsid w:val="00136B52"/>
    <w:rsid w:val="001E5A21"/>
    <w:rsid w:val="002E2DBA"/>
    <w:rsid w:val="003041BB"/>
    <w:rsid w:val="003044DB"/>
    <w:rsid w:val="00333723"/>
    <w:rsid w:val="003B7A3B"/>
    <w:rsid w:val="003D4258"/>
    <w:rsid w:val="00464208"/>
    <w:rsid w:val="004935CB"/>
    <w:rsid w:val="00590BD5"/>
    <w:rsid w:val="00651329"/>
    <w:rsid w:val="0067717E"/>
    <w:rsid w:val="00706A2D"/>
    <w:rsid w:val="00713374"/>
    <w:rsid w:val="0075103F"/>
    <w:rsid w:val="00786F61"/>
    <w:rsid w:val="00812C96"/>
    <w:rsid w:val="008C14FA"/>
    <w:rsid w:val="008E5E16"/>
    <w:rsid w:val="00950751"/>
    <w:rsid w:val="009E587B"/>
    <w:rsid w:val="00A646CB"/>
    <w:rsid w:val="00AA4642"/>
    <w:rsid w:val="00B64C96"/>
    <w:rsid w:val="00BC6083"/>
    <w:rsid w:val="00BE7642"/>
    <w:rsid w:val="00BF5D98"/>
    <w:rsid w:val="00C13219"/>
    <w:rsid w:val="00C46786"/>
    <w:rsid w:val="00C62136"/>
    <w:rsid w:val="00C84884"/>
    <w:rsid w:val="00CE5107"/>
    <w:rsid w:val="00CF7A54"/>
    <w:rsid w:val="00D608BE"/>
    <w:rsid w:val="00DA4C73"/>
    <w:rsid w:val="00DB04A6"/>
    <w:rsid w:val="00E36F70"/>
    <w:rsid w:val="00EC0FE9"/>
    <w:rsid w:val="00EE37AD"/>
    <w:rsid w:val="00F34391"/>
    <w:rsid w:val="00FF09E4"/>
    <w:rsid w:val="00FF3380"/>
    <w:rsid w:val="00FF60F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9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paragraph" w:styleId="Heading2">
    <w:name w:val="heading 2"/>
    <w:basedOn w:val="Normal"/>
    <w:next w:val="Normal"/>
    <w:link w:val="Heading2Char"/>
    <w:uiPriority w:val="9"/>
    <w:unhideWhenUsed/>
    <w:qFormat/>
    <w:rsid w:val="00136B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link w:val="Doc-text2Char"/>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 w:type="paragraph" w:styleId="BalloonText">
    <w:name w:val="Balloon Text"/>
    <w:basedOn w:val="Normal"/>
    <w:link w:val="BalloonTextChar"/>
    <w:uiPriority w:val="99"/>
    <w:semiHidden/>
    <w:unhideWhenUsed/>
    <w:rsid w:val="00DB04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4A6"/>
    <w:rPr>
      <w:rFonts w:ascii="Tahoma" w:eastAsia="SimSun" w:hAnsi="Tahoma" w:cs="Tahoma"/>
      <w:color w:val="00000A"/>
      <w:sz w:val="16"/>
      <w:szCs w:val="16"/>
      <w:lang w:val="en-GB" w:eastAsia="zh-CN"/>
    </w:rPr>
  </w:style>
  <w:style w:type="character" w:customStyle="1" w:styleId="Heading2Char">
    <w:name w:val="Heading 2 Char"/>
    <w:basedOn w:val="DefaultParagraphFont"/>
    <w:link w:val="Heading2"/>
    <w:uiPriority w:val="9"/>
    <w:rsid w:val="00136B52"/>
    <w:rPr>
      <w:rFonts w:asciiTheme="majorHAnsi" w:eastAsiaTheme="majorEastAsia" w:hAnsiTheme="majorHAnsi" w:cstheme="majorBidi"/>
      <w:b/>
      <w:bCs/>
      <w:color w:val="4F81BD" w:themeColor="accent1"/>
      <w:sz w:val="26"/>
      <w:szCs w:val="26"/>
      <w:lang w:val="en-GB" w:eastAsia="zh-CN"/>
    </w:rPr>
  </w:style>
  <w:style w:type="character" w:customStyle="1" w:styleId="Doc-text2Char">
    <w:name w:val="Doc-text2 Char"/>
    <w:link w:val="Doc-text2"/>
    <w:qFormat/>
    <w:rsid w:val="00590BD5"/>
    <w:rPr>
      <w:rFonts w:ascii="Arial" w:eastAsia="MS Mincho" w:hAnsi="Arial" w:cs="Arial"/>
      <w:color w:val="00000A"/>
      <w:szCs w:val="24"/>
      <w:lang w:val="en-GB" w:eastAsia="zh-CN"/>
    </w:rPr>
  </w:style>
  <w:style w:type="character" w:styleId="CommentReference">
    <w:name w:val="annotation reference"/>
    <w:basedOn w:val="DefaultParagraphFont"/>
    <w:uiPriority w:val="99"/>
    <w:semiHidden/>
    <w:unhideWhenUsed/>
    <w:rsid w:val="003D4258"/>
    <w:rPr>
      <w:sz w:val="16"/>
      <w:szCs w:val="16"/>
    </w:rPr>
  </w:style>
  <w:style w:type="paragraph" w:styleId="CommentText">
    <w:name w:val="annotation text"/>
    <w:basedOn w:val="Normal"/>
    <w:link w:val="CommentTextChar"/>
    <w:uiPriority w:val="99"/>
    <w:semiHidden/>
    <w:unhideWhenUsed/>
    <w:rsid w:val="003D4258"/>
  </w:style>
  <w:style w:type="character" w:customStyle="1" w:styleId="CommentTextChar">
    <w:name w:val="Comment Text Char"/>
    <w:basedOn w:val="DefaultParagraphFont"/>
    <w:link w:val="CommentText"/>
    <w:uiPriority w:val="99"/>
    <w:semiHidden/>
    <w:rsid w:val="003D4258"/>
    <w:rPr>
      <w:rFonts w:ascii="Arial" w:eastAsia="SimSun" w:hAnsi="Arial" w:cs="Arial"/>
      <w:color w:val="00000A"/>
      <w:szCs w:val="20"/>
      <w:lang w:val="en-GB" w:eastAsia="zh-CN"/>
    </w:rPr>
  </w:style>
  <w:style w:type="paragraph" w:styleId="CommentSubject">
    <w:name w:val="annotation subject"/>
    <w:basedOn w:val="CommentText"/>
    <w:next w:val="CommentText"/>
    <w:link w:val="CommentSubjectChar"/>
    <w:uiPriority w:val="99"/>
    <w:semiHidden/>
    <w:unhideWhenUsed/>
    <w:rsid w:val="003D4258"/>
    <w:rPr>
      <w:b/>
      <w:bCs/>
    </w:rPr>
  </w:style>
  <w:style w:type="character" w:customStyle="1" w:styleId="CommentSubjectChar">
    <w:name w:val="Comment Subject Char"/>
    <w:basedOn w:val="CommentTextChar"/>
    <w:link w:val="CommentSubject"/>
    <w:uiPriority w:val="99"/>
    <w:semiHidden/>
    <w:rsid w:val="003D4258"/>
    <w:rPr>
      <w:rFonts w:ascii="Arial" w:eastAsia="SimSun" w:hAnsi="Arial" w:cs="Arial"/>
      <w:b/>
      <w:bCs/>
      <w:color w:val="00000A"/>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paragraph" w:styleId="Heading2">
    <w:name w:val="heading 2"/>
    <w:basedOn w:val="Normal"/>
    <w:next w:val="Normal"/>
    <w:link w:val="Heading2Char"/>
    <w:uiPriority w:val="9"/>
    <w:unhideWhenUsed/>
    <w:qFormat/>
    <w:rsid w:val="00136B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link w:val="Doc-text2Char"/>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 w:type="paragraph" w:styleId="BalloonText">
    <w:name w:val="Balloon Text"/>
    <w:basedOn w:val="Normal"/>
    <w:link w:val="BalloonTextChar"/>
    <w:uiPriority w:val="99"/>
    <w:semiHidden/>
    <w:unhideWhenUsed/>
    <w:rsid w:val="00DB04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4A6"/>
    <w:rPr>
      <w:rFonts w:ascii="Tahoma" w:eastAsia="SimSun" w:hAnsi="Tahoma" w:cs="Tahoma"/>
      <w:color w:val="00000A"/>
      <w:sz w:val="16"/>
      <w:szCs w:val="16"/>
      <w:lang w:val="en-GB" w:eastAsia="zh-CN"/>
    </w:rPr>
  </w:style>
  <w:style w:type="character" w:customStyle="1" w:styleId="Heading2Char">
    <w:name w:val="Heading 2 Char"/>
    <w:basedOn w:val="DefaultParagraphFont"/>
    <w:link w:val="Heading2"/>
    <w:uiPriority w:val="9"/>
    <w:rsid w:val="00136B52"/>
    <w:rPr>
      <w:rFonts w:asciiTheme="majorHAnsi" w:eastAsiaTheme="majorEastAsia" w:hAnsiTheme="majorHAnsi" w:cstheme="majorBidi"/>
      <w:b/>
      <w:bCs/>
      <w:color w:val="4F81BD" w:themeColor="accent1"/>
      <w:sz w:val="26"/>
      <w:szCs w:val="26"/>
      <w:lang w:val="en-GB" w:eastAsia="zh-CN"/>
    </w:rPr>
  </w:style>
  <w:style w:type="character" w:customStyle="1" w:styleId="Doc-text2Char">
    <w:name w:val="Doc-text2 Char"/>
    <w:link w:val="Doc-text2"/>
    <w:qFormat/>
    <w:rsid w:val="00590BD5"/>
    <w:rPr>
      <w:rFonts w:ascii="Arial" w:eastAsia="MS Mincho" w:hAnsi="Arial" w:cs="Arial"/>
      <w:color w:val="00000A"/>
      <w:szCs w:val="24"/>
      <w:lang w:val="en-GB" w:eastAsia="zh-CN"/>
    </w:rPr>
  </w:style>
  <w:style w:type="character" w:styleId="CommentReference">
    <w:name w:val="annotation reference"/>
    <w:basedOn w:val="DefaultParagraphFont"/>
    <w:uiPriority w:val="99"/>
    <w:semiHidden/>
    <w:unhideWhenUsed/>
    <w:rsid w:val="003D4258"/>
    <w:rPr>
      <w:sz w:val="16"/>
      <w:szCs w:val="16"/>
    </w:rPr>
  </w:style>
  <w:style w:type="paragraph" w:styleId="CommentText">
    <w:name w:val="annotation text"/>
    <w:basedOn w:val="Normal"/>
    <w:link w:val="CommentTextChar"/>
    <w:uiPriority w:val="99"/>
    <w:semiHidden/>
    <w:unhideWhenUsed/>
    <w:rsid w:val="003D4258"/>
  </w:style>
  <w:style w:type="character" w:customStyle="1" w:styleId="CommentTextChar">
    <w:name w:val="Comment Text Char"/>
    <w:basedOn w:val="DefaultParagraphFont"/>
    <w:link w:val="CommentText"/>
    <w:uiPriority w:val="99"/>
    <w:semiHidden/>
    <w:rsid w:val="003D4258"/>
    <w:rPr>
      <w:rFonts w:ascii="Arial" w:eastAsia="SimSun" w:hAnsi="Arial" w:cs="Arial"/>
      <w:color w:val="00000A"/>
      <w:szCs w:val="20"/>
      <w:lang w:val="en-GB" w:eastAsia="zh-CN"/>
    </w:rPr>
  </w:style>
  <w:style w:type="paragraph" w:styleId="CommentSubject">
    <w:name w:val="annotation subject"/>
    <w:basedOn w:val="CommentText"/>
    <w:next w:val="CommentText"/>
    <w:link w:val="CommentSubjectChar"/>
    <w:uiPriority w:val="99"/>
    <w:semiHidden/>
    <w:unhideWhenUsed/>
    <w:rsid w:val="003D4258"/>
    <w:rPr>
      <w:b/>
      <w:bCs/>
    </w:rPr>
  </w:style>
  <w:style w:type="character" w:customStyle="1" w:styleId="CommentSubjectChar">
    <w:name w:val="Comment Subject Char"/>
    <w:basedOn w:val="CommentTextChar"/>
    <w:link w:val="CommentSubject"/>
    <w:uiPriority w:val="99"/>
    <w:semiHidden/>
    <w:rsid w:val="003D4258"/>
    <w:rPr>
      <w:rFonts w:ascii="Arial" w:eastAsia="SimSun" w:hAnsi="Arial" w:cs="Arial"/>
      <w:b/>
      <w:bCs/>
      <w:color w:val="00000A"/>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24C1E-BE73-411B-B21B-F966C1DE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1381</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dcterms:created xsi:type="dcterms:W3CDTF">2019-11-12T15:01:00Z</dcterms:created>
  <dcterms:modified xsi:type="dcterms:W3CDTF">2019-11-12T15:21:00Z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