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CEA033" w14:textId="3540D158" w:rsidR="00197358" w:rsidRPr="007B4D70" w:rsidRDefault="004C4EFC" w:rsidP="003C10B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7728" behindDoc="0" locked="1" layoutInCell="1" allowOverlap="1" wp14:anchorId="63532E70" wp14:editId="0DACB24C">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2C077" id="任意多边形 5"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97358" w:rsidRPr="007B4D70">
        <w:rPr>
          <w:b/>
          <w:noProof/>
          <w:lang w:eastAsia="zh-CN"/>
        </w:rPr>
        <w:t xml:space="preserve">3GPP TSG RAN WG1 </w:t>
      </w:r>
      <w:r w:rsidR="00BE25F2" w:rsidRPr="007B4D70">
        <w:rPr>
          <w:b/>
          <w:noProof/>
          <w:lang w:eastAsia="zh-CN"/>
        </w:rPr>
        <w:t>Meeting #</w:t>
      </w:r>
      <w:r w:rsidR="00A2039F">
        <w:rPr>
          <w:b/>
          <w:noProof/>
          <w:lang w:eastAsia="zh-CN"/>
        </w:rPr>
        <w:t>99</w:t>
      </w:r>
      <w:r w:rsidR="00197358" w:rsidRPr="007B4D70">
        <w:rPr>
          <w:b/>
          <w:kern w:val="2"/>
          <w:lang w:eastAsia="zh-CN"/>
        </w:rPr>
        <w:tab/>
      </w:r>
      <w:r w:rsidRPr="004C4EFC">
        <w:rPr>
          <w:b/>
          <w:kern w:val="2"/>
          <w:lang w:eastAsia="zh-CN"/>
        </w:rPr>
        <w:t>R1-19</w:t>
      </w:r>
      <w:r>
        <w:rPr>
          <w:b/>
          <w:kern w:val="2"/>
          <w:lang w:eastAsia="zh-CN"/>
        </w:rPr>
        <w:t>12923</w:t>
      </w:r>
    </w:p>
    <w:p w14:paraId="05E47589" w14:textId="77777777" w:rsidR="00EE438E" w:rsidRDefault="00A2039F" w:rsidP="00EE438E">
      <w:pPr>
        <w:tabs>
          <w:tab w:val="right" w:pos="9216"/>
        </w:tabs>
        <w:spacing w:after="0"/>
        <w:jc w:val="left"/>
        <w:rPr>
          <w:b/>
          <w:kern w:val="2"/>
          <w:lang w:eastAsia="zh-CN"/>
        </w:rPr>
      </w:pPr>
      <w:r>
        <w:rPr>
          <w:b/>
          <w:noProof/>
          <w:kern w:val="2"/>
          <w:lang w:eastAsia="zh-CN"/>
        </w:rPr>
        <w:t>Reno</w:t>
      </w:r>
      <w:r w:rsidR="00EE438E">
        <w:rPr>
          <w:b/>
          <w:noProof/>
          <w:kern w:val="2"/>
          <w:lang w:eastAsia="zh-CN"/>
        </w:rPr>
        <w:t xml:space="preserve">, </w:t>
      </w:r>
      <w:r>
        <w:rPr>
          <w:b/>
          <w:noProof/>
          <w:kern w:val="2"/>
          <w:lang w:eastAsia="zh-CN"/>
        </w:rPr>
        <w:t>USA</w:t>
      </w:r>
      <w:r w:rsidR="00EE438E">
        <w:rPr>
          <w:b/>
          <w:noProof/>
          <w:kern w:val="2"/>
          <w:lang w:eastAsia="zh-CN"/>
        </w:rPr>
        <w:t xml:space="preserve">,  </w:t>
      </w:r>
      <w:r w:rsidR="00974891">
        <w:rPr>
          <w:b/>
          <w:noProof/>
          <w:kern w:val="2"/>
          <w:lang w:eastAsia="zh-CN"/>
        </w:rPr>
        <w:t>November</w:t>
      </w:r>
      <w:r>
        <w:rPr>
          <w:b/>
          <w:noProof/>
          <w:kern w:val="2"/>
          <w:lang w:eastAsia="zh-CN"/>
        </w:rPr>
        <w:t xml:space="preserve"> 18-22</w:t>
      </w:r>
      <w:r w:rsidR="00EE438E">
        <w:rPr>
          <w:b/>
          <w:noProof/>
          <w:kern w:val="2"/>
          <w:lang w:eastAsia="zh-CN"/>
        </w:rPr>
        <w:t>, 2019</w:t>
      </w:r>
    </w:p>
    <w:p w14:paraId="287DB44E" w14:textId="77777777" w:rsidR="005A1683" w:rsidRPr="007B4D70" w:rsidRDefault="005A1683" w:rsidP="003C10BC">
      <w:pPr>
        <w:pBdr>
          <w:top w:val="single" w:sz="4" w:space="1" w:color="auto"/>
        </w:pBdr>
        <w:spacing w:after="0"/>
        <w:jc w:val="left"/>
        <w:rPr>
          <w:b/>
          <w:kern w:val="2"/>
          <w:lang w:eastAsia="zh-CN"/>
        </w:rPr>
      </w:pPr>
    </w:p>
    <w:p w14:paraId="797ADC44"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Title:</w:t>
      </w:r>
      <w:r w:rsidRPr="00EE438E">
        <w:rPr>
          <w:b/>
          <w:color w:val="000000"/>
          <w:lang w:val="en-GB"/>
        </w:rPr>
        <w:tab/>
      </w:r>
      <w:r w:rsidRPr="00EE438E">
        <w:rPr>
          <w:color w:val="000000"/>
          <w:lang w:val="en-GB"/>
        </w:rPr>
        <w:t xml:space="preserve">Reply LS on </w:t>
      </w:r>
      <w:r w:rsidR="00A2039F">
        <w:rPr>
          <w:color w:val="000000"/>
          <w:lang w:val="en-GB"/>
        </w:rPr>
        <w:t>UE capabilities on DAPS</w:t>
      </w:r>
      <w:r w:rsidR="00EC6E2C">
        <w:rPr>
          <w:color w:val="000000"/>
          <w:lang w:val="en-GB"/>
        </w:rPr>
        <w:t xml:space="preserve"> </w:t>
      </w:r>
      <w:r w:rsidR="00A2039F">
        <w:rPr>
          <w:color w:val="000000"/>
          <w:lang w:val="en-GB"/>
        </w:rPr>
        <w:t>HO</w:t>
      </w:r>
    </w:p>
    <w:p w14:paraId="796104ED"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Response to:</w:t>
      </w:r>
      <w:r w:rsidRPr="00EE438E">
        <w:rPr>
          <w:b/>
          <w:color w:val="000000"/>
          <w:lang w:val="en-GB"/>
        </w:rPr>
        <w:tab/>
      </w:r>
      <w:r w:rsidRPr="00EE438E">
        <w:rPr>
          <w:color w:val="000000"/>
          <w:lang w:val="en-GB"/>
        </w:rPr>
        <w:t>R2-</w:t>
      </w:r>
      <w:r w:rsidR="00A2039F">
        <w:rPr>
          <w:color w:val="000000"/>
          <w:lang w:val="en-GB"/>
        </w:rPr>
        <w:t>1913999</w:t>
      </w:r>
    </w:p>
    <w:p w14:paraId="1A06EB6A"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Release:</w:t>
      </w:r>
      <w:r w:rsidRPr="00EE438E">
        <w:rPr>
          <w:b/>
          <w:color w:val="000000"/>
          <w:lang w:val="en-GB"/>
        </w:rPr>
        <w:tab/>
      </w:r>
      <w:r w:rsidRPr="00EE438E">
        <w:rPr>
          <w:color w:val="000000"/>
          <w:lang w:val="en-GB"/>
        </w:rPr>
        <w:t xml:space="preserve">Release </w:t>
      </w:r>
      <w:r w:rsidR="00A2039F">
        <w:rPr>
          <w:color w:val="000000"/>
          <w:lang w:val="en-GB"/>
        </w:rPr>
        <w:t>16</w:t>
      </w:r>
    </w:p>
    <w:p w14:paraId="168209F7" w14:textId="77777777"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Work Item:</w:t>
      </w:r>
      <w:r w:rsidRPr="00EE438E">
        <w:rPr>
          <w:b/>
          <w:color w:val="000000"/>
          <w:lang w:val="en-GB"/>
        </w:rPr>
        <w:tab/>
      </w:r>
      <w:r w:rsidRPr="00EE438E">
        <w:rPr>
          <w:color w:val="000000"/>
          <w:lang w:val="en-GB"/>
        </w:rPr>
        <w:t>NR_</w:t>
      </w:r>
      <w:r w:rsidR="00A2039F">
        <w:rPr>
          <w:color w:val="000000"/>
          <w:lang w:val="en-GB"/>
        </w:rPr>
        <w:t>Mob-enh-Core</w:t>
      </w:r>
    </w:p>
    <w:p w14:paraId="15C51503" w14:textId="77777777" w:rsidR="00EE438E" w:rsidRPr="00EE438E" w:rsidRDefault="00EE438E" w:rsidP="00EE438E">
      <w:pPr>
        <w:autoSpaceDE/>
        <w:autoSpaceDN/>
        <w:adjustRightInd/>
        <w:snapToGrid/>
        <w:spacing w:after="0"/>
        <w:ind w:left="1985" w:hanging="1985"/>
        <w:jc w:val="left"/>
        <w:rPr>
          <w:b/>
          <w:color w:val="000000"/>
          <w:lang w:val="en-GB"/>
        </w:rPr>
      </w:pPr>
    </w:p>
    <w:p w14:paraId="44C3C41E" w14:textId="77777777"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Source:</w:t>
      </w:r>
      <w:r w:rsidRPr="00EE438E">
        <w:rPr>
          <w:b/>
          <w:color w:val="000000"/>
          <w:lang w:val="en-GB"/>
        </w:rPr>
        <w:tab/>
      </w:r>
      <w:r w:rsidRPr="00EE438E">
        <w:rPr>
          <w:color w:val="000000"/>
          <w:lang w:val="en-GB"/>
        </w:rPr>
        <w:t>Huawei, HiSilicon [RAN1]</w:t>
      </w:r>
    </w:p>
    <w:p w14:paraId="25479D4C"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To:</w:t>
      </w:r>
      <w:r w:rsidRPr="00EE438E">
        <w:rPr>
          <w:b/>
          <w:color w:val="000000"/>
          <w:lang w:val="en-GB"/>
        </w:rPr>
        <w:tab/>
      </w:r>
      <w:r w:rsidRPr="00EE438E">
        <w:rPr>
          <w:color w:val="000000"/>
          <w:lang w:val="en-GB"/>
        </w:rPr>
        <w:t>RAN2, RAN4</w:t>
      </w:r>
    </w:p>
    <w:p w14:paraId="476A43C0"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b/>
      </w:r>
    </w:p>
    <w:p w14:paraId="52B6001B"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Contact Person:</w:t>
      </w:r>
      <w:r w:rsidRPr="00EE438E">
        <w:rPr>
          <w:b/>
          <w:color w:val="000000"/>
          <w:lang w:val="en-GB"/>
        </w:rPr>
        <w:tab/>
      </w:r>
    </w:p>
    <w:p w14:paraId="2B2EE01B"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Name:</w:t>
      </w:r>
      <w:r w:rsidRPr="00EE438E">
        <w:rPr>
          <w:b/>
          <w:color w:val="000000"/>
          <w:lang w:val="en-GB"/>
        </w:rPr>
        <w:tab/>
      </w:r>
      <w:r w:rsidRPr="00EE438E">
        <w:rPr>
          <w:color w:val="000000"/>
          <w:lang w:val="en-GB"/>
        </w:rPr>
        <w:t>Jinhuan Xia</w:t>
      </w:r>
    </w:p>
    <w:p w14:paraId="40582C8C"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E-mail Address:</w:t>
      </w:r>
      <w:r w:rsidRPr="00EE438E">
        <w:rPr>
          <w:b/>
          <w:color w:val="000000"/>
          <w:lang w:val="en-GB"/>
        </w:rPr>
        <w:tab/>
      </w:r>
      <w:r w:rsidRPr="00EE438E">
        <w:rPr>
          <w:color w:val="000000"/>
          <w:lang w:val="en-GB"/>
        </w:rPr>
        <w:t>jinhuan.xia@huawei.com</w:t>
      </w:r>
    </w:p>
    <w:p w14:paraId="11B1CE4E" w14:textId="77777777" w:rsidR="00EE438E" w:rsidRPr="00EE438E" w:rsidRDefault="00EE438E" w:rsidP="00EE438E">
      <w:pPr>
        <w:autoSpaceDE/>
        <w:autoSpaceDN/>
        <w:adjustRightInd/>
        <w:snapToGrid/>
        <w:spacing w:after="0"/>
        <w:ind w:left="1985" w:hanging="1985"/>
        <w:jc w:val="left"/>
        <w:rPr>
          <w:b/>
          <w:color w:val="000000"/>
          <w:lang w:val="en-GB"/>
        </w:rPr>
      </w:pPr>
    </w:p>
    <w:p w14:paraId="6D4438D6"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Attachments:</w:t>
      </w:r>
      <w:r w:rsidRPr="00EE438E">
        <w:rPr>
          <w:b/>
          <w:color w:val="000000"/>
          <w:lang w:val="en-GB"/>
        </w:rPr>
        <w:tab/>
      </w:r>
      <w:r w:rsidRPr="00EE438E">
        <w:rPr>
          <w:color w:val="000000"/>
          <w:lang w:val="en-GB"/>
        </w:rPr>
        <w:t>None</w:t>
      </w:r>
    </w:p>
    <w:p w14:paraId="6D4553EA" w14:textId="77777777" w:rsidR="009C0564" w:rsidRPr="007B4D70" w:rsidRDefault="009C0564" w:rsidP="003C10BC">
      <w:pPr>
        <w:pBdr>
          <w:bottom w:val="single" w:sz="4" w:space="1" w:color="auto"/>
        </w:pBdr>
        <w:spacing w:after="0"/>
        <w:jc w:val="left"/>
        <w:rPr>
          <w:b/>
          <w:kern w:val="2"/>
          <w:lang w:eastAsia="zh-CN"/>
        </w:rPr>
      </w:pPr>
    </w:p>
    <w:p w14:paraId="17B120AF" w14:textId="77777777" w:rsidR="00EE438E" w:rsidRPr="00EE438E" w:rsidRDefault="00EE438E" w:rsidP="00EE438E">
      <w:pPr>
        <w:pStyle w:val="Heading1"/>
        <w:spacing w:before="0" w:after="0"/>
        <w:rPr>
          <w:sz w:val="22"/>
          <w:szCs w:val="22"/>
        </w:rPr>
      </w:pPr>
      <w:bookmarkStart w:id="0" w:name="_Ref124589705"/>
      <w:bookmarkStart w:id="1" w:name="_Ref129681862"/>
      <w:r w:rsidRPr="00EE438E">
        <w:rPr>
          <w:sz w:val="22"/>
          <w:szCs w:val="22"/>
        </w:rPr>
        <w:t>Introduction</w:t>
      </w:r>
      <w:bookmarkEnd w:id="0"/>
      <w:bookmarkEnd w:id="1"/>
    </w:p>
    <w:p w14:paraId="013FA9FA" w14:textId="77777777" w:rsidR="001804E6" w:rsidRPr="007B4D70" w:rsidRDefault="001804E6" w:rsidP="003C10BC">
      <w:pPr>
        <w:overflowPunct w:val="0"/>
        <w:snapToGrid/>
        <w:spacing w:after="0"/>
        <w:textAlignment w:val="baseline"/>
        <w:rPr>
          <w:lang w:eastAsia="zh-CN"/>
        </w:rPr>
      </w:pPr>
    </w:p>
    <w:p w14:paraId="02688B7B" w14:textId="77777777" w:rsidR="008E7E92" w:rsidRPr="007B4D70" w:rsidRDefault="00EE438E" w:rsidP="003C10BC">
      <w:pPr>
        <w:overflowPunct w:val="0"/>
        <w:snapToGrid/>
        <w:spacing w:after="0"/>
        <w:textAlignment w:val="baseline"/>
        <w:rPr>
          <w:lang w:eastAsia="zh-CN"/>
        </w:rPr>
      </w:pPr>
      <w:r>
        <w:rPr>
          <w:lang w:eastAsia="zh-CN"/>
        </w:rPr>
        <w:t xml:space="preserve">RAN1 would like to thank RAN2 for the questions on </w:t>
      </w:r>
      <w:r w:rsidR="00A2039F">
        <w:rPr>
          <w:lang w:eastAsia="zh-CN"/>
        </w:rPr>
        <w:t xml:space="preserve">UE capabilities for DAPS-HO, </w:t>
      </w:r>
      <w:r>
        <w:rPr>
          <w:lang w:eastAsia="zh-CN"/>
        </w:rPr>
        <w:t xml:space="preserve">and would like provide responses as below. </w:t>
      </w:r>
    </w:p>
    <w:p w14:paraId="7FBB8EE0" w14:textId="77777777" w:rsidR="008E7E92" w:rsidRPr="007B4D70" w:rsidRDefault="008E7E92" w:rsidP="003C10BC">
      <w:pPr>
        <w:overflowPunct w:val="0"/>
        <w:snapToGrid/>
        <w:spacing w:after="0"/>
        <w:textAlignment w:val="baseline"/>
        <w:rPr>
          <w:lang w:eastAsia="zh-CN"/>
        </w:rPr>
      </w:pPr>
    </w:p>
    <w:p w14:paraId="59651E9F" w14:textId="77777777" w:rsidR="00EE438E" w:rsidRPr="00EE438E" w:rsidRDefault="00EE438E" w:rsidP="00EE438E">
      <w:pPr>
        <w:pStyle w:val="Heading1"/>
        <w:spacing w:before="0" w:after="0"/>
        <w:rPr>
          <w:sz w:val="22"/>
          <w:szCs w:val="22"/>
          <w:lang w:eastAsia="zh-CN"/>
        </w:rPr>
      </w:pPr>
      <w:r w:rsidRPr="00EE438E">
        <w:rPr>
          <w:sz w:val="22"/>
          <w:szCs w:val="22"/>
          <w:lang w:eastAsia="zh-CN"/>
        </w:rPr>
        <w:t xml:space="preserve">Response to questions regarding </w:t>
      </w:r>
      <w:r w:rsidR="006B4E12">
        <w:rPr>
          <w:sz w:val="22"/>
          <w:szCs w:val="22"/>
          <w:lang w:eastAsia="zh-CN"/>
        </w:rPr>
        <w:t>UE capabilities for DAPS-HO</w:t>
      </w:r>
    </w:p>
    <w:p w14:paraId="17549301" w14:textId="77777777" w:rsidR="006B4E12" w:rsidRDefault="006B4E12" w:rsidP="006B4E12">
      <w:pPr>
        <w:autoSpaceDE/>
        <w:autoSpaceDN/>
        <w:adjustRightInd/>
        <w:snapToGrid/>
        <w:spacing w:after="0"/>
        <w:contextualSpacing/>
        <w:jc w:val="left"/>
        <w:rPr>
          <w:rFonts w:eastAsia="Malgun Gothic"/>
          <w:b/>
          <w:i/>
          <w:u w:val="single"/>
        </w:rPr>
      </w:pPr>
    </w:p>
    <w:tbl>
      <w:tblPr>
        <w:tblStyle w:val="TableGrid"/>
        <w:tblW w:w="0" w:type="auto"/>
        <w:tblLook w:val="04A0" w:firstRow="1" w:lastRow="0" w:firstColumn="1" w:lastColumn="0" w:noHBand="0" w:noVBand="1"/>
      </w:tblPr>
      <w:tblGrid>
        <w:gridCol w:w="9307"/>
      </w:tblGrid>
      <w:tr w:rsidR="003650D9" w14:paraId="2A6859E5" w14:textId="77777777" w:rsidTr="003650D9">
        <w:tc>
          <w:tcPr>
            <w:tcW w:w="9533" w:type="dxa"/>
          </w:tcPr>
          <w:p w14:paraId="22984DA7" w14:textId="77777777" w:rsidR="003650D9" w:rsidRPr="000C48F0" w:rsidRDefault="003650D9" w:rsidP="003650D9">
            <w:pPr>
              <w:tabs>
                <w:tab w:val="center" w:pos="4153"/>
                <w:tab w:val="right" w:pos="8306"/>
              </w:tabs>
              <w:autoSpaceDE/>
              <w:autoSpaceDN/>
              <w:adjustRightInd/>
              <w:rPr>
                <w:i/>
              </w:rPr>
            </w:pPr>
            <w:r w:rsidRPr="00852615">
              <w:rPr>
                <w:b/>
                <w:i/>
              </w:rPr>
              <w:t>Assumption 1</w:t>
            </w:r>
            <w:r w:rsidRPr="00852615">
              <w:rPr>
                <w:i/>
              </w:rPr>
              <w:t>: RAN2 has not yet made agreements on the signalling structure but assumes that the UE capabilities for DAPS can be indicated e.g. similar as the band combination for CA/DC. In addition to supporting DAPS HO for a particular serving cell configuration, the UE also needs to indicate whether it supports the following for DAPS HO:</w:t>
            </w:r>
          </w:p>
          <w:p w14:paraId="47E7D3AA" w14:textId="77777777" w:rsidR="003650D9" w:rsidRPr="000C48F0" w:rsidRDefault="003650D9" w:rsidP="003650D9">
            <w:pPr>
              <w:tabs>
                <w:tab w:val="center" w:pos="4153"/>
                <w:tab w:val="right" w:pos="8306"/>
              </w:tabs>
              <w:autoSpaceDE/>
              <w:autoSpaceDN/>
              <w:adjustRightInd/>
              <w:ind w:left="720"/>
              <w:rPr>
                <w:i/>
              </w:rPr>
            </w:pPr>
            <w:r w:rsidRPr="00852615">
              <w:rPr>
                <w:i/>
              </w:rPr>
              <w:t>- sync/async DAPS HO ;</w:t>
            </w:r>
          </w:p>
          <w:p w14:paraId="23AFEBFD" w14:textId="77777777" w:rsidR="003650D9" w:rsidRPr="000C48F0" w:rsidRDefault="003650D9" w:rsidP="003650D9">
            <w:pPr>
              <w:tabs>
                <w:tab w:val="center" w:pos="4153"/>
                <w:tab w:val="right" w:pos="8306"/>
              </w:tabs>
              <w:autoSpaceDE/>
              <w:autoSpaceDN/>
              <w:adjustRightInd/>
              <w:ind w:left="720"/>
              <w:rPr>
                <w:i/>
              </w:rPr>
            </w:pPr>
            <w:r w:rsidRPr="00852615">
              <w:rPr>
                <w:i/>
              </w:rPr>
              <w:t>- support for multiple TAG (i.e. different TAG in source and target cells)</w:t>
            </w:r>
          </w:p>
          <w:p w14:paraId="2EFD0A79" w14:textId="77777777" w:rsidR="003650D9" w:rsidRPr="000C48F0" w:rsidRDefault="003650D9" w:rsidP="003650D9">
            <w:pPr>
              <w:tabs>
                <w:tab w:val="center" w:pos="4153"/>
                <w:tab w:val="right" w:pos="8306"/>
              </w:tabs>
              <w:autoSpaceDE/>
              <w:autoSpaceDN/>
              <w:adjustRightInd/>
              <w:ind w:left="720"/>
              <w:rPr>
                <w:i/>
              </w:rPr>
            </w:pPr>
            <w:r w:rsidRPr="00852615">
              <w:rPr>
                <w:i/>
              </w:rPr>
              <w:t>- ability to simultaneously transmit with both source and target PCells based on RF chain capability (i.e. whether dual UL is supported during the DAPS HO or not);</w:t>
            </w:r>
          </w:p>
          <w:p w14:paraId="3C879B53" w14:textId="77777777" w:rsidR="003650D9" w:rsidRPr="000C48F0" w:rsidRDefault="003650D9" w:rsidP="003650D9">
            <w:pPr>
              <w:tabs>
                <w:tab w:val="center" w:pos="4153"/>
                <w:tab w:val="right" w:pos="8306"/>
              </w:tabs>
              <w:autoSpaceDE/>
              <w:autoSpaceDN/>
              <w:adjustRightInd/>
              <w:ind w:left="720"/>
              <w:rPr>
                <w:i/>
              </w:rPr>
            </w:pPr>
            <w:r w:rsidRPr="00852615">
              <w:rPr>
                <w:i/>
              </w:rPr>
              <w:t>- Handover involving different SCS (as agreed in RAN4)</w:t>
            </w:r>
          </w:p>
          <w:p w14:paraId="395E910D" w14:textId="77777777" w:rsidR="003650D9" w:rsidRPr="000C48F0" w:rsidRDefault="003650D9" w:rsidP="003650D9">
            <w:pPr>
              <w:tabs>
                <w:tab w:val="center" w:pos="4153"/>
                <w:tab w:val="right" w:pos="8306"/>
              </w:tabs>
              <w:autoSpaceDE/>
              <w:autoSpaceDN/>
              <w:adjustRightInd/>
              <w:rPr>
                <w:i/>
              </w:rPr>
            </w:pPr>
            <w:r w:rsidRPr="00852615">
              <w:rPr>
                <w:i/>
              </w:rPr>
              <w:t>Note: RAN2 has not concluded on whether to limit DAPS HO to PCell only or whether any configured SCells can be used during DAPS HO and whether configured SCells are in deactivated state during HO for both source and target cells.</w:t>
            </w:r>
          </w:p>
          <w:p w14:paraId="7BEF67A7" w14:textId="77777777" w:rsidR="003650D9" w:rsidRDefault="003650D9" w:rsidP="006B4E12">
            <w:pPr>
              <w:tabs>
                <w:tab w:val="center" w:pos="4153"/>
                <w:tab w:val="right" w:pos="8306"/>
              </w:tabs>
              <w:autoSpaceDE/>
              <w:autoSpaceDN/>
              <w:adjustRightInd/>
              <w:rPr>
                <w:b/>
                <w:i/>
              </w:rPr>
            </w:pPr>
            <w:r w:rsidRPr="00852615">
              <w:rPr>
                <w:b/>
                <w:i/>
              </w:rPr>
              <w:t xml:space="preserve">Q1: Are the above DAPS capabilities sufficient from RAN1, and RAN4 perspective? If not, which other capabilities would be needed in addition, e.g. any baseband/RF restriction for intra-freq case? </w:t>
            </w:r>
          </w:p>
        </w:tc>
      </w:tr>
    </w:tbl>
    <w:p w14:paraId="004D7326" w14:textId="77777777" w:rsidR="003650D9" w:rsidRDefault="003650D9" w:rsidP="006B4E12">
      <w:pPr>
        <w:tabs>
          <w:tab w:val="center" w:pos="4153"/>
          <w:tab w:val="right" w:pos="8306"/>
        </w:tabs>
        <w:autoSpaceDE/>
        <w:autoSpaceDN/>
        <w:adjustRightInd/>
        <w:rPr>
          <w:b/>
          <w:i/>
        </w:rPr>
      </w:pPr>
    </w:p>
    <w:p w14:paraId="36471AD3" w14:textId="77777777" w:rsidR="006B4E12" w:rsidRDefault="006B4E12" w:rsidP="00EE438E">
      <w:pPr>
        <w:autoSpaceDE/>
        <w:autoSpaceDN/>
        <w:adjustRightInd/>
        <w:snapToGrid/>
        <w:spacing w:after="0"/>
        <w:contextualSpacing/>
        <w:jc w:val="left"/>
        <w:rPr>
          <w:rFonts w:eastAsia="Malgun Gothic"/>
          <w:b/>
          <w:i/>
          <w:u w:val="single"/>
        </w:rPr>
      </w:pPr>
    </w:p>
    <w:p w14:paraId="60DCD5F6" w14:textId="77777777" w:rsidR="00E46BC2" w:rsidRDefault="006B4E12">
      <w:pPr>
        <w:autoSpaceDE/>
        <w:autoSpaceDN/>
        <w:adjustRightInd/>
        <w:snapToGrid/>
        <w:spacing w:after="0"/>
        <w:contextualSpacing/>
        <w:rPr>
          <w:rFonts w:eastAsia="Malgun Gothic"/>
        </w:rPr>
      </w:pPr>
      <w:r>
        <w:rPr>
          <w:rFonts w:eastAsia="Malgun Gothic"/>
          <w:b/>
          <w:i/>
          <w:u w:val="single"/>
        </w:rPr>
        <w:t>Response#1:</w:t>
      </w:r>
      <w:r>
        <w:rPr>
          <w:rFonts w:eastAsia="Malgun Gothic"/>
          <w:b/>
          <w:i/>
        </w:rPr>
        <w:t xml:space="preserve"> </w:t>
      </w:r>
      <w:r>
        <w:rPr>
          <w:rFonts w:eastAsia="Malgun Gothic"/>
        </w:rPr>
        <w:t>The capabilities listed above by RAN2 are sufficient for DAPS-HO from RAN1 perspective.</w:t>
      </w:r>
      <w:r w:rsidR="001A3E25">
        <w:rPr>
          <w:rFonts w:eastAsia="Malgun Gothic"/>
        </w:rPr>
        <w:t xml:space="preserve"> In the case of intra-frequency DAPS-HO, RAN1’s understanding is that UE capability signaling </w:t>
      </w:r>
      <w:r w:rsidR="003650D9">
        <w:rPr>
          <w:rFonts w:eastAsia="Malgun Gothic"/>
        </w:rPr>
        <w:t xml:space="preserve">can </w:t>
      </w:r>
      <w:r w:rsidR="001A3E25">
        <w:rPr>
          <w:rFonts w:eastAsia="Malgun Gothic"/>
        </w:rPr>
        <w:t xml:space="preserve">be per band </w:t>
      </w:r>
      <w:r w:rsidR="003650D9">
        <w:rPr>
          <w:rFonts w:eastAsia="Malgun Gothic"/>
        </w:rPr>
        <w:t xml:space="preserve">or </w:t>
      </w:r>
      <w:r w:rsidR="00974891">
        <w:rPr>
          <w:rFonts w:eastAsia="Malgun Gothic"/>
        </w:rPr>
        <w:t xml:space="preserve">per band combination. </w:t>
      </w:r>
      <w:r>
        <w:rPr>
          <w:rFonts w:eastAsia="Malgun Gothic"/>
        </w:rPr>
        <w:t xml:space="preserve">RAN1 understands that RAN2’s </w:t>
      </w:r>
      <w:r w:rsidR="00A3248F">
        <w:rPr>
          <w:rFonts w:eastAsia="Malgun Gothic"/>
        </w:rPr>
        <w:t>intention</w:t>
      </w:r>
      <w:r>
        <w:rPr>
          <w:rFonts w:eastAsia="Malgun Gothic"/>
        </w:rPr>
        <w:t xml:space="preserve"> about “</w:t>
      </w:r>
      <w:r w:rsidR="001A3E25">
        <w:rPr>
          <w:rFonts w:eastAsia="Malgun Gothic"/>
        </w:rPr>
        <w:t xml:space="preserve">ability to </w:t>
      </w:r>
      <w:r>
        <w:rPr>
          <w:rFonts w:eastAsia="Malgun Gothic"/>
        </w:rPr>
        <w:t>simultaneous</w:t>
      </w:r>
      <w:r w:rsidR="001A3E25">
        <w:rPr>
          <w:rFonts w:eastAsia="Malgun Gothic"/>
        </w:rPr>
        <w:t>ly transmit</w:t>
      </w:r>
      <w:r>
        <w:rPr>
          <w:rFonts w:eastAsia="Malgun Gothic"/>
        </w:rPr>
        <w:t xml:space="preserve">” </w:t>
      </w:r>
      <w:r w:rsidR="001A3E25">
        <w:rPr>
          <w:rFonts w:eastAsia="Malgun Gothic"/>
        </w:rPr>
        <w:t xml:space="preserve">is that the UE is expected to transmit UL physical channels and signals to source and target cells within the same OFDM symbol. </w:t>
      </w:r>
      <w:r w:rsidR="00974891">
        <w:rPr>
          <w:rFonts w:eastAsia="Malgun Gothic"/>
        </w:rPr>
        <w:t>Correspondingly</w:t>
      </w:r>
      <w:r w:rsidR="00AA1953">
        <w:rPr>
          <w:rFonts w:eastAsia="Malgun Gothic"/>
        </w:rPr>
        <w:t xml:space="preserve">, </w:t>
      </w:r>
      <w:r w:rsidR="00974891">
        <w:rPr>
          <w:rFonts w:eastAsia="Malgun Gothic"/>
        </w:rPr>
        <w:t xml:space="preserve">RAN1 </w:t>
      </w:r>
      <w:r w:rsidR="001A3E25">
        <w:rPr>
          <w:rFonts w:eastAsia="Malgun Gothic"/>
        </w:rPr>
        <w:t>has the same understanding about the “ability to simultaneously receive”, i.e. the UE is expected to receive DL physical channels and signals from source and target cells within the same OFDM symbol.</w:t>
      </w:r>
    </w:p>
    <w:p w14:paraId="13092745" w14:textId="77777777" w:rsidR="001A3E25" w:rsidRPr="00A3248F" w:rsidRDefault="001A3E25" w:rsidP="00EE438E">
      <w:pPr>
        <w:autoSpaceDE/>
        <w:autoSpaceDN/>
        <w:adjustRightInd/>
        <w:snapToGrid/>
        <w:spacing w:after="0"/>
        <w:contextualSpacing/>
        <w:jc w:val="left"/>
        <w:rPr>
          <w:rFonts w:eastAsia="Malgun Gothic"/>
          <w:b/>
          <w:u w:val="single"/>
        </w:rPr>
      </w:pPr>
    </w:p>
    <w:p w14:paraId="613440EE" w14:textId="77777777" w:rsidR="001A3E25" w:rsidRDefault="001A3E25" w:rsidP="006B4E12">
      <w:pPr>
        <w:tabs>
          <w:tab w:val="center" w:pos="4153"/>
          <w:tab w:val="right" w:pos="8306"/>
        </w:tabs>
        <w:autoSpaceDE/>
        <w:autoSpaceDN/>
        <w:adjustRightInd/>
        <w:rPr>
          <w:rFonts w:eastAsia="Malgun Gothic"/>
        </w:rPr>
      </w:pPr>
    </w:p>
    <w:p w14:paraId="2CABD383" w14:textId="77777777" w:rsidR="006B4E12" w:rsidRDefault="00ED1F82" w:rsidP="00ED1F82">
      <w:pPr>
        <w:tabs>
          <w:tab w:val="center" w:pos="4153"/>
          <w:tab w:val="right" w:pos="8306"/>
        </w:tabs>
        <w:autoSpaceDE/>
        <w:autoSpaceDN/>
        <w:adjustRightInd/>
        <w:rPr>
          <w:rFonts w:eastAsia="Malgun Gothic"/>
          <w:b/>
          <w:i/>
        </w:rPr>
      </w:pPr>
      <w:r w:rsidRPr="00852615" w:rsidDel="00ED1F82">
        <w:rPr>
          <w:rFonts w:eastAsia="Malgun Gothic"/>
          <w:i/>
        </w:rPr>
        <w:t xml:space="preserve"> </w:t>
      </w:r>
      <w:bookmarkStart w:id="2" w:name="_GoBack"/>
      <w:bookmarkEnd w:id="2"/>
    </w:p>
    <w:tbl>
      <w:tblPr>
        <w:tblStyle w:val="TableGrid"/>
        <w:tblW w:w="0" w:type="auto"/>
        <w:tblLook w:val="04A0" w:firstRow="1" w:lastRow="0" w:firstColumn="1" w:lastColumn="0" w:noHBand="0" w:noVBand="1"/>
      </w:tblPr>
      <w:tblGrid>
        <w:gridCol w:w="9307"/>
      </w:tblGrid>
      <w:tr w:rsidR="003650D9" w14:paraId="3EF64A73" w14:textId="77777777" w:rsidTr="003650D9">
        <w:tc>
          <w:tcPr>
            <w:tcW w:w="9533" w:type="dxa"/>
          </w:tcPr>
          <w:p w14:paraId="56DE1564" w14:textId="77777777" w:rsidR="003650D9" w:rsidRPr="000C48F0" w:rsidRDefault="003650D9" w:rsidP="003650D9">
            <w:pPr>
              <w:tabs>
                <w:tab w:val="center" w:pos="4153"/>
                <w:tab w:val="right" w:pos="8306"/>
              </w:tabs>
              <w:autoSpaceDE/>
              <w:autoSpaceDN/>
              <w:adjustRightInd/>
              <w:rPr>
                <w:rFonts w:eastAsia="Malgun Gothic"/>
                <w:i/>
              </w:rPr>
            </w:pPr>
            <w:r w:rsidRPr="00852615">
              <w:rPr>
                <w:rFonts w:eastAsia="Malgun Gothic"/>
                <w:i/>
              </w:rPr>
              <w:lastRenderedPageBreak/>
              <w:t xml:space="preserve">For NR, subset of features listed in 4.2.7.6 and 4.2.7.8 in TS38.306 may be shared between source and target node, e.g. MIMO layer, bandwidth class, modulation, SRS resources set, SCS. </w:t>
            </w:r>
          </w:p>
          <w:p w14:paraId="20E77E23" w14:textId="77777777" w:rsidR="003650D9" w:rsidRPr="000C48F0" w:rsidRDefault="003650D9" w:rsidP="003650D9">
            <w:pPr>
              <w:tabs>
                <w:tab w:val="center" w:pos="4153"/>
                <w:tab w:val="right" w:pos="8306"/>
              </w:tabs>
              <w:autoSpaceDE/>
              <w:autoSpaceDN/>
              <w:adjustRightInd/>
              <w:rPr>
                <w:rFonts w:eastAsia="Malgun Gothic"/>
                <w:i/>
              </w:rPr>
            </w:pPr>
            <w:r w:rsidRPr="00852615">
              <w:rPr>
                <w:rFonts w:eastAsia="Malgun Gothic"/>
                <w:i/>
              </w:rPr>
              <w:t xml:space="preserve">For LTE, refer to 4.3.5 in TS36.306, e.g. MIMO layer, bandwidth class, modulation may be shared. </w:t>
            </w:r>
          </w:p>
          <w:p w14:paraId="6BDED243" w14:textId="77777777" w:rsidR="003650D9" w:rsidRPr="000C48F0" w:rsidRDefault="003650D9" w:rsidP="003650D9">
            <w:pPr>
              <w:tabs>
                <w:tab w:val="center" w:pos="4153"/>
                <w:tab w:val="right" w:pos="8306"/>
              </w:tabs>
              <w:autoSpaceDE/>
              <w:autoSpaceDN/>
              <w:adjustRightInd/>
              <w:rPr>
                <w:rFonts w:eastAsia="Malgun Gothic"/>
                <w:i/>
              </w:rPr>
            </w:pPr>
            <w:r w:rsidRPr="00852615">
              <w:rPr>
                <w:rFonts w:eastAsia="Malgun Gothic"/>
                <w:i/>
              </w:rPr>
              <w:t xml:space="preserve">In addition, for both NR and LTE, the UL power, CSI processes, number of CCs may also be shared. </w:t>
            </w:r>
          </w:p>
          <w:p w14:paraId="5E355477" w14:textId="77777777" w:rsidR="003650D9" w:rsidRDefault="003650D9" w:rsidP="006B4E12">
            <w:pPr>
              <w:tabs>
                <w:tab w:val="center" w:pos="4153"/>
                <w:tab w:val="right" w:pos="8306"/>
              </w:tabs>
              <w:autoSpaceDE/>
              <w:autoSpaceDN/>
              <w:adjustRightInd/>
              <w:rPr>
                <w:rFonts w:eastAsia="Malgun Gothic"/>
                <w:b/>
                <w:i/>
              </w:rPr>
            </w:pPr>
            <w:r w:rsidRPr="00852615">
              <w:rPr>
                <w:rFonts w:eastAsia="Malgun Gothic"/>
                <w:b/>
                <w:i/>
              </w:rPr>
              <w:t>Q2: What are the physical layer capabilities and RF capabilities relevant to DAPS HO that need to be shared between source gNB/eNB part and target gNB/eNB part of the UE?</w:t>
            </w:r>
          </w:p>
        </w:tc>
      </w:tr>
    </w:tbl>
    <w:p w14:paraId="0992E2DD" w14:textId="77777777" w:rsidR="003650D9" w:rsidRPr="000C48F0" w:rsidRDefault="003650D9" w:rsidP="006B4E12">
      <w:pPr>
        <w:tabs>
          <w:tab w:val="center" w:pos="4153"/>
          <w:tab w:val="right" w:pos="8306"/>
        </w:tabs>
        <w:autoSpaceDE/>
        <w:autoSpaceDN/>
        <w:adjustRightInd/>
        <w:rPr>
          <w:rFonts w:eastAsia="Malgun Gothic"/>
          <w:b/>
          <w:i/>
        </w:rPr>
      </w:pPr>
    </w:p>
    <w:p w14:paraId="6315FDE4" w14:textId="77777777" w:rsidR="006B4E12" w:rsidRDefault="006B4E12" w:rsidP="00EE438E">
      <w:pPr>
        <w:autoSpaceDE/>
        <w:autoSpaceDN/>
        <w:adjustRightInd/>
        <w:snapToGrid/>
        <w:spacing w:after="0"/>
        <w:contextualSpacing/>
        <w:jc w:val="left"/>
        <w:rPr>
          <w:rFonts w:eastAsia="Malgun Gothic"/>
          <w:b/>
          <w:i/>
          <w:u w:val="single"/>
        </w:rPr>
      </w:pPr>
    </w:p>
    <w:p w14:paraId="5DBA0A37" w14:textId="77777777" w:rsidR="00E46BC2" w:rsidRDefault="001A3E25">
      <w:pPr>
        <w:autoSpaceDE/>
        <w:autoSpaceDN/>
        <w:adjustRightInd/>
        <w:snapToGrid/>
        <w:spacing w:after="0"/>
        <w:contextualSpacing/>
        <w:rPr>
          <w:rFonts w:eastAsia="Malgun Gothic"/>
        </w:rPr>
      </w:pPr>
      <w:r>
        <w:rPr>
          <w:rFonts w:eastAsia="Malgun Gothic"/>
          <w:b/>
          <w:i/>
          <w:u w:val="single"/>
        </w:rPr>
        <w:t>Response#2:</w:t>
      </w:r>
      <w:r>
        <w:rPr>
          <w:rFonts w:eastAsia="Malgun Gothic"/>
        </w:rPr>
        <w:t xml:space="preserve"> In RAN1’s understanding, the following UE capabilities need to be shared between source and target gNBs for DAPS-HO</w:t>
      </w:r>
      <w:r w:rsidR="00974891">
        <w:rPr>
          <w:rFonts w:eastAsia="Malgun Gothic"/>
        </w:rPr>
        <w:t xml:space="preserve"> in addition to the features listed in sections 4.2.7.6 and 4.2.7.8 in TS 38.306</w:t>
      </w:r>
      <w:r>
        <w:rPr>
          <w:rFonts w:eastAsia="Malgun Gothic"/>
        </w:rPr>
        <w:t>:</w:t>
      </w:r>
    </w:p>
    <w:p w14:paraId="4526B985" w14:textId="77777777" w:rsidR="00E46BC2" w:rsidRDefault="00974891">
      <w:pPr>
        <w:pStyle w:val="ListParagraph"/>
        <w:numPr>
          <w:ilvl w:val="0"/>
          <w:numId w:val="67"/>
        </w:numPr>
        <w:autoSpaceDE/>
        <w:autoSpaceDN/>
        <w:adjustRightInd/>
        <w:snapToGrid/>
        <w:spacing w:after="0"/>
        <w:ind w:firstLineChars="0"/>
        <w:contextualSpacing/>
        <w:rPr>
          <w:rFonts w:eastAsia="Malgun Gothic"/>
        </w:rPr>
      </w:pPr>
      <w:r>
        <w:rPr>
          <w:rFonts w:eastAsia="Malgun Gothic"/>
        </w:rPr>
        <w:t>Maximum numb</w:t>
      </w:r>
      <w:r w:rsidR="00CB3E18">
        <w:rPr>
          <w:rFonts w:eastAsia="Malgun Gothic"/>
        </w:rPr>
        <w:t>er of PDCCH candidates</w:t>
      </w:r>
      <w:r w:rsidR="00977372">
        <w:rPr>
          <w:rFonts w:eastAsia="Malgun Gothic"/>
        </w:rPr>
        <w:t xml:space="preserve"> (e.g. number of blind detections, number of non-overlapped CCEs)</w:t>
      </w:r>
      <w:r>
        <w:rPr>
          <w:rFonts w:eastAsia="Malgun Gothic"/>
        </w:rPr>
        <w:t xml:space="preserve"> per slot</w:t>
      </w:r>
    </w:p>
    <w:p w14:paraId="79A7FF7A" w14:textId="77777777" w:rsidR="00E46BC2" w:rsidRDefault="00DB2B46">
      <w:pPr>
        <w:pStyle w:val="ListParagraph"/>
        <w:numPr>
          <w:ilvl w:val="0"/>
          <w:numId w:val="67"/>
        </w:numPr>
        <w:autoSpaceDE/>
        <w:autoSpaceDN/>
        <w:adjustRightInd/>
        <w:snapToGrid/>
        <w:spacing w:after="0"/>
        <w:ind w:firstLineChars="0"/>
        <w:contextualSpacing/>
        <w:rPr>
          <w:rFonts w:eastAsia="Malgun Gothic"/>
        </w:rPr>
      </w:pPr>
      <w:r>
        <w:rPr>
          <w:rFonts w:eastAsia="Malgun Gothic"/>
        </w:rPr>
        <w:t xml:space="preserve">Maximum number of </w:t>
      </w:r>
      <w:r w:rsidR="00977372">
        <w:rPr>
          <w:rFonts w:eastAsia="Malgun Gothic"/>
        </w:rPr>
        <w:t xml:space="preserve">layers per </w:t>
      </w:r>
      <w:r>
        <w:rPr>
          <w:rFonts w:eastAsia="Malgun Gothic"/>
        </w:rPr>
        <w:t>CW per PDSCH</w:t>
      </w:r>
    </w:p>
    <w:p w14:paraId="3D00D532" w14:textId="77777777" w:rsidR="00E46BC2" w:rsidRDefault="001A3E25">
      <w:pPr>
        <w:pStyle w:val="ListParagraph"/>
        <w:numPr>
          <w:ilvl w:val="0"/>
          <w:numId w:val="67"/>
        </w:numPr>
        <w:autoSpaceDE/>
        <w:autoSpaceDN/>
        <w:adjustRightInd/>
        <w:snapToGrid/>
        <w:spacing w:after="0"/>
        <w:ind w:firstLineChars="0"/>
        <w:contextualSpacing/>
        <w:rPr>
          <w:rFonts w:eastAsia="Malgun Gothic"/>
        </w:rPr>
      </w:pPr>
      <w:r>
        <w:rPr>
          <w:rFonts w:eastAsia="Malgun Gothic"/>
        </w:rPr>
        <w:t>Maximum number of PUCCH transmissions</w:t>
      </w:r>
      <w:r w:rsidR="00974891">
        <w:rPr>
          <w:rFonts w:eastAsia="Malgun Gothic"/>
        </w:rPr>
        <w:t xml:space="preserve"> (carrying at least HARQ-ACK feedback)</w:t>
      </w:r>
      <w:r>
        <w:rPr>
          <w:rFonts w:eastAsia="Malgun Gothic"/>
        </w:rPr>
        <w:t xml:space="preserve"> per </w:t>
      </w:r>
      <w:r w:rsidR="00974891">
        <w:rPr>
          <w:rFonts w:eastAsia="Malgun Gothic"/>
        </w:rPr>
        <w:t>OFDM symbol</w:t>
      </w:r>
    </w:p>
    <w:p w14:paraId="63FFABF7" w14:textId="77777777" w:rsidR="00E46BC2" w:rsidRDefault="00CB3E18">
      <w:pPr>
        <w:pStyle w:val="ListParagraph"/>
        <w:numPr>
          <w:ilvl w:val="0"/>
          <w:numId w:val="67"/>
        </w:numPr>
        <w:autoSpaceDE/>
        <w:autoSpaceDN/>
        <w:adjustRightInd/>
        <w:snapToGrid/>
        <w:spacing w:after="0"/>
        <w:ind w:firstLineChars="0"/>
        <w:contextualSpacing/>
        <w:rPr>
          <w:rFonts w:eastAsia="Malgun Gothic"/>
        </w:rPr>
      </w:pPr>
      <w:r>
        <w:rPr>
          <w:rFonts w:eastAsia="Malgun Gothic"/>
        </w:rPr>
        <w:t>UL power (</w:t>
      </w:r>
      <w:r w:rsidRPr="001A3E25">
        <w:rPr>
          <w:rFonts w:eastAsia="Malgun Gothic"/>
        </w:rPr>
        <w:t>sem</w:t>
      </w:r>
      <w:r>
        <w:rPr>
          <w:rFonts w:eastAsia="Malgun Gothic"/>
        </w:rPr>
        <w:t>i-static;</w:t>
      </w:r>
      <w:r w:rsidRPr="001A3E25">
        <w:rPr>
          <w:rFonts w:eastAsia="Malgun Gothic"/>
        </w:rPr>
        <w:t xml:space="preserve"> dynamic)</w:t>
      </w:r>
    </w:p>
    <w:p w14:paraId="62750389" w14:textId="77777777" w:rsidR="00EE438E" w:rsidRDefault="00EE438E" w:rsidP="00EE438E">
      <w:pPr>
        <w:overflowPunct w:val="0"/>
        <w:snapToGrid/>
        <w:spacing w:after="0"/>
        <w:textAlignment w:val="baseline"/>
      </w:pPr>
    </w:p>
    <w:p w14:paraId="3E1592AF" w14:textId="77777777" w:rsidR="0019225B" w:rsidRPr="007B4D70" w:rsidRDefault="0019225B" w:rsidP="003C10BC">
      <w:pPr>
        <w:overflowPunct w:val="0"/>
        <w:snapToGrid/>
        <w:spacing w:after="0"/>
        <w:textAlignment w:val="baseline"/>
        <w:rPr>
          <w:lang w:eastAsia="zh-CN"/>
        </w:rPr>
      </w:pPr>
    </w:p>
    <w:p w14:paraId="5CA91D56" w14:textId="77777777" w:rsidR="00EE438E" w:rsidRPr="00EE438E" w:rsidRDefault="00EE438E" w:rsidP="00EE438E">
      <w:pPr>
        <w:pStyle w:val="Heading1"/>
        <w:spacing w:before="0" w:after="0"/>
        <w:ind w:left="0" w:firstLine="0"/>
        <w:rPr>
          <w:sz w:val="22"/>
          <w:szCs w:val="22"/>
          <w:lang w:eastAsia="zh-CN"/>
        </w:rPr>
      </w:pPr>
      <w:bookmarkStart w:id="3" w:name="_Ref129681832"/>
      <w:r w:rsidRPr="00EE438E">
        <w:rPr>
          <w:sz w:val="22"/>
          <w:szCs w:val="22"/>
          <w:lang w:eastAsia="zh-CN"/>
        </w:rPr>
        <w:t>Actions to RAN2, RAN4</w:t>
      </w:r>
    </w:p>
    <w:p w14:paraId="5ED75D4F" w14:textId="77777777" w:rsidR="00EE438E" w:rsidRDefault="00EE438E" w:rsidP="00EE438E">
      <w:pPr>
        <w:spacing w:after="0"/>
        <w:rPr>
          <w:lang w:eastAsia="zh-CN"/>
        </w:rPr>
      </w:pPr>
      <w:r>
        <w:rPr>
          <w:lang w:eastAsia="zh-CN"/>
        </w:rPr>
        <w:t>RAN1 respectfully requests RAN2 and RAN4 to take the above information into account.</w:t>
      </w:r>
    </w:p>
    <w:p w14:paraId="07237D37" w14:textId="77777777" w:rsidR="00974891" w:rsidRDefault="00974891" w:rsidP="003C10BC">
      <w:pPr>
        <w:autoSpaceDE/>
        <w:autoSpaceDN/>
        <w:adjustRightInd/>
        <w:snapToGrid/>
        <w:spacing w:after="0"/>
        <w:contextualSpacing/>
        <w:rPr>
          <w:lang w:eastAsia="zh-CN"/>
        </w:rPr>
      </w:pPr>
    </w:p>
    <w:p w14:paraId="77874E77" w14:textId="77777777" w:rsidR="00273D5A" w:rsidRPr="007B4D70" w:rsidRDefault="00273D5A" w:rsidP="003C10BC">
      <w:pPr>
        <w:autoSpaceDE/>
        <w:autoSpaceDN/>
        <w:adjustRightInd/>
        <w:snapToGrid/>
        <w:spacing w:after="0"/>
        <w:contextualSpacing/>
        <w:rPr>
          <w:rFonts w:eastAsia="MS Mincho"/>
          <w:lang w:eastAsia="ja-JP"/>
        </w:rPr>
      </w:pPr>
    </w:p>
    <w:p w14:paraId="1CDA20DF" w14:textId="77777777" w:rsidR="00EE438E" w:rsidRPr="00EE438E" w:rsidRDefault="00EE438E" w:rsidP="00EE438E">
      <w:pPr>
        <w:pStyle w:val="Heading1"/>
        <w:spacing w:before="0" w:after="0"/>
        <w:rPr>
          <w:sz w:val="22"/>
          <w:szCs w:val="22"/>
        </w:rPr>
      </w:pPr>
      <w:r w:rsidRPr="00EE438E">
        <w:rPr>
          <w:sz w:val="22"/>
          <w:szCs w:val="22"/>
        </w:rPr>
        <w:t>Date of next TSG-RAN WG1 meetings:</w:t>
      </w:r>
    </w:p>
    <w:p w14:paraId="772BC561" w14:textId="77777777" w:rsidR="00EE438E" w:rsidRPr="00EE438E" w:rsidRDefault="00EE438E" w:rsidP="00EE438E">
      <w:pPr>
        <w:spacing w:after="0"/>
        <w:rPr>
          <w:rFonts w:eastAsia="Times New Roman"/>
        </w:rPr>
      </w:pPr>
      <w:r w:rsidRPr="00EE438E">
        <w:rPr>
          <w:rFonts w:eastAsia="Times New Roman"/>
        </w:rPr>
        <w:t>TSG-RAN WG1 Meeting#</w:t>
      </w:r>
      <w:r w:rsidR="00974891">
        <w:rPr>
          <w:rFonts w:eastAsia="Times New Roman"/>
        </w:rPr>
        <w:t>100</w:t>
      </w:r>
      <w:r w:rsidRPr="00EE438E">
        <w:rPr>
          <w:rFonts w:eastAsia="Times New Roman"/>
        </w:rPr>
        <w:t>,</w:t>
      </w:r>
      <w:r w:rsidRPr="00EE438E">
        <w:rPr>
          <w:rFonts w:eastAsia="Times New Roman"/>
        </w:rPr>
        <w:tab/>
      </w:r>
      <w:r w:rsidRPr="00EE438E">
        <w:rPr>
          <w:rFonts w:eastAsia="Times New Roman"/>
        </w:rPr>
        <w:tab/>
      </w:r>
      <w:r w:rsidRPr="00EE438E">
        <w:rPr>
          <w:rFonts w:eastAsia="Times New Roman"/>
        </w:rPr>
        <w:tab/>
      </w:r>
      <w:r w:rsidR="00CB3E18">
        <w:rPr>
          <w:rFonts w:eastAsia="Times New Roman"/>
        </w:rPr>
        <w:t>24</w:t>
      </w:r>
      <w:r w:rsidR="00CB3E18" w:rsidRPr="00EE438E">
        <w:rPr>
          <w:rFonts w:eastAsia="Times New Roman"/>
          <w:vertAlign w:val="superscript"/>
        </w:rPr>
        <w:t>th</w:t>
      </w:r>
      <w:r w:rsidR="00CB3E18" w:rsidRPr="00EE438E">
        <w:rPr>
          <w:rFonts w:eastAsia="Times New Roman"/>
        </w:rPr>
        <w:t xml:space="preserve"> </w:t>
      </w:r>
      <w:r w:rsidR="00CB3E18">
        <w:rPr>
          <w:rFonts w:eastAsia="Times New Roman"/>
        </w:rPr>
        <w:t>February</w:t>
      </w:r>
      <w:r w:rsidRPr="00EE438E">
        <w:rPr>
          <w:rFonts w:eastAsia="Times New Roman"/>
        </w:rPr>
        <w:t xml:space="preserve"> to </w:t>
      </w:r>
      <w:r w:rsidR="00CB3E18">
        <w:rPr>
          <w:rFonts w:eastAsia="Times New Roman"/>
        </w:rPr>
        <w:t>28</w:t>
      </w:r>
      <w:r w:rsidR="00CB3E18" w:rsidRPr="00EE438E">
        <w:rPr>
          <w:rFonts w:eastAsia="Times New Roman"/>
          <w:vertAlign w:val="superscript"/>
        </w:rPr>
        <w:t>th</w:t>
      </w:r>
      <w:r w:rsidR="00CB3E18" w:rsidRPr="00EE438E">
        <w:rPr>
          <w:rFonts w:eastAsia="Times New Roman"/>
        </w:rPr>
        <w:t xml:space="preserve"> </w:t>
      </w:r>
      <w:r w:rsidR="00CB3E18">
        <w:rPr>
          <w:rFonts w:eastAsia="Times New Roman"/>
        </w:rPr>
        <w:t>February</w:t>
      </w:r>
      <w:r w:rsidR="00CB3E18" w:rsidRPr="00EE438E">
        <w:rPr>
          <w:rFonts w:eastAsia="Times New Roman"/>
        </w:rPr>
        <w:t xml:space="preserve"> 20</w:t>
      </w:r>
      <w:r w:rsidR="00CB3E18">
        <w:rPr>
          <w:rFonts w:eastAsia="Times New Roman"/>
        </w:rPr>
        <w:t>20</w:t>
      </w:r>
      <w:r w:rsidRPr="00EE438E">
        <w:rPr>
          <w:rFonts w:eastAsia="Times New Roman"/>
        </w:rPr>
        <w:t xml:space="preserve">, </w:t>
      </w:r>
      <w:r w:rsidRPr="00EE438E">
        <w:rPr>
          <w:rFonts w:eastAsia="Times New Roman"/>
        </w:rPr>
        <w:tab/>
      </w:r>
      <w:r w:rsidR="00CB3E18">
        <w:rPr>
          <w:rFonts w:eastAsia="Times New Roman"/>
        </w:rPr>
        <w:t>Athens</w:t>
      </w:r>
      <w:r w:rsidRPr="00EE438E">
        <w:rPr>
          <w:rFonts w:eastAsia="Times New Roman"/>
        </w:rPr>
        <w:t xml:space="preserve">, </w:t>
      </w:r>
      <w:r w:rsidR="00CB3E18">
        <w:rPr>
          <w:rFonts w:eastAsia="Times New Roman"/>
        </w:rPr>
        <w:t>Greece</w:t>
      </w:r>
      <w:r w:rsidRPr="00EE438E">
        <w:rPr>
          <w:rFonts w:eastAsia="Times New Roman"/>
        </w:rPr>
        <w:t>.</w:t>
      </w:r>
    </w:p>
    <w:p w14:paraId="6540072F" w14:textId="77777777" w:rsidR="00EE438E" w:rsidRDefault="00EE438E" w:rsidP="00CB3E18">
      <w:pPr>
        <w:spacing w:after="0"/>
        <w:rPr>
          <w:lang w:eastAsia="zh-CN"/>
        </w:rPr>
      </w:pPr>
      <w:r w:rsidRPr="00EE438E">
        <w:rPr>
          <w:rFonts w:eastAsia="Times New Roman"/>
        </w:rPr>
        <w:t>TSG-RAN WG1 Meeting#</w:t>
      </w:r>
      <w:r w:rsidR="00CB3E18">
        <w:rPr>
          <w:rFonts w:eastAsia="Times New Roman"/>
        </w:rPr>
        <w:t>100bis</w:t>
      </w:r>
      <w:r w:rsidRPr="00EE438E">
        <w:rPr>
          <w:rFonts w:eastAsia="Times New Roman"/>
        </w:rPr>
        <w:t>,</w:t>
      </w:r>
      <w:r w:rsidRPr="00EE438E">
        <w:rPr>
          <w:rFonts w:eastAsia="Times New Roman"/>
        </w:rPr>
        <w:tab/>
      </w:r>
      <w:r w:rsidRPr="00EE438E">
        <w:rPr>
          <w:rFonts w:eastAsia="Times New Roman"/>
        </w:rPr>
        <w:tab/>
      </w:r>
      <w:r w:rsidR="00CB3E18">
        <w:rPr>
          <w:rFonts w:eastAsia="Times New Roman"/>
        </w:rPr>
        <w:t>20</w:t>
      </w:r>
      <w:r w:rsidRPr="00EE438E">
        <w:rPr>
          <w:rFonts w:eastAsia="Times New Roman"/>
          <w:vertAlign w:val="superscript"/>
        </w:rPr>
        <w:t>th</w:t>
      </w:r>
      <w:r w:rsidRPr="00EE438E">
        <w:rPr>
          <w:rFonts w:eastAsia="Times New Roman"/>
        </w:rPr>
        <w:t xml:space="preserve"> </w:t>
      </w:r>
      <w:r w:rsidR="00CB3E18" w:rsidRPr="00EE438E">
        <w:rPr>
          <w:rFonts w:eastAsia="Times New Roman"/>
        </w:rPr>
        <w:t>A</w:t>
      </w:r>
      <w:r w:rsidR="00CB3E18">
        <w:rPr>
          <w:rFonts w:eastAsia="Times New Roman"/>
        </w:rPr>
        <w:t>pril</w:t>
      </w:r>
      <w:r w:rsidR="00CB3E18" w:rsidRPr="00EE438E">
        <w:rPr>
          <w:rFonts w:eastAsia="Times New Roman"/>
        </w:rPr>
        <w:t xml:space="preserve"> </w:t>
      </w:r>
      <w:r w:rsidRPr="00EE438E">
        <w:rPr>
          <w:rFonts w:eastAsia="Times New Roman"/>
        </w:rPr>
        <w:t xml:space="preserve">to </w:t>
      </w:r>
      <w:r w:rsidR="00CB3E18">
        <w:rPr>
          <w:rFonts w:eastAsia="Times New Roman"/>
        </w:rPr>
        <w:t>24</w:t>
      </w:r>
      <w:r w:rsidR="00CB3E18" w:rsidRPr="00EE438E">
        <w:rPr>
          <w:rFonts w:eastAsia="Times New Roman"/>
          <w:vertAlign w:val="superscript"/>
        </w:rPr>
        <w:t>th</w:t>
      </w:r>
      <w:r w:rsidR="00CB3E18" w:rsidRPr="00EE438E">
        <w:rPr>
          <w:rFonts w:eastAsia="Times New Roman"/>
        </w:rPr>
        <w:t xml:space="preserve"> A</w:t>
      </w:r>
      <w:r w:rsidR="00CB3E18">
        <w:rPr>
          <w:rFonts w:eastAsia="Times New Roman"/>
        </w:rPr>
        <w:t>pril</w:t>
      </w:r>
      <w:r w:rsidR="00CB3E18" w:rsidRPr="00EE438E">
        <w:rPr>
          <w:rFonts w:eastAsia="Times New Roman"/>
        </w:rPr>
        <w:t xml:space="preserve"> 20</w:t>
      </w:r>
      <w:r w:rsidR="00CB3E18">
        <w:rPr>
          <w:rFonts w:eastAsia="Times New Roman"/>
        </w:rPr>
        <w:t>20</w:t>
      </w:r>
      <w:r w:rsidRPr="00EE438E">
        <w:rPr>
          <w:rFonts w:eastAsia="Times New Roman"/>
        </w:rPr>
        <w:t>,</w:t>
      </w:r>
      <w:r w:rsidRPr="00EE438E">
        <w:rPr>
          <w:rFonts w:eastAsia="Times New Roman"/>
        </w:rPr>
        <w:tab/>
      </w:r>
      <w:r w:rsidRPr="00EE438E">
        <w:rPr>
          <w:rFonts w:eastAsia="Times New Roman"/>
        </w:rPr>
        <w:tab/>
      </w:r>
      <w:r w:rsidRPr="00EE438E">
        <w:rPr>
          <w:rFonts w:eastAsia="Times New Roman"/>
        </w:rPr>
        <w:tab/>
      </w:r>
      <w:r w:rsidR="00CB3E18">
        <w:rPr>
          <w:rFonts w:eastAsia="Times New Roman"/>
        </w:rPr>
        <w:t>Busan</w:t>
      </w:r>
      <w:r w:rsidRPr="00EE438E">
        <w:rPr>
          <w:rFonts w:eastAsia="Times New Roman"/>
        </w:rPr>
        <w:t xml:space="preserve">, </w:t>
      </w:r>
      <w:r w:rsidR="00CB3E18">
        <w:rPr>
          <w:rFonts w:eastAsia="Times New Roman"/>
        </w:rPr>
        <w:t>Korea</w:t>
      </w:r>
      <w:r w:rsidRPr="00EE438E">
        <w:rPr>
          <w:rFonts w:eastAsia="Times New Roman"/>
        </w:rPr>
        <w:t>.</w:t>
      </w:r>
    </w:p>
    <w:bookmarkEnd w:id="3"/>
    <w:p w14:paraId="6460741B" w14:textId="77777777" w:rsidR="003E79D4" w:rsidRDefault="003E79D4" w:rsidP="00A2039F">
      <w:pPr>
        <w:overflowPunct w:val="0"/>
        <w:snapToGrid/>
        <w:spacing w:after="0"/>
        <w:textAlignment w:val="baseline"/>
        <w:rPr>
          <w:lang w:eastAsia="zh-CN"/>
        </w:rPr>
      </w:pPr>
    </w:p>
    <w:sectPr w:rsidR="003E79D4"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76C27" w14:textId="77777777" w:rsidR="00DE27F7" w:rsidRDefault="00DE27F7">
      <w:r>
        <w:separator/>
      </w:r>
    </w:p>
  </w:endnote>
  <w:endnote w:type="continuationSeparator" w:id="0">
    <w:p w14:paraId="50B9392F" w14:textId="77777777" w:rsidR="00DE27F7" w:rsidRDefault="00DE2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E75BBC" w14:textId="77777777" w:rsidR="00DE27F7" w:rsidRDefault="00DE27F7">
      <w:r>
        <w:separator/>
      </w:r>
    </w:p>
  </w:footnote>
  <w:footnote w:type="continuationSeparator" w:id="0">
    <w:p w14:paraId="484A310F" w14:textId="77777777" w:rsidR="00DE27F7" w:rsidRDefault="00DE27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5C976C0"/>
    <w:multiLevelType w:val="hybridMultilevel"/>
    <w:tmpl w:val="A68E028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742584"/>
    <w:multiLevelType w:val="hybridMultilevel"/>
    <w:tmpl w:val="6E74C67C"/>
    <w:lvl w:ilvl="0" w:tplc="2D92B3F6">
      <w:start w:val="13"/>
      <w:numFmt w:val="bullet"/>
      <w:lvlText w:val="-"/>
      <w:lvlJc w:val="left"/>
      <w:pPr>
        <w:ind w:left="780" w:hanging="360"/>
      </w:pPr>
      <w:rPr>
        <w:rFonts w:ascii="Times New Roman" w:eastAsia="Malgun Gothic"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25097918"/>
    <w:multiLevelType w:val="hybridMultilevel"/>
    <w:tmpl w:val="6AA6F3F8"/>
    <w:lvl w:ilvl="0" w:tplc="A51001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A518AE"/>
    <w:multiLevelType w:val="hybridMultilevel"/>
    <w:tmpl w:val="4B50A680"/>
    <w:lvl w:ilvl="0" w:tplc="2104EA4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35"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8"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0"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39B203D"/>
    <w:multiLevelType w:val="hybridMultilevel"/>
    <w:tmpl w:val="67D852AE"/>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8"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33943C8"/>
    <w:multiLevelType w:val="hybridMultilevel"/>
    <w:tmpl w:val="C56A21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5"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3"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23"/>
  </w:num>
  <w:num w:numId="3">
    <w:abstractNumId w:val="1"/>
  </w:num>
  <w:num w:numId="4">
    <w:abstractNumId w:val="33"/>
  </w:num>
  <w:num w:numId="5">
    <w:abstractNumId w:val="58"/>
  </w:num>
  <w:num w:numId="6">
    <w:abstractNumId w:val="62"/>
  </w:num>
  <w:num w:numId="7">
    <w:abstractNumId w:val="53"/>
  </w:num>
  <w:num w:numId="8">
    <w:abstractNumId w:val="34"/>
  </w:num>
  <w:num w:numId="9">
    <w:abstractNumId w:val="64"/>
  </w:num>
  <w:num w:numId="10">
    <w:abstractNumId w:val="19"/>
  </w:num>
  <w:num w:numId="11">
    <w:abstractNumId w:val="46"/>
  </w:num>
  <w:num w:numId="12">
    <w:abstractNumId w:val="24"/>
  </w:num>
  <w:num w:numId="13">
    <w:abstractNumId w:val="26"/>
  </w:num>
  <w:num w:numId="14">
    <w:abstractNumId w:val="41"/>
  </w:num>
  <w:num w:numId="15">
    <w:abstractNumId w:val="11"/>
  </w:num>
  <w:num w:numId="16">
    <w:abstractNumId w:val="25"/>
  </w:num>
  <w:num w:numId="17">
    <w:abstractNumId w:val="4"/>
  </w:num>
  <w:num w:numId="18">
    <w:abstractNumId w:val="57"/>
  </w:num>
  <w:num w:numId="19">
    <w:abstractNumId w:val="61"/>
  </w:num>
  <w:num w:numId="20">
    <w:abstractNumId w:val="17"/>
  </w:num>
  <w:num w:numId="21">
    <w:abstractNumId w:val="12"/>
  </w:num>
  <w:num w:numId="22">
    <w:abstractNumId w:val="31"/>
  </w:num>
  <w:num w:numId="23">
    <w:abstractNumId w:val="39"/>
  </w:num>
  <w:num w:numId="24">
    <w:abstractNumId w:val="60"/>
  </w:num>
  <w:num w:numId="25">
    <w:abstractNumId w:val="20"/>
  </w:num>
  <w:num w:numId="26">
    <w:abstractNumId w:val="2"/>
  </w:num>
  <w:num w:numId="27">
    <w:abstractNumId w:val="30"/>
  </w:num>
  <w:num w:numId="28">
    <w:abstractNumId w:val="13"/>
  </w:num>
  <w:num w:numId="29">
    <w:abstractNumId w:val="63"/>
  </w:num>
  <w:num w:numId="30">
    <w:abstractNumId w:val="56"/>
  </w:num>
  <w:num w:numId="31">
    <w:abstractNumId w:val="59"/>
  </w:num>
  <w:num w:numId="32">
    <w:abstractNumId w:val="52"/>
  </w:num>
  <w:num w:numId="33">
    <w:abstractNumId w:val="29"/>
  </w:num>
  <w:num w:numId="34">
    <w:abstractNumId w:val="3"/>
  </w:num>
  <w:num w:numId="35">
    <w:abstractNumId w:val="22"/>
  </w:num>
  <w:num w:numId="3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6"/>
  </w:num>
  <w:num w:numId="39">
    <w:abstractNumId w:val="44"/>
  </w:num>
  <w:num w:numId="40">
    <w:abstractNumId w:val="21"/>
  </w:num>
  <w:num w:numId="41">
    <w:abstractNumId w:val="27"/>
  </w:num>
  <w:num w:numId="42">
    <w:abstractNumId w:val="9"/>
  </w:num>
  <w:num w:numId="43">
    <w:abstractNumId w:val="28"/>
  </w:num>
  <w:num w:numId="44">
    <w:abstractNumId w:val="18"/>
  </w:num>
  <w:num w:numId="45">
    <w:abstractNumId w:val="5"/>
  </w:num>
  <w:num w:numId="46">
    <w:abstractNumId w:val="14"/>
  </w:num>
  <w:num w:numId="47">
    <w:abstractNumId w:val="51"/>
  </w:num>
  <w:num w:numId="48">
    <w:abstractNumId w:val="35"/>
  </w:num>
  <w:num w:numId="49">
    <w:abstractNumId w:val="45"/>
  </w:num>
  <w:num w:numId="50">
    <w:abstractNumId w:val="32"/>
  </w:num>
  <w:num w:numId="51">
    <w:abstractNumId w:val="40"/>
  </w:num>
  <w:num w:numId="52">
    <w:abstractNumId w:val="8"/>
  </w:num>
  <w:num w:numId="53">
    <w:abstractNumId w:val="15"/>
  </w:num>
  <w:num w:numId="54">
    <w:abstractNumId w:val="31"/>
  </w:num>
  <w:num w:numId="55">
    <w:abstractNumId w:val="37"/>
  </w:num>
  <w:num w:numId="56">
    <w:abstractNumId w:val="50"/>
  </w:num>
  <w:num w:numId="57">
    <w:abstractNumId w:val="36"/>
  </w:num>
  <w:num w:numId="58">
    <w:abstractNumId w:val="49"/>
  </w:num>
  <w:num w:numId="59">
    <w:abstractNumId w:val="47"/>
  </w:num>
  <w:num w:numId="60">
    <w:abstractNumId w:val="55"/>
  </w:num>
  <w:num w:numId="61">
    <w:abstractNumId w:val="43"/>
  </w:num>
  <w:num w:numId="62">
    <w:abstractNumId w:val="38"/>
  </w:num>
  <w:num w:numId="63">
    <w:abstractNumId w:val="42"/>
  </w:num>
  <w:num w:numId="64">
    <w:abstractNumId w:val="54"/>
  </w:num>
  <w:num w:numId="65">
    <w:abstractNumId w:val="7"/>
  </w:num>
  <w:num w:numId="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7">
    <w:abstractNumId w:val="1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57E"/>
    <w:rsid w:val="00042704"/>
    <w:rsid w:val="000428B5"/>
    <w:rsid w:val="000429B9"/>
    <w:rsid w:val="00042A93"/>
    <w:rsid w:val="000434B7"/>
    <w:rsid w:val="0004354F"/>
    <w:rsid w:val="000435E4"/>
    <w:rsid w:val="000437CA"/>
    <w:rsid w:val="00043B6A"/>
    <w:rsid w:val="0004415B"/>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72F1"/>
    <w:rsid w:val="0006743B"/>
    <w:rsid w:val="000674C2"/>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1A1"/>
    <w:rsid w:val="00095630"/>
    <w:rsid w:val="0009597F"/>
    <w:rsid w:val="00095BBE"/>
    <w:rsid w:val="00095C5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8F0"/>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977"/>
    <w:rsid w:val="00147B76"/>
    <w:rsid w:val="001500EE"/>
    <w:rsid w:val="00150F55"/>
    <w:rsid w:val="00151619"/>
    <w:rsid w:val="00151A6E"/>
    <w:rsid w:val="001520C9"/>
    <w:rsid w:val="00152677"/>
    <w:rsid w:val="00152835"/>
    <w:rsid w:val="00152B9B"/>
    <w:rsid w:val="0015341B"/>
    <w:rsid w:val="0015354E"/>
    <w:rsid w:val="00153670"/>
    <w:rsid w:val="001536CD"/>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60E"/>
    <w:rsid w:val="00173CDF"/>
    <w:rsid w:val="001742AC"/>
    <w:rsid w:val="001745EC"/>
    <w:rsid w:val="001747B7"/>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3E25"/>
    <w:rsid w:val="001A40A8"/>
    <w:rsid w:val="001A411D"/>
    <w:rsid w:val="001A4A50"/>
    <w:rsid w:val="001A4D3C"/>
    <w:rsid w:val="001A4D7B"/>
    <w:rsid w:val="001A5450"/>
    <w:rsid w:val="001A582A"/>
    <w:rsid w:val="001A5FBA"/>
    <w:rsid w:val="001A63CB"/>
    <w:rsid w:val="001A673E"/>
    <w:rsid w:val="001A697B"/>
    <w:rsid w:val="001A6B73"/>
    <w:rsid w:val="001A6DDC"/>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479"/>
    <w:rsid w:val="002047DD"/>
    <w:rsid w:val="002049AA"/>
    <w:rsid w:val="00204BAD"/>
    <w:rsid w:val="00204D60"/>
    <w:rsid w:val="00204ED2"/>
    <w:rsid w:val="00205627"/>
    <w:rsid w:val="002056D0"/>
    <w:rsid w:val="00205933"/>
    <w:rsid w:val="002060E0"/>
    <w:rsid w:val="0020648E"/>
    <w:rsid w:val="00206C10"/>
    <w:rsid w:val="0020717C"/>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C10"/>
    <w:rsid w:val="002C4D55"/>
    <w:rsid w:val="002C4E0B"/>
    <w:rsid w:val="002C55D4"/>
    <w:rsid w:val="002C569D"/>
    <w:rsid w:val="002C57B2"/>
    <w:rsid w:val="002C5AFA"/>
    <w:rsid w:val="002C6135"/>
    <w:rsid w:val="002C6CA0"/>
    <w:rsid w:val="002C7173"/>
    <w:rsid w:val="002C71A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13D"/>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0D9"/>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2CE"/>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79D4"/>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99"/>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149"/>
    <w:rsid w:val="00456421"/>
    <w:rsid w:val="00456C63"/>
    <w:rsid w:val="00456DAB"/>
    <w:rsid w:val="00457457"/>
    <w:rsid w:val="00457467"/>
    <w:rsid w:val="0046028A"/>
    <w:rsid w:val="00460A5F"/>
    <w:rsid w:val="00460A97"/>
    <w:rsid w:val="00460B55"/>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4EFC"/>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EF0"/>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660"/>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1C0"/>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4E12"/>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819"/>
    <w:rsid w:val="006D48FC"/>
    <w:rsid w:val="006D4F01"/>
    <w:rsid w:val="006D5716"/>
    <w:rsid w:val="006D60A5"/>
    <w:rsid w:val="006D617C"/>
    <w:rsid w:val="006D61A4"/>
    <w:rsid w:val="006D62BC"/>
    <w:rsid w:val="006D6450"/>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34AA"/>
    <w:rsid w:val="00703524"/>
    <w:rsid w:val="00703A5D"/>
    <w:rsid w:val="00703C9D"/>
    <w:rsid w:val="007042FE"/>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30325"/>
    <w:rsid w:val="007308BD"/>
    <w:rsid w:val="00730F71"/>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3F1"/>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97E32"/>
    <w:rsid w:val="007A001F"/>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615"/>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780"/>
    <w:rsid w:val="0086087C"/>
    <w:rsid w:val="00860D8E"/>
    <w:rsid w:val="0086105D"/>
    <w:rsid w:val="00861951"/>
    <w:rsid w:val="00861EBC"/>
    <w:rsid w:val="0086275E"/>
    <w:rsid w:val="0086321A"/>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7B5"/>
    <w:rsid w:val="008E38AD"/>
    <w:rsid w:val="008E39F2"/>
    <w:rsid w:val="008E3EE7"/>
    <w:rsid w:val="008E3EEC"/>
    <w:rsid w:val="008E48A5"/>
    <w:rsid w:val="008E5B48"/>
    <w:rsid w:val="008E5BF2"/>
    <w:rsid w:val="008E5C81"/>
    <w:rsid w:val="008E70C6"/>
    <w:rsid w:val="008E728A"/>
    <w:rsid w:val="008E7639"/>
    <w:rsid w:val="008E7D87"/>
    <w:rsid w:val="008E7DBC"/>
    <w:rsid w:val="008E7E92"/>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6FB1"/>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891"/>
    <w:rsid w:val="00974FD4"/>
    <w:rsid w:val="00975306"/>
    <w:rsid w:val="00975458"/>
    <w:rsid w:val="00975675"/>
    <w:rsid w:val="00976013"/>
    <w:rsid w:val="009764A2"/>
    <w:rsid w:val="0097654D"/>
    <w:rsid w:val="00976A73"/>
    <w:rsid w:val="00976CBE"/>
    <w:rsid w:val="00977372"/>
    <w:rsid w:val="00977BA7"/>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5D"/>
    <w:rsid w:val="009C0AEA"/>
    <w:rsid w:val="009C1584"/>
    <w:rsid w:val="009C1B14"/>
    <w:rsid w:val="009C1FC7"/>
    <w:rsid w:val="009C2685"/>
    <w:rsid w:val="009C2A5D"/>
    <w:rsid w:val="009C34C0"/>
    <w:rsid w:val="009C373B"/>
    <w:rsid w:val="009C39BC"/>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6119"/>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110"/>
    <w:rsid w:val="00A165BF"/>
    <w:rsid w:val="00A167F2"/>
    <w:rsid w:val="00A1708C"/>
    <w:rsid w:val="00A172E8"/>
    <w:rsid w:val="00A179CB"/>
    <w:rsid w:val="00A179FF"/>
    <w:rsid w:val="00A17F7F"/>
    <w:rsid w:val="00A2013C"/>
    <w:rsid w:val="00A2039F"/>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48F"/>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953"/>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2CE"/>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AEB"/>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164"/>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4361"/>
    <w:rsid w:val="00B844A3"/>
    <w:rsid w:val="00B845E0"/>
    <w:rsid w:val="00B84858"/>
    <w:rsid w:val="00B84BFE"/>
    <w:rsid w:val="00B85078"/>
    <w:rsid w:val="00B853BE"/>
    <w:rsid w:val="00B8596B"/>
    <w:rsid w:val="00B85FD5"/>
    <w:rsid w:val="00B8610A"/>
    <w:rsid w:val="00B8647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B3"/>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D8"/>
    <w:rsid w:val="00CA59DD"/>
    <w:rsid w:val="00CA6490"/>
    <w:rsid w:val="00CA6496"/>
    <w:rsid w:val="00CA677F"/>
    <w:rsid w:val="00CA70F8"/>
    <w:rsid w:val="00CA734F"/>
    <w:rsid w:val="00CA75A3"/>
    <w:rsid w:val="00CB008E"/>
    <w:rsid w:val="00CB01FA"/>
    <w:rsid w:val="00CB0737"/>
    <w:rsid w:val="00CB097A"/>
    <w:rsid w:val="00CB0A49"/>
    <w:rsid w:val="00CB17D0"/>
    <w:rsid w:val="00CB2092"/>
    <w:rsid w:val="00CB24E4"/>
    <w:rsid w:val="00CB26EC"/>
    <w:rsid w:val="00CB2D2A"/>
    <w:rsid w:val="00CB3D7F"/>
    <w:rsid w:val="00CB3E18"/>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1DE"/>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9"/>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B46"/>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7F7"/>
    <w:rsid w:val="00DE2E0C"/>
    <w:rsid w:val="00DE33F4"/>
    <w:rsid w:val="00DE351B"/>
    <w:rsid w:val="00DE3903"/>
    <w:rsid w:val="00DE39CD"/>
    <w:rsid w:val="00DE3E6D"/>
    <w:rsid w:val="00DE4211"/>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3CE"/>
    <w:rsid w:val="00E25EA5"/>
    <w:rsid w:val="00E25F89"/>
    <w:rsid w:val="00E269E2"/>
    <w:rsid w:val="00E26A35"/>
    <w:rsid w:val="00E2705D"/>
    <w:rsid w:val="00E27B83"/>
    <w:rsid w:val="00E27BE1"/>
    <w:rsid w:val="00E27F5C"/>
    <w:rsid w:val="00E30427"/>
    <w:rsid w:val="00E3066E"/>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BC2"/>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E50"/>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6E2C"/>
    <w:rsid w:val="00EC7330"/>
    <w:rsid w:val="00EC73DB"/>
    <w:rsid w:val="00EC7BCF"/>
    <w:rsid w:val="00EC7DB6"/>
    <w:rsid w:val="00ED03A9"/>
    <w:rsid w:val="00ED05ED"/>
    <w:rsid w:val="00ED11E8"/>
    <w:rsid w:val="00ED162F"/>
    <w:rsid w:val="00ED17DE"/>
    <w:rsid w:val="00ED18B2"/>
    <w:rsid w:val="00ED1F8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38E"/>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B4"/>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FC1"/>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D08"/>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13A1F6"/>
  <w15:docId w15:val="{EA02B5EE-FABB-4BAA-A353-BE902C80A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682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qFormat/>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72D9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SimSun"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Normal"/>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Normal"/>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D42319"/>
    <w:rPr>
      <w:sz w:val="22"/>
      <w:szCs w:val="22"/>
      <w:lang w:eastAsia="en-US"/>
    </w:rPr>
  </w:style>
  <w:style w:type="character" w:styleId="Emphasis">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DefaultParagraphFont"/>
    <w:link w:val="B1"/>
    <w:locked/>
    <w:rsid w:val="003F5D81"/>
    <w:rPr>
      <w:rFonts w:ascii="SimSun" w:eastAsiaTheme="minorEastAsia" w:hAnsi="SimSun"/>
    </w:rPr>
  </w:style>
  <w:style w:type="paragraph" w:customStyle="1" w:styleId="B1">
    <w:name w:val="B1"/>
    <w:basedOn w:val="Normal"/>
    <w:link w:val="B1Zchn"/>
    <w:rsid w:val="003F5D81"/>
    <w:pPr>
      <w:autoSpaceDE/>
      <w:autoSpaceDN/>
      <w:adjustRightInd/>
      <w:snapToGrid/>
      <w:spacing w:after="180"/>
      <w:ind w:left="568" w:hanging="284"/>
      <w:jc w:val="left"/>
    </w:pPr>
    <w:rPr>
      <w:rFonts w:ascii="SimSun" w:eastAsiaTheme="minorEastAsia" w:hAnsi="SimSun"/>
      <w:sz w:val="20"/>
      <w:szCs w:val="20"/>
      <w:lang w:eastAsia="zh-CN"/>
    </w:rPr>
  </w:style>
  <w:style w:type="character" w:customStyle="1" w:styleId="PLChar">
    <w:name w:val="PL Char"/>
    <w:basedOn w:val="DefaultParagraphFont"/>
    <w:link w:val="PL"/>
    <w:locked/>
    <w:rsid w:val="003F5D81"/>
    <w:rPr>
      <w:rFonts w:ascii="Courier New" w:hAnsi="Courier New" w:cs="Courier New"/>
      <w:shd w:val="clear" w:color="auto" w:fill="E6E6E6"/>
    </w:rPr>
  </w:style>
  <w:style w:type="paragraph" w:customStyle="1" w:styleId="PL">
    <w:name w:val="PL"/>
    <w:basedOn w:val="Normal"/>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6F5B29-A8BB-4679-9B64-32315FD40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543</Words>
  <Characters>3097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a00407944</dc:creator>
  <cp:lastModifiedBy>Hua Xu (A)</cp:lastModifiedBy>
  <cp:revision>3</cp:revision>
  <cp:lastPrinted>2017-09-30T04:18:00Z</cp:lastPrinted>
  <dcterms:created xsi:type="dcterms:W3CDTF">2019-11-08T14:59:00Z</dcterms:created>
  <dcterms:modified xsi:type="dcterms:W3CDTF">2019-11-08T15:01:00Z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(3)EJCqjsVOIx0v/uUDRHdOHzrks5zSm3e0M717lSfCOIXvH7Dh625IC1NOX+JgjsMiACWs6CHK
w5KcgLsd6pWMXh/ZFQXo3T/COx11YOJ+KQGcQUysCh3jYRZOaXuGOcCPOy/MEuAiZKIKxnPc
xLFyu4plJDIFjTyTVwpa08D/m1yTh8B1NOXbWmCX0tQJsFVTjLGaeGpvGLOmUkuELJ4qyDYO
+GczxPb3xk+hmHAopb</vt:lpwstr>
  </property>
  <property fmtid="{D5CDD505-2E9C-101B-9397-08002B2CF9AE}" pid="13" name="_2015_ms_pID_725343_00">
    <vt:lpwstr>_2015_ms_pID_725343</vt:lpwstr>
  </property>
  <property fmtid="{D5CDD505-2E9C-101B-9397-08002B2CF9AE}" pid="14" name="_2015_ms_pID_7253431">
    <vt:lpwstr>bJ0qbRYfF+lUY1mnnihPVP5gkTooSpAFzcCH177l/0y9Gol4g8Golm
qXLxUJxi+28AwUN/3/vmR4wjXtS38o7u4UZEnaDp7ZEmaKUPP3PY+drORYsTEEEourABBo6H
y2jBy8WbhAqybBtsLuoZ3ysHioWUn28Rbdwh5t/k8Je4N1tdD0Zhfc3qt3nLXNGEsyK/fu+g
hPbKX8PvtbBl0aPu/Dv36w2eqyZZGiHIxv4E</vt:lpwstr>
  </property>
  <property fmtid="{D5CDD505-2E9C-101B-9397-08002B2CF9AE}" pid="15" name="_2015_ms_pID_7253431_00">
    <vt:lpwstr>_2015_ms_pID_7253431</vt:lpwstr>
  </property>
  <property fmtid="{D5CDD505-2E9C-101B-9397-08002B2CF9AE}" pid="16" name="_2015_ms_pID_7253432">
    <vt:lpwstr>cPNTSZMBKh2MM78bdRfwcbPFoeYAIYJr7kQO
qVw3S+ypHleoBaMj/yjkJsDdwF2cSF+iZlKuDLVoyR8PJuixhxo=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1572899128</vt:lpwstr>
  </property>
</Properties>
</file>