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372D8" w14:textId="31DB7802" w:rsidR="00810D90" w:rsidRPr="0056520D" w:rsidRDefault="00810D90" w:rsidP="00810D90">
      <w:pPr>
        <w:pStyle w:val="Header"/>
        <w:rPr>
          <w:lang w:val="de-DE"/>
        </w:rPr>
      </w:pPr>
      <w:bookmarkStart w:id="0" w:name="_GoBack"/>
      <w:bookmarkEnd w:id="0"/>
      <w:r w:rsidRPr="0056520D">
        <w:rPr>
          <w:lang w:val="de-DE"/>
        </w:rPr>
        <w:t>3GPP TSG-RAN WG1</w:t>
      </w:r>
      <w:r>
        <w:rPr>
          <w:lang w:val="de-DE"/>
        </w:rPr>
        <w:t xml:space="preserve"> #9</w:t>
      </w:r>
      <w:r w:rsidR="005C4A3A">
        <w:rPr>
          <w:lang w:val="de-DE"/>
        </w:rPr>
        <w:t>9</w:t>
      </w:r>
      <w:r w:rsidRPr="0056520D">
        <w:rPr>
          <w:lang w:val="de-DE"/>
        </w:rPr>
        <w:tab/>
      </w:r>
      <w:r>
        <w:rPr>
          <w:lang w:val="de-DE"/>
        </w:rPr>
        <w:tab/>
        <w:t>R1-19</w:t>
      </w:r>
      <w:r w:rsidR="006A49B1">
        <w:rPr>
          <w:lang w:val="de-DE"/>
        </w:rPr>
        <w:t>12785</w:t>
      </w:r>
    </w:p>
    <w:p w14:paraId="67F988FB" w14:textId="50A9B3DC" w:rsidR="00810D90" w:rsidRDefault="005C4A3A" w:rsidP="00810D90">
      <w:pPr>
        <w:tabs>
          <w:tab w:val="center" w:pos="4536"/>
          <w:tab w:val="right" w:pos="8280"/>
          <w:tab w:val="right" w:pos="9639"/>
        </w:tabs>
        <w:ind w:right="2"/>
        <w:rPr>
          <w:rFonts w:ascii="Arial" w:eastAsia="MS Mincho" w:hAnsi="Arial"/>
          <w:b/>
          <w:noProof/>
        </w:rPr>
      </w:pPr>
      <w:r>
        <w:rPr>
          <w:rFonts w:ascii="Arial" w:eastAsia="MS Mincho" w:hAnsi="Arial"/>
          <w:b/>
          <w:lang w:val="de-DE"/>
        </w:rPr>
        <w:t>Reno</w:t>
      </w:r>
      <w:r w:rsidR="00810D90" w:rsidRPr="00366DB2">
        <w:rPr>
          <w:rFonts w:ascii="Arial" w:eastAsia="MS Mincho" w:hAnsi="Arial"/>
          <w:b/>
          <w:lang w:val="de-DE"/>
        </w:rPr>
        <w:t xml:space="preserve">, </w:t>
      </w:r>
      <w:r>
        <w:rPr>
          <w:rFonts w:ascii="Arial" w:eastAsia="MS Mincho" w:hAnsi="Arial"/>
          <w:b/>
          <w:lang w:val="de-DE"/>
        </w:rPr>
        <w:t>USA</w:t>
      </w:r>
      <w:r w:rsidR="00810D90" w:rsidRPr="00366DB2">
        <w:rPr>
          <w:rFonts w:ascii="Arial" w:eastAsia="MS Mincho" w:hAnsi="Arial"/>
          <w:b/>
          <w:lang w:val="de-DE"/>
        </w:rPr>
        <w:t xml:space="preserve">, </w:t>
      </w:r>
      <w:r>
        <w:rPr>
          <w:rFonts w:ascii="Arial" w:eastAsia="MS Mincho" w:hAnsi="Arial"/>
          <w:b/>
          <w:lang w:val="de-DE"/>
        </w:rPr>
        <w:t>Nov</w:t>
      </w:r>
      <w:r w:rsidR="00810D90" w:rsidRPr="00366DB2">
        <w:rPr>
          <w:rFonts w:ascii="Arial" w:eastAsia="MS Mincho" w:hAnsi="Arial"/>
          <w:b/>
          <w:lang w:val="de-DE"/>
        </w:rPr>
        <w:t xml:space="preserve"> 1</w:t>
      </w:r>
      <w:r>
        <w:rPr>
          <w:rFonts w:ascii="Arial" w:eastAsia="MS Mincho" w:hAnsi="Arial"/>
          <w:b/>
          <w:lang w:val="de-DE"/>
        </w:rPr>
        <w:t>8</w:t>
      </w:r>
      <w:r w:rsidR="00810D90" w:rsidRPr="00366DB2">
        <w:rPr>
          <w:rFonts w:ascii="Arial" w:eastAsia="MS Mincho" w:hAnsi="Arial"/>
          <w:b/>
          <w:lang w:val="de-DE"/>
        </w:rPr>
        <w:t>-2</w:t>
      </w:r>
      <w:r>
        <w:rPr>
          <w:rFonts w:ascii="Arial" w:eastAsia="MS Mincho" w:hAnsi="Arial"/>
          <w:b/>
          <w:lang w:val="de-DE"/>
        </w:rPr>
        <w:t>2</w:t>
      </w:r>
      <w:r w:rsidR="00810D90" w:rsidRPr="00366DB2">
        <w:rPr>
          <w:rFonts w:ascii="Arial" w:eastAsia="MS Mincho" w:hAnsi="Arial"/>
          <w:b/>
          <w:lang w:val="de-DE"/>
        </w:rPr>
        <w:t xml:space="preserve">, 2019 </w:t>
      </w:r>
    </w:p>
    <w:p w14:paraId="6B08EE15" w14:textId="77777777" w:rsidR="00B6502F" w:rsidRPr="000833FA" w:rsidRDefault="00B6502F" w:rsidP="00B6502F">
      <w:pPr>
        <w:pStyle w:val="Header"/>
      </w:pPr>
    </w:p>
    <w:p w14:paraId="50A280DB" w14:textId="77777777" w:rsidR="00B6502F" w:rsidRPr="0003368D" w:rsidRDefault="00B6502F" w:rsidP="00B6502F">
      <w:pPr>
        <w:pStyle w:val="Header"/>
        <w:tabs>
          <w:tab w:val="clear" w:pos="4536"/>
          <w:tab w:val="left" w:pos="1800"/>
        </w:tabs>
        <w:ind w:left="1800" w:hanging="1800"/>
      </w:pPr>
      <w:r w:rsidRPr="0003368D">
        <w:t>Source:</w:t>
      </w:r>
      <w:r w:rsidRPr="0003368D">
        <w:tab/>
        <w:t>Ericsson</w:t>
      </w:r>
    </w:p>
    <w:p w14:paraId="05363AB0" w14:textId="77777777" w:rsidR="00B6502F" w:rsidRPr="00E220C0" w:rsidRDefault="00B6502F" w:rsidP="00B6502F">
      <w:pPr>
        <w:pStyle w:val="Header"/>
        <w:tabs>
          <w:tab w:val="clear" w:pos="4536"/>
          <w:tab w:val="left" w:pos="1800"/>
        </w:tabs>
      </w:pPr>
      <w:r w:rsidRPr="0003368D">
        <w:t>Title:</w:t>
      </w:r>
      <w:bookmarkStart w:id="1" w:name="Title"/>
      <w:bookmarkEnd w:id="1"/>
      <w:r w:rsidRPr="0003368D">
        <w:tab/>
      </w:r>
      <w:r>
        <w:t>Enhancements to single-tx operation for EN-DC</w:t>
      </w:r>
    </w:p>
    <w:p w14:paraId="0C761F59" w14:textId="77777777" w:rsidR="00B6502F" w:rsidRPr="00E220C0" w:rsidRDefault="00B6502F" w:rsidP="00B6502F">
      <w:pPr>
        <w:pStyle w:val="Header"/>
        <w:tabs>
          <w:tab w:val="left" w:pos="1800"/>
        </w:tabs>
      </w:pPr>
      <w:r w:rsidRPr="00E220C0">
        <w:t>Agenda Item:</w:t>
      </w:r>
      <w:bookmarkStart w:id="2" w:name="Source"/>
      <w:bookmarkEnd w:id="2"/>
      <w:r w:rsidRPr="00E220C0">
        <w:tab/>
      </w:r>
      <w:r>
        <w:t>7.2.13.2</w:t>
      </w:r>
    </w:p>
    <w:p w14:paraId="2A9D4FA8" w14:textId="77777777" w:rsidR="00B6502F" w:rsidRPr="0003368D" w:rsidRDefault="00B6502F" w:rsidP="00B6502F">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005ADF4" w14:textId="77777777" w:rsidR="00B6502F" w:rsidRPr="002100D2" w:rsidRDefault="00B6502F" w:rsidP="00B6502F">
      <w:pPr>
        <w:pBdr>
          <w:bottom w:val="single" w:sz="4" w:space="1" w:color="auto"/>
        </w:pBdr>
        <w:tabs>
          <w:tab w:val="left" w:pos="2552"/>
        </w:tabs>
      </w:pPr>
    </w:p>
    <w:p w14:paraId="24EF6640" w14:textId="77777777" w:rsidR="00B6502F" w:rsidRDefault="00B6502F" w:rsidP="00B6502F">
      <w:pPr>
        <w:pStyle w:val="Heading1"/>
        <w:spacing w:before="180"/>
        <w:ind w:left="562" w:hanging="562"/>
      </w:pPr>
      <w:r>
        <w:t>Introduction</w:t>
      </w:r>
    </w:p>
    <w:p w14:paraId="7E2346EA" w14:textId="4F284EC9" w:rsidR="00677AD4" w:rsidRDefault="005C4A3A" w:rsidP="00B6502F">
      <w:pPr>
        <w:pStyle w:val="BodyText"/>
        <w:rPr>
          <w:lang w:val="en-AU"/>
        </w:rPr>
      </w:pPr>
      <w:bookmarkStart w:id="4" w:name="_Ref178064866"/>
      <w:r>
        <w:rPr>
          <w:lang w:val="en-AU"/>
        </w:rPr>
        <w:t>In this document we discuss remaining details for enhancements to single-tx operation for EN-DC</w:t>
      </w:r>
    </w:p>
    <w:bookmarkEnd w:id="4"/>
    <w:p w14:paraId="57A72BE5" w14:textId="77777777" w:rsidR="00B6502F" w:rsidRDefault="00B6502F" w:rsidP="00B6502F">
      <w:pPr>
        <w:pStyle w:val="Heading1"/>
      </w:pPr>
      <w:r>
        <w:t>Discussion</w:t>
      </w:r>
    </w:p>
    <w:p w14:paraId="4EC8D89C" w14:textId="1D9BC68F" w:rsidR="00B6502F" w:rsidRDefault="00B6502F" w:rsidP="00B6502F"/>
    <w:p w14:paraId="7C1D1FC2" w14:textId="25C2CDDE" w:rsidR="00E12A82" w:rsidRDefault="00E12A82" w:rsidP="00B6502F">
      <w:r>
        <w:t>In RAN1#98bis the following was agreed</w:t>
      </w:r>
      <w:r w:rsidR="00432BC1">
        <w:t xml:space="preserve"> regarding PRACH transmission handling</w:t>
      </w:r>
    </w:p>
    <w:p w14:paraId="267D0C92" w14:textId="26581036" w:rsidR="00E12A82" w:rsidRDefault="00E12A82" w:rsidP="00B6502F"/>
    <w:p w14:paraId="1A46D045" w14:textId="77777777" w:rsidR="00E12A82" w:rsidRPr="00E12A82" w:rsidRDefault="00E12A82" w:rsidP="00E12A82">
      <w:pPr>
        <w:ind w:left="720"/>
        <w:rPr>
          <w:i/>
          <w:szCs w:val="20"/>
          <w:lang w:eastAsia="x-none"/>
        </w:rPr>
      </w:pPr>
      <w:r w:rsidRPr="00E12A82">
        <w:rPr>
          <w:i/>
          <w:szCs w:val="20"/>
          <w:highlight w:val="green"/>
          <w:lang w:eastAsia="x-none"/>
        </w:rPr>
        <w:t>Agreements</w:t>
      </w:r>
      <w:r w:rsidRPr="00E12A82">
        <w:rPr>
          <w:i/>
          <w:szCs w:val="20"/>
          <w:lang w:eastAsia="x-none"/>
        </w:rPr>
        <w:t>:</w:t>
      </w:r>
    </w:p>
    <w:p w14:paraId="29B093F3" w14:textId="77777777" w:rsidR="00E12A82" w:rsidRPr="00E12A82" w:rsidRDefault="00E12A82" w:rsidP="00E12A82">
      <w:pPr>
        <w:ind w:left="720"/>
        <w:rPr>
          <w:i/>
          <w:iCs/>
          <w:szCs w:val="20"/>
          <w:u w:val="single"/>
        </w:rPr>
      </w:pPr>
      <w:r w:rsidRPr="00E12A82">
        <w:rPr>
          <w:i/>
          <w:iCs/>
          <w:szCs w:val="20"/>
        </w:rPr>
        <w:t xml:space="preserve">If a UE is configured with Case1 HARQ timing in EN-DC, with LTE TDD Pcell and (as a </w:t>
      </w:r>
      <w:r w:rsidRPr="00E12A82">
        <w:rPr>
          <w:i/>
          <w:iCs/>
          <w:szCs w:val="20"/>
          <w:highlight w:val="darkYellow"/>
        </w:rPr>
        <w:t>working assumption</w:t>
      </w:r>
      <w:r w:rsidRPr="00E12A82">
        <w:rPr>
          <w:i/>
          <w:iCs/>
          <w:szCs w:val="20"/>
        </w:rPr>
        <w:t>) with LTE FDD PCell, UE’s PRACH resource configurations are not limited to the UL subframes given by the DL-reference config.</w:t>
      </w:r>
    </w:p>
    <w:p w14:paraId="7628A38C" w14:textId="77777777" w:rsidR="00E12A82" w:rsidRPr="00E12A82" w:rsidRDefault="00E12A82" w:rsidP="00E12A82">
      <w:pPr>
        <w:pStyle w:val="ListParagraph"/>
        <w:numPr>
          <w:ilvl w:val="0"/>
          <w:numId w:val="6"/>
        </w:numPr>
        <w:ind w:left="1440"/>
        <w:contextualSpacing w:val="0"/>
        <w:rPr>
          <w:i/>
          <w:iCs/>
          <w:szCs w:val="20"/>
          <w:u w:val="single"/>
        </w:rPr>
      </w:pPr>
      <w:r w:rsidRPr="00E12A82">
        <w:rPr>
          <w:i/>
          <w:iCs/>
          <w:szCs w:val="20"/>
        </w:rPr>
        <w:t xml:space="preserve">For type 1 UE (i.e. with fast communication between LTE and NR modems): if the UE’s LTE PRACH transmission collides with an NR UL transmission, LTE PRACH transmission is prioritized </w:t>
      </w:r>
    </w:p>
    <w:p w14:paraId="10171CA3" w14:textId="77777777" w:rsidR="00E12A82" w:rsidRPr="00E12A82" w:rsidRDefault="00E12A82" w:rsidP="00E12A82">
      <w:pPr>
        <w:pStyle w:val="ListParagraph"/>
        <w:numPr>
          <w:ilvl w:val="0"/>
          <w:numId w:val="6"/>
        </w:numPr>
        <w:ind w:left="1440"/>
        <w:contextualSpacing w:val="0"/>
        <w:rPr>
          <w:i/>
          <w:iCs/>
          <w:szCs w:val="20"/>
          <w:u w:val="single"/>
        </w:rPr>
      </w:pPr>
      <w:r w:rsidRPr="00E12A82">
        <w:rPr>
          <w:i/>
          <w:iCs/>
          <w:szCs w:val="20"/>
        </w:rPr>
        <w:t>For type 2 UE (i.e. without fast communication between LTE and NR modems): the UE is not required to support transmission of LTE PRACH transmission which does not coincide with the configured HARQ-ACK transmission occasions</w:t>
      </w:r>
    </w:p>
    <w:p w14:paraId="1B72B2EC" w14:textId="77777777" w:rsidR="00E12A82" w:rsidRPr="00E12A82" w:rsidRDefault="00E12A82" w:rsidP="00E12A82">
      <w:pPr>
        <w:ind w:left="720"/>
        <w:rPr>
          <w:i/>
        </w:rPr>
      </w:pPr>
    </w:p>
    <w:p w14:paraId="31DB93B1" w14:textId="34E136ED" w:rsidR="00E12A82" w:rsidRDefault="00E12A82" w:rsidP="00B6502F">
      <w:pPr>
        <w:jc w:val="both"/>
      </w:pPr>
      <w:r>
        <w:t xml:space="preserve">As discussed in our previous contributions (e.g. [1]), it is beneficial from NW perspective to remove the limitation from Rel15 and let the UE transmit PRACH in any UL subframe for FDD case. Therefore, we propose to confirm the working assumption for FDD Pcell case. </w:t>
      </w:r>
    </w:p>
    <w:p w14:paraId="3F04DF3D" w14:textId="38F50964" w:rsidR="00E12A82" w:rsidRDefault="00E12A82" w:rsidP="00B6502F">
      <w:pPr>
        <w:jc w:val="both"/>
      </w:pPr>
    </w:p>
    <w:p w14:paraId="2B762030" w14:textId="6F56E3C9" w:rsidR="00E12A82" w:rsidRDefault="00E12A82" w:rsidP="00B6502F">
      <w:pPr>
        <w:jc w:val="both"/>
        <w:rPr>
          <w:b/>
          <w:u w:val="single"/>
        </w:rPr>
      </w:pPr>
      <w:r w:rsidRPr="00E12A82">
        <w:rPr>
          <w:b/>
          <w:u w:val="single"/>
        </w:rPr>
        <w:t>Proposal</w:t>
      </w:r>
      <w:r>
        <w:rPr>
          <w:b/>
          <w:u w:val="single"/>
        </w:rPr>
        <w:t xml:space="preserve"> 1</w:t>
      </w:r>
    </w:p>
    <w:p w14:paraId="736D7E18" w14:textId="3F896972" w:rsidR="00E12A82" w:rsidRPr="00E12A82" w:rsidRDefault="00E12A82" w:rsidP="00E12A82">
      <w:pPr>
        <w:pStyle w:val="ListParagraph"/>
        <w:numPr>
          <w:ilvl w:val="0"/>
          <w:numId w:val="7"/>
        </w:numPr>
        <w:jc w:val="both"/>
      </w:pPr>
      <w:r w:rsidRPr="00E12A82">
        <w:t>Confi</w:t>
      </w:r>
      <w:r>
        <w:t xml:space="preserve">rm working assumption from RAN1#98bis </w:t>
      </w:r>
      <w:r w:rsidR="00E05B97">
        <w:t xml:space="preserve">that </w:t>
      </w:r>
      <w:r w:rsidR="00E05B97" w:rsidRPr="00E05B97">
        <w:t>UE’s PRACH resource configurations are not limited to the UL subframes given by the DL-reference config</w:t>
      </w:r>
      <w:r w:rsidR="00E05B97">
        <w:t xml:space="preserve"> for FDD Pcell case.</w:t>
      </w:r>
    </w:p>
    <w:p w14:paraId="3F765746" w14:textId="4BE26549" w:rsidR="00E12A82" w:rsidRDefault="00E12A82" w:rsidP="00B6502F">
      <w:pPr>
        <w:jc w:val="both"/>
      </w:pPr>
    </w:p>
    <w:p w14:paraId="47547823" w14:textId="646F6189" w:rsidR="00432BC1" w:rsidRDefault="00432BC1" w:rsidP="00B6502F">
      <w:pPr>
        <w:jc w:val="both"/>
      </w:pPr>
      <w:r>
        <w:t>In RAN1#98bis, the following was agreed regarding Rel16 UE behavior for UEs configured with Case 1 HARQ timing for FDD Pcell</w:t>
      </w:r>
    </w:p>
    <w:p w14:paraId="1FFDBEFB" w14:textId="64946079" w:rsidR="00432BC1" w:rsidRDefault="00432BC1" w:rsidP="00B6502F">
      <w:pPr>
        <w:jc w:val="both"/>
      </w:pPr>
    </w:p>
    <w:p w14:paraId="35668C3E" w14:textId="77777777" w:rsidR="00432BC1" w:rsidRPr="00432BC1" w:rsidRDefault="00432BC1" w:rsidP="00432BC1">
      <w:pPr>
        <w:pStyle w:val="ListParagraph"/>
        <w:ind w:left="360"/>
        <w:jc w:val="both"/>
        <w:rPr>
          <w:rFonts w:eastAsia="MS Mincho"/>
          <w:i/>
          <w:szCs w:val="20"/>
          <w:highlight w:val="green"/>
          <w:lang w:eastAsia="zh-CN"/>
        </w:rPr>
      </w:pPr>
      <w:r w:rsidRPr="00432BC1">
        <w:rPr>
          <w:rFonts w:eastAsia="MS Mincho"/>
          <w:i/>
          <w:szCs w:val="20"/>
          <w:highlight w:val="green"/>
          <w:lang w:eastAsia="zh-CN"/>
        </w:rPr>
        <w:t>Agreements:</w:t>
      </w:r>
    </w:p>
    <w:p w14:paraId="3A1EFF77" w14:textId="77777777" w:rsidR="00432BC1" w:rsidRPr="00432BC1" w:rsidRDefault="00432BC1" w:rsidP="00432BC1">
      <w:pPr>
        <w:pStyle w:val="ListParagraph"/>
        <w:numPr>
          <w:ilvl w:val="0"/>
          <w:numId w:val="8"/>
        </w:numPr>
        <w:ind w:left="1080"/>
        <w:contextualSpacing w:val="0"/>
        <w:jc w:val="both"/>
        <w:rPr>
          <w:rFonts w:eastAsia="MS Mincho"/>
          <w:i/>
          <w:szCs w:val="20"/>
          <w:lang w:eastAsia="zh-CN"/>
        </w:rPr>
      </w:pPr>
      <w:r w:rsidRPr="00432BC1">
        <w:rPr>
          <w:rFonts w:eastAsia="MS Mincho"/>
          <w:i/>
          <w:szCs w:val="20"/>
          <w:lang w:eastAsia="zh-CN"/>
        </w:rPr>
        <w:t>For the single-Tx case, for FDD LTE Pcell,</w:t>
      </w:r>
    </w:p>
    <w:p w14:paraId="523B4302" w14:textId="77777777" w:rsidR="00432BC1" w:rsidRPr="00432BC1" w:rsidRDefault="00432BC1" w:rsidP="00432BC1">
      <w:pPr>
        <w:pStyle w:val="ListParagraph"/>
        <w:numPr>
          <w:ilvl w:val="1"/>
          <w:numId w:val="8"/>
        </w:numPr>
        <w:ind w:left="1800"/>
        <w:contextualSpacing w:val="0"/>
        <w:jc w:val="both"/>
        <w:rPr>
          <w:rFonts w:eastAsia="MS Mincho"/>
          <w:i/>
          <w:szCs w:val="20"/>
          <w:lang w:eastAsia="zh-CN"/>
        </w:rPr>
      </w:pPr>
      <w:r w:rsidRPr="00432BC1">
        <w:rPr>
          <w:rFonts w:eastAsia="MS Mincho"/>
          <w:i/>
          <w:szCs w:val="20"/>
          <w:lang w:eastAsia="zh-CN"/>
        </w:rPr>
        <w:t>All uplink subframes can be scheduled for LTE for type 1 UEs</w:t>
      </w:r>
    </w:p>
    <w:p w14:paraId="46868835" w14:textId="77777777" w:rsidR="00432BC1" w:rsidRPr="00432BC1" w:rsidRDefault="00432BC1" w:rsidP="00432BC1">
      <w:pPr>
        <w:pStyle w:val="ListParagraph"/>
        <w:numPr>
          <w:ilvl w:val="2"/>
          <w:numId w:val="8"/>
        </w:numPr>
        <w:ind w:left="2520"/>
        <w:contextualSpacing w:val="0"/>
        <w:jc w:val="both"/>
        <w:rPr>
          <w:rFonts w:eastAsia="MS Mincho"/>
          <w:i/>
          <w:szCs w:val="20"/>
          <w:lang w:eastAsia="zh-CN"/>
        </w:rPr>
      </w:pPr>
      <w:r w:rsidRPr="00432BC1">
        <w:rPr>
          <w:rFonts w:eastAsia="MS Mincho"/>
          <w:i/>
          <w:szCs w:val="20"/>
          <w:lang w:eastAsia="zh-CN"/>
        </w:rPr>
        <w:t>In which case, NR transmission is dropped for when the LTE and NR transmissions collide</w:t>
      </w:r>
    </w:p>
    <w:p w14:paraId="322422FC" w14:textId="77777777" w:rsidR="00432BC1" w:rsidRPr="00432BC1" w:rsidRDefault="00432BC1" w:rsidP="00432BC1">
      <w:pPr>
        <w:pStyle w:val="ListParagraph"/>
        <w:numPr>
          <w:ilvl w:val="2"/>
          <w:numId w:val="8"/>
        </w:numPr>
        <w:ind w:left="2520"/>
        <w:contextualSpacing w:val="0"/>
        <w:jc w:val="both"/>
        <w:rPr>
          <w:rFonts w:eastAsia="MS Mincho"/>
          <w:i/>
          <w:szCs w:val="20"/>
          <w:lang w:eastAsia="zh-CN"/>
        </w:rPr>
      </w:pPr>
      <w:r w:rsidRPr="00432BC1">
        <w:rPr>
          <w:rFonts w:eastAsia="MS Mincho"/>
          <w:i/>
          <w:szCs w:val="20"/>
          <w:lang w:eastAsia="zh-CN"/>
        </w:rPr>
        <w:t>Note: there is no change of UL scheduling timing for LTE</w:t>
      </w:r>
    </w:p>
    <w:p w14:paraId="2F5EED32" w14:textId="77777777" w:rsidR="00432BC1" w:rsidRPr="00432BC1" w:rsidRDefault="00432BC1" w:rsidP="00432BC1">
      <w:pPr>
        <w:pStyle w:val="ListParagraph"/>
        <w:ind w:left="360"/>
        <w:jc w:val="both"/>
        <w:rPr>
          <w:rFonts w:eastAsia="MS Mincho"/>
          <w:i/>
          <w:szCs w:val="20"/>
          <w:lang w:eastAsia="zh-CN"/>
        </w:rPr>
      </w:pPr>
      <w:r w:rsidRPr="00432BC1">
        <w:rPr>
          <w:rFonts w:eastAsia="MS Mincho"/>
          <w:i/>
          <w:szCs w:val="20"/>
          <w:highlight w:val="green"/>
          <w:lang w:eastAsia="zh-CN"/>
        </w:rPr>
        <w:t>Agreements</w:t>
      </w:r>
      <w:r w:rsidRPr="00432BC1">
        <w:rPr>
          <w:rFonts w:eastAsia="MS Mincho"/>
          <w:i/>
          <w:szCs w:val="20"/>
          <w:lang w:eastAsia="zh-CN"/>
        </w:rPr>
        <w:t>:</w:t>
      </w:r>
    </w:p>
    <w:p w14:paraId="67BE7439" w14:textId="77777777" w:rsidR="00432BC1" w:rsidRPr="00432BC1" w:rsidRDefault="00432BC1" w:rsidP="00432BC1">
      <w:pPr>
        <w:pStyle w:val="ListParagraph"/>
        <w:numPr>
          <w:ilvl w:val="0"/>
          <w:numId w:val="8"/>
        </w:numPr>
        <w:ind w:left="1080"/>
        <w:contextualSpacing w:val="0"/>
        <w:jc w:val="both"/>
        <w:rPr>
          <w:rFonts w:eastAsia="MS Mincho"/>
          <w:i/>
          <w:szCs w:val="20"/>
          <w:lang w:eastAsia="zh-CN"/>
        </w:rPr>
      </w:pPr>
      <w:r w:rsidRPr="00432BC1">
        <w:rPr>
          <w:rFonts w:eastAsia="MS Mincho"/>
          <w:i/>
          <w:szCs w:val="20"/>
          <w:lang w:eastAsia="zh-CN"/>
        </w:rPr>
        <w:t>For the dual-Tx case, for FDD LTE Pcell,</w:t>
      </w:r>
    </w:p>
    <w:p w14:paraId="107D9F7A" w14:textId="77777777" w:rsidR="00432BC1" w:rsidRPr="00432BC1" w:rsidRDefault="00432BC1" w:rsidP="00432BC1">
      <w:pPr>
        <w:pStyle w:val="ListParagraph"/>
        <w:numPr>
          <w:ilvl w:val="1"/>
          <w:numId w:val="8"/>
        </w:numPr>
        <w:ind w:left="1800"/>
        <w:contextualSpacing w:val="0"/>
        <w:jc w:val="both"/>
        <w:rPr>
          <w:rFonts w:eastAsia="MS Mincho"/>
          <w:i/>
          <w:szCs w:val="20"/>
          <w:lang w:eastAsia="zh-CN"/>
        </w:rPr>
      </w:pPr>
      <w:r w:rsidRPr="00432BC1">
        <w:rPr>
          <w:rFonts w:eastAsia="MS Mincho"/>
          <w:i/>
          <w:szCs w:val="20"/>
          <w:lang w:eastAsia="zh-CN"/>
        </w:rPr>
        <w:t xml:space="preserve">All uplink subframes can be scheduled for LTE at least for type 1 UEs </w:t>
      </w:r>
    </w:p>
    <w:p w14:paraId="3E5BCCF5" w14:textId="77777777" w:rsidR="00432BC1" w:rsidRPr="00432BC1" w:rsidRDefault="00432BC1" w:rsidP="00432BC1">
      <w:pPr>
        <w:pStyle w:val="ListParagraph"/>
        <w:numPr>
          <w:ilvl w:val="2"/>
          <w:numId w:val="8"/>
        </w:numPr>
        <w:ind w:left="2520"/>
        <w:contextualSpacing w:val="0"/>
        <w:jc w:val="both"/>
        <w:rPr>
          <w:rFonts w:eastAsia="MS Mincho"/>
          <w:i/>
          <w:szCs w:val="20"/>
          <w:lang w:eastAsia="zh-CN"/>
        </w:rPr>
      </w:pPr>
      <w:r w:rsidRPr="00432BC1">
        <w:rPr>
          <w:rFonts w:eastAsia="MS Mincho"/>
          <w:i/>
          <w:szCs w:val="20"/>
          <w:lang w:eastAsia="zh-CN"/>
        </w:rPr>
        <w:t>Note: there is no change of UL scheduling timing for LTE</w:t>
      </w:r>
    </w:p>
    <w:p w14:paraId="62D2B156" w14:textId="77777777" w:rsidR="00432BC1" w:rsidRPr="00432BC1" w:rsidRDefault="00432BC1" w:rsidP="00432BC1">
      <w:pPr>
        <w:pStyle w:val="ListParagraph"/>
        <w:ind w:left="360"/>
        <w:jc w:val="both"/>
        <w:rPr>
          <w:rFonts w:eastAsia="MS Mincho"/>
          <w:i/>
          <w:szCs w:val="20"/>
          <w:lang w:eastAsia="zh-CN"/>
        </w:rPr>
      </w:pPr>
      <w:r w:rsidRPr="00432BC1">
        <w:rPr>
          <w:rFonts w:eastAsia="MS Mincho"/>
          <w:i/>
          <w:szCs w:val="20"/>
          <w:highlight w:val="green"/>
          <w:lang w:eastAsia="zh-CN"/>
        </w:rPr>
        <w:t>Agreements</w:t>
      </w:r>
      <w:r w:rsidRPr="00432BC1">
        <w:rPr>
          <w:rFonts w:eastAsia="MS Mincho"/>
          <w:i/>
          <w:szCs w:val="20"/>
          <w:lang w:eastAsia="zh-CN"/>
        </w:rPr>
        <w:t>:</w:t>
      </w:r>
    </w:p>
    <w:p w14:paraId="47EA2462" w14:textId="77777777" w:rsidR="00432BC1" w:rsidRPr="00432BC1" w:rsidRDefault="00432BC1" w:rsidP="00432BC1">
      <w:pPr>
        <w:pStyle w:val="ListParagraph"/>
        <w:numPr>
          <w:ilvl w:val="0"/>
          <w:numId w:val="8"/>
        </w:numPr>
        <w:ind w:left="1080"/>
        <w:contextualSpacing w:val="0"/>
        <w:jc w:val="both"/>
        <w:rPr>
          <w:rFonts w:eastAsia="MS Mincho"/>
          <w:i/>
          <w:szCs w:val="20"/>
          <w:lang w:eastAsia="zh-CN"/>
        </w:rPr>
      </w:pPr>
      <w:r w:rsidRPr="00432BC1">
        <w:rPr>
          <w:rFonts w:eastAsia="MS Mincho"/>
          <w:i/>
          <w:szCs w:val="20"/>
          <w:lang w:eastAsia="zh-CN"/>
        </w:rPr>
        <w:t>Support new RRC signaling “tdm-PatternConfig-r16” to configure a UE with a DL-reference config to the MCG PCell (LTE FDD) according to Rel-16 behavior</w:t>
      </w:r>
    </w:p>
    <w:p w14:paraId="7C828BE7" w14:textId="77777777" w:rsidR="00432BC1" w:rsidRPr="00432BC1" w:rsidRDefault="00432BC1" w:rsidP="00432BC1">
      <w:pPr>
        <w:pStyle w:val="ListParagraph"/>
        <w:numPr>
          <w:ilvl w:val="0"/>
          <w:numId w:val="8"/>
        </w:numPr>
        <w:ind w:left="1080"/>
        <w:contextualSpacing w:val="0"/>
        <w:jc w:val="both"/>
        <w:rPr>
          <w:rFonts w:eastAsia="MS Mincho"/>
          <w:i/>
          <w:szCs w:val="20"/>
          <w:lang w:eastAsia="zh-CN"/>
        </w:rPr>
      </w:pPr>
      <w:r w:rsidRPr="00432BC1">
        <w:rPr>
          <w:rFonts w:eastAsia="MS Mincho"/>
          <w:bCs/>
          <w:i/>
          <w:szCs w:val="20"/>
          <w:lang w:eastAsia="zh-CN"/>
        </w:rPr>
        <w:t>FFS: Introduce a new per-BC capability bit for UE to indicate that DL de-sensing from Harmonic need to be handled by configuring DL-reference config to the LTE PCell and limit LTE UL transmissions to a subset of the subframes</w:t>
      </w:r>
    </w:p>
    <w:p w14:paraId="2B45F220" w14:textId="77777777" w:rsidR="00432BC1" w:rsidRDefault="00432BC1" w:rsidP="00B6502F">
      <w:pPr>
        <w:jc w:val="both"/>
      </w:pPr>
    </w:p>
    <w:p w14:paraId="5928F593" w14:textId="4A6FFDA0" w:rsidR="00B6502F" w:rsidRDefault="00432BC1" w:rsidP="00432BC1">
      <w:pPr>
        <w:jc w:val="both"/>
      </w:pPr>
      <w:r>
        <w:t xml:space="preserve">Support for Rel15 Case 1 HARQ timing related UE behavior is provided by ‘tdm-Pattern’ UE capability indication. Given the agreements related to related updated Rel16 behavior, it is beneficial to define a separate capability to indicate UE support for Rel16 Case 1 HARQ timing behavior with FDD Pcell (i.e., when configured wit the parameter  </w:t>
      </w:r>
      <w:r w:rsidRPr="00432BC1">
        <w:rPr>
          <w:rFonts w:eastAsia="MS Mincho"/>
          <w:i/>
          <w:szCs w:val="20"/>
          <w:lang w:eastAsia="zh-CN"/>
        </w:rPr>
        <w:t>tdm-PatternConfig-r16</w:t>
      </w:r>
      <w:r>
        <w:t xml:space="preserve">). </w:t>
      </w:r>
    </w:p>
    <w:p w14:paraId="1B09502B" w14:textId="43866920" w:rsidR="00432BC1" w:rsidRDefault="00432BC1" w:rsidP="00432BC1">
      <w:pPr>
        <w:jc w:val="both"/>
        <w:rPr>
          <w:b/>
          <w:u w:val="single"/>
        </w:rPr>
      </w:pPr>
      <w:r w:rsidRPr="00E12A82">
        <w:rPr>
          <w:b/>
          <w:u w:val="single"/>
        </w:rPr>
        <w:lastRenderedPageBreak/>
        <w:t>Proposal</w:t>
      </w:r>
      <w:r>
        <w:rPr>
          <w:b/>
          <w:u w:val="single"/>
        </w:rPr>
        <w:t xml:space="preserve"> 2</w:t>
      </w:r>
    </w:p>
    <w:p w14:paraId="4F554A9A" w14:textId="6BDC2E6E" w:rsidR="00432BC1" w:rsidRPr="00E12A82" w:rsidRDefault="00432BC1" w:rsidP="00432BC1">
      <w:pPr>
        <w:pStyle w:val="ListParagraph"/>
        <w:numPr>
          <w:ilvl w:val="0"/>
          <w:numId w:val="7"/>
        </w:numPr>
        <w:jc w:val="both"/>
      </w:pPr>
      <w:r>
        <w:t xml:space="preserve">Introduce new UE capability to indicate UE support for Rel16 UE behavior when </w:t>
      </w:r>
      <w:r w:rsidR="004617AF">
        <w:t xml:space="preserve">a single-tx UE is </w:t>
      </w:r>
      <w:r>
        <w:t xml:space="preserve">configured with </w:t>
      </w:r>
      <w:r w:rsidRPr="00432BC1">
        <w:rPr>
          <w:i/>
        </w:rPr>
        <w:t>tdm-PatternConfig-r16</w:t>
      </w:r>
      <w:r>
        <w:t>.</w:t>
      </w:r>
    </w:p>
    <w:p w14:paraId="4561BB64" w14:textId="77777777" w:rsidR="00432BC1" w:rsidRPr="00432BC1" w:rsidRDefault="00432BC1" w:rsidP="00432BC1">
      <w:pPr>
        <w:jc w:val="both"/>
      </w:pPr>
    </w:p>
    <w:p w14:paraId="1361FAE5" w14:textId="77777777" w:rsidR="00B6502F" w:rsidRDefault="00B6502F" w:rsidP="00B6502F">
      <w:pPr>
        <w:pStyle w:val="Heading1"/>
      </w:pPr>
      <w:r>
        <w:t>Conclusions</w:t>
      </w:r>
    </w:p>
    <w:p w14:paraId="30E2EBA6" w14:textId="65C092D0" w:rsidR="00B6502F" w:rsidRPr="003C7A68" w:rsidRDefault="00B6502F" w:rsidP="00B6502F">
      <w:pPr>
        <w:pStyle w:val="BodyText"/>
        <w:rPr>
          <w:lang w:val="en-AU"/>
        </w:rPr>
      </w:pPr>
      <w:r>
        <w:t xml:space="preserve">In this document, we discuss </w:t>
      </w:r>
      <w:r w:rsidR="00432BC1">
        <w:rPr>
          <w:lang w:val="en-AU"/>
        </w:rPr>
        <w:t>remaining details for single-tx enhancements and propose the following</w:t>
      </w:r>
    </w:p>
    <w:p w14:paraId="3B65903E" w14:textId="77777777" w:rsidR="00432BC1" w:rsidRDefault="00432BC1" w:rsidP="00432BC1">
      <w:pPr>
        <w:jc w:val="both"/>
        <w:rPr>
          <w:b/>
          <w:u w:val="single"/>
        </w:rPr>
      </w:pPr>
      <w:r w:rsidRPr="00E12A82">
        <w:rPr>
          <w:b/>
          <w:u w:val="single"/>
        </w:rPr>
        <w:t>Proposal</w:t>
      </w:r>
      <w:r>
        <w:rPr>
          <w:b/>
          <w:u w:val="single"/>
        </w:rPr>
        <w:t xml:space="preserve"> 1</w:t>
      </w:r>
    </w:p>
    <w:p w14:paraId="425B7629" w14:textId="77777777" w:rsidR="00432BC1" w:rsidRPr="00E12A82" w:rsidRDefault="00432BC1" w:rsidP="00432BC1">
      <w:pPr>
        <w:pStyle w:val="ListParagraph"/>
        <w:numPr>
          <w:ilvl w:val="0"/>
          <w:numId w:val="7"/>
        </w:numPr>
        <w:jc w:val="both"/>
      </w:pPr>
      <w:r w:rsidRPr="00E12A82">
        <w:t>Confi</w:t>
      </w:r>
      <w:r>
        <w:t xml:space="preserve">rm working assumption from RAN1#98bis that </w:t>
      </w:r>
      <w:r w:rsidRPr="00E05B97">
        <w:t>UE’s PRACH resource configurations are not limited to the UL subframes given by the DL-reference config</w:t>
      </w:r>
      <w:r>
        <w:t xml:space="preserve"> for FDD Pcell case.</w:t>
      </w:r>
    </w:p>
    <w:p w14:paraId="2A03EA7B" w14:textId="77777777" w:rsidR="00432BC1" w:rsidRDefault="00432BC1" w:rsidP="00B6502F">
      <w:pPr>
        <w:jc w:val="both"/>
        <w:rPr>
          <w:b/>
          <w:u w:val="single"/>
        </w:rPr>
      </w:pPr>
    </w:p>
    <w:p w14:paraId="31ADF9C0" w14:textId="77777777" w:rsidR="00432BC1" w:rsidRDefault="00432BC1" w:rsidP="00432BC1">
      <w:pPr>
        <w:jc w:val="both"/>
        <w:rPr>
          <w:b/>
          <w:u w:val="single"/>
        </w:rPr>
      </w:pPr>
      <w:r w:rsidRPr="00E12A82">
        <w:rPr>
          <w:b/>
          <w:u w:val="single"/>
        </w:rPr>
        <w:t>Proposal</w:t>
      </w:r>
      <w:r>
        <w:rPr>
          <w:b/>
          <w:u w:val="single"/>
        </w:rPr>
        <w:t xml:space="preserve"> 2</w:t>
      </w:r>
    </w:p>
    <w:p w14:paraId="6C91F0C7" w14:textId="146A87AB" w:rsidR="00B6502F" w:rsidRPr="00432BC1" w:rsidRDefault="00432BC1" w:rsidP="00432BC1">
      <w:pPr>
        <w:pStyle w:val="ListParagraph"/>
        <w:numPr>
          <w:ilvl w:val="0"/>
          <w:numId w:val="7"/>
        </w:numPr>
        <w:jc w:val="both"/>
      </w:pPr>
      <w:r>
        <w:t xml:space="preserve">Introduce new UE capability to indicate UE support for Rel16 UE behavior when </w:t>
      </w:r>
      <w:r w:rsidR="004617AF">
        <w:t xml:space="preserve">a single-tx UE is </w:t>
      </w:r>
      <w:r>
        <w:t xml:space="preserve">configured with </w:t>
      </w:r>
      <w:r w:rsidRPr="00432BC1">
        <w:rPr>
          <w:i/>
        </w:rPr>
        <w:t>tdm-PatternConfig-r16</w:t>
      </w:r>
      <w:r>
        <w:t>.</w:t>
      </w:r>
    </w:p>
    <w:p w14:paraId="35CEFBE7" w14:textId="77777777" w:rsidR="00B6502F" w:rsidRPr="00845331" w:rsidRDefault="00B6502F" w:rsidP="00B6502F">
      <w:pPr>
        <w:pStyle w:val="ListParagraph"/>
        <w:ind w:left="0"/>
      </w:pPr>
    </w:p>
    <w:p w14:paraId="60A29F43" w14:textId="77777777" w:rsidR="00B6502F" w:rsidRDefault="00B6502F" w:rsidP="00B6502F">
      <w:pPr>
        <w:pStyle w:val="Heading1"/>
      </w:pPr>
      <w:r>
        <w:t>References</w:t>
      </w:r>
    </w:p>
    <w:p w14:paraId="1850ABF7" w14:textId="614869E7" w:rsidR="00B6502F" w:rsidRDefault="00B6502F" w:rsidP="00E12A82">
      <w:pPr>
        <w:pStyle w:val="BodyText"/>
      </w:pPr>
      <w:r w:rsidRPr="00DA3D01">
        <w:t>[1] R</w:t>
      </w:r>
      <w:r w:rsidR="00E12A82">
        <w:t>1-1911014</w:t>
      </w:r>
      <w:r w:rsidRPr="00DA3D01">
        <w:t xml:space="preserve"> – “</w:t>
      </w:r>
      <w:r w:rsidR="00E12A82" w:rsidRPr="00E12A82">
        <w:t>Enhancements to single-tx operation for EN-DC</w:t>
      </w:r>
      <w:r w:rsidR="00E12A82">
        <w:t>”, Ericsson, RAN1#98bis, Chongqing, China, October 2019.</w:t>
      </w:r>
    </w:p>
    <w:p w14:paraId="69E1E1BE" w14:textId="77777777" w:rsidR="00535BE6" w:rsidRDefault="00535BE6"/>
    <w:sectPr w:rsidR="00535BE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18BC" w14:textId="77777777" w:rsidR="00815A4A" w:rsidRDefault="00815A4A">
      <w:r>
        <w:separator/>
      </w:r>
    </w:p>
  </w:endnote>
  <w:endnote w:type="continuationSeparator" w:id="0">
    <w:p w14:paraId="262DFC78" w14:textId="77777777" w:rsidR="00815A4A" w:rsidRDefault="0081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55EF7" w14:textId="77777777" w:rsidR="00815A4A" w:rsidRDefault="00815A4A">
      <w:r>
        <w:separator/>
      </w:r>
    </w:p>
  </w:footnote>
  <w:footnote w:type="continuationSeparator" w:id="0">
    <w:p w14:paraId="02F5F414" w14:textId="77777777" w:rsidR="00815A4A" w:rsidRDefault="0081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1BAD" w14:textId="77777777" w:rsidR="00E832CA" w:rsidRDefault="00815A4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8A5BBF"/>
    <w:multiLevelType w:val="hybridMultilevel"/>
    <w:tmpl w:val="F3E8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0D1EB9"/>
    <w:multiLevelType w:val="hybridMultilevel"/>
    <w:tmpl w:val="70C6C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2"/>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02F"/>
    <w:rsid w:val="00330057"/>
    <w:rsid w:val="00432BC1"/>
    <w:rsid w:val="004617AF"/>
    <w:rsid w:val="00535BE6"/>
    <w:rsid w:val="005C4A3A"/>
    <w:rsid w:val="0061739E"/>
    <w:rsid w:val="00677879"/>
    <w:rsid w:val="00677AD4"/>
    <w:rsid w:val="006A49B1"/>
    <w:rsid w:val="007A73E4"/>
    <w:rsid w:val="00810D90"/>
    <w:rsid w:val="00815A4A"/>
    <w:rsid w:val="00972582"/>
    <w:rsid w:val="00977FEB"/>
    <w:rsid w:val="00B6502F"/>
    <w:rsid w:val="00BC7D63"/>
    <w:rsid w:val="00C42531"/>
    <w:rsid w:val="00DB60D7"/>
    <w:rsid w:val="00E05B97"/>
    <w:rsid w:val="00E12A82"/>
    <w:rsid w:val="00E8369E"/>
    <w:rsid w:val="00E86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B32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502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6502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6502F"/>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6502F"/>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6502F"/>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6502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6502F"/>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6502F"/>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502F"/>
    <w:rPr>
      <w:rFonts w:ascii="Times New Roman" w:eastAsia="MS Mincho" w:hAnsi="Times New Roman" w:cs="Times New Roman"/>
      <w:b/>
      <w:bCs/>
      <w:sz w:val="28"/>
      <w:szCs w:val="28"/>
    </w:rPr>
  </w:style>
  <w:style w:type="paragraph" w:styleId="BodyText">
    <w:name w:val="Body Text"/>
    <w:aliases w:val="bt"/>
    <w:basedOn w:val="Normal"/>
    <w:link w:val="BodyTextChar"/>
    <w:rsid w:val="00B6502F"/>
    <w:pPr>
      <w:spacing w:after="120"/>
      <w:jc w:val="both"/>
    </w:pPr>
    <w:rPr>
      <w:rFonts w:eastAsia="MS Mincho"/>
    </w:rPr>
  </w:style>
  <w:style w:type="character" w:customStyle="1" w:styleId="BodyTextChar">
    <w:name w:val="Body Text Char"/>
    <w:aliases w:val="bt Char"/>
    <w:basedOn w:val="DefaultParagraphFont"/>
    <w:link w:val="BodyText"/>
    <w:rsid w:val="00B6502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6502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6502F"/>
    <w:rPr>
      <w:rFonts w:ascii="Arial" w:eastAsia="MS Mincho" w:hAnsi="Arial" w:cs="Times New Roman"/>
      <w:b/>
      <w:sz w:val="20"/>
      <w:szCs w:val="24"/>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B6502F"/>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6502F"/>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B650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02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617AF"/>
    <w:rPr>
      <w:sz w:val="16"/>
      <w:szCs w:val="16"/>
    </w:rPr>
  </w:style>
  <w:style w:type="paragraph" w:styleId="CommentText">
    <w:name w:val="annotation text"/>
    <w:basedOn w:val="Normal"/>
    <w:link w:val="CommentTextChar"/>
    <w:uiPriority w:val="99"/>
    <w:semiHidden/>
    <w:unhideWhenUsed/>
    <w:rsid w:val="004617AF"/>
    <w:rPr>
      <w:szCs w:val="20"/>
    </w:rPr>
  </w:style>
  <w:style w:type="character" w:customStyle="1" w:styleId="CommentTextChar">
    <w:name w:val="Comment Text Char"/>
    <w:basedOn w:val="DefaultParagraphFont"/>
    <w:link w:val="CommentText"/>
    <w:uiPriority w:val="99"/>
    <w:semiHidden/>
    <w:rsid w:val="004617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17AF"/>
    <w:rPr>
      <w:b/>
      <w:bCs/>
    </w:rPr>
  </w:style>
  <w:style w:type="character" w:customStyle="1" w:styleId="CommentSubjectChar">
    <w:name w:val="Comment Subject Char"/>
    <w:basedOn w:val="CommentTextChar"/>
    <w:link w:val="CommentSubject"/>
    <w:uiPriority w:val="99"/>
    <w:semiHidden/>
    <w:rsid w:val="004617AF"/>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972582"/>
    <w:pPr>
      <w:tabs>
        <w:tab w:val="center" w:pos="4680"/>
        <w:tab w:val="right" w:pos="9360"/>
      </w:tabs>
    </w:pPr>
  </w:style>
  <w:style w:type="character" w:customStyle="1" w:styleId="FooterChar">
    <w:name w:val="Footer Char"/>
    <w:basedOn w:val="DefaultParagraphFont"/>
    <w:link w:val="Footer"/>
    <w:uiPriority w:val="99"/>
    <w:rsid w:val="00972582"/>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7D477071-2885-4010-8E80-43F4E18E8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E23DE-7B29-432F-9591-5EE27A0C040D}">
  <ds:schemaRefs>
    <ds:schemaRef ds:uri="http://schemas.microsoft.com/sharepoint/v3/contenttype/forms"/>
  </ds:schemaRefs>
</ds:datastoreItem>
</file>

<file path=customXml/itemProps3.xml><?xml version="1.0" encoding="utf-8"?>
<ds:datastoreItem xmlns:ds="http://schemas.openxmlformats.org/officeDocument/2006/customXml" ds:itemID="{95008AFE-8984-4CFA-95EF-81962A5E273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2019-11-09T05:04:00Z</dcterms:created>
  <dcterms:modified xsi:type="dcterms:W3CDTF">2019-11-09T05:04:00Z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