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AB6FAF" w14:textId="554D96EA" w:rsidR="0056520D" w:rsidRPr="0056520D" w:rsidRDefault="0056520D" w:rsidP="0056520D">
      <w:pPr>
        <w:pStyle w:val="Header"/>
        <w:rPr>
          <w:lang w:val="de-DE"/>
        </w:rPr>
      </w:pPr>
      <w:r w:rsidRPr="0056520D">
        <w:rPr>
          <w:lang w:val="de-DE"/>
        </w:rPr>
        <w:t>3GPP TSG-RAN WG1</w:t>
      </w:r>
      <w:r w:rsidR="00C34FD5">
        <w:rPr>
          <w:lang w:val="de-DE"/>
        </w:rPr>
        <w:t xml:space="preserve"> #9</w:t>
      </w:r>
      <w:r w:rsidR="00422A1D">
        <w:rPr>
          <w:lang w:val="de-DE"/>
        </w:rPr>
        <w:t>9</w:t>
      </w:r>
      <w:r w:rsidRPr="0056520D">
        <w:rPr>
          <w:lang w:val="de-DE"/>
        </w:rPr>
        <w:tab/>
      </w:r>
      <w:r>
        <w:rPr>
          <w:lang w:val="de-DE"/>
        </w:rPr>
        <w:tab/>
      </w:r>
      <w:r w:rsidR="009702CD">
        <w:rPr>
          <w:lang w:val="de-DE"/>
        </w:rPr>
        <w:t>R1-</w:t>
      </w:r>
      <w:r w:rsidR="00567BDB">
        <w:rPr>
          <w:lang w:val="de-DE"/>
        </w:rPr>
        <w:t>19</w:t>
      </w:r>
      <w:r w:rsidR="006E33C5">
        <w:rPr>
          <w:lang w:val="de-DE"/>
        </w:rPr>
        <w:t>12784</w:t>
      </w:r>
    </w:p>
    <w:p w14:paraId="21A7D379" w14:textId="58089E87" w:rsidR="00C34FD5" w:rsidRDefault="00422A1D" w:rsidP="00366DB2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</w:rPr>
      </w:pPr>
      <w:r>
        <w:rPr>
          <w:rFonts w:ascii="Arial" w:eastAsia="MS Mincho" w:hAnsi="Arial"/>
          <w:b/>
          <w:lang w:val="de-DE"/>
        </w:rPr>
        <w:t>Reno</w:t>
      </w:r>
      <w:r w:rsidR="00366DB2" w:rsidRPr="00366DB2">
        <w:rPr>
          <w:rFonts w:ascii="Arial" w:eastAsia="MS Mincho" w:hAnsi="Arial"/>
          <w:b/>
          <w:lang w:val="de-DE"/>
        </w:rPr>
        <w:t xml:space="preserve">, </w:t>
      </w:r>
      <w:r>
        <w:rPr>
          <w:rFonts w:ascii="Arial" w:eastAsia="MS Mincho" w:hAnsi="Arial"/>
          <w:b/>
          <w:lang w:val="de-DE"/>
        </w:rPr>
        <w:t>USA</w:t>
      </w:r>
      <w:r w:rsidR="00366DB2" w:rsidRPr="00366DB2">
        <w:rPr>
          <w:rFonts w:ascii="Arial" w:eastAsia="MS Mincho" w:hAnsi="Arial"/>
          <w:b/>
          <w:lang w:val="de-DE"/>
        </w:rPr>
        <w:t xml:space="preserve">, </w:t>
      </w:r>
      <w:r>
        <w:rPr>
          <w:rFonts w:ascii="Arial" w:eastAsia="MS Mincho" w:hAnsi="Arial"/>
          <w:b/>
          <w:lang w:val="de-DE"/>
        </w:rPr>
        <w:t>Nov</w:t>
      </w:r>
      <w:r w:rsidR="00366DB2" w:rsidRPr="00366DB2">
        <w:rPr>
          <w:rFonts w:ascii="Arial" w:eastAsia="MS Mincho" w:hAnsi="Arial"/>
          <w:b/>
          <w:lang w:val="de-DE"/>
        </w:rPr>
        <w:t xml:space="preserve"> 1</w:t>
      </w:r>
      <w:r>
        <w:rPr>
          <w:rFonts w:ascii="Arial" w:eastAsia="MS Mincho" w:hAnsi="Arial"/>
          <w:b/>
          <w:lang w:val="de-DE"/>
        </w:rPr>
        <w:t>8</w:t>
      </w:r>
      <w:r w:rsidR="00366DB2" w:rsidRPr="00366DB2">
        <w:rPr>
          <w:rFonts w:ascii="Arial" w:eastAsia="MS Mincho" w:hAnsi="Arial"/>
          <w:b/>
          <w:lang w:val="de-DE"/>
        </w:rPr>
        <w:t>-2</w:t>
      </w:r>
      <w:r>
        <w:rPr>
          <w:rFonts w:ascii="Arial" w:eastAsia="MS Mincho" w:hAnsi="Arial"/>
          <w:b/>
          <w:lang w:val="de-DE"/>
        </w:rPr>
        <w:t>2</w:t>
      </w:r>
      <w:r w:rsidR="00366DB2" w:rsidRPr="00366DB2">
        <w:rPr>
          <w:rFonts w:ascii="Arial" w:eastAsia="MS Mincho" w:hAnsi="Arial"/>
          <w:b/>
          <w:lang w:val="de-DE"/>
        </w:rPr>
        <w:t xml:space="preserve">, 2019 </w:t>
      </w:r>
    </w:p>
    <w:p w14:paraId="69A4BEA5" w14:textId="77777777" w:rsidR="00366DB2" w:rsidRPr="000833FA" w:rsidRDefault="00366DB2" w:rsidP="00366DB2">
      <w:pPr>
        <w:tabs>
          <w:tab w:val="center" w:pos="4536"/>
          <w:tab w:val="right" w:pos="8280"/>
          <w:tab w:val="right" w:pos="9639"/>
        </w:tabs>
        <w:ind w:right="2"/>
      </w:pPr>
    </w:p>
    <w:p w14:paraId="7625F941" w14:textId="77777777"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29D830F2" w14:textId="6C6F26E6" w:rsidR="00FE5799" w:rsidRPr="00E220C0" w:rsidRDefault="00FE5799" w:rsidP="00FE5799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 w:rsidR="007038E6">
        <w:t>Power Control for NR-NR DC</w:t>
      </w:r>
    </w:p>
    <w:p w14:paraId="65DA70FB" w14:textId="7922CFD1" w:rsidR="00FE5799" w:rsidRPr="00E220C0" w:rsidRDefault="00FE5799" w:rsidP="00FE5799">
      <w:pPr>
        <w:pStyle w:val="Header"/>
        <w:tabs>
          <w:tab w:val="left" w:pos="1800"/>
        </w:tabs>
      </w:pPr>
      <w:r w:rsidRPr="00E220C0">
        <w:t>Agenda Item:</w:t>
      </w:r>
      <w:bookmarkStart w:id="1" w:name="Source"/>
      <w:bookmarkEnd w:id="1"/>
      <w:r w:rsidRPr="00E220C0">
        <w:tab/>
      </w:r>
      <w:r w:rsidR="00927B9D">
        <w:t>7</w:t>
      </w:r>
      <w:r w:rsidR="00113113">
        <w:t>.</w:t>
      </w:r>
      <w:r w:rsidR="00E832CA">
        <w:t>2</w:t>
      </w:r>
      <w:r w:rsidR="00E329D8">
        <w:t>.</w:t>
      </w:r>
      <w:r w:rsidR="00E832CA">
        <w:t>13.</w:t>
      </w:r>
      <w:r w:rsidR="007038E6">
        <w:t>1</w:t>
      </w:r>
    </w:p>
    <w:p w14:paraId="082D2873" w14:textId="77777777" w:rsidR="00FE5799" w:rsidRPr="0003368D" w:rsidRDefault="00FE5799" w:rsidP="00FE5799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2" w:name="DocumentFor"/>
      <w:bookmarkEnd w:id="2"/>
      <w:r w:rsidRPr="0003368D">
        <w:t xml:space="preserve">Discussion </w:t>
      </w:r>
      <w:r>
        <w:t>and Decision</w:t>
      </w:r>
    </w:p>
    <w:p w14:paraId="47758065" w14:textId="77777777"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14:paraId="01CB7A83" w14:textId="77777777" w:rsidR="0056282E" w:rsidRDefault="0056282E" w:rsidP="00FE5799">
      <w:pPr>
        <w:pStyle w:val="Heading1"/>
        <w:spacing w:before="180"/>
        <w:ind w:left="562" w:hanging="562"/>
      </w:pPr>
      <w:r>
        <w:t>Introduction</w:t>
      </w:r>
    </w:p>
    <w:p w14:paraId="251F8BB2" w14:textId="1A64CDF6" w:rsidR="001C691A" w:rsidRDefault="007038E6" w:rsidP="007038E6">
      <w:pPr>
        <w:pStyle w:val="BodyText"/>
        <w:rPr>
          <w:lang w:val="en-AU"/>
        </w:rPr>
      </w:pPr>
      <w:bookmarkStart w:id="3" w:name="_Ref178064866"/>
      <w:r>
        <w:rPr>
          <w:lang w:val="en-AU"/>
        </w:rPr>
        <w:t xml:space="preserve">In this document we discuss </w:t>
      </w:r>
      <w:r w:rsidR="00422A1D">
        <w:rPr>
          <w:lang w:val="en-AU"/>
        </w:rPr>
        <w:t>remaining details of</w:t>
      </w:r>
      <w:r w:rsidR="00C6265F">
        <w:rPr>
          <w:lang w:val="en-AU"/>
        </w:rPr>
        <w:t xml:space="preserve"> </w:t>
      </w:r>
      <w:r w:rsidR="00422A1D">
        <w:rPr>
          <w:lang w:val="en-AU"/>
        </w:rPr>
        <w:t xml:space="preserve">NR-DC power control </w:t>
      </w:r>
      <w:r>
        <w:rPr>
          <w:lang w:val="en-AU"/>
        </w:rPr>
        <w:t>framework.</w:t>
      </w:r>
      <w:r w:rsidR="001C691A">
        <w:rPr>
          <w:lang w:val="en-AU"/>
        </w:rPr>
        <w:t xml:space="preserve"> </w:t>
      </w:r>
    </w:p>
    <w:bookmarkEnd w:id="3"/>
    <w:p w14:paraId="037C8BDD" w14:textId="77777777" w:rsidR="000A74B8" w:rsidRDefault="00113113" w:rsidP="000A74B8">
      <w:pPr>
        <w:pStyle w:val="Heading1"/>
      </w:pPr>
      <w:r>
        <w:t>Discussion</w:t>
      </w:r>
    </w:p>
    <w:p w14:paraId="7B1A845C" w14:textId="5F07733E" w:rsidR="000B6507" w:rsidRDefault="00422A1D" w:rsidP="001270EA">
      <w:r>
        <w:t>In RAN1#98bis, the following was agreed</w:t>
      </w:r>
      <w:r w:rsidR="003F45E1">
        <w:t xml:space="preserve"> for semi-static power sharing</w:t>
      </w:r>
    </w:p>
    <w:p w14:paraId="435F1B23" w14:textId="32A0EFDF" w:rsidR="00422A1D" w:rsidRDefault="00422A1D" w:rsidP="001270EA"/>
    <w:p w14:paraId="73043F04" w14:textId="77777777" w:rsidR="00422A1D" w:rsidRPr="00422A1D" w:rsidRDefault="00422A1D" w:rsidP="00422A1D">
      <w:pPr>
        <w:ind w:left="360"/>
        <w:rPr>
          <w:b/>
          <w:bCs/>
          <w:i/>
          <w:szCs w:val="20"/>
          <w:lang w:eastAsia="x-none"/>
        </w:rPr>
      </w:pPr>
      <w:r w:rsidRPr="00422A1D">
        <w:rPr>
          <w:i/>
          <w:szCs w:val="20"/>
          <w:highlight w:val="green"/>
          <w:lang w:eastAsia="x-none"/>
        </w:rPr>
        <w:t>Agreements</w:t>
      </w:r>
      <w:r w:rsidRPr="00422A1D">
        <w:rPr>
          <w:b/>
          <w:bCs/>
          <w:i/>
          <w:szCs w:val="20"/>
          <w:lang w:eastAsia="x-none"/>
        </w:rPr>
        <w:t>:</w:t>
      </w:r>
    </w:p>
    <w:p w14:paraId="04F26069" w14:textId="77777777" w:rsidR="00422A1D" w:rsidRPr="00422A1D" w:rsidRDefault="00422A1D" w:rsidP="00422A1D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spacing w:after="180"/>
        <w:ind w:left="720"/>
        <w:rPr>
          <w:rFonts w:ascii="Arial" w:hAnsi="Arial" w:cs="Arial"/>
          <w:i/>
          <w:szCs w:val="20"/>
          <w:lang w:eastAsia="zh-CN"/>
        </w:rPr>
      </w:pPr>
      <w:r w:rsidRPr="00422A1D">
        <w:rPr>
          <w:rFonts w:ascii="Arial" w:hAnsi="Arial" w:cs="Arial"/>
          <w:i/>
          <w:szCs w:val="20"/>
        </w:rPr>
        <w:t>Adopt Alt.1-2 and Alt.2 for semi-static power sharing for NR-NR DC.</w:t>
      </w:r>
    </w:p>
    <w:p w14:paraId="61695B9B" w14:textId="77777777" w:rsidR="00422A1D" w:rsidRPr="00422A1D" w:rsidRDefault="00422A1D" w:rsidP="00422A1D">
      <w:pPr>
        <w:pStyle w:val="ListParagraph"/>
        <w:numPr>
          <w:ilvl w:val="1"/>
          <w:numId w:val="39"/>
        </w:numPr>
        <w:overflowPunct w:val="0"/>
        <w:autoSpaceDE w:val="0"/>
        <w:autoSpaceDN w:val="0"/>
        <w:adjustRightInd w:val="0"/>
        <w:spacing w:after="180"/>
        <w:ind w:left="1440"/>
        <w:rPr>
          <w:rFonts w:ascii="Arial" w:hAnsi="Arial" w:cs="Arial"/>
          <w:i/>
          <w:szCs w:val="20"/>
          <w:lang w:eastAsia="zh-CN"/>
        </w:rPr>
      </w:pPr>
      <w:r w:rsidRPr="00422A1D">
        <w:rPr>
          <w:rFonts w:ascii="Arial" w:hAnsi="Arial" w:cs="Arial"/>
          <w:i/>
          <w:szCs w:val="20"/>
          <w:lang w:eastAsia="zh-CN"/>
        </w:rPr>
        <w:t xml:space="preserve">Alt.1-2 is only subject to configured maximum transmission power defined by RAN4 </w:t>
      </w:r>
    </w:p>
    <w:p w14:paraId="21EC43BE" w14:textId="77777777" w:rsidR="00422A1D" w:rsidRPr="00422A1D" w:rsidRDefault="00422A1D" w:rsidP="00422A1D">
      <w:pPr>
        <w:pStyle w:val="ListParagraph"/>
        <w:numPr>
          <w:ilvl w:val="1"/>
          <w:numId w:val="39"/>
        </w:numPr>
        <w:overflowPunct w:val="0"/>
        <w:autoSpaceDE w:val="0"/>
        <w:autoSpaceDN w:val="0"/>
        <w:adjustRightInd w:val="0"/>
        <w:spacing w:after="180"/>
        <w:ind w:left="1440"/>
        <w:rPr>
          <w:rFonts w:ascii="Arial" w:hAnsi="Arial" w:cs="Arial"/>
          <w:i/>
          <w:szCs w:val="20"/>
          <w:lang w:eastAsia="zh-CN"/>
        </w:rPr>
      </w:pPr>
      <w:r w:rsidRPr="00422A1D">
        <w:rPr>
          <w:rFonts w:ascii="Arial" w:hAnsi="Arial" w:cs="Arial"/>
          <w:i/>
          <w:szCs w:val="20"/>
        </w:rPr>
        <w:t>Configuration between Alt.1-2 and Alt.2 is supported.</w:t>
      </w:r>
    </w:p>
    <w:p w14:paraId="7FEFA237" w14:textId="77777777" w:rsidR="00422A1D" w:rsidRPr="00422A1D" w:rsidRDefault="00422A1D" w:rsidP="00422A1D">
      <w:pPr>
        <w:pStyle w:val="ListParagraph"/>
        <w:numPr>
          <w:ilvl w:val="1"/>
          <w:numId w:val="39"/>
        </w:numPr>
        <w:overflowPunct w:val="0"/>
        <w:autoSpaceDE w:val="0"/>
        <w:autoSpaceDN w:val="0"/>
        <w:adjustRightInd w:val="0"/>
        <w:spacing w:after="180"/>
        <w:ind w:left="1440"/>
        <w:rPr>
          <w:rFonts w:ascii="Arial" w:hAnsi="Arial" w:cs="Arial"/>
          <w:i/>
          <w:szCs w:val="20"/>
          <w:lang w:eastAsia="zh-CN"/>
        </w:rPr>
      </w:pPr>
      <w:r w:rsidRPr="00422A1D">
        <w:rPr>
          <w:rFonts w:ascii="Arial" w:hAnsi="Arial" w:cs="Arial"/>
          <w:i/>
          <w:szCs w:val="20"/>
        </w:rPr>
        <w:t>FFS: add more clarification</w:t>
      </w:r>
    </w:p>
    <w:p w14:paraId="272F2226" w14:textId="77777777" w:rsidR="00422A1D" w:rsidRPr="00422A1D" w:rsidRDefault="00422A1D" w:rsidP="00422A1D">
      <w:pPr>
        <w:pStyle w:val="ListParagraph"/>
        <w:numPr>
          <w:ilvl w:val="1"/>
          <w:numId w:val="39"/>
        </w:numPr>
        <w:overflowPunct w:val="0"/>
        <w:autoSpaceDE w:val="0"/>
        <w:autoSpaceDN w:val="0"/>
        <w:adjustRightInd w:val="0"/>
        <w:spacing w:after="180"/>
        <w:ind w:left="1440"/>
        <w:rPr>
          <w:rFonts w:ascii="Arial" w:hAnsi="Arial" w:cs="Arial"/>
          <w:i/>
          <w:szCs w:val="20"/>
          <w:lang w:eastAsia="zh-CN"/>
        </w:rPr>
      </w:pPr>
      <w:r w:rsidRPr="00422A1D">
        <w:rPr>
          <w:rFonts w:ascii="Arial" w:hAnsi="Arial" w:cs="Arial"/>
          <w:i/>
          <w:szCs w:val="20"/>
        </w:rPr>
        <w:t xml:space="preserve">FFS: applied for synchronous DC only or applied for both synchronous and asynchronous DC (which may be the same or different for Alt.1-2 and Alt. 2)    </w:t>
      </w:r>
    </w:p>
    <w:p w14:paraId="4735B7EE" w14:textId="20D71172" w:rsidR="00D65792" w:rsidRDefault="003F45E1" w:rsidP="003F45E1">
      <w:pPr>
        <w:pStyle w:val="BodyText"/>
      </w:pPr>
      <w:r>
        <w:t xml:space="preserve">One aspect that needs to be clarified for semi-static power sharing is applicability of the agreed alternatives to sync and async DC scenarios. </w:t>
      </w:r>
      <w:r w:rsidR="00D65792">
        <w:t xml:space="preserve">For Alt 1-2, the UE limits its power on MCG by </w:t>
      </w:r>
      <w:r w:rsidR="00D65792" w:rsidRPr="00D65792">
        <w:t>check</w:t>
      </w:r>
      <w:r w:rsidR="00D65792">
        <w:t>ing</w:t>
      </w:r>
      <w:r w:rsidR="00D65792" w:rsidRPr="00D65792">
        <w:t xml:space="preserve"> the semi-statically configured direction of the overlapping symbols of all serving cells of SCG, and vice versa</w:t>
      </w:r>
      <w:r w:rsidR="00D65792">
        <w:t xml:space="preserve">. Async DC is targeted for </w:t>
      </w:r>
      <w:proofErr w:type="spellStart"/>
      <w:r w:rsidR="00D65792">
        <w:t>non co-located</w:t>
      </w:r>
      <w:proofErr w:type="spellEnd"/>
      <w:r w:rsidR="00D65792">
        <w:t xml:space="preserve"> deployments of MCG and SCG and for this case, the ‘</w:t>
      </w:r>
      <w:r w:rsidR="00D65792" w:rsidRPr="00D65792">
        <w:t>overlapping symbols</w:t>
      </w:r>
      <w:r w:rsidR="00D65792">
        <w:t xml:space="preserve">’ between MCG and SCG cells can change considerably based on TA updates made by the UE. Given this, Alt 1-2 is more suitable for sync DC scenarios than async DC. Alt 2 can be used for both sync and async DC. </w:t>
      </w:r>
    </w:p>
    <w:p w14:paraId="1323BFCB" w14:textId="287B9889" w:rsidR="00D65792" w:rsidRDefault="00D65792" w:rsidP="00D65792">
      <w:pPr>
        <w:jc w:val="both"/>
        <w:rPr>
          <w:b/>
          <w:u w:val="single"/>
        </w:rPr>
      </w:pPr>
      <w:r w:rsidRPr="00D154CE">
        <w:rPr>
          <w:b/>
          <w:u w:val="single"/>
        </w:rPr>
        <w:t>Proposal</w:t>
      </w:r>
      <w:r>
        <w:rPr>
          <w:b/>
          <w:u w:val="single"/>
        </w:rPr>
        <w:t xml:space="preserve"> 1</w:t>
      </w:r>
    </w:p>
    <w:p w14:paraId="5D818DAF" w14:textId="39B9CB22" w:rsidR="00D65792" w:rsidRPr="00D65792" w:rsidRDefault="00894A32" w:rsidP="00D65792">
      <w:pPr>
        <w:pStyle w:val="ListParagraph"/>
        <w:numPr>
          <w:ilvl w:val="0"/>
          <w:numId w:val="28"/>
        </w:numPr>
        <w:jc w:val="both"/>
        <w:rPr>
          <w:b/>
          <w:u w:val="single"/>
        </w:rPr>
      </w:pPr>
      <w:r>
        <w:t xml:space="preserve">Semi-static power sharing </w:t>
      </w:r>
      <w:r w:rsidR="00D65792">
        <w:t>Alt 1-2 is supported for sync DC case.</w:t>
      </w:r>
    </w:p>
    <w:p w14:paraId="4B9F4E03" w14:textId="6E3DC352" w:rsidR="00D65792" w:rsidRPr="000027E1" w:rsidRDefault="00894A32" w:rsidP="00D65792">
      <w:pPr>
        <w:pStyle w:val="ListParagraph"/>
        <w:numPr>
          <w:ilvl w:val="0"/>
          <w:numId w:val="28"/>
        </w:numPr>
        <w:jc w:val="both"/>
        <w:rPr>
          <w:b/>
          <w:u w:val="single"/>
        </w:rPr>
      </w:pPr>
      <w:r>
        <w:t xml:space="preserve">Semi-static power sharing </w:t>
      </w:r>
      <w:r w:rsidR="00D65792">
        <w:t>Alt 2 is supported for both sync and async DC cases</w:t>
      </w:r>
    </w:p>
    <w:p w14:paraId="4BD6E4C7" w14:textId="77777777" w:rsidR="00D65792" w:rsidRDefault="00D65792" w:rsidP="003F45E1">
      <w:pPr>
        <w:pStyle w:val="BodyText"/>
      </w:pPr>
    </w:p>
    <w:p w14:paraId="6404630B" w14:textId="51A27DE3" w:rsidR="003F45E1" w:rsidRPr="00562D00" w:rsidRDefault="00562D00" w:rsidP="00562D00">
      <w:r>
        <w:t>In RAN1#98bis, the following was agreed for dynamic power sharing</w:t>
      </w:r>
    </w:p>
    <w:p w14:paraId="397D2E46" w14:textId="77777777" w:rsidR="003F45E1" w:rsidRDefault="003F45E1" w:rsidP="00422A1D">
      <w:pPr>
        <w:ind w:left="360"/>
        <w:rPr>
          <w:i/>
          <w:szCs w:val="20"/>
          <w:highlight w:val="green"/>
          <w:lang w:eastAsia="x-none"/>
        </w:rPr>
      </w:pPr>
    </w:p>
    <w:p w14:paraId="67E0E38D" w14:textId="175881ED" w:rsidR="00422A1D" w:rsidRPr="00422A1D" w:rsidRDefault="00422A1D" w:rsidP="00422A1D">
      <w:pPr>
        <w:ind w:left="360"/>
        <w:rPr>
          <w:b/>
          <w:bCs/>
          <w:i/>
          <w:szCs w:val="20"/>
          <w:lang w:eastAsia="x-none"/>
        </w:rPr>
      </w:pPr>
      <w:r w:rsidRPr="00422A1D">
        <w:rPr>
          <w:i/>
          <w:szCs w:val="20"/>
          <w:highlight w:val="green"/>
          <w:lang w:eastAsia="x-none"/>
        </w:rPr>
        <w:t>Agreements</w:t>
      </w:r>
      <w:r w:rsidRPr="00422A1D">
        <w:rPr>
          <w:b/>
          <w:bCs/>
          <w:i/>
          <w:szCs w:val="20"/>
          <w:lang w:eastAsia="x-none"/>
        </w:rPr>
        <w:t>:</w:t>
      </w:r>
    </w:p>
    <w:p w14:paraId="39867C8D" w14:textId="655A15C4" w:rsidR="00422A1D" w:rsidRPr="00422A1D" w:rsidRDefault="00422A1D" w:rsidP="00422A1D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spacing w:before="120"/>
        <w:ind w:left="1080"/>
        <w:textAlignment w:val="baseline"/>
        <w:rPr>
          <w:rFonts w:ascii="Arial" w:hAnsi="Arial" w:cs="Arial"/>
          <w:i/>
          <w:szCs w:val="20"/>
        </w:rPr>
      </w:pPr>
      <w:r w:rsidRPr="00422A1D">
        <w:rPr>
          <w:rFonts w:ascii="Arial" w:hAnsi="Arial" w:cs="Arial"/>
          <w:i/>
          <w:szCs w:val="20"/>
        </w:rPr>
        <w:t xml:space="preserve">Support dynamic power sharing </w:t>
      </w:r>
    </w:p>
    <w:p w14:paraId="77650F60" w14:textId="77777777" w:rsidR="00422A1D" w:rsidRPr="00422A1D" w:rsidRDefault="00422A1D" w:rsidP="00422A1D">
      <w:pPr>
        <w:pStyle w:val="ListParagraph"/>
        <w:numPr>
          <w:ilvl w:val="1"/>
          <w:numId w:val="40"/>
        </w:numPr>
        <w:overflowPunct w:val="0"/>
        <w:autoSpaceDE w:val="0"/>
        <w:autoSpaceDN w:val="0"/>
        <w:adjustRightInd w:val="0"/>
        <w:spacing w:after="180"/>
        <w:ind w:left="1800"/>
        <w:textAlignment w:val="baseline"/>
        <w:rPr>
          <w:rFonts w:ascii="Arial" w:hAnsi="Arial" w:cs="Arial"/>
          <w:i/>
          <w:szCs w:val="20"/>
        </w:rPr>
      </w:pPr>
      <w:r w:rsidRPr="00422A1D">
        <w:rPr>
          <w:rFonts w:ascii="Arial" w:hAnsi="Arial" w:cs="Arial"/>
          <w:i/>
          <w:szCs w:val="20"/>
        </w:rPr>
        <w:t xml:space="preserve">If there is no overlapping transmission, maximum power on CG </w:t>
      </w:r>
      <w:proofErr w:type="spellStart"/>
      <w:r w:rsidRPr="00422A1D">
        <w:rPr>
          <w:rFonts w:ascii="Arial" w:hAnsi="Arial" w:cs="Arial"/>
          <w:i/>
          <w:szCs w:val="20"/>
        </w:rPr>
        <w:t>i</w:t>
      </w:r>
      <w:proofErr w:type="spellEnd"/>
      <w:r w:rsidRPr="00422A1D">
        <w:rPr>
          <w:rFonts w:ascii="Arial" w:hAnsi="Arial" w:cs="Arial"/>
          <w:i/>
          <w:szCs w:val="20"/>
        </w:rPr>
        <w:t xml:space="preserve"> is determined by RAN4 spec without considering </w:t>
      </w:r>
      <w:proofErr w:type="spellStart"/>
      <w:r w:rsidRPr="00422A1D">
        <w:rPr>
          <w:rFonts w:ascii="Arial" w:hAnsi="Arial" w:cs="Arial"/>
          <w:i/>
          <w:szCs w:val="20"/>
        </w:rPr>
        <w:t>P_CG_i</w:t>
      </w:r>
      <w:proofErr w:type="spellEnd"/>
      <w:r w:rsidRPr="00422A1D">
        <w:rPr>
          <w:rFonts w:ascii="Arial" w:hAnsi="Arial" w:cs="Arial"/>
          <w:i/>
          <w:szCs w:val="20"/>
        </w:rPr>
        <w:t>.</w:t>
      </w:r>
    </w:p>
    <w:p w14:paraId="7B0BD420" w14:textId="77777777" w:rsidR="00422A1D" w:rsidRPr="00422A1D" w:rsidRDefault="00422A1D" w:rsidP="00422A1D">
      <w:pPr>
        <w:pStyle w:val="ListParagraph"/>
        <w:numPr>
          <w:ilvl w:val="1"/>
          <w:numId w:val="40"/>
        </w:numPr>
        <w:overflowPunct w:val="0"/>
        <w:autoSpaceDE w:val="0"/>
        <w:autoSpaceDN w:val="0"/>
        <w:adjustRightInd w:val="0"/>
        <w:spacing w:after="180"/>
        <w:ind w:left="1800"/>
        <w:textAlignment w:val="baseline"/>
        <w:rPr>
          <w:rFonts w:ascii="Arial" w:hAnsi="Arial" w:cs="Arial"/>
          <w:i/>
          <w:szCs w:val="20"/>
        </w:rPr>
      </w:pPr>
      <w:r w:rsidRPr="00422A1D">
        <w:rPr>
          <w:rFonts w:ascii="Arial" w:hAnsi="Arial" w:cs="Arial"/>
          <w:i/>
          <w:szCs w:val="20"/>
        </w:rPr>
        <w:t xml:space="preserve">If there is overlapping transmission, maximum power on CG </w:t>
      </w:r>
      <w:proofErr w:type="spellStart"/>
      <w:r w:rsidRPr="00422A1D">
        <w:rPr>
          <w:rFonts w:ascii="Arial" w:hAnsi="Arial" w:cs="Arial"/>
          <w:i/>
          <w:szCs w:val="20"/>
        </w:rPr>
        <w:t>i</w:t>
      </w:r>
      <w:proofErr w:type="spellEnd"/>
      <w:r w:rsidRPr="00422A1D">
        <w:rPr>
          <w:rFonts w:ascii="Arial" w:hAnsi="Arial" w:cs="Arial"/>
          <w:i/>
          <w:szCs w:val="20"/>
        </w:rPr>
        <w:t xml:space="preserve"> is limited to </w:t>
      </w:r>
      <w:proofErr w:type="spellStart"/>
      <w:r w:rsidRPr="00422A1D">
        <w:rPr>
          <w:rFonts w:ascii="Arial" w:hAnsi="Arial" w:cs="Arial"/>
          <w:i/>
          <w:szCs w:val="20"/>
        </w:rPr>
        <w:t>P_CG_i</w:t>
      </w:r>
      <w:proofErr w:type="spellEnd"/>
      <w:r w:rsidRPr="00422A1D">
        <w:rPr>
          <w:rFonts w:ascii="Arial" w:hAnsi="Arial" w:cs="Arial"/>
          <w:i/>
          <w:szCs w:val="20"/>
        </w:rPr>
        <w:t>.</w:t>
      </w:r>
    </w:p>
    <w:p w14:paraId="0FD5D261" w14:textId="77777777" w:rsidR="00422A1D" w:rsidRPr="00422A1D" w:rsidRDefault="00422A1D" w:rsidP="00422A1D">
      <w:pPr>
        <w:pStyle w:val="ListParagraph"/>
        <w:numPr>
          <w:ilvl w:val="1"/>
          <w:numId w:val="40"/>
        </w:numPr>
        <w:overflowPunct w:val="0"/>
        <w:autoSpaceDE w:val="0"/>
        <w:autoSpaceDN w:val="0"/>
        <w:adjustRightInd w:val="0"/>
        <w:spacing w:after="180"/>
        <w:ind w:left="1800"/>
        <w:textAlignment w:val="baseline"/>
        <w:rPr>
          <w:rFonts w:ascii="Arial" w:hAnsi="Arial" w:cs="Arial"/>
          <w:i/>
          <w:szCs w:val="20"/>
        </w:rPr>
      </w:pPr>
      <w:r w:rsidRPr="00422A1D">
        <w:rPr>
          <w:rFonts w:ascii="Arial" w:hAnsi="Arial" w:cs="Arial"/>
          <w:i/>
          <w:szCs w:val="20"/>
        </w:rPr>
        <w:t>Note: “look-ahead” operation is included as a UE capability below</w:t>
      </w:r>
    </w:p>
    <w:p w14:paraId="18F4855E" w14:textId="77777777" w:rsidR="00422A1D" w:rsidRPr="00422A1D" w:rsidRDefault="00422A1D" w:rsidP="00422A1D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spacing w:after="180"/>
        <w:ind w:left="1080"/>
        <w:textAlignment w:val="baseline"/>
        <w:rPr>
          <w:rFonts w:ascii="Arial" w:hAnsi="Arial" w:cs="Arial"/>
          <w:i/>
          <w:szCs w:val="20"/>
        </w:rPr>
      </w:pPr>
      <w:r w:rsidRPr="00422A1D">
        <w:rPr>
          <w:rFonts w:ascii="Arial" w:hAnsi="Arial" w:cs="Arial"/>
          <w:bCs/>
          <w:i/>
          <w:szCs w:val="20"/>
        </w:rPr>
        <w:t xml:space="preserve">In case of power limitation, MCG is prioritized over SCG and reuse CA rule within each CG </w:t>
      </w:r>
    </w:p>
    <w:p w14:paraId="77AD2E7A" w14:textId="77777777" w:rsidR="00422A1D" w:rsidRPr="00422A1D" w:rsidRDefault="00422A1D" w:rsidP="00422A1D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spacing w:before="120"/>
        <w:ind w:left="1080"/>
        <w:textAlignment w:val="baseline"/>
        <w:rPr>
          <w:rFonts w:ascii="Arial" w:hAnsi="Arial" w:cs="Arial"/>
          <w:i/>
          <w:szCs w:val="20"/>
        </w:rPr>
      </w:pPr>
      <w:r w:rsidRPr="00422A1D">
        <w:rPr>
          <w:rFonts w:ascii="Arial" w:hAnsi="Arial" w:cs="Arial"/>
          <w:i/>
          <w:szCs w:val="20"/>
        </w:rPr>
        <w:t xml:space="preserve">Optional UE capability to indicate the support of dynamic power sharing operation </w:t>
      </w:r>
    </w:p>
    <w:p w14:paraId="49DCFB86" w14:textId="6922C5FF" w:rsidR="00422A1D" w:rsidRDefault="00422A1D" w:rsidP="00422A1D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spacing w:before="120"/>
        <w:ind w:left="1080"/>
        <w:textAlignment w:val="baseline"/>
        <w:rPr>
          <w:rFonts w:ascii="Arial" w:hAnsi="Arial" w:cs="Arial"/>
          <w:i/>
          <w:szCs w:val="20"/>
        </w:rPr>
      </w:pPr>
      <w:r w:rsidRPr="00422A1D">
        <w:rPr>
          <w:rFonts w:ascii="Arial" w:hAnsi="Arial" w:cs="Arial"/>
          <w:i/>
          <w:szCs w:val="20"/>
        </w:rPr>
        <w:t xml:space="preserve">Separate optional UE capability to indicate the support of ’look-ahead’ operation on condition that UE indicates support of dynamic power sharing operation. </w:t>
      </w:r>
    </w:p>
    <w:p w14:paraId="7612AD89" w14:textId="77777777" w:rsidR="00422A1D" w:rsidRPr="00422A1D" w:rsidRDefault="00422A1D" w:rsidP="00422A1D">
      <w:pPr>
        <w:pStyle w:val="ListParagraph"/>
        <w:overflowPunct w:val="0"/>
        <w:autoSpaceDE w:val="0"/>
        <w:autoSpaceDN w:val="0"/>
        <w:adjustRightInd w:val="0"/>
        <w:spacing w:before="120"/>
        <w:ind w:left="1080"/>
        <w:textAlignment w:val="baseline"/>
        <w:rPr>
          <w:rFonts w:ascii="Arial" w:hAnsi="Arial" w:cs="Arial"/>
          <w:i/>
          <w:szCs w:val="20"/>
        </w:rPr>
      </w:pPr>
    </w:p>
    <w:p w14:paraId="6228B6A0" w14:textId="77777777" w:rsidR="00894A32" w:rsidRDefault="00894A32" w:rsidP="00894A32">
      <w:pPr>
        <w:pStyle w:val="BodyText"/>
      </w:pPr>
      <w:r w:rsidRPr="0057692D">
        <w:rPr>
          <w:noProof/>
        </w:rPr>
        <w:lastRenderedPageBreak/>
        <w:drawing>
          <wp:inline distT="0" distB="0" distL="0" distR="0" wp14:anchorId="5975BFAF" wp14:editId="15479284">
            <wp:extent cx="5745480" cy="364045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5480" cy="3640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2F389" w14:textId="77777777" w:rsidR="00894A32" w:rsidRPr="00893F93" w:rsidRDefault="00894A32" w:rsidP="00894A32">
      <w:pPr>
        <w:pStyle w:val="BodyText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Figure 1 – Power sharing framework for NR-DC</w:t>
      </w:r>
    </w:p>
    <w:p w14:paraId="4197E519" w14:textId="77777777" w:rsidR="00894A32" w:rsidRDefault="00894A32" w:rsidP="001270EA"/>
    <w:p w14:paraId="0771DA26" w14:textId="75CC81AE" w:rsidR="00422A1D" w:rsidRDefault="00894A32" w:rsidP="001270EA">
      <w:r>
        <w:t>F</w:t>
      </w:r>
      <w:r w:rsidR="006D3682">
        <w:t xml:space="preserve">or </w:t>
      </w:r>
      <w:r>
        <w:t>dynamic power sharing, we prefer the framework shown in Figure 1 above and described below (also discussed in [1])</w:t>
      </w:r>
    </w:p>
    <w:p w14:paraId="3B992247" w14:textId="6E790B97" w:rsidR="00893F93" w:rsidRDefault="00893F93" w:rsidP="00893F93">
      <w:pPr>
        <w:pStyle w:val="BodyText"/>
      </w:pPr>
    </w:p>
    <w:p w14:paraId="10A4AA79" w14:textId="77777777" w:rsidR="009424B9" w:rsidRDefault="009424B9" w:rsidP="009424B9">
      <w:pPr>
        <w:pStyle w:val="BodyText"/>
        <w:numPr>
          <w:ilvl w:val="0"/>
          <w:numId w:val="37"/>
        </w:numPr>
        <w:jc w:val="left"/>
      </w:pPr>
      <w:r>
        <w:t>UE is configured with transmit power limits P_limit_CG1 applicable to CG1 and P_limit_CG2 applicable to CG2.</w:t>
      </w:r>
    </w:p>
    <w:p w14:paraId="182CADD7" w14:textId="77777777" w:rsidR="009424B9" w:rsidRDefault="009424B9" w:rsidP="009424B9">
      <w:pPr>
        <w:pStyle w:val="BodyText"/>
        <w:numPr>
          <w:ilvl w:val="0"/>
          <w:numId w:val="37"/>
        </w:numPr>
        <w:jc w:val="left"/>
      </w:pPr>
      <w:r>
        <w:t xml:space="preserve">To compute the transmit power for CG1 UL transmission starting at time T0, </w:t>
      </w:r>
    </w:p>
    <w:p w14:paraId="0515C855" w14:textId="77777777" w:rsidR="009424B9" w:rsidRDefault="009424B9" w:rsidP="009424B9">
      <w:pPr>
        <w:pStyle w:val="BodyText"/>
        <w:numPr>
          <w:ilvl w:val="1"/>
          <w:numId w:val="37"/>
        </w:numPr>
        <w:jc w:val="left"/>
      </w:pPr>
      <w:r>
        <w:t xml:space="preserve">UE checks for PDCCH(s) received before time T0-T_offset that trigger an overlapping CG2 UL transmission, and if such PDCCH(s) are detected, UE limits it’s </w:t>
      </w:r>
      <w:proofErr w:type="gramStart"/>
      <w:r>
        <w:t>transmit</w:t>
      </w:r>
      <w:proofErr w:type="gramEnd"/>
      <w:r>
        <w:t xml:space="preserve"> power in CG1 (pwr_CG1) such that pwr_CG1 &lt;= P_limit_CG1; </w:t>
      </w:r>
    </w:p>
    <w:p w14:paraId="2FB31356" w14:textId="77777777" w:rsidR="009424B9" w:rsidRDefault="009424B9" w:rsidP="009424B9">
      <w:pPr>
        <w:pStyle w:val="BodyText"/>
        <w:numPr>
          <w:ilvl w:val="1"/>
          <w:numId w:val="37"/>
        </w:numPr>
        <w:jc w:val="left"/>
      </w:pPr>
      <w:r>
        <w:t xml:space="preserve">UE also checks (based on RRC parameters) if any </w:t>
      </w:r>
      <w:r w:rsidRPr="00D603AE">
        <w:rPr>
          <w:i/>
        </w:rPr>
        <w:t>possible</w:t>
      </w:r>
      <w:r>
        <w:t xml:space="preserve"> overlapping CG2 UL transmissions can be triggered by PDCCH(s) after T0-T_offset, and if such overlapping CG2 UL transmissions are </w:t>
      </w:r>
      <w:r w:rsidRPr="00A20A2A">
        <w:rPr>
          <w:i/>
        </w:rPr>
        <w:t>possible</w:t>
      </w:r>
      <w:r>
        <w:t xml:space="preserve">, UE limits it’s </w:t>
      </w:r>
      <w:proofErr w:type="gramStart"/>
      <w:r>
        <w:t>transmit</w:t>
      </w:r>
      <w:proofErr w:type="gramEnd"/>
      <w:r>
        <w:t xml:space="preserve"> power in CG1 (pwr_CG1) such that pwr_CG1 &lt;= P_limit_CG1;</w:t>
      </w:r>
    </w:p>
    <w:p w14:paraId="03F99566" w14:textId="77777777" w:rsidR="009424B9" w:rsidRDefault="009424B9" w:rsidP="009424B9">
      <w:pPr>
        <w:pStyle w:val="BodyText"/>
        <w:numPr>
          <w:ilvl w:val="1"/>
          <w:numId w:val="37"/>
        </w:numPr>
        <w:jc w:val="left"/>
      </w:pPr>
      <w:r>
        <w:t>Otherwise, P_limit_CG1 is not applied and UE transmit power for the CG1 UL transmission can be up to ‘full power’ allowed by RAN4 requirements</w:t>
      </w:r>
    </w:p>
    <w:p w14:paraId="251F7045" w14:textId="77777777" w:rsidR="009424B9" w:rsidRDefault="009424B9" w:rsidP="009424B9">
      <w:pPr>
        <w:pStyle w:val="BodyText"/>
        <w:numPr>
          <w:ilvl w:val="0"/>
          <w:numId w:val="37"/>
        </w:numPr>
        <w:jc w:val="left"/>
      </w:pPr>
      <w:r>
        <w:t xml:space="preserve">If NW configures P_limit_CG1 and P_limit_CG2 such that P_limit_CG1+P_limit_CG2 &gt; </w:t>
      </w:r>
      <w:proofErr w:type="spellStart"/>
      <w:r>
        <w:t>P_limit_total</w:t>
      </w:r>
      <w:proofErr w:type="spellEnd"/>
      <w:r>
        <w:t>, and if pwr_CG1+</w:t>
      </w:r>
      <w:r w:rsidRPr="00705164">
        <w:t xml:space="preserve"> </w:t>
      </w:r>
      <w:r>
        <w:t xml:space="preserve">pwr_CG2&gt; </w:t>
      </w:r>
      <w:proofErr w:type="spellStart"/>
      <w:r>
        <w:t>P_limit_total</w:t>
      </w:r>
      <w:proofErr w:type="spellEnd"/>
      <w:r>
        <w:t xml:space="preserve">, UE scales down transmission power of SCG transmission(s) such that UE transmission power across MCG and SCG does not exceed </w:t>
      </w:r>
      <w:proofErr w:type="spellStart"/>
      <w:r>
        <w:t>P_limit_total</w:t>
      </w:r>
      <w:proofErr w:type="spellEnd"/>
      <w:r>
        <w:t>.</w:t>
      </w:r>
    </w:p>
    <w:p w14:paraId="4222D285" w14:textId="77777777" w:rsidR="009424B9" w:rsidRDefault="009424B9" w:rsidP="009424B9">
      <w:pPr>
        <w:pStyle w:val="BodyText"/>
        <w:numPr>
          <w:ilvl w:val="1"/>
          <w:numId w:val="37"/>
        </w:numPr>
        <w:jc w:val="left"/>
      </w:pPr>
      <w:r>
        <w:t xml:space="preserve">Note: if NW configures P_limit_CG1 and P_limit_CG2 such that P_limit_CG1+P_limit_CG2&lt;= </w:t>
      </w:r>
      <w:proofErr w:type="spellStart"/>
      <w:r>
        <w:t>P_limit_total</w:t>
      </w:r>
      <w:proofErr w:type="spellEnd"/>
      <w:r>
        <w:t>, the above SCG scaling behavior is not required.</w:t>
      </w:r>
    </w:p>
    <w:p w14:paraId="4CF30EC8" w14:textId="24919ED9" w:rsidR="009424B9" w:rsidRDefault="009424B9" w:rsidP="009424B9">
      <w:pPr>
        <w:pStyle w:val="BodyText"/>
        <w:numPr>
          <w:ilvl w:val="0"/>
          <w:numId w:val="37"/>
        </w:numPr>
        <w:jc w:val="left"/>
      </w:pPr>
      <w:proofErr w:type="spellStart"/>
      <w:r>
        <w:t>P_limit_total</w:t>
      </w:r>
      <w:proofErr w:type="spellEnd"/>
      <w:r>
        <w:t xml:space="preserve"> is the power limit for all transmissions in both CG1 and CG2 and will be defined in RAN4</w:t>
      </w:r>
    </w:p>
    <w:p w14:paraId="0187B025" w14:textId="77777777" w:rsidR="00894A32" w:rsidRDefault="00894A32" w:rsidP="00894A32">
      <w:pPr>
        <w:pStyle w:val="BodyText"/>
        <w:ind w:left="720"/>
        <w:jc w:val="left"/>
      </w:pPr>
    </w:p>
    <w:p w14:paraId="2FEEE216" w14:textId="0397E0DD" w:rsidR="00E15939" w:rsidRDefault="00E15939" w:rsidP="00E15939">
      <w:pPr>
        <w:pStyle w:val="BodyText"/>
        <w:rPr>
          <w:szCs w:val="20"/>
        </w:rPr>
      </w:pPr>
      <w:r>
        <w:t xml:space="preserve">It should be noted that if Case B above occurs frequently, the UE </w:t>
      </w:r>
      <w:r w:rsidR="00586BD6">
        <w:t>frequently</w:t>
      </w:r>
      <w:r>
        <w:t xml:space="preserve"> </w:t>
      </w:r>
      <w:r w:rsidR="00586BD6">
        <w:t xml:space="preserve">applies a limit on CG1 transmissions even when there is no transmission on CG2. This can be avoided by the </w:t>
      </w:r>
      <w:proofErr w:type="spellStart"/>
      <w:r w:rsidR="00586BD6">
        <w:t>gNB</w:t>
      </w:r>
      <w:proofErr w:type="spellEnd"/>
      <w:r w:rsidR="00586BD6">
        <w:t>(s)</w:t>
      </w:r>
      <w:r>
        <w:t xml:space="preserve"> </w:t>
      </w:r>
      <w:r w:rsidR="00586BD6">
        <w:t xml:space="preserve">by </w:t>
      </w:r>
      <w:r>
        <w:t>configuring their scheduling parameters (</w:t>
      </w:r>
      <w:r w:rsidR="00586BD6">
        <w:t xml:space="preserve">i.e., </w:t>
      </w:r>
      <w:r>
        <w:t xml:space="preserve">k1,k2) </w:t>
      </w:r>
      <w:r w:rsidR="00586BD6">
        <w:t>appropriately</w:t>
      </w:r>
      <w:r>
        <w:t xml:space="preserve">. </w:t>
      </w:r>
      <w:r w:rsidR="00586BD6">
        <w:t>If</w:t>
      </w:r>
      <w:r>
        <w:t xml:space="preserve"> the </w:t>
      </w:r>
      <w:proofErr w:type="spellStart"/>
      <w:r>
        <w:t>gNBs</w:t>
      </w:r>
      <w:proofErr w:type="spellEnd"/>
      <w:r>
        <w:t xml:space="preserve"> configure </w:t>
      </w:r>
      <w:r w:rsidR="00586BD6">
        <w:t xml:space="preserve">minimum k1,k2 </w:t>
      </w:r>
      <w:r>
        <w:t xml:space="preserve"> such that that the delay between a DL grant/assignment(s) and the corresponding UL transmission(s) is </w:t>
      </w:r>
      <w:r w:rsidR="00586BD6">
        <w:t>generally ensured to be</w:t>
      </w:r>
      <w:r>
        <w:t xml:space="preserve"> greater </w:t>
      </w:r>
      <w:proofErr w:type="spellStart"/>
      <w:r>
        <w:t>T_offset</w:t>
      </w:r>
      <w:proofErr w:type="spellEnd"/>
      <w:r>
        <w:t xml:space="preserve"> + maximum possible time difference between CG1 and CG2 (Td)</w:t>
      </w:r>
      <w:r w:rsidR="00586BD6">
        <w:t>, the occurrences of Case B can be reduced.</w:t>
      </w:r>
      <w:r>
        <w:t xml:space="preserve"> </w:t>
      </w:r>
    </w:p>
    <w:p w14:paraId="34BEA3F4" w14:textId="49A47346" w:rsidR="009424B9" w:rsidRDefault="00894A32" w:rsidP="00893F93">
      <w:pPr>
        <w:pStyle w:val="BodyText"/>
      </w:pPr>
      <w:r>
        <w:lastRenderedPageBreak/>
        <w:t xml:space="preserve">Considering the agreements from RAN1#98bis, one issue that needs to be clarified is how the UE determines whether there is </w:t>
      </w:r>
      <w:r w:rsidRPr="00894A32">
        <w:t>overlapping transmission</w:t>
      </w:r>
      <w:r>
        <w:t xml:space="preserve"> or not in other CG for the dynamic power sharing case. As discussed above, we propose the following for determining the overlap</w:t>
      </w:r>
    </w:p>
    <w:p w14:paraId="13DB1FC6" w14:textId="77777777" w:rsidR="00894A32" w:rsidRDefault="00894A32" w:rsidP="00894A32">
      <w:pPr>
        <w:jc w:val="both"/>
        <w:rPr>
          <w:b/>
          <w:u w:val="single"/>
        </w:rPr>
      </w:pPr>
    </w:p>
    <w:p w14:paraId="45449A33" w14:textId="472FE7C4" w:rsidR="00894A32" w:rsidRDefault="00894A32" w:rsidP="00894A32">
      <w:pPr>
        <w:jc w:val="both"/>
        <w:rPr>
          <w:b/>
          <w:u w:val="single"/>
        </w:rPr>
      </w:pPr>
      <w:r w:rsidRPr="00D154CE">
        <w:rPr>
          <w:b/>
          <w:u w:val="single"/>
        </w:rPr>
        <w:t>Proposal</w:t>
      </w:r>
      <w:r>
        <w:rPr>
          <w:b/>
          <w:u w:val="single"/>
        </w:rPr>
        <w:t xml:space="preserve"> 2</w:t>
      </w:r>
    </w:p>
    <w:p w14:paraId="532697C2" w14:textId="25031EFE" w:rsidR="00894A32" w:rsidRDefault="00894A32" w:rsidP="00894A32">
      <w:pPr>
        <w:pStyle w:val="BodyText"/>
        <w:numPr>
          <w:ilvl w:val="0"/>
          <w:numId w:val="37"/>
        </w:numPr>
        <w:jc w:val="left"/>
      </w:pPr>
      <w:r>
        <w:t xml:space="preserve">For NR-DC dynamic power sharing case, to compute the transmit power for CG1 UL transmission starting at time T0, </w:t>
      </w:r>
    </w:p>
    <w:p w14:paraId="4F7CDF0B" w14:textId="77777777" w:rsidR="00894A32" w:rsidRDefault="00894A32" w:rsidP="009178B3">
      <w:pPr>
        <w:pStyle w:val="BodyText"/>
        <w:numPr>
          <w:ilvl w:val="1"/>
          <w:numId w:val="42"/>
        </w:numPr>
        <w:jc w:val="left"/>
      </w:pPr>
      <w:r>
        <w:t xml:space="preserve">UE checks for PDCCH(s) received before time T0-T_offset that trigger an overlapping CG2 UL transmission, and if such PDCCH(s) are detected, UE limits it’s </w:t>
      </w:r>
      <w:proofErr w:type="gramStart"/>
      <w:r>
        <w:t>transmit</w:t>
      </w:r>
      <w:proofErr w:type="gramEnd"/>
      <w:r>
        <w:t xml:space="preserve"> power in CG1 (pwr_CG1) such that pwr_CG1 &lt;= P_limit_CG1; </w:t>
      </w:r>
    </w:p>
    <w:p w14:paraId="048576B3" w14:textId="77777777" w:rsidR="00894A32" w:rsidRDefault="00894A32" w:rsidP="009178B3">
      <w:pPr>
        <w:pStyle w:val="BodyText"/>
        <w:numPr>
          <w:ilvl w:val="1"/>
          <w:numId w:val="42"/>
        </w:numPr>
        <w:jc w:val="left"/>
      </w:pPr>
      <w:r>
        <w:t xml:space="preserve">UE also checks (based on RRC parameters) if any </w:t>
      </w:r>
      <w:r w:rsidRPr="00D603AE">
        <w:rPr>
          <w:i/>
        </w:rPr>
        <w:t>possible</w:t>
      </w:r>
      <w:r>
        <w:t xml:space="preserve"> overlapping CG2 UL transmissions can be triggered by PDCCH(s) after T0-T_offset, and if such overlapping CG2 UL transmissions are </w:t>
      </w:r>
      <w:r w:rsidRPr="00A20A2A">
        <w:rPr>
          <w:i/>
        </w:rPr>
        <w:t>possible</w:t>
      </w:r>
      <w:r>
        <w:t xml:space="preserve">, UE limits it’s </w:t>
      </w:r>
      <w:proofErr w:type="gramStart"/>
      <w:r>
        <w:t>transmit</w:t>
      </w:r>
      <w:proofErr w:type="gramEnd"/>
      <w:r>
        <w:t xml:space="preserve"> power in CG1 (pwr_CG1) such that pwr_CG1 &lt;= P_limit_CG1;</w:t>
      </w:r>
    </w:p>
    <w:p w14:paraId="0F27725E" w14:textId="7E84DBCB" w:rsidR="00894A32" w:rsidRDefault="00894A32" w:rsidP="009178B3">
      <w:pPr>
        <w:pStyle w:val="BodyText"/>
        <w:numPr>
          <w:ilvl w:val="1"/>
          <w:numId w:val="42"/>
        </w:numPr>
        <w:jc w:val="left"/>
      </w:pPr>
      <w:r>
        <w:t>Otherwise</w:t>
      </w:r>
      <w:r w:rsidR="009178B3">
        <w:t xml:space="preserve"> (i.e., if a, b above are not applicable)</w:t>
      </w:r>
      <w:r>
        <w:t xml:space="preserve">, P_limit_CG1 is not applied </w:t>
      </w:r>
      <w:r w:rsidR="009178B3">
        <w:t>for</w:t>
      </w:r>
      <w:r>
        <w:t xml:space="preserve"> CG1 UL transmission</w:t>
      </w:r>
      <w:r w:rsidR="009178B3">
        <w:t>.</w:t>
      </w:r>
    </w:p>
    <w:p w14:paraId="53FCA228" w14:textId="49260162" w:rsidR="00894A32" w:rsidRPr="00E15939" w:rsidRDefault="00AE66E5" w:rsidP="00E15939">
      <w:pPr>
        <w:jc w:val="both"/>
      </w:pPr>
      <w:r>
        <w:t xml:space="preserve">Regarding </w:t>
      </w:r>
      <w:proofErr w:type="spellStart"/>
      <w:r>
        <w:t>T_offset</w:t>
      </w:r>
      <w:proofErr w:type="spellEnd"/>
      <w:r>
        <w:t xml:space="preserve">, this can be similar to the </w:t>
      </w:r>
      <w:proofErr w:type="spellStart"/>
      <w:r>
        <w:t>T_proc</w:t>
      </w:r>
      <w:proofErr w:type="spellEnd"/>
      <w:r>
        <w:t xml:space="preserve"> specified in Rel15 for UCI multiplexing related UE procedures. If this is made a UE capability to account for different UE implementations, it is preferable from NW perspective to provide the option of configuring one offset to all the UEs in a cell via RRC.</w:t>
      </w:r>
    </w:p>
    <w:p w14:paraId="73DC8305" w14:textId="77777777" w:rsidR="00894A32" w:rsidRDefault="00894A32" w:rsidP="00894A32">
      <w:pPr>
        <w:jc w:val="both"/>
        <w:rPr>
          <w:b/>
          <w:u w:val="single"/>
        </w:rPr>
      </w:pPr>
    </w:p>
    <w:p w14:paraId="259E53E0" w14:textId="2700AB31" w:rsidR="00722290" w:rsidRDefault="00AE66E5" w:rsidP="000027E1">
      <w:pPr>
        <w:pStyle w:val="BodyText"/>
      </w:pPr>
      <w:bookmarkStart w:id="4" w:name="_GoBack"/>
      <w:r>
        <w:t>In post RAN1#98bis email discussions, it was also discussed whether dynamic power sharing is limited to only cases when ‘P_MCG+P_SCG &gt;= P^NR-</w:t>
      </w:r>
      <w:proofErr w:type="spellStart"/>
      <w:r>
        <w:t>DC_total</w:t>
      </w:r>
      <w:proofErr w:type="spellEnd"/>
      <w:r>
        <w:t xml:space="preserve">’. </w:t>
      </w:r>
      <w:r w:rsidR="002072D9">
        <w:t xml:space="preserve">Considering an example, if P_MCG=P_SCG=20dBm is configured for a UE with 23dBm power limit and dynamic power sharing capability, UE </w:t>
      </w:r>
      <w:proofErr w:type="spellStart"/>
      <w:r w:rsidR="002072D9">
        <w:t>tx</w:t>
      </w:r>
      <w:proofErr w:type="spellEnd"/>
      <w:r w:rsidR="002072D9">
        <w:t xml:space="preserve"> power on MCG or SCG can go up to 23dBm whenever there is no overlapping transmission on other CG. This is not possible with semi-static power sharing Alt 2, Alt 1-2. </w:t>
      </w:r>
      <w:r w:rsidR="00250A7B">
        <w:t>P</w:t>
      </w:r>
      <w:r w:rsidR="002072D9">
        <w:t>reclud</w:t>
      </w:r>
      <w:r w:rsidR="00250A7B">
        <w:t>ing</w:t>
      </w:r>
      <w:r w:rsidR="002072D9">
        <w:t xml:space="preserve"> this setting forces the NW to configure P_MCG+P_SCG &gt;= 23dBm to achieve the above behavior. Having the limitation saves </w:t>
      </w:r>
      <w:r w:rsidR="00250A7B">
        <w:t>at most one</w:t>
      </w:r>
      <w:r w:rsidR="002072D9">
        <w:t xml:space="preserve"> RRC configuration bit </w:t>
      </w:r>
      <w:r w:rsidR="00250A7B">
        <w:t xml:space="preserve">but </w:t>
      </w:r>
      <w:r w:rsidR="002072D9">
        <w:t xml:space="preserve">in our </w:t>
      </w:r>
      <w:proofErr w:type="gramStart"/>
      <w:r w:rsidR="002072D9">
        <w:t>view</w:t>
      </w:r>
      <w:proofErr w:type="gramEnd"/>
      <w:r w:rsidR="002072D9">
        <w:t xml:space="preserve"> </w:t>
      </w:r>
      <w:r w:rsidR="00250A7B">
        <w:t xml:space="preserve">it </w:t>
      </w:r>
      <w:r w:rsidR="002072D9">
        <w:t xml:space="preserve">introduces an unnecessary limitation on NW flexibility. Therefore, we </w:t>
      </w:r>
      <w:r w:rsidR="00250A7B">
        <w:t>prefer to have an RRC indication that independently separates configuration of dynamic power sharing from semi-static power sharing Alt2/Alt1-2</w:t>
      </w:r>
      <w:r w:rsidR="001717F6">
        <w:t>.</w:t>
      </w:r>
    </w:p>
    <w:bookmarkEnd w:id="4"/>
    <w:p w14:paraId="79C4A1C9" w14:textId="77777777" w:rsidR="007A018A" w:rsidRDefault="007A018A" w:rsidP="007A018A">
      <w:pPr>
        <w:pStyle w:val="Heading1"/>
      </w:pPr>
      <w:r>
        <w:t>Conclusion</w:t>
      </w:r>
      <w:r w:rsidR="00026152">
        <w:t>s</w:t>
      </w:r>
    </w:p>
    <w:p w14:paraId="39AF2D91" w14:textId="0CDF8ABA" w:rsidR="003C7A68" w:rsidRDefault="008847A2" w:rsidP="00124E0D">
      <w:pPr>
        <w:pStyle w:val="BodyText"/>
        <w:rPr>
          <w:lang w:val="en-AU"/>
        </w:rPr>
      </w:pPr>
      <w:r>
        <w:t xml:space="preserve">In this document, </w:t>
      </w:r>
      <w:r w:rsidR="007D4CBE">
        <w:t xml:space="preserve">we discuss </w:t>
      </w:r>
      <w:r w:rsidR="0016539C">
        <w:t xml:space="preserve">the </w:t>
      </w:r>
      <w:r w:rsidR="00790405">
        <w:rPr>
          <w:lang w:val="en-AU"/>
        </w:rPr>
        <w:t xml:space="preserve">framework </w:t>
      </w:r>
      <w:r w:rsidR="0016539C">
        <w:rPr>
          <w:lang w:val="en-AU"/>
        </w:rPr>
        <w:t xml:space="preserve">for </w:t>
      </w:r>
      <w:r w:rsidR="00790405">
        <w:rPr>
          <w:lang w:val="en-AU"/>
        </w:rPr>
        <w:t>NR-NR DC power control</w:t>
      </w:r>
      <w:r w:rsidR="000027E1">
        <w:rPr>
          <w:lang w:val="en-AU"/>
        </w:rPr>
        <w:t xml:space="preserve"> </w:t>
      </w:r>
      <w:r w:rsidR="00913D94">
        <w:rPr>
          <w:lang w:val="en-AU"/>
        </w:rPr>
        <w:t xml:space="preserve">and </w:t>
      </w:r>
      <w:r w:rsidR="000027E1">
        <w:rPr>
          <w:lang w:val="en-AU"/>
        </w:rPr>
        <w:t>propose the following</w:t>
      </w:r>
      <w:r w:rsidR="00913D94">
        <w:rPr>
          <w:lang w:val="en-AU"/>
        </w:rPr>
        <w:t>.</w:t>
      </w:r>
    </w:p>
    <w:p w14:paraId="525D55FE" w14:textId="77777777" w:rsidR="00694495" w:rsidRDefault="00694495" w:rsidP="00694495">
      <w:pPr>
        <w:jc w:val="both"/>
        <w:rPr>
          <w:b/>
          <w:u w:val="single"/>
        </w:rPr>
      </w:pPr>
      <w:r w:rsidRPr="00D154CE">
        <w:rPr>
          <w:b/>
          <w:u w:val="single"/>
        </w:rPr>
        <w:t>Proposal</w:t>
      </w:r>
      <w:r>
        <w:rPr>
          <w:b/>
          <w:u w:val="single"/>
        </w:rPr>
        <w:t xml:space="preserve"> 1</w:t>
      </w:r>
    </w:p>
    <w:p w14:paraId="0A493E38" w14:textId="77777777" w:rsidR="00694495" w:rsidRPr="00D65792" w:rsidRDefault="00694495" w:rsidP="00694495">
      <w:pPr>
        <w:pStyle w:val="ListParagraph"/>
        <w:numPr>
          <w:ilvl w:val="0"/>
          <w:numId w:val="28"/>
        </w:numPr>
        <w:jc w:val="both"/>
        <w:rPr>
          <w:b/>
          <w:u w:val="single"/>
        </w:rPr>
      </w:pPr>
      <w:r>
        <w:t>Semi-static power sharing Alt 1-2 is supported for sync DC case.</w:t>
      </w:r>
    </w:p>
    <w:p w14:paraId="36E4985A" w14:textId="77777777" w:rsidR="00694495" w:rsidRPr="000027E1" w:rsidRDefault="00694495" w:rsidP="00694495">
      <w:pPr>
        <w:pStyle w:val="ListParagraph"/>
        <w:numPr>
          <w:ilvl w:val="0"/>
          <w:numId w:val="28"/>
        </w:numPr>
        <w:jc w:val="both"/>
        <w:rPr>
          <w:b/>
          <w:u w:val="single"/>
        </w:rPr>
      </w:pPr>
      <w:r>
        <w:t>Semi-static power sharing Alt 2 is supported for both sync and async DC cases</w:t>
      </w:r>
    </w:p>
    <w:p w14:paraId="0E2F7081" w14:textId="130425CE" w:rsidR="00092E4D" w:rsidRDefault="00092E4D" w:rsidP="00092E4D">
      <w:pPr>
        <w:jc w:val="both"/>
      </w:pPr>
    </w:p>
    <w:p w14:paraId="279D0A24" w14:textId="77777777" w:rsidR="000027E1" w:rsidRPr="000027E1" w:rsidRDefault="000027E1" w:rsidP="000027E1">
      <w:pPr>
        <w:jc w:val="both"/>
        <w:rPr>
          <w:b/>
          <w:u w:val="single"/>
        </w:rPr>
      </w:pPr>
    </w:p>
    <w:p w14:paraId="05960639" w14:textId="77777777" w:rsidR="00694495" w:rsidRDefault="00694495" w:rsidP="00694495">
      <w:pPr>
        <w:jc w:val="both"/>
        <w:rPr>
          <w:b/>
          <w:u w:val="single"/>
        </w:rPr>
      </w:pPr>
      <w:r w:rsidRPr="00D154CE">
        <w:rPr>
          <w:b/>
          <w:u w:val="single"/>
        </w:rPr>
        <w:t>Proposal</w:t>
      </w:r>
      <w:r>
        <w:rPr>
          <w:b/>
          <w:u w:val="single"/>
        </w:rPr>
        <w:t xml:space="preserve"> 2</w:t>
      </w:r>
    </w:p>
    <w:p w14:paraId="67797206" w14:textId="563AE84D" w:rsidR="00694495" w:rsidRDefault="00694495" w:rsidP="00694495">
      <w:pPr>
        <w:pStyle w:val="BodyText"/>
        <w:numPr>
          <w:ilvl w:val="0"/>
          <w:numId w:val="37"/>
        </w:numPr>
        <w:jc w:val="left"/>
      </w:pPr>
      <w:r>
        <w:t xml:space="preserve">For NR-DC dynamic power sharing, to compute the transmit power for CG1 UL transmission starting at time T0, </w:t>
      </w:r>
    </w:p>
    <w:p w14:paraId="39184EA9" w14:textId="77777777" w:rsidR="00694495" w:rsidRDefault="00694495" w:rsidP="00694495">
      <w:pPr>
        <w:pStyle w:val="BodyText"/>
        <w:numPr>
          <w:ilvl w:val="1"/>
          <w:numId w:val="42"/>
        </w:numPr>
        <w:jc w:val="left"/>
      </w:pPr>
      <w:r>
        <w:t xml:space="preserve">UE checks for PDCCH(s) received before time T0-T_offset that trigger an overlapping CG2 UL transmission, and if such PDCCH(s) are detected, UE limits it’s </w:t>
      </w:r>
      <w:proofErr w:type="gramStart"/>
      <w:r>
        <w:t>transmit</w:t>
      </w:r>
      <w:proofErr w:type="gramEnd"/>
      <w:r>
        <w:t xml:space="preserve"> power in CG1 (pwr_CG1) such that pwr_CG1 &lt;= P_limit_CG1; </w:t>
      </w:r>
    </w:p>
    <w:p w14:paraId="748E743F" w14:textId="77777777" w:rsidR="00694495" w:rsidRDefault="00694495" w:rsidP="00694495">
      <w:pPr>
        <w:pStyle w:val="BodyText"/>
        <w:numPr>
          <w:ilvl w:val="1"/>
          <w:numId w:val="42"/>
        </w:numPr>
        <w:jc w:val="left"/>
      </w:pPr>
      <w:r>
        <w:t xml:space="preserve">UE also checks (based on RRC parameters) if any </w:t>
      </w:r>
      <w:r w:rsidRPr="00D603AE">
        <w:rPr>
          <w:i/>
        </w:rPr>
        <w:t>possible</w:t>
      </w:r>
      <w:r>
        <w:t xml:space="preserve"> overlapping CG2 UL transmissions can be triggered by PDCCH(s) after T0-T_offset, and if such overlapping CG2 UL transmissions are </w:t>
      </w:r>
      <w:r w:rsidRPr="00A20A2A">
        <w:rPr>
          <w:i/>
        </w:rPr>
        <w:t>possible</w:t>
      </w:r>
      <w:r>
        <w:t xml:space="preserve">, UE limits it’s </w:t>
      </w:r>
      <w:proofErr w:type="gramStart"/>
      <w:r>
        <w:t>transmit</w:t>
      </w:r>
      <w:proofErr w:type="gramEnd"/>
      <w:r>
        <w:t xml:space="preserve"> power in CG1 (pwr_CG1) such that pwr_CG1 &lt;= P_limit_CG1;</w:t>
      </w:r>
    </w:p>
    <w:p w14:paraId="180E8056" w14:textId="77777777" w:rsidR="00694495" w:rsidRDefault="00694495" w:rsidP="00694495">
      <w:pPr>
        <w:pStyle w:val="BodyText"/>
        <w:numPr>
          <w:ilvl w:val="1"/>
          <w:numId w:val="42"/>
        </w:numPr>
        <w:jc w:val="left"/>
      </w:pPr>
      <w:r>
        <w:t>Otherwise (i.e., if a, b above are not applicable), P_limit_CG1 is not applied for CG1 UL transmission.</w:t>
      </w:r>
    </w:p>
    <w:p w14:paraId="444C30C1" w14:textId="77777777" w:rsidR="00B330DB" w:rsidRPr="00790405" w:rsidRDefault="00B330DB" w:rsidP="0072146B">
      <w:pPr>
        <w:pStyle w:val="ListParagraph"/>
        <w:ind w:left="0"/>
        <w:jc w:val="both"/>
        <w:rPr>
          <w:b/>
          <w:u w:val="single"/>
        </w:rPr>
      </w:pPr>
    </w:p>
    <w:p w14:paraId="16CBF5A5" w14:textId="77777777" w:rsidR="00663DEE" w:rsidRDefault="00663DEE" w:rsidP="00663DEE">
      <w:pPr>
        <w:pStyle w:val="Heading1"/>
      </w:pPr>
      <w:r>
        <w:t>References</w:t>
      </w:r>
    </w:p>
    <w:p w14:paraId="1C52AC0A" w14:textId="226D40CB" w:rsidR="001C691A" w:rsidRPr="00092E4D" w:rsidRDefault="009424B9" w:rsidP="00092E4D">
      <w:pPr>
        <w:pStyle w:val="BodyText"/>
      </w:pPr>
      <w:r>
        <w:t xml:space="preserve"> </w:t>
      </w:r>
      <w:r w:rsidR="001C691A">
        <w:t>[</w:t>
      </w:r>
      <w:r>
        <w:t>1</w:t>
      </w:r>
      <w:r w:rsidR="001C691A">
        <w:t xml:space="preserve">] R1-1909142 – “Power Control for NR-NR DC”, Ericsson, RAN1#98, Prague, </w:t>
      </w:r>
      <w:proofErr w:type="gramStart"/>
      <w:r w:rsidR="001C691A">
        <w:t>Czech republic</w:t>
      </w:r>
      <w:proofErr w:type="gramEnd"/>
      <w:r w:rsidR="001C691A">
        <w:t>, August 2019.</w:t>
      </w:r>
    </w:p>
    <w:sectPr w:rsidR="001C691A" w:rsidRPr="00092E4D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14413A" w14:textId="77777777" w:rsidR="00472D53" w:rsidRDefault="00472D53">
      <w:r>
        <w:separator/>
      </w:r>
    </w:p>
  </w:endnote>
  <w:endnote w:type="continuationSeparator" w:id="0">
    <w:p w14:paraId="1AF4D2D5" w14:textId="77777777" w:rsidR="00472D53" w:rsidRDefault="00472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1107C8" w14:textId="77777777" w:rsidR="00472D53" w:rsidRDefault="00472D53">
      <w:r>
        <w:separator/>
      </w:r>
    </w:p>
  </w:footnote>
  <w:footnote w:type="continuationSeparator" w:id="0">
    <w:p w14:paraId="430FC41B" w14:textId="77777777" w:rsidR="00472D53" w:rsidRDefault="00472D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FD37F" w14:textId="77777777" w:rsidR="00E832CA" w:rsidRDefault="00E832CA" w:rsidP="00C44D46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A2CA1"/>
    <w:multiLevelType w:val="hybridMultilevel"/>
    <w:tmpl w:val="A1527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B296C"/>
    <w:multiLevelType w:val="hybridMultilevel"/>
    <w:tmpl w:val="E9E6A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67A42"/>
    <w:multiLevelType w:val="hybridMultilevel"/>
    <w:tmpl w:val="350C93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C80585"/>
    <w:multiLevelType w:val="hybridMultilevel"/>
    <w:tmpl w:val="EEE0C22A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E7D0F"/>
    <w:multiLevelType w:val="hybridMultilevel"/>
    <w:tmpl w:val="EDA2121C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57F33"/>
    <w:multiLevelType w:val="hybridMultilevel"/>
    <w:tmpl w:val="563A78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F45305"/>
    <w:multiLevelType w:val="hybridMultilevel"/>
    <w:tmpl w:val="D53E54C8"/>
    <w:lvl w:ilvl="0" w:tplc="118EE8C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lang w:val="en-GB"/>
      </w:rPr>
    </w:lvl>
    <w:lvl w:ilvl="1" w:tplc="041D0003">
      <w:start w:val="1"/>
      <w:numFmt w:val="bullet"/>
      <w:lvlText w:val="o"/>
      <w:lvlJc w:val="left"/>
      <w:pPr>
        <w:tabs>
          <w:tab w:val="num" w:pos="990"/>
        </w:tabs>
        <w:ind w:left="990" w:hanging="360"/>
      </w:pPr>
      <w:rPr>
        <w:rFonts w:ascii="Courier New" w:hAnsi="Courier New" w:cs="Courier New" w:hint="default"/>
      </w:rPr>
    </w:lvl>
    <w:lvl w:ilvl="2" w:tplc="B9AE01A8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  <w:lang w:val="en-US"/>
      </w:rPr>
    </w:lvl>
    <w:lvl w:ilvl="3" w:tplc="041D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41F28D0"/>
    <w:multiLevelType w:val="hybridMultilevel"/>
    <w:tmpl w:val="E1CC0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81AD9"/>
    <w:multiLevelType w:val="hybridMultilevel"/>
    <w:tmpl w:val="5AFAC0E8"/>
    <w:lvl w:ilvl="0" w:tplc="6FE87FB8">
      <w:start w:val="1"/>
      <w:numFmt w:val="lowerLetter"/>
      <w:lvlText w:val="%1)"/>
      <w:lvlJc w:val="left"/>
      <w:pPr>
        <w:ind w:left="1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84" w:hanging="360"/>
      </w:pPr>
    </w:lvl>
    <w:lvl w:ilvl="2" w:tplc="0409001B" w:tentative="1">
      <w:start w:val="1"/>
      <w:numFmt w:val="lowerRoman"/>
      <w:lvlText w:val="%3."/>
      <w:lvlJc w:val="right"/>
      <w:pPr>
        <w:ind w:left="3104" w:hanging="180"/>
      </w:pPr>
    </w:lvl>
    <w:lvl w:ilvl="3" w:tplc="0409000F" w:tentative="1">
      <w:start w:val="1"/>
      <w:numFmt w:val="decimal"/>
      <w:lvlText w:val="%4."/>
      <w:lvlJc w:val="left"/>
      <w:pPr>
        <w:ind w:left="3824" w:hanging="360"/>
      </w:pPr>
    </w:lvl>
    <w:lvl w:ilvl="4" w:tplc="04090019" w:tentative="1">
      <w:start w:val="1"/>
      <w:numFmt w:val="lowerLetter"/>
      <w:lvlText w:val="%5."/>
      <w:lvlJc w:val="left"/>
      <w:pPr>
        <w:ind w:left="4544" w:hanging="360"/>
      </w:pPr>
    </w:lvl>
    <w:lvl w:ilvl="5" w:tplc="0409001B" w:tentative="1">
      <w:start w:val="1"/>
      <w:numFmt w:val="lowerRoman"/>
      <w:lvlText w:val="%6."/>
      <w:lvlJc w:val="right"/>
      <w:pPr>
        <w:ind w:left="5264" w:hanging="180"/>
      </w:pPr>
    </w:lvl>
    <w:lvl w:ilvl="6" w:tplc="0409000F" w:tentative="1">
      <w:start w:val="1"/>
      <w:numFmt w:val="decimal"/>
      <w:lvlText w:val="%7."/>
      <w:lvlJc w:val="left"/>
      <w:pPr>
        <w:ind w:left="5984" w:hanging="360"/>
      </w:pPr>
    </w:lvl>
    <w:lvl w:ilvl="7" w:tplc="04090019" w:tentative="1">
      <w:start w:val="1"/>
      <w:numFmt w:val="lowerLetter"/>
      <w:lvlText w:val="%8."/>
      <w:lvlJc w:val="left"/>
      <w:pPr>
        <w:ind w:left="6704" w:hanging="360"/>
      </w:pPr>
    </w:lvl>
    <w:lvl w:ilvl="8" w:tplc="0409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9" w15:restartNumberingAfterBreak="0">
    <w:nsid w:val="1DE50FDE"/>
    <w:multiLevelType w:val="hybridMultilevel"/>
    <w:tmpl w:val="E6887342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1FF068C3"/>
    <w:multiLevelType w:val="hybridMultilevel"/>
    <w:tmpl w:val="944005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42F6397"/>
    <w:multiLevelType w:val="hybridMultilevel"/>
    <w:tmpl w:val="E972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497D8C"/>
    <w:multiLevelType w:val="hybridMultilevel"/>
    <w:tmpl w:val="519A1B0E"/>
    <w:lvl w:ilvl="0" w:tplc="04090001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275F47"/>
    <w:multiLevelType w:val="hybridMultilevel"/>
    <w:tmpl w:val="B7C0E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B055D2"/>
    <w:multiLevelType w:val="hybridMultilevel"/>
    <w:tmpl w:val="E3BAD2E0"/>
    <w:lvl w:ilvl="0" w:tplc="08090001">
      <w:start w:val="1"/>
      <w:numFmt w:val="bullet"/>
      <w:lvlText w:val=""/>
      <w:lvlJc w:val="left"/>
      <w:pPr>
        <w:tabs>
          <w:tab w:val="num" w:pos="1134"/>
        </w:tabs>
        <w:ind w:left="113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54"/>
        </w:tabs>
        <w:ind w:left="185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74"/>
        </w:tabs>
        <w:ind w:left="2574" w:hanging="360"/>
      </w:pPr>
      <w:rPr>
        <w:rFonts w:ascii="Wingdings" w:hAnsi="Wingdings" w:hint="default"/>
      </w:rPr>
    </w:lvl>
    <w:lvl w:ilvl="3" w:tplc="6450C6DE">
      <w:numFmt w:val="bullet"/>
      <w:lvlText w:val="-"/>
      <w:lvlJc w:val="left"/>
      <w:pPr>
        <w:ind w:left="3294" w:hanging="360"/>
      </w:pPr>
      <w:rPr>
        <w:rFonts w:ascii="Arial" w:eastAsia="MS Mincho" w:hAnsi="Arial" w:cs="Arial" w:hint="default"/>
      </w:rPr>
    </w:lvl>
    <w:lvl w:ilvl="4" w:tplc="08090003">
      <w:start w:val="1"/>
      <w:numFmt w:val="bullet"/>
      <w:lvlText w:val="o"/>
      <w:lvlJc w:val="left"/>
      <w:pPr>
        <w:tabs>
          <w:tab w:val="num" w:pos="4014"/>
        </w:tabs>
        <w:ind w:left="401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734"/>
        </w:tabs>
        <w:ind w:left="473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454"/>
        </w:tabs>
        <w:ind w:left="545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174"/>
        </w:tabs>
        <w:ind w:left="617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894"/>
        </w:tabs>
        <w:ind w:left="6894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043128"/>
    <w:multiLevelType w:val="hybridMultilevel"/>
    <w:tmpl w:val="C7746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1C450B"/>
    <w:multiLevelType w:val="hybridMultilevel"/>
    <w:tmpl w:val="15D26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3D1CD2"/>
    <w:multiLevelType w:val="hybridMultilevel"/>
    <w:tmpl w:val="34481896"/>
    <w:lvl w:ilvl="0" w:tplc="B7A4AE6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F51D96"/>
    <w:multiLevelType w:val="hybridMultilevel"/>
    <w:tmpl w:val="7BD40B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20455F0"/>
    <w:multiLevelType w:val="hybridMultilevel"/>
    <w:tmpl w:val="5C046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452A44"/>
    <w:multiLevelType w:val="hybridMultilevel"/>
    <w:tmpl w:val="5AFAC0E8"/>
    <w:lvl w:ilvl="0" w:tplc="6FE87FB8">
      <w:start w:val="1"/>
      <w:numFmt w:val="lowerLetter"/>
      <w:lvlText w:val="%1)"/>
      <w:lvlJc w:val="left"/>
      <w:pPr>
        <w:ind w:left="1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84" w:hanging="360"/>
      </w:pPr>
    </w:lvl>
    <w:lvl w:ilvl="2" w:tplc="0409001B" w:tentative="1">
      <w:start w:val="1"/>
      <w:numFmt w:val="lowerRoman"/>
      <w:lvlText w:val="%3."/>
      <w:lvlJc w:val="right"/>
      <w:pPr>
        <w:ind w:left="3104" w:hanging="180"/>
      </w:pPr>
    </w:lvl>
    <w:lvl w:ilvl="3" w:tplc="0409000F" w:tentative="1">
      <w:start w:val="1"/>
      <w:numFmt w:val="decimal"/>
      <w:lvlText w:val="%4."/>
      <w:lvlJc w:val="left"/>
      <w:pPr>
        <w:ind w:left="3824" w:hanging="360"/>
      </w:pPr>
    </w:lvl>
    <w:lvl w:ilvl="4" w:tplc="04090019" w:tentative="1">
      <w:start w:val="1"/>
      <w:numFmt w:val="lowerLetter"/>
      <w:lvlText w:val="%5."/>
      <w:lvlJc w:val="left"/>
      <w:pPr>
        <w:ind w:left="4544" w:hanging="360"/>
      </w:pPr>
    </w:lvl>
    <w:lvl w:ilvl="5" w:tplc="0409001B" w:tentative="1">
      <w:start w:val="1"/>
      <w:numFmt w:val="lowerRoman"/>
      <w:lvlText w:val="%6."/>
      <w:lvlJc w:val="right"/>
      <w:pPr>
        <w:ind w:left="5264" w:hanging="180"/>
      </w:pPr>
    </w:lvl>
    <w:lvl w:ilvl="6" w:tplc="0409000F" w:tentative="1">
      <w:start w:val="1"/>
      <w:numFmt w:val="decimal"/>
      <w:lvlText w:val="%7."/>
      <w:lvlJc w:val="left"/>
      <w:pPr>
        <w:ind w:left="5984" w:hanging="360"/>
      </w:pPr>
    </w:lvl>
    <w:lvl w:ilvl="7" w:tplc="04090019" w:tentative="1">
      <w:start w:val="1"/>
      <w:numFmt w:val="lowerLetter"/>
      <w:lvlText w:val="%8."/>
      <w:lvlJc w:val="left"/>
      <w:pPr>
        <w:ind w:left="6704" w:hanging="360"/>
      </w:pPr>
    </w:lvl>
    <w:lvl w:ilvl="8" w:tplc="0409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23" w15:restartNumberingAfterBreak="0">
    <w:nsid w:val="46CD72ED"/>
    <w:multiLevelType w:val="hybridMultilevel"/>
    <w:tmpl w:val="9C94769C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120E48"/>
    <w:multiLevelType w:val="hybridMultilevel"/>
    <w:tmpl w:val="15104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3E59CD"/>
    <w:multiLevelType w:val="hybridMultilevel"/>
    <w:tmpl w:val="BD20186A"/>
    <w:lvl w:ilvl="0" w:tplc="F566E89E">
      <w:start w:val="1"/>
      <w:numFmt w:val="lowerLetter"/>
      <w:lvlText w:val="%1)"/>
      <w:lvlJc w:val="left"/>
      <w:pPr>
        <w:ind w:left="1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BE1F55"/>
    <w:multiLevelType w:val="hybridMultilevel"/>
    <w:tmpl w:val="5EC89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564FD"/>
    <w:multiLevelType w:val="hybridMultilevel"/>
    <w:tmpl w:val="48765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BA6115"/>
    <w:multiLevelType w:val="hybridMultilevel"/>
    <w:tmpl w:val="54967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627950"/>
    <w:multiLevelType w:val="hybridMultilevel"/>
    <w:tmpl w:val="8054B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3B6B43"/>
    <w:multiLevelType w:val="hybridMultilevel"/>
    <w:tmpl w:val="FDDEB2A4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D613D7"/>
    <w:multiLevelType w:val="hybridMultilevel"/>
    <w:tmpl w:val="A2B8E6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0870A7"/>
    <w:multiLevelType w:val="hybridMultilevel"/>
    <w:tmpl w:val="9DAC7C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0D1EB9"/>
    <w:multiLevelType w:val="hybridMultilevel"/>
    <w:tmpl w:val="C5C80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281578"/>
    <w:multiLevelType w:val="hybridMultilevel"/>
    <w:tmpl w:val="5E9CE55C"/>
    <w:lvl w:ilvl="0" w:tplc="08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D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D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F525E6B"/>
    <w:multiLevelType w:val="hybridMultilevel"/>
    <w:tmpl w:val="7E46AC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2D404EB"/>
    <w:multiLevelType w:val="hybridMultilevel"/>
    <w:tmpl w:val="82FA29AE"/>
    <w:lvl w:ilvl="0" w:tplc="34249F44">
      <w:start w:val="1"/>
      <w:numFmt w:val="bullet"/>
      <w:lvlText w:val="‐"/>
      <w:lvlJc w:val="left"/>
      <w:pPr>
        <w:ind w:left="983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1403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3" w:hanging="420"/>
      </w:pPr>
      <w:rPr>
        <w:rFonts w:ascii="Wingdings" w:hAnsi="Wingdings" w:hint="default"/>
      </w:rPr>
    </w:lvl>
    <w:lvl w:ilvl="3" w:tplc="34249F44">
      <w:start w:val="1"/>
      <w:numFmt w:val="bullet"/>
      <w:lvlText w:val="‐"/>
      <w:lvlJc w:val="left"/>
      <w:pPr>
        <w:ind w:left="2243" w:hanging="420"/>
      </w:pPr>
      <w:rPr>
        <w:rFonts w:ascii="MS Mincho" w:eastAsia="MS Mincho" w:hAnsi="MS Mincho" w:hint="eastAsia"/>
      </w:rPr>
    </w:lvl>
    <w:lvl w:ilvl="4" w:tplc="0409000B">
      <w:start w:val="1"/>
      <w:numFmt w:val="bullet"/>
      <w:lvlText w:val=""/>
      <w:lvlJc w:val="left"/>
      <w:pPr>
        <w:ind w:left="2663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083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3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923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343" w:hanging="420"/>
      </w:pPr>
      <w:rPr>
        <w:rFonts w:ascii="Wingdings" w:hAnsi="Wingdings" w:hint="default"/>
      </w:rPr>
    </w:lvl>
  </w:abstractNum>
  <w:abstractNum w:abstractNumId="38" w15:restartNumberingAfterBreak="0">
    <w:nsid w:val="796E37B7"/>
    <w:multiLevelType w:val="hybridMultilevel"/>
    <w:tmpl w:val="3C142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380D49"/>
    <w:multiLevelType w:val="hybridMultilevel"/>
    <w:tmpl w:val="453C80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40"/>
  </w:num>
  <w:num w:numId="2">
    <w:abstractNumId w:val="15"/>
  </w:num>
  <w:num w:numId="3">
    <w:abstractNumId w:val="20"/>
  </w:num>
  <w:num w:numId="4">
    <w:abstractNumId w:val="24"/>
  </w:num>
  <w:num w:numId="5">
    <w:abstractNumId w:val="16"/>
  </w:num>
  <w:num w:numId="6">
    <w:abstractNumId w:val="6"/>
  </w:num>
  <w:num w:numId="7">
    <w:abstractNumId w:val="21"/>
  </w:num>
  <w:num w:numId="8">
    <w:abstractNumId w:val="12"/>
  </w:num>
  <w:num w:numId="9">
    <w:abstractNumId w:val="0"/>
  </w:num>
  <w:num w:numId="10">
    <w:abstractNumId w:val="4"/>
  </w:num>
  <w:num w:numId="11">
    <w:abstractNumId w:val="23"/>
  </w:num>
  <w:num w:numId="12">
    <w:abstractNumId w:val="31"/>
  </w:num>
  <w:num w:numId="13">
    <w:abstractNumId w:val="29"/>
  </w:num>
  <w:num w:numId="14">
    <w:abstractNumId w:val="35"/>
  </w:num>
  <w:num w:numId="15">
    <w:abstractNumId w:val="26"/>
  </w:num>
  <w:num w:numId="16">
    <w:abstractNumId w:val="1"/>
  </w:num>
  <w:num w:numId="17">
    <w:abstractNumId w:val="3"/>
  </w:num>
  <w:num w:numId="18">
    <w:abstractNumId w:val="17"/>
  </w:num>
  <w:num w:numId="19">
    <w:abstractNumId w:val="11"/>
  </w:num>
  <w:num w:numId="20">
    <w:abstractNumId w:val="14"/>
  </w:num>
  <w:num w:numId="21">
    <w:abstractNumId w:val="37"/>
  </w:num>
  <w:num w:numId="22">
    <w:abstractNumId w:val="37"/>
  </w:num>
  <w:num w:numId="23">
    <w:abstractNumId w:val="34"/>
  </w:num>
  <w:num w:numId="24">
    <w:abstractNumId w:val="28"/>
  </w:num>
  <w:num w:numId="25">
    <w:abstractNumId w:val="38"/>
  </w:num>
  <w:num w:numId="26">
    <w:abstractNumId w:val="19"/>
  </w:num>
  <w:num w:numId="27">
    <w:abstractNumId w:val="18"/>
  </w:num>
  <w:num w:numId="28">
    <w:abstractNumId w:val="13"/>
  </w:num>
  <w:num w:numId="29">
    <w:abstractNumId w:val="5"/>
  </w:num>
  <w:num w:numId="30">
    <w:abstractNumId w:val="22"/>
  </w:num>
  <w:num w:numId="31">
    <w:abstractNumId w:val="8"/>
  </w:num>
  <w:num w:numId="32">
    <w:abstractNumId w:val="30"/>
  </w:num>
  <w:num w:numId="33">
    <w:abstractNumId w:val="39"/>
  </w:num>
  <w:num w:numId="34">
    <w:abstractNumId w:val="10"/>
  </w:num>
  <w:num w:numId="35">
    <w:abstractNumId w:val="25"/>
  </w:num>
  <w:num w:numId="36">
    <w:abstractNumId w:val="2"/>
  </w:num>
  <w:num w:numId="37">
    <w:abstractNumId w:val="33"/>
  </w:num>
  <w:num w:numId="38">
    <w:abstractNumId w:val="32"/>
  </w:num>
  <w:num w:numId="39">
    <w:abstractNumId w:val="36"/>
  </w:num>
  <w:num w:numId="40">
    <w:abstractNumId w:val="27"/>
  </w:num>
  <w:num w:numId="41">
    <w:abstractNumId w:val="9"/>
  </w:num>
  <w:num w:numId="42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AU" w:vendorID="64" w:dllVersion="0" w:nlCheck="1" w:checkStyle="0"/>
  <w:activeWritingStyle w:appName="MSWord" w:lang="de-DE" w:vendorID="64" w:dllVersion="0" w:nlCheck="1" w:checkStyle="0"/>
  <w:proofState w:spelling="clean" w:grammar="clean"/>
  <w:defaultTabStop w:val="1304"/>
  <w:hyphenationZone w:val="425"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799"/>
    <w:rsid w:val="00002556"/>
    <w:rsid w:val="000027E1"/>
    <w:rsid w:val="000058EA"/>
    <w:rsid w:val="000064E4"/>
    <w:rsid w:val="00010021"/>
    <w:rsid w:val="00011C74"/>
    <w:rsid w:val="000128FC"/>
    <w:rsid w:val="00014EA0"/>
    <w:rsid w:val="00017B23"/>
    <w:rsid w:val="000217F8"/>
    <w:rsid w:val="00021F71"/>
    <w:rsid w:val="000249BD"/>
    <w:rsid w:val="00026152"/>
    <w:rsid w:val="00026794"/>
    <w:rsid w:val="00033108"/>
    <w:rsid w:val="000339BF"/>
    <w:rsid w:val="00034A85"/>
    <w:rsid w:val="000374E8"/>
    <w:rsid w:val="000376D7"/>
    <w:rsid w:val="00037C51"/>
    <w:rsid w:val="00041947"/>
    <w:rsid w:val="0004251E"/>
    <w:rsid w:val="00042B95"/>
    <w:rsid w:val="00043940"/>
    <w:rsid w:val="00047833"/>
    <w:rsid w:val="00053A92"/>
    <w:rsid w:val="00054BF6"/>
    <w:rsid w:val="00055C3F"/>
    <w:rsid w:val="00056F8C"/>
    <w:rsid w:val="000634C0"/>
    <w:rsid w:val="0006366A"/>
    <w:rsid w:val="00063E6B"/>
    <w:rsid w:val="0007291B"/>
    <w:rsid w:val="00077EFD"/>
    <w:rsid w:val="00084446"/>
    <w:rsid w:val="000855BC"/>
    <w:rsid w:val="00086EAD"/>
    <w:rsid w:val="0009038A"/>
    <w:rsid w:val="00091120"/>
    <w:rsid w:val="00092E4D"/>
    <w:rsid w:val="000944E4"/>
    <w:rsid w:val="00096460"/>
    <w:rsid w:val="000A18A9"/>
    <w:rsid w:val="000A258F"/>
    <w:rsid w:val="000A4E5A"/>
    <w:rsid w:val="000A74B8"/>
    <w:rsid w:val="000B017B"/>
    <w:rsid w:val="000B1CAD"/>
    <w:rsid w:val="000B45EF"/>
    <w:rsid w:val="000B5E4E"/>
    <w:rsid w:val="000B6206"/>
    <w:rsid w:val="000B6507"/>
    <w:rsid w:val="000B7036"/>
    <w:rsid w:val="000C02AC"/>
    <w:rsid w:val="000C294C"/>
    <w:rsid w:val="000C49ED"/>
    <w:rsid w:val="000C4A37"/>
    <w:rsid w:val="000C7A0F"/>
    <w:rsid w:val="000D0970"/>
    <w:rsid w:val="000D0B30"/>
    <w:rsid w:val="000E395D"/>
    <w:rsid w:val="000E4B95"/>
    <w:rsid w:val="000E5BF2"/>
    <w:rsid w:val="000F6195"/>
    <w:rsid w:val="0010025E"/>
    <w:rsid w:val="001013A4"/>
    <w:rsid w:val="001018DF"/>
    <w:rsid w:val="001027FF"/>
    <w:rsid w:val="00105036"/>
    <w:rsid w:val="00112E18"/>
    <w:rsid w:val="00113113"/>
    <w:rsid w:val="001131F7"/>
    <w:rsid w:val="001140A2"/>
    <w:rsid w:val="00114B6A"/>
    <w:rsid w:val="00115B55"/>
    <w:rsid w:val="00120E84"/>
    <w:rsid w:val="00124E0D"/>
    <w:rsid w:val="001270EA"/>
    <w:rsid w:val="00131DE4"/>
    <w:rsid w:val="00137769"/>
    <w:rsid w:val="00140D90"/>
    <w:rsid w:val="00141448"/>
    <w:rsid w:val="00142260"/>
    <w:rsid w:val="0014474B"/>
    <w:rsid w:val="0014560B"/>
    <w:rsid w:val="001464AC"/>
    <w:rsid w:val="001471D9"/>
    <w:rsid w:val="0015025A"/>
    <w:rsid w:val="00154C8E"/>
    <w:rsid w:val="001601F1"/>
    <w:rsid w:val="00160407"/>
    <w:rsid w:val="00162F9B"/>
    <w:rsid w:val="001642BA"/>
    <w:rsid w:val="0016539C"/>
    <w:rsid w:val="001657AC"/>
    <w:rsid w:val="0016645B"/>
    <w:rsid w:val="001717F6"/>
    <w:rsid w:val="00171B31"/>
    <w:rsid w:val="0017310F"/>
    <w:rsid w:val="0017358C"/>
    <w:rsid w:val="00175D32"/>
    <w:rsid w:val="00180134"/>
    <w:rsid w:val="0018365D"/>
    <w:rsid w:val="00191AC7"/>
    <w:rsid w:val="00191E60"/>
    <w:rsid w:val="00196770"/>
    <w:rsid w:val="00196C6F"/>
    <w:rsid w:val="001A6C40"/>
    <w:rsid w:val="001B4110"/>
    <w:rsid w:val="001B66ED"/>
    <w:rsid w:val="001B7D17"/>
    <w:rsid w:val="001C04C3"/>
    <w:rsid w:val="001C0956"/>
    <w:rsid w:val="001C0EE0"/>
    <w:rsid w:val="001C4118"/>
    <w:rsid w:val="001C5ABF"/>
    <w:rsid w:val="001C5CE9"/>
    <w:rsid w:val="001C691A"/>
    <w:rsid w:val="001D33B3"/>
    <w:rsid w:val="001D4398"/>
    <w:rsid w:val="001D4D35"/>
    <w:rsid w:val="001D5808"/>
    <w:rsid w:val="001E21F6"/>
    <w:rsid w:val="001E5785"/>
    <w:rsid w:val="001F1207"/>
    <w:rsid w:val="001F2D9F"/>
    <w:rsid w:val="001F5526"/>
    <w:rsid w:val="001F7FB8"/>
    <w:rsid w:val="002029F5"/>
    <w:rsid w:val="00203121"/>
    <w:rsid w:val="00204921"/>
    <w:rsid w:val="00205AF2"/>
    <w:rsid w:val="002072D9"/>
    <w:rsid w:val="00210105"/>
    <w:rsid w:val="0021013F"/>
    <w:rsid w:val="00212F01"/>
    <w:rsid w:val="002131B0"/>
    <w:rsid w:val="00214784"/>
    <w:rsid w:val="00214ECF"/>
    <w:rsid w:val="00215911"/>
    <w:rsid w:val="00220D91"/>
    <w:rsid w:val="0022145D"/>
    <w:rsid w:val="0022555C"/>
    <w:rsid w:val="0022659E"/>
    <w:rsid w:val="00227C72"/>
    <w:rsid w:val="00230AE5"/>
    <w:rsid w:val="0023314F"/>
    <w:rsid w:val="00243F21"/>
    <w:rsid w:val="00250A7B"/>
    <w:rsid w:val="00255221"/>
    <w:rsid w:val="002552B2"/>
    <w:rsid w:val="00255E5D"/>
    <w:rsid w:val="0025780D"/>
    <w:rsid w:val="00257C69"/>
    <w:rsid w:val="00257D9E"/>
    <w:rsid w:val="00260E2E"/>
    <w:rsid w:val="002634F0"/>
    <w:rsid w:val="00264098"/>
    <w:rsid w:val="00264D4E"/>
    <w:rsid w:val="00266937"/>
    <w:rsid w:val="002673ED"/>
    <w:rsid w:val="00276840"/>
    <w:rsid w:val="00277339"/>
    <w:rsid w:val="00282A0D"/>
    <w:rsid w:val="002867E5"/>
    <w:rsid w:val="0028777D"/>
    <w:rsid w:val="00290099"/>
    <w:rsid w:val="00290F9F"/>
    <w:rsid w:val="0029409F"/>
    <w:rsid w:val="002A13E7"/>
    <w:rsid w:val="002A1D8F"/>
    <w:rsid w:val="002A31FC"/>
    <w:rsid w:val="002A48D2"/>
    <w:rsid w:val="002B139C"/>
    <w:rsid w:val="002B20B7"/>
    <w:rsid w:val="002B3332"/>
    <w:rsid w:val="002B3B98"/>
    <w:rsid w:val="002B4985"/>
    <w:rsid w:val="002B5439"/>
    <w:rsid w:val="002B5E78"/>
    <w:rsid w:val="002C0453"/>
    <w:rsid w:val="002C0933"/>
    <w:rsid w:val="002C121A"/>
    <w:rsid w:val="002C3A4F"/>
    <w:rsid w:val="002D0AB6"/>
    <w:rsid w:val="002D7413"/>
    <w:rsid w:val="002E3642"/>
    <w:rsid w:val="002E3CAB"/>
    <w:rsid w:val="002E6A70"/>
    <w:rsid w:val="002F3F91"/>
    <w:rsid w:val="002F4A02"/>
    <w:rsid w:val="002F6139"/>
    <w:rsid w:val="00300147"/>
    <w:rsid w:val="00300221"/>
    <w:rsid w:val="00304706"/>
    <w:rsid w:val="00310287"/>
    <w:rsid w:val="00312CEF"/>
    <w:rsid w:val="0031422F"/>
    <w:rsid w:val="00315E1D"/>
    <w:rsid w:val="00317CFE"/>
    <w:rsid w:val="00323753"/>
    <w:rsid w:val="00324829"/>
    <w:rsid w:val="00324A03"/>
    <w:rsid w:val="003263D3"/>
    <w:rsid w:val="00331C9A"/>
    <w:rsid w:val="003335F3"/>
    <w:rsid w:val="00334E5B"/>
    <w:rsid w:val="00335CE1"/>
    <w:rsid w:val="0033776C"/>
    <w:rsid w:val="003410DC"/>
    <w:rsid w:val="00343A18"/>
    <w:rsid w:val="00343E83"/>
    <w:rsid w:val="00346938"/>
    <w:rsid w:val="00347030"/>
    <w:rsid w:val="00350180"/>
    <w:rsid w:val="00351AE2"/>
    <w:rsid w:val="00354D94"/>
    <w:rsid w:val="00361CA8"/>
    <w:rsid w:val="00363390"/>
    <w:rsid w:val="00363EBF"/>
    <w:rsid w:val="00365011"/>
    <w:rsid w:val="00366DB2"/>
    <w:rsid w:val="003729CE"/>
    <w:rsid w:val="003746C8"/>
    <w:rsid w:val="003756BE"/>
    <w:rsid w:val="00376F9D"/>
    <w:rsid w:val="00380C9E"/>
    <w:rsid w:val="0038144A"/>
    <w:rsid w:val="003875A3"/>
    <w:rsid w:val="00390207"/>
    <w:rsid w:val="00397027"/>
    <w:rsid w:val="003A1432"/>
    <w:rsid w:val="003A1F9F"/>
    <w:rsid w:val="003A2C54"/>
    <w:rsid w:val="003A3E47"/>
    <w:rsid w:val="003A4AD8"/>
    <w:rsid w:val="003A51C2"/>
    <w:rsid w:val="003A7113"/>
    <w:rsid w:val="003B4771"/>
    <w:rsid w:val="003B515B"/>
    <w:rsid w:val="003B5644"/>
    <w:rsid w:val="003B6C67"/>
    <w:rsid w:val="003C040C"/>
    <w:rsid w:val="003C0BC9"/>
    <w:rsid w:val="003C4CC8"/>
    <w:rsid w:val="003C71AB"/>
    <w:rsid w:val="003C7A68"/>
    <w:rsid w:val="003D14C4"/>
    <w:rsid w:val="003E003F"/>
    <w:rsid w:val="003E17FA"/>
    <w:rsid w:val="003E1836"/>
    <w:rsid w:val="003E2560"/>
    <w:rsid w:val="003E2DD3"/>
    <w:rsid w:val="003F2472"/>
    <w:rsid w:val="003F45E1"/>
    <w:rsid w:val="00402184"/>
    <w:rsid w:val="00403D5F"/>
    <w:rsid w:val="0040411A"/>
    <w:rsid w:val="004067C0"/>
    <w:rsid w:val="004144DC"/>
    <w:rsid w:val="004161BF"/>
    <w:rsid w:val="004165C9"/>
    <w:rsid w:val="004217B5"/>
    <w:rsid w:val="00422A1D"/>
    <w:rsid w:val="00422F7B"/>
    <w:rsid w:val="004240DE"/>
    <w:rsid w:val="0043457B"/>
    <w:rsid w:val="00437ACB"/>
    <w:rsid w:val="00442C5A"/>
    <w:rsid w:val="00443CE9"/>
    <w:rsid w:val="00443E1F"/>
    <w:rsid w:val="00445DB1"/>
    <w:rsid w:val="00446E8F"/>
    <w:rsid w:val="00460BA2"/>
    <w:rsid w:val="00461A1D"/>
    <w:rsid w:val="00462A51"/>
    <w:rsid w:val="00462ED8"/>
    <w:rsid w:val="004666BF"/>
    <w:rsid w:val="00466724"/>
    <w:rsid w:val="00466D97"/>
    <w:rsid w:val="00467EDC"/>
    <w:rsid w:val="00472D53"/>
    <w:rsid w:val="004827A2"/>
    <w:rsid w:val="004837C7"/>
    <w:rsid w:val="0049134C"/>
    <w:rsid w:val="00492A78"/>
    <w:rsid w:val="00494729"/>
    <w:rsid w:val="004972C3"/>
    <w:rsid w:val="004A20E3"/>
    <w:rsid w:val="004B1A5E"/>
    <w:rsid w:val="004B2CA0"/>
    <w:rsid w:val="004B36A1"/>
    <w:rsid w:val="004B411A"/>
    <w:rsid w:val="004B57FD"/>
    <w:rsid w:val="004B5FFA"/>
    <w:rsid w:val="004B7A4E"/>
    <w:rsid w:val="004C321E"/>
    <w:rsid w:val="004C4387"/>
    <w:rsid w:val="004D4E56"/>
    <w:rsid w:val="004D5111"/>
    <w:rsid w:val="004D7360"/>
    <w:rsid w:val="004E4C82"/>
    <w:rsid w:val="004E5255"/>
    <w:rsid w:val="004E66EF"/>
    <w:rsid w:val="004E70DB"/>
    <w:rsid w:val="004F370F"/>
    <w:rsid w:val="00502923"/>
    <w:rsid w:val="00505EC1"/>
    <w:rsid w:val="005068F4"/>
    <w:rsid w:val="00511453"/>
    <w:rsid w:val="005119B0"/>
    <w:rsid w:val="00522205"/>
    <w:rsid w:val="00525253"/>
    <w:rsid w:val="00525807"/>
    <w:rsid w:val="00525831"/>
    <w:rsid w:val="005258E7"/>
    <w:rsid w:val="00525911"/>
    <w:rsid w:val="005260BE"/>
    <w:rsid w:val="005278F6"/>
    <w:rsid w:val="00537B4C"/>
    <w:rsid w:val="005412A4"/>
    <w:rsid w:val="0054164C"/>
    <w:rsid w:val="00541E43"/>
    <w:rsid w:val="00543494"/>
    <w:rsid w:val="0054555D"/>
    <w:rsid w:val="005460E0"/>
    <w:rsid w:val="005520EE"/>
    <w:rsid w:val="0055264E"/>
    <w:rsid w:val="00554025"/>
    <w:rsid w:val="00554E86"/>
    <w:rsid w:val="00562170"/>
    <w:rsid w:val="0056282E"/>
    <w:rsid w:val="00562D00"/>
    <w:rsid w:val="00563B19"/>
    <w:rsid w:val="0056520D"/>
    <w:rsid w:val="00566F92"/>
    <w:rsid w:val="00567BDB"/>
    <w:rsid w:val="00570330"/>
    <w:rsid w:val="00570BCE"/>
    <w:rsid w:val="00572DAC"/>
    <w:rsid w:val="00573F5C"/>
    <w:rsid w:val="0057692D"/>
    <w:rsid w:val="00577E4D"/>
    <w:rsid w:val="00580842"/>
    <w:rsid w:val="00580D67"/>
    <w:rsid w:val="00580F30"/>
    <w:rsid w:val="0058194C"/>
    <w:rsid w:val="00586BD6"/>
    <w:rsid w:val="00587AD2"/>
    <w:rsid w:val="005903E9"/>
    <w:rsid w:val="00593548"/>
    <w:rsid w:val="00594C69"/>
    <w:rsid w:val="00595E99"/>
    <w:rsid w:val="00596700"/>
    <w:rsid w:val="005A0E80"/>
    <w:rsid w:val="005A1935"/>
    <w:rsid w:val="005A200F"/>
    <w:rsid w:val="005A2873"/>
    <w:rsid w:val="005A4D1F"/>
    <w:rsid w:val="005A5BAF"/>
    <w:rsid w:val="005B0522"/>
    <w:rsid w:val="005B123C"/>
    <w:rsid w:val="005B2B11"/>
    <w:rsid w:val="005B3DD7"/>
    <w:rsid w:val="005B4012"/>
    <w:rsid w:val="005B7098"/>
    <w:rsid w:val="005C439D"/>
    <w:rsid w:val="005C5556"/>
    <w:rsid w:val="005D0A4E"/>
    <w:rsid w:val="005D3281"/>
    <w:rsid w:val="005D39C4"/>
    <w:rsid w:val="005D67F9"/>
    <w:rsid w:val="005E0AF0"/>
    <w:rsid w:val="005E2BCF"/>
    <w:rsid w:val="005E43AA"/>
    <w:rsid w:val="005E43C0"/>
    <w:rsid w:val="005F24BC"/>
    <w:rsid w:val="005F2ADC"/>
    <w:rsid w:val="005F3136"/>
    <w:rsid w:val="005F322A"/>
    <w:rsid w:val="005F4785"/>
    <w:rsid w:val="005F4B6C"/>
    <w:rsid w:val="005F4F8A"/>
    <w:rsid w:val="005F5601"/>
    <w:rsid w:val="005F57CF"/>
    <w:rsid w:val="005F74F6"/>
    <w:rsid w:val="0060203F"/>
    <w:rsid w:val="00605CD2"/>
    <w:rsid w:val="00607EEE"/>
    <w:rsid w:val="0061070F"/>
    <w:rsid w:val="00610767"/>
    <w:rsid w:val="0061162E"/>
    <w:rsid w:val="0061336B"/>
    <w:rsid w:val="006135C7"/>
    <w:rsid w:val="00613D63"/>
    <w:rsid w:val="00625696"/>
    <w:rsid w:val="00625D6C"/>
    <w:rsid w:val="006263BF"/>
    <w:rsid w:val="0062673F"/>
    <w:rsid w:val="00626DE0"/>
    <w:rsid w:val="00627EC4"/>
    <w:rsid w:val="00630CE5"/>
    <w:rsid w:val="006348C5"/>
    <w:rsid w:val="00636F01"/>
    <w:rsid w:val="00637AD0"/>
    <w:rsid w:val="0064164A"/>
    <w:rsid w:val="00643A16"/>
    <w:rsid w:val="00650703"/>
    <w:rsid w:val="00650EDF"/>
    <w:rsid w:val="00652A2C"/>
    <w:rsid w:val="006549E5"/>
    <w:rsid w:val="006554E1"/>
    <w:rsid w:val="006556BF"/>
    <w:rsid w:val="006616B6"/>
    <w:rsid w:val="00661BD3"/>
    <w:rsid w:val="00663DEE"/>
    <w:rsid w:val="0066438B"/>
    <w:rsid w:val="00665D1F"/>
    <w:rsid w:val="00665E2A"/>
    <w:rsid w:val="0066622A"/>
    <w:rsid w:val="00666699"/>
    <w:rsid w:val="0067026D"/>
    <w:rsid w:val="00670FD9"/>
    <w:rsid w:val="00672F4E"/>
    <w:rsid w:val="00673BBB"/>
    <w:rsid w:val="00676C2D"/>
    <w:rsid w:val="00681CFE"/>
    <w:rsid w:val="00682148"/>
    <w:rsid w:val="00694495"/>
    <w:rsid w:val="00694868"/>
    <w:rsid w:val="00696AE8"/>
    <w:rsid w:val="00696B3F"/>
    <w:rsid w:val="00697227"/>
    <w:rsid w:val="006A286A"/>
    <w:rsid w:val="006A4578"/>
    <w:rsid w:val="006B12B7"/>
    <w:rsid w:val="006B271B"/>
    <w:rsid w:val="006B49B1"/>
    <w:rsid w:val="006B52F6"/>
    <w:rsid w:val="006C3316"/>
    <w:rsid w:val="006C4DF9"/>
    <w:rsid w:val="006C6DDA"/>
    <w:rsid w:val="006D3682"/>
    <w:rsid w:val="006D397D"/>
    <w:rsid w:val="006D788C"/>
    <w:rsid w:val="006E0D45"/>
    <w:rsid w:val="006E33C5"/>
    <w:rsid w:val="006F2E3D"/>
    <w:rsid w:val="006F75C2"/>
    <w:rsid w:val="006F7BB6"/>
    <w:rsid w:val="007038E6"/>
    <w:rsid w:val="00705164"/>
    <w:rsid w:val="0071094E"/>
    <w:rsid w:val="00714782"/>
    <w:rsid w:val="00714D20"/>
    <w:rsid w:val="00715DD1"/>
    <w:rsid w:val="0072146B"/>
    <w:rsid w:val="00722290"/>
    <w:rsid w:val="0072282D"/>
    <w:rsid w:val="00723690"/>
    <w:rsid w:val="00726A12"/>
    <w:rsid w:val="00726C96"/>
    <w:rsid w:val="007304E1"/>
    <w:rsid w:val="00730CBC"/>
    <w:rsid w:val="007358D3"/>
    <w:rsid w:val="00741E68"/>
    <w:rsid w:val="00745767"/>
    <w:rsid w:val="00746572"/>
    <w:rsid w:val="00746EC8"/>
    <w:rsid w:val="007474D7"/>
    <w:rsid w:val="00747D24"/>
    <w:rsid w:val="007502D6"/>
    <w:rsid w:val="007506C7"/>
    <w:rsid w:val="0075384C"/>
    <w:rsid w:val="00755AE4"/>
    <w:rsid w:val="007563CC"/>
    <w:rsid w:val="007569CA"/>
    <w:rsid w:val="007573E7"/>
    <w:rsid w:val="00757619"/>
    <w:rsid w:val="00757EA9"/>
    <w:rsid w:val="00762DF4"/>
    <w:rsid w:val="0076348D"/>
    <w:rsid w:val="00765320"/>
    <w:rsid w:val="00765485"/>
    <w:rsid w:val="007658A1"/>
    <w:rsid w:val="0077121F"/>
    <w:rsid w:val="00772E36"/>
    <w:rsid w:val="007740D9"/>
    <w:rsid w:val="00777330"/>
    <w:rsid w:val="007773C4"/>
    <w:rsid w:val="0078435A"/>
    <w:rsid w:val="00784A3F"/>
    <w:rsid w:val="00790405"/>
    <w:rsid w:val="0079089C"/>
    <w:rsid w:val="0079167F"/>
    <w:rsid w:val="00794DA9"/>
    <w:rsid w:val="00796F68"/>
    <w:rsid w:val="0079742F"/>
    <w:rsid w:val="00797D82"/>
    <w:rsid w:val="007A018A"/>
    <w:rsid w:val="007A01C0"/>
    <w:rsid w:val="007A25F0"/>
    <w:rsid w:val="007A2C14"/>
    <w:rsid w:val="007A6C01"/>
    <w:rsid w:val="007A7C1A"/>
    <w:rsid w:val="007B0A12"/>
    <w:rsid w:val="007B56F8"/>
    <w:rsid w:val="007B5BF3"/>
    <w:rsid w:val="007C159C"/>
    <w:rsid w:val="007C217E"/>
    <w:rsid w:val="007C3936"/>
    <w:rsid w:val="007C72C0"/>
    <w:rsid w:val="007C7C69"/>
    <w:rsid w:val="007C7E65"/>
    <w:rsid w:val="007D4CBE"/>
    <w:rsid w:val="007D5C0A"/>
    <w:rsid w:val="007D6833"/>
    <w:rsid w:val="007E2C96"/>
    <w:rsid w:val="007E361D"/>
    <w:rsid w:val="007E407C"/>
    <w:rsid w:val="007F1741"/>
    <w:rsid w:val="007F2DFD"/>
    <w:rsid w:val="007F3F65"/>
    <w:rsid w:val="00800AFA"/>
    <w:rsid w:val="00807EBF"/>
    <w:rsid w:val="00811541"/>
    <w:rsid w:val="00813A6F"/>
    <w:rsid w:val="00815324"/>
    <w:rsid w:val="00815566"/>
    <w:rsid w:val="008246D0"/>
    <w:rsid w:val="00824DB3"/>
    <w:rsid w:val="00826C31"/>
    <w:rsid w:val="008302A2"/>
    <w:rsid w:val="0083401B"/>
    <w:rsid w:val="00834DE7"/>
    <w:rsid w:val="0083523B"/>
    <w:rsid w:val="0083689E"/>
    <w:rsid w:val="00836E6C"/>
    <w:rsid w:val="00840BC6"/>
    <w:rsid w:val="00841BE8"/>
    <w:rsid w:val="008428F6"/>
    <w:rsid w:val="00843FE9"/>
    <w:rsid w:val="00845F9D"/>
    <w:rsid w:val="00852208"/>
    <w:rsid w:val="00854EA0"/>
    <w:rsid w:val="0086087F"/>
    <w:rsid w:val="00872719"/>
    <w:rsid w:val="008739DF"/>
    <w:rsid w:val="00880D27"/>
    <w:rsid w:val="008822F4"/>
    <w:rsid w:val="008847A2"/>
    <w:rsid w:val="00885853"/>
    <w:rsid w:val="00885DEB"/>
    <w:rsid w:val="0089228F"/>
    <w:rsid w:val="00893F93"/>
    <w:rsid w:val="00894A32"/>
    <w:rsid w:val="00895275"/>
    <w:rsid w:val="008A014F"/>
    <w:rsid w:val="008A0B64"/>
    <w:rsid w:val="008A3AF2"/>
    <w:rsid w:val="008A42AF"/>
    <w:rsid w:val="008A766A"/>
    <w:rsid w:val="008B1B81"/>
    <w:rsid w:val="008B23D4"/>
    <w:rsid w:val="008B29A3"/>
    <w:rsid w:val="008B38BA"/>
    <w:rsid w:val="008B6594"/>
    <w:rsid w:val="008B72B5"/>
    <w:rsid w:val="008C3B31"/>
    <w:rsid w:val="008C5291"/>
    <w:rsid w:val="008C67A2"/>
    <w:rsid w:val="008C7431"/>
    <w:rsid w:val="008D1E1F"/>
    <w:rsid w:val="008D245B"/>
    <w:rsid w:val="008D5137"/>
    <w:rsid w:val="008D5A95"/>
    <w:rsid w:val="008E155B"/>
    <w:rsid w:val="008E1713"/>
    <w:rsid w:val="008E2308"/>
    <w:rsid w:val="008E2334"/>
    <w:rsid w:val="008E31D2"/>
    <w:rsid w:val="008E5F2A"/>
    <w:rsid w:val="008E6502"/>
    <w:rsid w:val="008E7AA2"/>
    <w:rsid w:val="008F141B"/>
    <w:rsid w:val="008F258A"/>
    <w:rsid w:val="008F4C53"/>
    <w:rsid w:val="008F565D"/>
    <w:rsid w:val="008F5BCE"/>
    <w:rsid w:val="008F69BB"/>
    <w:rsid w:val="008F77A7"/>
    <w:rsid w:val="008F78F4"/>
    <w:rsid w:val="00900126"/>
    <w:rsid w:val="00901394"/>
    <w:rsid w:val="0090481E"/>
    <w:rsid w:val="0091224C"/>
    <w:rsid w:val="00912AB6"/>
    <w:rsid w:val="00913D94"/>
    <w:rsid w:val="00913DD9"/>
    <w:rsid w:val="0091488F"/>
    <w:rsid w:val="00915932"/>
    <w:rsid w:val="00916947"/>
    <w:rsid w:val="009171F1"/>
    <w:rsid w:val="009178B3"/>
    <w:rsid w:val="00917C1A"/>
    <w:rsid w:val="00925DF3"/>
    <w:rsid w:val="00927B9D"/>
    <w:rsid w:val="00937971"/>
    <w:rsid w:val="00940959"/>
    <w:rsid w:val="00940A90"/>
    <w:rsid w:val="009424B9"/>
    <w:rsid w:val="00944B89"/>
    <w:rsid w:val="00950DEA"/>
    <w:rsid w:val="009549B6"/>
    <w:rsid w:val="00957C49"/>
    <w:rsid w:val="0096027F"/>
    <w:rsid w:val="009603A4"/>
    <w:rsid w:val="00960E16"/>
    <w:rsid w:val="0096318F"/>
    <w:rsid w:val="00967ED1"/>
    <w:rsid w:val="009702CD"/>
    <w:rsid w:val="00970632"/>
    <w:rsid w:val="009707F9"/>
    <w:rsid w:val="00973192"/>
    <w:rsid w:val="00973F63"/>
    <w:rsid w:val="00973F8C"/>
    <w:rsid w:val="0097401A"/>
    <w:rsid w:val="009742BF"/>
    <w:rsid w:val="00976421"/>
    <w:rsid w:val="00977B9E"/>
    <w:rsid w:val="00977F7C"/>
    <w:rsid w:val="00981F4F"/>
    <w:rsid w:val="00984022"/>
    <w:rsid w:val="009845C6"/>
    <w:rsid w:val="00985B73"/>
    <w:rsid w:val="00987CDC"/>
    <w:rsid w:val="00993B8B"/>
    <w:rsid w:val="00995048"/>
    <w:rsid w:val="00997D4D"/>
    <w:rsid w:val="009A1C1D"/>
    <w:rsid w:val="009A3684"/>
    <w:rsid w:val="009A6BB8"/>
    <w:rsid w:val="009A7E9E"/>
    <w:rsid w:val="009B0240"/>
    <w:rsid w:val="009B122D"/>
    <w:rsid w:val="009B2E48"/>
    <w:rsid w:val="009C05D5"/>
    <w:rsid w:val="009C60EA"/>
    <w:rsid w:val="009C662D"/>
    <w:rsid w:val="009D3405"/>
    <w:rsid w:val="009D3649"/>
    <w:rsid w:val="009E324F"/>
    <w:rsid w:val="009E4F34"/>
    <w:rsid w:val="009E70EF"/>
    <w:rsid w:val="009F0F87"/>
    <w:rsid w:val="009F4079"/>
    <w:rsid w:val="00A04388"/>
    <w:rsid w:val="00A10CC9"/>
    <w:rsid w:val="00A10F85"/>
    <w:rsid w:val="00A17307"/>
    <w:rsid w:val="00A20A2A"/>
    <w:rsid w:val="00A25022"/>
    <w:rsid w:val="00A2540F"/>
    <w:rsid w:val="00A3059E"/>
    <w:rsid w:val="00A3080D"/>
    <w:rsid w:val="00A321D8"/>
    <w:rsid w:val="00A33BC0"/>
    <w:rsid w:val="00A36FE0"/>
    <w:rsid w:val="00A37001"/>
    <w:rsid w:val="00A37C74"/>
    <w:rsid w:val="00A41E84"/>
    <w:rsid w:val="00A44A4F"/>
    <w:rsid w:val="00A44F86"/>
    <w:rsid w:val="00A47015"/>
    <w:rsid w:val="00A51B7E"/>
    <w:rsid w:val="00A52E52"/>
    <w:rsid w:val="00A57560"/>
    <w:rsid w:val="00A620F0"/>
    <w:rsid w:val="00A677A0"/>
    <w:rsid w:val="00A7428A"/>
    <w:rsid w:val="00A757B8"/>
    <w:rsid w:val="00A808F6"/>
    <w:rsid w:val="00A81AA1"/>
    <w:rsid w:val="00A81EFF"/>
    <w:rsid w:val="00A82899"/>
    <w:rsid w:val="00A838B7"/>
    <w:rsid w:val="00A85E54"/>
    <w:rsid w:val="00A90132"/>
    <w:rsid w:val="00A93AEC"/>
    <w:rsid w:val="00A942ED"/>
    <w:rsid w:val="00A9431A"/>
    <w:rsid w:val="00A94C24"/>
    <w:rsid w:val="00A9565E"/>
    <w:rsid w:val="00A96ABD"/>
    <w:rsid w:val="00A96BEA"/>
    <w:rsid w:val="00AA0A42"/>
    <w:rsid w:val="00AA13EF"/>
    <w:rsid w:val="00AA42A2"/>
    <w:rsid w:val="00AA6338"/>
    <w:rsid w:val="00AA7952"/>
    <w:rsid w:val="00AB4558"/>
    <w:rsid w:val="00AB51E7"/>
    <w:rsid w:val="00AB6372"/>
    <w:rsid w:val="00AB7A25"/>
    <w:rsid w:val="00AC2A5F"/>
    <w:rsid w:val="00AC3289"/>
    <w:rsid w:val="00AC40A2"/>
    <w:rsid w:val="00AC5D0F"/>
    <w:rsid w:val="00AD125F"/>
    <w:rsid w:val="00AD1DBA"/>
    <w:rsid w:val="00AD2FE3"/>
    <w:rsid w:val="00AD4321"/>
    <w:rsid w:val="00AD59DE"/>
    <w:rsid w:val="00AD5F57"/>
    <w:rsid w:val="00AE3947"/>
    <w:rsid w:val="00AE5141"/>
    <w:rsid w:val="00AE6102"/>
    <w:rsid w:val="00AE64FA"/>
    <w:rsid w:val="00AE66E5"/>
    <w:rsid w:val="00AE7791"/>
    <w:rsid w:val="00AE7A97"/>
    <w:rsid w:val="00AF518D"/>
    <w:rsid w:val="00AF5DAC"/>
    <w:rsid w:val="00AF7D8D"/>
    <w:rsid w:val="00B00FDB"/>
    <w:rsid w:val="00B07741"/>
    <w:rsid w:val="00B10BAD"/>
    <w:rsid w:val="00B11BA8"/>
    <w:rsid w:val="00B15ABA"/>
    <w:rsid w:val="00B15BA9"/>
    <w:rsid w:val="00B20E35"/>
    <w:rsid w:val="00B20FBD"/>
    <w:rsid w:val="00B255FC"/>
    <w:rsid w:val="00B330DB"/>
    <w:rsid w:val="00B334D3"/>
    <w:rsid w:val="00B335CE"/>
    <w:rsid w:val="00B34FDB"/>
    <w:rsid w:val="00B36811"/>
    <w:rsid w:val="00B368D9"/>
    <w:rsid w:val="00B421E3"/>
    <w:rsid w:val="00B42F5C"/>
    <w:rsid w:val="00B43C47"/>
    <w:rsid w:val="00B45AA1"/>
    <w:rsid w:val="00B52C5F"/>
    <w:rsid w:val="00B540ED"/>
    <w:rsid w:val="00B5516A"/>
    <w:rsid w:val="00B6042B"/>
    <w:rsid w:val="00B6089B"/>
    <w:rsid w:val="00B61DE0"/>
    <w:rsid w:val="00B62604"/>
    <w:rsid w:val="00B62C09"/>
    <w:rsid w:val="00B62C30"/>
    <w:rsid w:val="00B63298"/>
    <w:rsid w:val="00B63DFA"/>
    <w:rsid w:val="00B75D39"/>
    <w:rsid w:val="00B760DF"/>
    <w:rsid w:val="00B77867"/>
    <w:rsid w:val="00B82D41"/>
    <w:rsid w:val="00B8400F"/>
    <w:rsid w:val="00B85DCB"/>
    <w:rsid w:val="00B85FE2"/>
    <w:rsid w:val="00B861B3"/>
    <w:rsid w:val="00B90A6B"/>
    <w:rsid w:val="00B922A7"/>
    <w:rsid w:val="00B93B4B"/>
    <w:rsid w:val="00B977A0"/>
    <w:rsid w:val="00BA07C4"/>
    <w:rsid w:val="00BA2CDD"/>
    <w:rsid w:val="00BA3D9B"/>
    <w:rsid w:val="00BA4A20"/>
    <w:rsid w:val="00BA50BB"/>
    <w:rsid w:val="00BA76BC"/>
    <w:rsid w:val="00BA7FED"/>
    <w:rsid w:val="00BB134B"/>
    <w:rsid w:val="00BB73A0"/>
    <w:rsid w:val="00BC1BB8"/>
    <w:rsid w:val="00BC2B9C"/>
    <w:rsid w:val="00BC3ECF"/>
    <w:rsid w:val="00BD3682"/>
    <w:rsid w:val="00BD446E"/>
    <w:rsid w:val="00BD452B"/>
    <w:rsid w:val="00BD765F"/>
    <w:rsid w:val="00BE302C"/>
    <w:rsid w:val="00BE5F05"/>
    <w:rsid w:val="00BF063E"/>
    <w:rsid w:val="00BF127F"/>
    <w:rsid w:val="00BF58B6"/>
    <w:rsid w:val="00BF7536"/>
    <w:rsid w:val="00BF7E13"/>
    <w:rsid w:val="00C04905"/>
    <w:rsid w:val="00C04B3F"/>
    <w:rsid w:val="00C04FDA"/>
    <w:rsid w:val="00C05024"/>
    <w:rsid w:val="00C073DB"/>
    <w:rsid w:val="00C10D60"/>
    <w:rsid w:val="00C13452"/>
    <w:rsid w:val="00C13965"/>
    <w:rsid w:val="00C14FDB"/>
    <w:rsid w:val="00C1560A"/>
    <w:rsid w:val="00C16DB9"/>
    <w:rsid w:val="00C22F87"/>
    <w:rsid w:val="00C23D4B"/>
    <w:rsid w:val="00C23DB7"/>
    <w:rsid w:val="00C2497D"/>
    <w:rsid w:val="00C25458"/>
    <w:rsid w:val="00C25D54"/>
    <w:rsid w:val="00C274E6"/>
    <w:rsid w:val="00C325A2"/>
    <w:rsid w:val="00C326A6"/>
    <w:rsid w:val="00C34FD5"/>
    <w:rsid w:val="00C43515"/>
    <w:rsid w:val="00C43B81"/>
    <w:rsid w:val="00C44D46"/>
    <w:rsid w:val="00C4594C"/>
    <w:rsid w:val="00C46010"/>
    <w:rsid w:val="00C46D0D"/>
    <w:rsid w:val="00C50B3C"/>
    <w:rsid w:val="00C5351A"/>
    <w:rsid w:val="00C55346"/>
    <w:rsid w:val="00C61496"/>
    <w:rsid w:val="00C6265F"/>
    <w:rsid w:val="00C631E0"/>
    <w:rsid w:val="00C64FEE"/>
    <w:rsid w:val="00C65E25"/>
    <w:rsid w:val="00C76E90"/>
    <w:rsid w:val="00C824F5"/>
    <w:rsid w:val="00C87B22"/>
    <w:rsid w:val="00C93774"/>
    <w:rsid w:val="00C9483A"/>
    <w:rsid w:val="00C9490F"/>
    <w:rsid w:val="00C97E2F"/>
    <w:rsid w:val="00CA11AB"/>
    <w:rsid w:val="00CA6397"/>
    <w:rsid w:val="00CB4D3D"/>
    <w:rsid w:val="00CD4A0C"/>
    <w:rsid w:val="00CD5508"/>
    <w:rsid w:val="00CD6E52"/>
    <w:rsid w:val="00CD6FE9"/>
    <w:rsid w:val="00CE02E7"/>
    <w:rsid w:val="00CE0A36"/>
    <w:rsid w:val="00CE1E70"/>
    <w:rsid w:val="00CE2723"/>
    <w:rsid w:val="00CE28B2"/>
    <w:rsid w:val="00CE3E00"/>
    <w:rsid w:val="00CE4484"/>
    <w:rsid w:val="00CE4D9C"/>
    <w:rsid w:val="00CE4E11"/>
    <w:rsid w:val="00CE570E"/>
    <w:rsid w:val="00CE6EDD"/>
    <w:rsid w:val="00CE7B9E"/>
    <w:rsid w:val="00CE7F2E"/>
    <w:rsid w:val="00CF2225"/>
    <w:rsid w:val="00CF3BF7"/>
    <w:rsid w:val="00CF67BE"/>
    <w:rsid w:val="00CF7534"/>
    <w:rsid w:val="00D02349"/>
    <w:rsid w:val="00D03119"/>
    <w:rsid w:val="00D03A97"/>
    <w:rsid w:val="00D04257"/>
    <w:rsid w:val="00D04820"/>
    <w:rsid w:val="00D06633"/>
    <w:rsid w:val="00D06A93"/>
    <w:rsid w:val="00D11960"/>
    <w:rsid w:val="00D1296D"/>
    <w:rsid w:val="00D154CE"/>
    <w:rsid w:val="00D20006"/>
    <w:rsid w:val="00D20F7A"/>
    <w:rsid w:val="00D236A3"/>
    <w:rsid w:val="00D23CBA"/>
    <w:rsid w:val="00D25707"/>
    <w:rsid w:val="00D338CE"/>
    <w:rsid w:val="00D349F5"/>
    <w:rsid w:val="00D350E3"/>
    <w:rsid w:val="00D367AB"/>
    <w:rsid w:val="00D40CBB"/>
    <w:rsid w:val="00D516DD"/>
    <w:rsid w:val="00D5649B"/>
    <w:rsid w:val="00D603AE"/>
    <w:rsid w:val="00D61E4B"/>
    <w:rsid w:val="00D63209"/>
    <w:rsid w:val="00D63ECA"/>
    <w:rsid w:val="00D650BD"/>
    <w:rsid w:val="00D65792"/>
    <w:rsid w:val="00D701A0"/>
    <w:rsid w:val="00D73682"/>
    <w:rsid w:val="00D81C0C"/>
    <w:rsid w:val="00D83B62"/>
    <w:rsid w:val="00D83C96"/>
    <w:rsid w:val="00D871FE"/>
    <w:rsid w:val="00D93823"/>
    <w:rsid w:val="00D93AA1"/>
    <w:rsid w:val="00D958C1"/>
    <w:rsid w:val="00DA02A8"/>
    <w:rsid w:val="00DA05B7"/>
    <w:rsid w:val="00DA110D"/>
    <w:rsid w:val="00DA3D01"/>
    <w:rsid w:val="00DA6E23"/>
    <w:rsid w:val="00DB14EF"/>
    <w:rsid w:val="00DB1ED1"/>
    <w:rsid w:val="00DB3BC8"/>
    <w:rsid w:val="00DB3CF0"/>
    <w:rsid w:val="00DC085D"/>
    <w:rsid w:val="00DC0996"/>
    <w:rsid w:val="00DC1D53"/>
    <w:rsid w:val="00DC2DE3"/>
    <w:rsid w:val="00DC32CC"/>
    <w:rsid w:val="00DC509D"/>
    <w:rsid w:val="00DD1935"/>
    <w:rsid w:val="00DD4245"/>
    <w:rsid w:val="00DD48EB"/>
    <w:rsid w:val="00DD4974"/>
    <w:rsid w:val="00DE3421"/>
    <w:rsid w:val="00DE4E89"/>
    <w:rsid w:val="00DE4F9B"/>
    <w:rsid w:val="00DE5946"/>
    <w:rsid w:val="00DE63BC"/>
    <w:rsid w:val="00DF0102"/>
    <w:rsid w:val="00DF49ED"/>
    <w:rsid w:val="00DF6135"/>
    <w:rsid w:val="00DF71DB"/>
    <w:rsid w:val="00DF762C"/>
    <w:rsid w:val="00E00E7D"/>
    <w:rsid w:val="00E0197F"/>
    <w:rsid w:val="00E0407B"/>
    <w:rsid w:val="00E047E4"/>
    <w:rsid w:val="00E0566C"/>
    <w:rsid w:val="00E13BDA"/>
    <w:rsid w:val="00E1404D"/>
    <w:rsid w:val="00E14337"/>
    <w:rsid w:val="00E155F4"/>
    <w:rsid w:val="00E15939"/>
    <w:rsid w:val="00E204FA"/>
    <w:rsid w:val="00E220C0"/>
    <w:rsid w:val="00E25932"/>
    <w:rsid w:val="00E30E59"/>
    <w:rsid w:val="00E31041"/>
    <w:rsid w:val="00E329D8"/>
    <w:rsid w:val="00E4531D"/>
    <w:rsid w:val="00E45CC6"/>
    <w:rsid w:val="00E45EB0"/>
    <w:rsid w:val="00E57CED"/>
    <w:rsid w:val="00E6268C"/>
    <w:rsid w:val="00E63328"/>
    <w:rsid w:val="00E63D88"/>
    <w:rsid w:val="00E64AE9"/>
    <w:rsid w:val="00E65BC8"/>
    <w:rsid w:val="00E724C0"/>
    <w:rsid w:val="00E74FD7"/>
    <w:rsid w:val="00E776F8"/>
    <w:rsid w:val="00E83054"/>
    <w:rsid w:val="00E832CA"/>
    <w:rsid w:val="00E84255"/>
    <w:rsid w:val="00E9198F"/>
    <w:rsid w:val="00E92A9B"/>
    <w:rsid w:val="00E944C0"/>
    <w:rsid w:val="00E9545F"/>
    <w:rsid w:val="00E97B95"/>
    <w:rsid w:val="00EA13A0"/>
    <w:rsid w:val="00EA148A"/>
    <w:rsid w:val="00EA172F"/>
    <w:rsid w:val="00EA1984"/>
    <w:rsid w:val="00EA479A"/>
    <w:rsid w:val="00EA5015"/>
    <w:rsid w:val="00EA5EA3"/>
    <w:rsid w:val="00EB13DC"/>
    <w:rsid w:val="00EB3C7A"/>
    <w:rsid w:val="00EB6037"/>
    <w:rsid w:val="00EB78BF"/>
    <w:rsid w:val="00EC0541"/>
    <w:rsid w:val="00EC1E57"/>
    <w:rsid w:val="00EC4285"/>
    <w:rsid w:val="00EC61BE"/>
    <w:rsid w:val="00EC76D4"/>
    <w:rsid w:val="00ED391C"/>
    <w:rsid w:val="00ED3D7F"/>
    <w:rsid w:val="00ED3F4B"/>
    <w:rsid w:val="00ED78C7"/>
    <w:rsid w:val="00EE44BA"/>
    <w:rsid w:val="00EE478D"/>
    <w:rsid w:val="00EE569D"/>
    <w:rsid w:val="00EF4B30"/>
    <w:rsid w:val="00EF590C"/>
    <w:rsid w:val="00F00806"/>
    <w:rsid w:val="00F01767"/>
    <w:rsid w:val="00F01D8B"/>
    <w:rsid w:val="00F0420F"/>
    <w:rsid w:val="00F04743"/>
    <w:rsid w:val="00F05458"/>
    <w:rsid w:val="00F0587F"/>
    <w:rsid w:val="00F1046F"/>
    <w:rsid w:val="00F13890"/>
    <w:rsid w:val="00F15802"/>
    <w:rsid w:val="00F1631F"/>
    <w:rsid w:val="00F21365"/>
    <w:rsid w:val="00F21F7D"/>
    <w:rsid w:val="00F22291"/>
    <w:rsid w:val="00F233B8"/>
    <w:rsid w:val="00F2406D"/>
    <w:rsid w:val="00F24DDE"/>
    <w:rsid w:val="00F27F80"/>
    <w:rsid w:val="00F302D9"/>
    <w:rsid w:val="00F30403"/>
    <w:rsid w:val="00F30460"/>
    <w:rsid w:val="00F33401"/>
    <w:rsid w:val="00F34D5F"/>
    <w:rsid w:val="00F36213"/>
    <w:rsid w:val="00F37D49"/>
    <w:rsid w:val="00F4190F"/>
    <w:rsid w:val="00F42167"/>
    <w:rsid w:val="00F47068"/>
    <w:rsid w:val="00F51EB4"/>
    <w:rsid w:val="00F65326"/>
    <w:rsid w:val="00F67C37"/>
    <w:rsid w:val="00F73A48"/>
    <w:rsid w:val="00F7717E"/>
    <w:rsid w:val="00F81355"/>
    <w:rsid w:val="00F82736"/>
    <w:rsid w:val="00F87832"/>
    <w:rsid w:val="00F90229"/>
    <w:rsid w:val="00F9068C"/>
    <w:rsid w:val="00F972E6"/>
    <w:rsid w:val="00FA0D9A"/>
    <w:rsid w:val="00FA3201"/>
    <w:rsid w:val="00FA3B0E"/>
    <w:rsid w:val="00FA79E1"/>
    <w:rsid w:val="00FB0139"/>
    <w:rsid w:val="00FB04C4"/>
    <w:rsid w:val="00FB1971"/>
    <w:rsid w:val="00FB1B57"/>
    <w:rsid w:val="00FB2684"/>
    <w:rsid w:val="00FB63C3"/>
    <w:rsid w:val="00FC04FA"/>
    <w:rsid w:val="00FC1048"/>
    <w:rsid w:val="00FC56BE"/>
    <w:rsid w:val="00FD16CC"/>
    <w:rsid w:val="00FD4D0F"/>
    <w:rsid w:val="00FD6553"/>
    <w:rsid w:val="00FD6BED"/>
    <w:rsid w:val="00FD733E"/>
    <w:rsid w:val="00FD7C82"/>
    <w:rsid w:val="00FE304E"/>
    <w:rsid w:val="00FE5799"/>
    <w:rsid w:val="00FE5E61"/>
    <w:rsid w:val="00FE6E6F"/>
    <w:rsid w:val="00FF4A6B"/>
    <w:rsid w:val="00FF4D4A"/>
    <w:rsid w:val="00FF52BB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2AAE3D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S Mincho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B3BC8"/>
    <w:rPr>
      <w:rFonts w:ascii="Times New Roman" w:eastAsia="Times New Roman" w:hAnsi="Times New Roman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6556BF"/>
    <w:pPr>
      <w:keepNext/>
      <w:numPr>
        <w:numId w:val="1"/>
      </w:numPr>
      <w:tabs>
        <w:tab w:val="clear" w:pos="3544"/>
        <w:tab w:val="left" w:pos="1134"/>
      </w:tabs>
      <w:spacing w:before="240" w:after="60"/>
      <w:ind w:left="567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2552B2"/>
    <w:pPr>
      <w:keepNext/>
      <w:numPr>
        <w:ilvl w:val="2"/>
        <w:numId w:val="1"/>
      </w:numPr>
      <w:spacing w:before="240" w:after="60"/>
      <w:ind w:left="0" w:firstLine="0"/>
      <w:outlineLvl w:val="2"/>
    </w:pPr>
    <w:rPr>
      <w:rFonts w:ascii="Arial" w:eastAsia="MS Mincho" w:hAnsi="Arial" w:cs="Arial"/>
      <w:b/>
      <w:bCs/>
      <w:i/>
      <w:szCs w:val="26"/>
      <w:u w:val="singl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6556BF"/>
    <w:rPr>
      <w:rFonts w:ascii="Helvetica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link w:val="Heading2"/>
    <w:rsid w:val="00FE5799"/>
    <w:rPr>
      <w:rFonts w:ascii="Helvetica" w:hAnsi="Helvetica" w:cs="Arial"/>
      <w:b/>
      <w:bCs/>
      <w:iCs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2552B2"/>
    <w:rPr>
      <w:rFonts w:ascii="Arial" w:hAnsi="Arial" w:cs="Arial"/>
      <w:b/>
      <w:bCs/>
      <w:i/>
      <w:szCs w:val="26"/>
      <w:u w:val="singl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E5799"/>
    <w:rPr>
      <w:rFonts w:ascii="Times New Roman" w:hAnsi="Times New Roman"/>
      <w:b/>
      <w:bCs/>
      <w:sz w:val="28"/>
      <w:szCs w:val="28"/>
    </w:rPr>
  </w:style>
  <w:style w:type="character" w:customStyle="1" w:styleId="Heading5Char">
    <w:name w:val="Heading 5 Char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uiPriority w:val="99"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S Mincho" w:hAnsi="Arial"/>
      <w:szCs w:val="20"/>
      <w:lang w:val="en-GB" w:eastAsia="zh-CN"/>
    </w:rPr>
  </w:style>
  <w:style w:type="character" w:customStyle="1" w:styleId="CommentTextChar">
    <w:name w:val="Comment Text Char"/>
    <w:link w:val="CommentText"/>
    <w:uiPriority w:val="99"/>
    <w:rsid w:val="0061336B"/>
    <w:rPr>
      <w:rFonts w:ascii="Arial" w:eastAsia="MS Mincho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A76BC"/>
    <w:pPr>
      <w:ind w:left="720"/>
      <w:contextualSpacing/>
    </w:pPr>
  </w:style>
  <w:style w:type="character" w:styleId="PlaceholderText">
    <w:name w:val="Placeholder Text"/>
    <w:uiPriority w:val="99"/>
    <w:semiHidden/>
    <w:rsid w:val="0056282E"/>
    <w:rPr>
      <w:color w:val="808080"/>
    </w:rPr>
  </w:style>
  <w:style w:type="table" w:styleId="TableGrid">
    <w:name w:val="Table Grid"/>
    <w:basedOn w:val="TableNormal"/>
    <w:uiPriority w:val="59"/>
    <w:rsid w:val="008608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6">
    <w:name w:val="H6"/>
    <w:basedOn w:val="Heading5"/>
    <w:next w:val="Normal"/>
    <w:link w:val="H6Char"/>
    <w:rsid w:val="00DC509D"/>
    <w:pPr>
      <w:keepNext/>
      <w:keepLines/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 w:eastAsia="x-none"/>
    </w:rPr>
  </w:style>
  <w:style w:type="character" w:customStyle="1" w:styleId="H6Char">
    <w:name w:val="H6 Char"/>
    <w:link w:val="H6"/>
    <w:rsid w:val="00DC509D"/>
    <w:rPr>
      <w:rFonts w:ascii="Arial" w:eastAsia="Times New Roman" w:hAnsi="Arial" w:cs="Times New Roman"/>
      <w:sz w:val="20"/>
      <w:szCs w:val="20"/>
      <w:lang w:val="en-GB" w:eastAsia="x-none"/>
    </w:rPr>
  </w:style>
  <w:style w:type="paragraph" w:customStyle="1" w:styleId="B2">
    <w:name w:val="B2"/>
    <w:basedOn w:val="List2"/>
    <w:link w:val="B2Char"/>
    <w:qFormat/>
    <w:rsid w:val="00DC509D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szCs w:val="20"/>
      <w:lang w:val="en-GB" w:eastAsia="ko-KR"/>
    </w:rPr>
  </w:style>
  <w:style w:type="paragraph" w:styleId="List2">
    <w:name w:val="List 2"/>
    <w:basedOn w:val="Normal"/>
    <w:uiPriority w:val="99"/>
    <w:semiHidden/>
    <w:unhideWhenUsed/>
    <w:rsid w:val="00DC509D"/>
    <w:pPr>
      <w:ind w:left="720" w:hanging="360"/>
      <w:contextualSpacing/>
    </w:pPr>
  </w:style>
  <w:style w:type="paragraph" w:customStyle="1" w:styleId="Proposal">
    <w:name w:val="Proposal"/>
    <w:basedOn w:val="Normal"/>
    <w:qFormat/>
    <w:rsid w:val="00EC4285"/>
    <w:pPr>
      <w:numPr>
        <w:numId w:val="2"/>
      </w:numPr>
      <w:tabs>
        <w:tab w:val="clear" w:pos="1304"/>
        <w:tab w:val="left" w:pos="1701"/>
      </w:tabs>
      <w:spacing w:after="160" w:line="259" w:lineRule="auto"/>
      <w:ind w:left="1701" w:hanging="1701"/>
    </w:pPr>
    <w:rPr>
      <w:rFonts w:ascii="Calibri" w:eastAsia="Calibri" w:hAnsi="Calibri"/>
      <w:b/>
      <w:bCs/>
      <w:sz w:val="22"/>
      <w:szCs w:val="22"/>
    </w:rPr>
  </w:style>
  <w:style w:type="paragraph" w:styleId="TOC1">
    <w:name w:val="toc 1"/>
    <w:aliases w:val="Observation TOC2"/>
    <w:uiPriority w:val="39"/>
    <w:rsid w:val="0089527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eastAsia="Times New Roman" w:hAnsi="Times New Roman"/>
      <w:b/>
      <w:noProof/>
      <w:szCs w:val="22"/>
      <w:lang w:eastAsia="zh-CN"/>
    </w:rPr>
  </w:style>
  <w:style w:type="paragraph" w:styleId="TOC4">
    <w:name w:val="toc 4"/>
    <w:basedOn w:val="TOC3"/>
    <w:semiHidden/>
    <w:rsid w:val="00895275"/>
    <w:pPr>
      <w:keepLines/>
      <w:widowControl w:val="0"/>
      <w:tabs>
        <w:tab w:val="left" w:pos="1701"/>
      </w:tabs>
      <w:overflowPunct w:val="0"/>
      <w:autoSpaceDE w:val="0"/>
      <w:autoSpaceDN w:val="0"/>
      <w:adjustRightInd w:val="0"/>
      <w:ind w:left="1418" w:hanging="1418"/>
      <w:textAlignment w:val="baseline"/>
    </w:pPr>
    <w:rPr>
      <w:b/>
      <w:noProof/>
      <w:szCs w:val="20"/>
      <w:lang w:eastAsia="zh-CN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895275"/>
    <w:pPr>
      <w:ind w:left="400"/>
    </w:pPr>
  </w:style>
  <w:style w:type="paragraph" w:customStyle="1" w:styleId="B1">
    <w:name w:val="B1"/>
    <w:basedOn w:val="Normal"/>
    <w:link w:val="B1Zchn"/>
    <w:rsid w:val="00AE6102"/>
    <w:pPr>
      <w:spacing w:after="180"/>
      <w:ind w:left="568" w:hanging="284"/>
    </w:pPr>
    <w:rPr>
      <w:szCs w:val="20"/>
      <w:lang w:val="x-none"/>
    </w:rPr>
  </w:style>
  <w:style w:type="character" w:customStyle="1" w:styleId="B1Zchn">
    <w:name w:val="B1 Zchn"/>
    <w:link w:val="B1"/>
    <w:rsid w:val="00AE6102"/>
    <w:rPr>
      <w:rFonts w:ascii="Times New Roman" w:eastAsia="Times New Roman" w:hAnsi="Times New Roman"/>
      <w:lang w:val="x-none"/>
    </w:rPr>
  </w:style>
  <w:style w:type="character" w:customStyle="1" w:styleId="B2Char">
    <w:name w:val="B2 Char"/>
    <w:link w:val="B2"/>
    <w:rsid w:val="00B75D39"/>
    <w:rPr>
      <w:rFonts w:ascii="Times New Roman" w:eastAsia="Times New Roman" w:hAnsi="Times New Roman"/>
      <w:lang w:val="en-GB" w:eastAsia="ko-KR"/>
    </w:rPr>
  </w:style>
  <w:style w:type="paragraph" w:customStyle="1" w:styleId="PL">
    <w:name w:val="PL"/>
    <w:link w:val="PLChar"/>
    <w:qFormat/>
    <w:rsid w:val="003756B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3756BE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TH">
    <w:name w:val="TH"/>
    <w:basedOn w:val="Normal"/>
    <w:link w:val="THChar"/>
    <w:rsid w:val="003756B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x-none" w:eastAsia="x-none"/>
    </w:rPr>
  </w:style>
  <w:style w:type="character" w:customStyle="1" w:styleId="THChar">
    <w:name w:val="TH Char"/>
    <w:link w:val="TH"/>
    <w:rsid w:val="003756BE"/>
    <w:rPr>
      <w:rFonts w:ascii="Arial" w:eastAsia="Times New Roman" w:hAnsi="Arial"/>
      <w:b/>
      <w:lang w:val="x-none" w:eastAsia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80134"/>
    <w:rPr>
      <w:rFonts w:ascii="Times New Roman" w:eastAsia="Times New Roman" w:hAnsi="Times New Roman"/>
      <w:szCs w:val="24"/>
    </w:rPr>
  </w:style>
  <w:style w:type="paragraph" w:styleId="ListBullet2">
    <w:name w:val="List Bullet 2"/>
    <w:basedOn w:val="ListBullet"/>
    <w:rsid w:val="00002556"/>
    <w:pPr>
      <w:numPr>
        <w:numId w:val="7"/>
      </w:numPr>
      <w:tabs>
        <w:tab w:val="clear" w:pos="794"/>
      </w:tabs>
      <w:overflowPunct w:val="0"/>
      <w:autoSpaceDE w:val="0"/>
      <w:autoSpaceDN w:val="0"/>
      <w:adjustRightInd w:val="0"/>
      <w:spacing w:after="120"/>
      <w:ind w:left="420" w:hanging="420"/>
      <w:contextualSpacing w:val="0"/>
      <w:jc w:val="both"/>
      <w:textAlignment w:val="baseline"/>
    </w:pPr>
    <w:rPr>
      <w:szCs w:val="20"/>
      <w:lang w:val="en-GB" w:eastAsia="zh-CN"/>
    </w:rPr>
  </w:style>
  <w:style w:type="paragraph" w:styleId="ListBullet">
    <w:name w:val="List Bullet"/>
    <w:basedOn w:val="Normal"/>
    <w:uiPriority w:val="99"/>
    <w:semiHidden/>
    <w:unhideWhenUsed/>
    <w:rsid w:val="00002556"/>
    <w:pPr>
      <w:numPr>
        <w:numId w:val="8"/>
      </w:numPr>
      <w:contextualSpacing/>
    </w:pPr>
  </w:style>
  <w:style w:type="paragraph" w:customStyle="1" w:styleId="B3">
    <w:name w:val="B3"/>
    <w:basedOn w:val="List3"/>
    <w:link w:val="B3Char"/>
    <w:rsid w:val="005258E7"/>
    <w:pPr>
      <w:spacing w:after="180" w:line="259" w:lineRule="auto"/>
      <w:ind w:left="1135" w:hanging="284"/>
      <w:contextualSpacing w:val="0"/>
    </w:pPr>
    <w:rPr>
      <w:rFonts w:ascii="Calibri" w:eastAsia="Calibri" w:hAnsi="Calibri"/>
      <w:sz w:val="22"/>
      <w:szCs w:val="22"/>
    </w:rPr>
  </w:style>
  <w:style w:type="character" w:customStyle="1" w:styleId="B3Char">
    <w:name w:val="B3 Char"/>
    <w:link w:val="B3"/>
    <w:rsid w:val="005258E7"/>
    <w:rPr>
      <w:rFonts w:eastAsia="Calibri"/>
      <w:sz w:val="22"/>
      <w:szCs w:val="22"/>
    </w:rPr>
  </w:style>
  <w:style w:type="paragraph" w:styleId="List3">
    <w:name w:val="List 3"/>
    <w:basedOn w:val="Normal"/>
    <w:uiPriority w:val="99"/>
    <w:semiHidden/>
    <w:unhideWhenUsed/>
    <w:rsid w:val="005258E7"/>
    <w:pPr>
      <w:ind w:left="1080" w:hanging="360"/>
      <w:contextualSpacing/>
    </w:pPr>
  </w:style>
  <w:style w:type="paragraph" w:styleId="ListBullet3">
    <w:name w:val="List Bullet 3"/>
    <w:basedOn w:val="ListBullet2"/>
    <w:rsid w:val="007D6833"/>
    <w:pPr>
      <w:numPr>
        <w:numId w:val="13"/>
      </w:numPr>
      <w:overflowPunct/>
      <w:autoSpaceDE/>
      <w:autoSpaceDN/>
      <w:adjustRightInd/>
      <w:spacing w:after="160" w:line="259" w:lineRule="auto"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character" w:styleId="Hyperlink">
    <w:name w:val="Hyperlink"/>
    <w:uiPriority w:val="99"/>
    <w:rsid w:val="000331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4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11926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6451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1893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48744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402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9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32113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35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41965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70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040347">
          <w:marLeft w:val="72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9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48720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640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8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2220D4-AA68-4542-949A-3652D5A527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BDC702-F485-48C9-8A40-1E0881BB24DD}">
  <ds:schemaRefs>
    <ds:schemaRef ds:uri="http://purl.org/dc/dcmitype/"/>
    <ds:schemaRef ds:uri="http://www.w3.org/XML/1998/namespace"/>
    <ds:schemaRef ds:uri="http://purl.org/dc/terms/"/>
    <ds:schemaRef ds:uri="http://purl.org/dc/elements/1.1/"/>
    <ds:schemaRef ds:uri="9b239327-9e80-40e4-b1b7-4394fed77a33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563E4739-58A6-45BF-A5B3-4CCDA8DCFC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1133</Words>
  <Characters>6459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2019-11-09T05:03:00Z</dcterms:created>
  <dcterms:modified xsi:type="dcterms:W3CDTF">2019-11-09T05:03:00Z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