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8A02B" w14:textId="772E01AE"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01680A">
        <w:rPr>
          <w:rFonts w:eastAsia="ＭＳ ゴシック" w:cs="Arial"/>
          <w:noProof w:val="0"/>
          <w:sz w:val="28"/>
          <w:szCs w:val="28"/>
          <w:lang w:val="en-US"/>
        </w:rPr>
        <w:t>9</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4D4547" w:rsidRPr="004D4547">
        <w:rPr>
          <w:rFonts w:eastAsia="ＭＳ ゴシック" w:cs="Arial"/>
          <w:iCs/>
          <w:noProof w:val="0"/>
          <w:sz w:val="28"/>
          <w:szCs w:val="28"/>
          <w:lang w:val="en-US"/>
        </w:rPr>
        <w:t>1912768</w:t>
      </w:r>
    </w:p>
    <w:p w14:paraId="20F59B91" w14:textId="2EF05DD0" w:rsidR="00EC1346" w:rsidRDefault="0001680A" w:rsidP="00EC1346">
      <w:pPr>
        <w:pStyle w:val="a4"/>
        <w:tabs>
          <w:tab w:val="right" w:pos="10206"/>
        </w:tabs>
        <w:spacing w:after="0" w:afterAutospacing="0"/>
        <w:rPr>
          <w:rFonts w:eastAsia="ＭＳ ゴシック" w:cs="Arial"/>
          <w:noProof w:val="0"/>
          <w:sz w:val="28"/>
          <w:szCs w:val="28"/>
        </w:rPr>
      </w:pPr>
      <w:r w:rsidRPr="00B667EA">
        <w:rPr>
          <w:rFonts w:eastAsia="ＭＳ ゴシック" w:cs="Arial"/>
          <w:noProof w:val="0"/>
          <w:sz w:val="28"/>
          <w:szCs w:val="28"/>
        </w:rPr>
        <w:t>Reno</w:t>
      </w:r>
      <w:r w:rsidR="00E51FA4" w:rsidRPr="00B667EA">
        <w:rPr>
          <w:rFonts w:eastAsia="ＭＳ ゴシック" w:cs="Arial"/>
          <w:noProof w:val="0"/>
          <w:sz w:val="28"/>
          <w:szCs w:val="28"/>
        </w:rPr>
        <w:t xml:space="preserve">, </w:t>
      </w:r>
      <w:r w:rsidRPr="00B667EA">
        <w:rPr>
          <w:rFonts w:eastAsia="ＭＳ ゴシック" w:cs="Arial"/>
          <w:noProof w:val="0"/>
          <w:sz w:val="28"/>
          <w:szCs w:val="28"/>
        </w:rPr>
        <w:t>USA</w:t>
      </w:r>
      <w:r w:rsidR="00E51FA4" w:rsidRPr="00B667EA">
        <w:rPr>
          <w:rFonts w:eastAsia="ＭＳ ゴシック" w:cs="Arial"/>
          <w:noProof w:val="0"/>
          <w:sz w:val="28"/>
          <w:szCs w:val="28"/>
        </w:rPr>
        <w:t xml:space="preserve">, </w:t>
      </w:r>
      <w:r w:rsidRPr="00B667EA">
        <w:rPr>
          <w:rFonts w:eastAsia="ＭＳ ゴシック" w:cs="Arial"/>
          <w:noProof w:val="0"/>
          <w:sz w:val="28"/>
          <w:szCs w:val="28"/>
        </w:rPr>
        <w:t>November</w:t>
      </w:r>
      <w:r w:rsidR="00E51FA4" w:rsidRPr="00B667EA">
        <w:rPr>
          <w:rFonts w:eastAsia="ＭＳ ゴシック" w:cs="Arial"/>
          <w:noProof w:val="0"/>
          <w:sz w:val="28"/>
          <w:szCs w:val="28"/>
        </w:rPr>
        <w:t xml:space="preserve"> 1</w:t>
      </w:r>
      <w:r w:rsidRPr="00B667EA">
        <w:rPr>
          <w:rFonts w:eastAsia="ＭＳ ゴシック" w:cs="Arial"/>
          <w:noProof w:val="0"/>
          <w:sz w:val="28"/>
          <w:szCs w:val="28"/>
        </w:rPr>
        <w:t>8</w:t>
      </w:r>
      <w:r w:rsidR="00E51FA4" w:rsidRPr="00456FAE">
        <w:rPr>
          <w:rFonts w:eastAsia="ＭＳ ゴシック" w:cs="Arial"/>
          <w:noProof w:val="0"/>
          <w:sz w:val="28"/>
          <w:szCs w:val="28"/>
          <w:vertAlign w:val="superscript"/>
        </w:rPr>
        <w:t>th</w:t>
      </w:r>
      <w:r w:rsidR="00E51FA4" w:rsidRPr="00B667EA">
        <w:rPr>
          <w:rFonts w:eastAsia="ＭＳ ゴシック" w:cs="Arial"/>
          <w:noProof w:val="0"/>
          <w:sz w:val="28"/>
          <w:szCs w:val="28"/>
        </w:rPr>
        <w:t xml:space="preserve"> – 2</w:t>
      </w:r>
      <w:r w:rsidRPr="00B667EA">
        <w:rPr>
          <w:rFonts w:eastAsia="ＭＳ ゴシック" w:cs="Arial"/>
          <w:noProof w:val="0"/>
          <w:sz w:val="28"/>
          <w:szCs w:val="28"/>
        </w:rPr>
        <w:t>2</w:t>
      </w:r>
      <w:r w:rsidR="00456FAE" w:rsidRPr="00456FAE">
        <w:rPr>
          <w:rFonts w:eastAsia="ＭＳ ゴシック" w:cs="Arial" w:hint="eastAsia"/>
          <w:noProof w:val="0"/>
          <w:sz w:val="28"/>
          <w:szCs w:val="28"/>
          <w:vertAlign w:val="superscript"/>
        </w:rPr>
        <w:t>n</w:t>
      </w:r>
      <w:r w:rsidR="00456FAE" w:rsidRPr="00456FAE">
        <w:rPr>
          <w:rFonts w:eastAsia="ＭＳ ゴシック" w:cs="Arial"/>
          <w:noProof w:val="0"/>
          <w:sz w:val="28"/>
          <w:szCs w:val="28"/>
          <w:vertAlign w:val="superscript"/>
        </w:rPr>
        <w:t>d</w:t>
      </w:r>
      <w:r w:rsidR="00E51FA4" w:rsidRPr="00B667EA">
        <w:rPr>
          <w:rFonts w:eastAsia="ＭＳ ゴシック" w:cs="Arial"/>
          <w:noProof w:val="0"/>
          <w:sz w:val="28"/>
          <w:szCs w:val="28"/>
        </w:rPr>
        <w:t>, 2019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458CD170"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sidRPr="00E51FA4">
        <w:rPr>
          <w:rFonts w:ascii="Arial" w:hAnsi="Arial" w:cs="Arial"/>
          <w:b/>
          <w:sz w:val="28"/>
          <w:szCs w:val="28"/>
          <w:lang w:val="en-US"/>
        </w:rPr>
        <w:t>Discu</w:t>
      </w:r>
      <w:bookmarkStart w:id="2" w:name="_GoBack"/>
      <w:bookmarkEnd w:id="2"/>
      <w:r w:rsidR="00170AC7" w:rsidRPr="00E51FA4">
        <w:rPr>
          <w:rFonts w:ascii="Arial" w:hAnsi="Arial" w:cs="Arial"/>
          <w:b/>
          <w:sz w:val="28"/>
          <w:szCs w:val="28"/>
          <w:lang w:val="en-US"/>
        </w:rPr>
        <w:t xml:space="preserve">ssion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eURLLC</w:t>
      </w:r>
    </w:p>
    <w:p w14:paraId="369A72EC" w14:textId="2EDE07B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7.2.6</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r w:rsidR="00A8519A">
        <w:rPr>
          <w:rFonts w:eastAsia="ＭＳ 明朝"/>
        </w:rPr>
        <w:t>nhancement for</w:t>
      </w:r>
      <w:r w:rsidR="00F81410">
        <w:rPr>
          <w:rFonts w:eastAsia="ＭＳ 明朝"/>
        </w:rPr>
        <w:t xml:space="preserve"> NR </w:t>
      </w:r>
      <w:r w:rsidR="001714C3">
        <w:rPr>
          <w:rFonts w:eastAsia="ＭＳ 明朝"/>
        </w:rPr>
        <w:t>e</w:t>
      </w:r>
      <w:r w:rsidR="00127AD8">
        <w:rPr>
          <w:rFonts w:eastAsia="ＭＳ 明朝"/>
        </w:rPr>
        <w:t xml:space="preserve">URLLC </w:t>
      </w:r>
      <w:r w:rsidR="00A8519A">
        <w:rPr>
          <w:rFonts w:eastAsia="ＭＳ 明朝"/>
        </w:rPr>
        <w:t xml:space="preserve">as Rel-16 </w:t>
      </w:r>
      <w:r>
        <w:rPr>
          <w:rFonts w:eastAsia="ＭＳ 明朝"/>
        </w:rPr>
        <w:t>work</w:t>
      </w:r>
      <w:r w:rsidR="00F81410">
        <w:rPr>
          <w:rFonts w:eastAsia="ＭＳ 明朝"/>
        </w:rPr>
        <w:t xml:space="preserve"> item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p>
    <w:p w14:paraId="65D4C526" w14:textId="1A627E3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w:t>
      </w:r>
      <w:r w:rsidR="004B3960">
        <w:rPr>
          <w:rFonts w:eastAsia="ＭＳ 明朝"/>
        </w:rPr>
        <w:t xml:space="preserve">DCI format scheduling Rel-16 URLLC and the </w:t>
      </w:r>
      <w:r w:rsidR="00416AA9">
        <w:rPr>
          <w:rFonts w:eastAsia="ＭＳ 明朝"/>
        </w:rPr>
        <w:t xml:space="preserve">increased </w:t>
      </w:r>
      <w:r w:rsidR="004B3960">
        <w:rPr>
          <w:rFonts w:eastAsia="ＭＳ 明朝"/>
        </w:rPr>
        <w:t xml:space="preserve">PDCCH monitoring </w:t>
      </w:r>
      <w:r w:rsidR="00416AA9">
        <w:rPr>
          <w:rFonts w:eastAsia="ＭＳ 明朝"/>
        </w:rPr>
        <w:t>capability</w:t>
      </w:r>
      <w:r w:rsidR="00A509B0">
        <w:rPr>
          <w:rFonts w:eastAsia="ＭＳ 明朝"/>
        </w:rPr>
        <w:t>, respectively</w:t>
      </w:r>
      <w:r>
        <w:rPr>
          <w:rFonts w:eastAsia="ＭＳ 明朝"/>
        </w:rPr>
        <w:t>.</w:t>
      </w:r>
    </w:p>
    <w:p w14:paraId="609E7A96" w14:textId="4173E9B7" w:rsidR="005407C1" w:rsidRPr="004E208B" w:rsidRDefault="00656E99" w:rsidP="00B63BFD">
      <w:pPr>
        <w:pStyle w:val="10"/>
        <w:spacing w:after="180"/>
        <w:rPr>
          <w:lang w:val="en-US"/>
        </w:rPr>
      </w:pPr>
      <w:bookmarkStart w:id="4" w:name="OLE_LINK1"/>
      <w:r>
        <w:rPr>
          <w:lang w:val="en-US"/>
        </w:rPr>
        <w:t>Discussions</w:t>
      </w:r>
    </w:p>
    <w:p w14:paraId="2F5DB0BE" w14:textId="16D9D7B1" w:rsidR="00B63BFD" w:rsidRPr="004E208B" w:rsidRDefault="00416AA9" w:rsidP="00B63BFD">
      <w:pPr>
        <w:pStyle w:val="20"/>
        <w:rPr>
          <w:lang w:val="en-US"/>
        </w:rPr>
      </w:pPr>
      <w:r w:rsidRPr="004E208B">
        <w:rPr>
          <w:lang w:val="en-US"/>
        </w:rPr>
        <w:t xml:space="preserve">DCI </w:t>
      </w:r>
      <w:r w:rsidR="00036830" w:rsidRPr="004E208B">
        <w:rPr>
          <w:lang w:val="en-US"/>
        </w:rPr>
        <w:t>format design</w:t>
      </w:r>
    </w:p>
    <w:p w14:paraId="3F539EA3" w14:textId="3C41F274" w:rsidR="001F41CD" w:rsidRPr="001F41CD" w:rsidRDefault="001F41CD" w:rsidP="00036830">
      <w:pPr>
        <w:pStyle w:val="30"/>
        <w:rPr>
          <w:lang w:val="en-US"/>
        </w:rPr>
      </w:pPr>
      <w:r>
        <w:rPr>
          <w:lang w:val="en-US"/>
        </w:rPr>
        <w:t>Fields design for DCI format</w:t>
      </w:r>
      <w:r w:rsidR="00F61E01">
        <w:rPr>
          <w:lang w:val="en-US"/>
        </w:rPr>
        <w:t xml:space="preserve"> </w:t>
      </w:r>
      <w:r w:rsidR="00320349">
        <w:rPr>
          <w:lang w:val="en-US"/>
        </w:rPr>
        <w:t>1_2/0_2</w:t>
      </w:r>
      <w:r>
        <w:rPr>
          <w:lang w:val="en-US"/>
        </w:rPr>
        <w:t xml:space="preserve"> </w:t>
      </w:r>
    </w:p>
    <w:p w14:paraId="4240BC60" w14:textId="7BB777DC" w:rsidR="0066224D" w:rsidRPr="002F1E64" w:rsidRDefault="00D745D5" w:rsidP="00077E66">
      <w:r>
        <w:rPr>
          <w:lang w:val="en-US"/>
        </w:rPr>
        <w:t xml:space="preserve">In </w:t>
      </w:r>
      <w:r w:rsidR="00DF3DF1">
        <w:rPr>
          <w:lang w:val="en-US"/>
        </w:rPr>
        <w:t xml:space="preserve">the </w:t>
      </w:r>
      <w:r>
        <w:rPr>
          <w:lang w:val="en-US"/>
        </w:rPr>
        <w:t>previous meeting</w:t>
      </w:r>
      <w:r w:rsidR="00DF3DF1">
        <w:rPr>
          <w:lang w:val="en-US"/>
        </w:rPr>
        <w:t>s</w:t>
      </w:r>
      <w:r>
        <w:rPr>
          <w:lang w:val="en-US"/>
        </w:rPr>
        <w:t>,</w:t>
      </w:r>
      <w:r w:rsidR="003E3CB4">
        <w:rPr>
          <w:lang w:val="en-US"/>
        </w:rPr>
        <w:t xml:space="preserve"> almost DCI</w:t>
      </w:r>
      <w:r w:rsidR="005974DA">
        <w:rPr>
          <w:lang w:val="en-US"/>
        </w:rPr>
        <w:t xml:space="preserve"> </w:t>
      </w:r>
      <w:r w:rsidR="005974DA" w:rsidRPr="005974DA">
        <w:rPr>
          <w:lang w:val="en-US"/>
        </w:rPr>
        <w:t xml:space="preserve">fields </w:t>
      </w:r>
      <w:r w:rsidR="003E3CB4">
        <w:rPr>
          <w:lang w:val="en-US"/>
        </w:rPr>
        <w:t xml:space="preserve">design </w:t>
      </w:r>
      <w:r w:rsidR="005974DA">
        <w:rPr>
          <w:lang w:val="en-US"/>
        </w:rPr>
        <w:t xml:space="preserve">for </w:t>
      </w:r>
      <w:r w:rsidR="003E3CB4">
        <w:rPr>
          <w:lang w:val="en-US"/>
        </w:rPr>
        <w:t>DCI format 1_2/0_2</w:t>
      </w:r>
      <w:r w:rsidR="005974DA" w:rsidRPr="005974DA">
        <w:rPr>
          <w:lang w:val="en-US"/>
        </w:rPr>
        <w:t xml:space="preserve"> </w:t>
      </w:r>
      <w:r w:rsidR="005974DA">
        <w:rPr>
          <w:lang w:val="en-US"/>
        </w:rPr>
        <w:t>have been</w:t>
      </w:r>
      <w:r w:rsidR="005974DA" w:rsidRPr="005974DA">
        <w:rPr>
          <w:lang w:val="en-US"/>
        </w:rPr>
        <w:t xml:space="preserve"> agreed</w:t>
      </w:r>
      <w:r w:rsidR="005974DA">
        <w:rPr>
          <w:lang w:val="en-US"/>
        </w:rPr>
        <w:t xml:space="preserve">. </w:t>
      </w:r>
      <w:r w:rsidR="0066224D">
        <w:rPr>
          <w:lang w:val="en-US"/>
        </w:rPr>
        <w:t>Next</w:t>
      </w:r>
      <w:r w:rsidR="005974DA">
        <w:rPr>
          <w:lang w:val="en-US"/>
        </w:rPr>
        <w:t>, we provide our v</w:t>
      </w:r>
      <w:r w:rsidR="002105E6">
        <w:rPr>
          <w:lang w:val="en-US"/>
        </w:rPr>
        <w:t xml:space="preserve">iews on </w:t>
      </w:r>
      <w:r w:rsidR="00DF3DF1">
        <w:rPr>
          <w:lang w:val="en-US"/>
        </w:rPr>
        <w:t xml:space="preserve">the </w:t>
      </w:r>
      <w:r w:rsidR="003E3EED">
        <w:rPr>
          <w:lang w:val="en-US"/>
        </w:rPr>
        <w:t>remaining</w:t>
      </w:r>
      <w:r w:rsidR="00DF3DF1">
        <w:rPr>
          <w:lang w:val="en-US"/>
        </w:rPr>
        <w:t xml:space="preserve"> DCI fields </w:t>
      </w:r>
      <w:r w:rsidR="00AC250D">
        <w:rPr>
          <w:lang w:val="en-US"/>
        </w:rPr>
        <w:t>design</w:t>
      </w:r>
      <w:r w:rsidR="00636673">
        <w:rPr>
          <w:lang w:val="en-US"/>
        </w:rPr>
        <w:t xml:space="preserve"> for DCI </w:t>
      </w:r>
      <w:r w:rsidR="003E3CB4">
        <w:rPr>
          <w:lang w:val="en-US"/>
        </w:rPr>
        <w:t>format 1_2/0_2</w:t>
      </w:r>
      <w:r w:rsidR="00AC250D">
        <w:rPr>
          <w:lang w:val="en-US"/>
        </w:rPr>
        <w:t>.</w:t>
      </w:r>
    </w:p>
    <w:p w14:paraId="46C392E6" w14:textId="3CB2A2D7" w:rsidR="00D7669F" w:rsidRDefault="00D7669F" w:rsidP="00B63BFD">
      <w:pPr>
        <w:rPr>
          <w:b/>
          <w:u w:val="single"/>
          <w:lang w:val="en-US"/>
        </w:rPr>
      </w:pPr>
      <w:r>
        <w:rPr>
          <w:rFonts w:hint="eastAsia"/>
          <w:b/>
          <w:u w:val="single"/>
          <w:lang w:val="en-US"/>
        </w:rPr>
        <w:t>T</w:t>
      </w:r>
      <w:r>
        <w:rPr>
          <w:b/>
          <w:u w:val="single"/>
          <w:lang w:val="en-US"/>
        </w:rPr>
        <w:t>DRA</w:t>
      </w:r>
      <w:r w:rsidR="0076039D">
        <w:rPr>
          <w:b/>
          <w:u w:val="single"/>
          <w:lang w:val="en-US"/>
        </w:rPr>
        <w:t xml:space="preserve"> for DCI format 1_2</w:t>
      </w:r>
      <w:r w:rsidR="0066224D">
        <w:rPr>
          <w:b/>
          <w:u w:val="single"/>
          <w:lang w:val="en-US"/>
        </w:rPr>
        <w:t>:</w:t>
      </w:r>
    </w:p>
    <w:p w14:paraId="137809DC" w14:textId="35A9F9CB" w:rsidR="007C202F" w:rsidRDefault="00890808" w:rsidP="00B63BFD">
      <w:pPr>
        <w:rPr>
          <w:b/>
          <w:u w:val="single"/>
          <w:lang w:val="en-US"/>
        </w:rPr>
      </w:pPr>
      <w:r>
        <w:rPr>
          <w:lang w:val="en-US"/>
        </w:rPr>
        <w:t>According to the outcome of</w:t>
      </w:r>
      <w:r w:rsidR="007C202F" w:rsidRPr="00B22691">
        <w:rPr>
          <w:lang w:val="en-US"/>
        </w:rPr>
        <w:t xml:space="preserve"> the e-mail discussion,</w:t>
      </w:r>
      <w:r w:rsidR="007C202F">
        <w:rPr>
          <w:lang w:val="en-US"/>
        </w:rPr>
        <w:t xml:space="preserve"> </w:t>
      </w:r>
      <w:r w:rsidR="00C01EDE">
        <w:rPr>
          <w:lang w:val="en-US"/>
        </w:rPr>
        <w:t xml:space="preserve">it has been </w:t>
      </w:r>
      <w:r w:rsidR="003215B6">
        <w:rPr>
          <w:lang w:val="en-US"/>
        </w:rPr>
        <w:t>agreed</w:t>
      </w:r>
      <w:r w:rsidR="00C01EDE">
        <w:rPr>
          <w:lang w:val="en-US"/>
        </w:rPr>
        <w:t xml:space="preserve"> that the </w:t>
      </w:r>
      <w:r w:rsidR="006C3A52">
        <w:rPr>
          <w:lang w:val="en-US"/>
        </w:rPr>
        <w:t xml:space="preserve">new reference of the SLIV is supported and </w:t>
      </w:r>
      <w:r w:rsidR="007C202F">
        <w:rPr>
          <w:lang w:val="en-US"/>
        </w:rPr>
        <w:t xml:space="preserve">a RRC parameter is </w:t>
      </w:r>
      <w:r w:rsidR="00C01EDE">
        <w:rPr>
          <w:lang w:val="en-US"/>
        </w:rPr>
        <w:t xml:space="preserve">introduced </w:t>
      </w:r>
      <w:r w:rsidR="007C202F">
        <w:rPr>
          <w:lang w:val="en-US"/>
        </w:rPr>
        <w:t>to enable the utilization of the new reference for TDRA entries with K0=0 as below.</w:t>
      </w:r>
    </w:p>
    <w:tbl>
      <w:tblPr>
        <w:tblStyle w:val="af2"/>
        <w:tblW w:w="0" w:type="auto"/>
        <w:tblLook w:val="04A0" w:firstRow="1" w:lastRow="0" w:firstColumn="1" w:lastColumn="0" w:noHBand="0" w:noVBand="1"/>
      </w:tblPr>
      <w:tblGrid>
        <w:gridCol w:w="9954"/>
      </w:tblGrid>
      <w:tr w:rsidR="007C202F" w14:paraId="3100787F" w14:textId="77777777" w:rsidTr="007C202F">
        <w:tc>
          <w:tcPr>
            <w:tcW w:w="9954" w:type="dxa"/>
          </w:tcPr>
          <w:p w14:paraId="3CABE730" w14:textId="77777777" w:rsidR="007C202F" w:rsidRDefault="007C202F" w:rsidP="007C202F">
            <w:pPr>
              <w:rPr>
                <w:rFonts w:eastAsia="Gulim"/>
                <w:sz w:val="20"/>
                <w:lang w:val="en-US" w:eastAsia="en-US"/>
              </w:rPr>
            </w:pPr>
            <w:r>
              <w:rPr>
                <w:b/>
                <w:bCs/>
                <w:sz w:val="20"/>
                <w:highlight w:val="yellow"/>
                <w:lang w:eastAsia="en-US"/>
              </w:rPr>
              <w:t>Revised Proposal #1</w:t>
            </w:r>
            <w:r>
              <w:rPr>
                <w:sz w:val="20"/>
                <w:lang w:eastAsia="en-US"/>
              </w:rPr>
              <w:t>:</w:t>
            </w:r>
          </w:p>
          <w:p w14:paraId="29D0EA11" w14:textId="77777777" w:rsidR="007C202F" w:rsidRDefault="007C202F" w:rsidP="007C202F">
            <w:pPr>
              <w:spacing w:after="60"/>
              <w:rPr>
                <w:sz w:val="20"/>
                <w:lang w:eastAsia="en-US"/>
              </w:rPr>
            </w:pPr>
            <w:r>
              <w:rPr>
                <w:color w:val="000000"/>
                <w:sz w:val="20"/>
                <w:lang w:eastAsia="en-US"/>
              </w:rPr>
              <w:lastRenderedPageBreak/>
              <w:t>For time domain resource allocation indication for PDSCH for Rel-16 URLLC in new DCI format, using the starting symbol of the PDCCH monitoring occasion in which the DL assignment is detected as the reference of the SLIV is supported.</w:t>
            </w:r>
          </w:p>
          <w:p w14:paraId="4EB0488B" w14:textId="77777777" w:rsidR="007C202F" w:rsidRDefault="007C202F" w:rsidP="007C202F">
            <w:pPr>
              <w:numPr>
                <w:ilvl w:val="0"/>
                <w:numId w:val="28"/>
              </w:numPr>
              <w:autoSpaceDE w:val="0"/>
              <w:autoSpaceDN w:val="0"/>
              <w:spacing w:after="0" w:afterAutospacing="0"/>
              <w:ind w:left="782" w:hanging="357"/>
              <w:rPr>
                <w:sz w:val="20"/>
                <w:lang w:eastAsia="en-US"/>
              </w:rPr>
            </w:pPr>
            <w:r>
              <w:rPr>
                <w:sz w:val="20"/>
                <w:lang w:eastAsia="en-US"/>
              </w:rPr>
              <w:t xml:space="preserve">A RRC parameter is used to enable the utilization of the new reference  </w:t>
            </w:r>
          </w:p>
          <w:p w14:paraId="5BDBE971" w14:textId="77777777" w:rsidR="007C202F" w:rsidRDefault="007C202F" w:rsidP="007C202F">
            <w:pPr>
              <w:numPr>
                <w:ilvl w:val="0"/>
                <w:numId w:val="28"/>
              </w:numPr>
              <w:autoSpaceDE w:val="0"/>
              <w:autoSpaceDN w:val="0"/>
              <w:spacing w:after="0" w:afterAutospacing="0"/>
              <w:ind w:left="782" w:hanging="357"/>
              <w:rPr>
                <w:color w:val="FF0000"/>
                <w:sz w:val="20"/>
                <w:lang w:eastAsia="en-US"/>
              </w:rPr>
            </w:pPr>
            <w:r>
              <w:rPr>
                <w:color w:val="FF0000"/>
                <w:sz w:val="20"/>
                <w:lang w:eastAsia="en-US"/>
              </w:rPr>
              <w:t>When the RRC parameter enables the utilization of the new reference, the new reference is applied for TDRA entries with K0=0</w:t>
            </w:r>
          </w:p>
          <w:p w14:paraId="1E9771F0" w14:textId="77777777" w:rsidR="007C202F" w:rsidRDefault="007C202F" w:rsidP="007C202F">
            <w:pPr>
              <w:numPr>
                <w:ilvl w:val="1"/>
                <w:numId w:val="28"/>
              </w:numPr>
              <w:autoSpaceDE w:val="0"/>
              <w:autoSpaceDN w:val="0"/>
              <w:spacing w:after="0" w:afterAutospacing="0"/>
              <w:ind w:left="1505"/>
              <w:rPr>
                <w:color w:val="FF0000"/>
                <w:sz w:val="20"/>
                <w:lang w:eastAsia="en-US"/>
              </w:rPr>
            </w:pPr>
            <w:r>
              <w:rPr>
                <w:color w:val="FF0000"/>
                <w:sz w:val="20"/>
              </w:rPr>
              <w:t xml:space="preserve">FFS: Other entries with K0&gt;0 can also be included in the same TDRA table </w:t>
            </w:r>
          </w:p>
          <w:p w14:paraId="37CC3B01" w14:textId="68BEF45E" w:rsidR="007C202F" w:rsidRPr="002F1E64" w:rsidRDefault="007C202F" w:rsidP="002F1E64">
            <w:pPr>
              <w:numPr>
                <w:ilvl w:val="2"/>
                <w:numId w:val="28"/>
              </w:numPr>
              <w:autoSpaceDE w:val="0"/>
              <w:autoSpaceDN w:val="0"/>
              <w:spacing w:after="0" w:afterAutospacing="0"/>
              <w:ind w:left="2290"/>
            </w:pPr>
            <w:r>
              <w:rPr>
                <w:color w:val="FF0000"/>
                <w:sz w:val="20"/>
              </w:rPr>
              <w:t>For other entries (if any) in the same TDRA table, the reference is slot boundary as in Rel-15.</w:t>
            </w:r>
          </w:p>
        </w:tc>
      </w:tr>
    </w:tbl>
    <w:p w14:paraId="55B4AE64" w14:textId="77777777" w:rsidR="007C202F" w:rsidRDefault="007C202F" w:rsidP="00B63BFD">
      <w:pPr>
        <w:rPr>
          <w:lang w:val="en-US"/>
        </w:rPr>
      </w:pPr>
    </w:p>
    <w:p w14:paraId="731473F1" w14:textId="1ABBF245" w:rsidR="0066224D" w:rsidRPr="002F1E64" w:rsidRDefault="00C01EDE" w:rsidP="00B63BFD">
      <w:pPr>
        <w:rPr>
          <w:lang w:val="en-US"/>
        </w:rPr>
      </w:pPr>
      <w:r>
        <w:rPr>
          <w:lang w:val="en-US"/>
        </w:rPr>
        <w:t xml:space="preserve">The remaining discussion point is </w:t>
      </w:r>
      <w:r w:rsidR="007C202F">
        <w:rPr>
          <w:lang w:val="en-US"/>
        </w:rPr>
        <w:t xml:space="preserve">whether other entries with K0&gt;0 can also be included in the same </w:t>
      </w:r>
      <w:r>
        <w:rPr>
          <w:lang w:val="en-US"/>
        </w:rPr>
        <w:t xml:space="preserve">TDRA </w:t>
      </w:r>
      <w:r w:rsidR="007C202F">
        <w:rPr>
          <w:lang w:val="en-US"/>
        </w:rPr>
        <w:t>table</w:t>
      </w:r>
      <w:r w:rsidR="00A8306C">
        <w:rPr>
          <w:lang w:val="en-US"/>
        </w:rPr>
        <w:t>.</w:t>
      </w:r>
      <w:r w:rsidR="007C202F">
        <w:rPr>
          <w:lang w:val="en-US"/>
        </w:rPr>
        <w:t xml:space="preserve"> </w:t>
      </w:r>
      <w:r w:rsidR="00A8306C">
        <w:rPr>
          <w:lang w:val="en-US"/>
        </w:rPr>
        <w:t xml:space="preserve">Although the utilization of the </w:t>
      </w:r>
      <w:r w:rsidR="0066224D">
        <w:rPr>
          <w:lang w:val="en-US"/>
        </w:rPr>
        <w:t>new reference</w:t>
      </w:r>
      <w:r w:rsidR="00A8306C">
        <w:rPr>
          <w:lang w:val="en-US"/>
        </w:rPr>
        <w:t xml:space="preserve"> can </w:t>
      </w:r>
      <w:r w:rsidR="0033033F">
        <w:rPr>
          <w:lang w:val="en-US"/>
        </w:rPr>
        <w:t xml:space="preserve">harvest the </w:t>
      </w:r>
      <w:r w:rsidR="00A8306C">
        <w:rPr>
          <w:lang w:val="en-US"/>
        </w:rPr>
        <w:t xml:space="preserve">most </w:t>
      </w:r>
      <w:r w:rsidR="0033033F">
        <w:rPr>
          <w:lang w:val="en-US"/>
        </w:rPr>
        <w:t>gain</w:t>
      </w:r>
      <w:r w:rsidR="00A8306C">
        <w:rPr>
          <w:lang w:val="en-US"/>
        </w:rPr>
        <w:t xml:space="preserve"> of bits reduction</w:t>
      </w:r>
      <w:r w:rsidR="0033033F">
        <w:rPr>
          <w:lang w:val="en-US"/>
        </w:rPr>
        <w:t xml:space="preserve"> for th</w:t>
      </w:r>
      <w:r w:rsidR="00A8306C">
        <w:rPr>
          <w:lang w:val="en-US"/>
        </w:rPr>
        <w:t xml:space="preserve">e case </w:t>
      </w:r>
      <w:r w:rsidR="0033033F">
        <w:rPr>
          <w:lang w:val="en-US"/>
        </w:rPr>
        <w:t>with MO=7 and 2-symbols PDSCH</w:t>
      </w:r>
      <w:r w:rsidR="00A8306C">
        <w:rPr>
          <w:lang w:val="en-US"/>
        </w:rPr>
        <w:t>, a significant reduction</w:t>
      </w:r>
      <w:r w:rsidR="003E3CB4">
        <w:rPr>
          <w:lang w:val="en-US"/>
        </w:rPr>
        <w:t xml:space="preserve"> </w:t>
      </w:r>
      <w:r w:rsidR="00A8306C">
        <w:rPr>
          <w:lang w:val="en-US"/>
        </w:rPr>
        <w:t xml:space="preserve">is also achievable for the cases with MO=7 and 4-symbols PDSCH as shown in </w:t>
      </w:r>
      <w:r w:rsidR="00A8306C" w:rsidRPr="005C2D97">
        <w:rPr>
          <w:lang w:val="en-US"/>
        </w:rPr>
        <w:t>[</w:t>
      </w:r>
      <w:r w:rsidR="004E4E49" w:rsidRPr="005C2D97">
        <w:rPr>
          <w:lang w:val="en-US"/>
        </w:rPr>
        <w:t>2</w:t>
      </w:r>
      <w:r w:rsidR="00A8306C" w:rsidRPr="005C2D97">
        <w:rPr>
          <w:lang w:val="en-US"/>
        </w:rPr>
        <w:t>]</w:t>
      </w:r>
      <w:r w:rsidR="0033033F" w:rsidRPr="005C2D97">
        <w:rPr>
          <w:lang w:val="en-US"/>
        </w:rPr>
        <w:t>.</w:t>
      </w:r>
      <w:r w:rsidR="0033033F">
        <w:rPr>
          <w:lang w:val="en-US"/>
        </w:rPr>
        <w:t xml:space="preserve"> </w:t>
      </w:r>
      <w:r w:rsidR="001B09EF">
        <w:rPr>
          <w:lang w:val="en-US"/>
        </w:rPr>
        <w:t>This can have</w:t>
      </w:r>
      <w:r w:rsidR="001165B7">
        <w:rPr>
          <w:lang w:val="en-US"/>
        </w:rPr>
        <w:t xml:space="preserve"> possibility that network may transmit a DL assignment in </w:t>
      </w:r>
      <w:r w:rsidR="001B09EF">
        <w:rPr>
          <w:lang w:val="en-US"/>
        </w:rPr>
        <w:t xml:space="preserve">the </w:t>
      </w:r>
      <w:r w:rsidR="001165B7">
        <w:rPr>
          <w:lang w:val="en-US"/>
        </w:rPr>
        <w:t xml:space="preserve">last MO within a slot to schedule a </w:t>
      </w:r>
      <w:r w:rsidR="003E3CB4">
        <w:rPr>
          <w:lang w:val="en-US"/>
        </w:rPr>
        <w:t>cross-slot PDSCH with more than 2 symbols</w:t>
      </w:r>
      <w:r w:rsidR="001165B7">
        <w:rPr>
          <w:lang w:val="en-US"/>
        </w:rPr>
        <w:t>.</w:t>
      </w:r>
      <w:r w:rsidR="003E3CB4">
        <w:rPr>
          <w:lang w:val="en-US"/>
        </w:rPr>
        <w:t xml:space="preserve"> </w:t>
      </w:r>
      <w:r w:rsidR="001B09EF">
        <w:rPr>
          <w:lang w:val="en-US"/>
        </w:rPr>
        <w:t>Moreover</w:t>
      </w:r>
      <w:r w:rsidR="006E13D3">
        <w:rPr>
          <w:lang w:val="en-US"/>
        </w:rPr>
        <w:t xml:space="preserve">, we have agreed to introduce a RRC parameter to enable the utilization of the new reference. Therefore, if </w:t>
      </w:r>
      <w:r w:rsidR="001B09EF">
        <w:rPr>
          <w:lang w:val="en-US"/>
        </w:rPr>
        <w:t xml:space="preserve">the </w:t>
      </w:r>
      <w:r w:rsidR="006E13D3">
        <w:rPr>
          <w:lang w:val="en-US"/>
        </w:rPr>
        <w:t xml:space="preserve">network would </w:t>
      </w:r>
      <w:r w:rsidR="003215B6">
        <w:rPr>
          <w:lang w:val="en-US"/>
        </w:rPr>
        <w:t xml:space="preserve">like </w:t>
      </w:r>
      <w:r w:rsidR="006E13D3">
        <w:rPr>
          <w:lang w:val="en-US"/>
        </w:rPr>
        <w:t>not</w:t>
      </w:r>
      <w:r w:rsidR="003215B6">
        <w:rPr>
          <w:lang w:val="en-US"/>
        </w:rPr>
        <w:t xml:space="preserve"> to</w:t>
      </w:r>
      <w:r w:rsidR="006E13D3">
        <w:rPr>
          <w:lang w:val="en-US"/>
        </w:rPr>
        <w:t xml:space="preserve"> enable a TDRA table </w:t>
      </w:r>
      <w:r w:rsidR="003215B6">
        <w:rPr>
          <w:lang w:val="en-US"/>
        </w:rPr>
        <w:t>including</w:t>
      </w:r>
      <w:r w:rsidR="006E13D3">
        <w:rPr>
          <w:lang w:val="en-US"/>
        </w:rPr>
        <w:t xml:space="preserve"> </w:t>
      </w:r>
      <w:r w:rsidR="003215B6">
        <w:rPr>
          <w:lang w:val="en-US"/>
        </w:rPr>
        <w:t xml:space="preserve">a portion of </w:t>
      </w:r>
      <w:r w:rsidR="006E13D3">
        <w:rPr>
          <w:lang w:val="en-US"/>
        </w:rPr>
        <w:t xml:space="preserve">entries with K0&gt;0 </w:t>
      </w:r>
      <w:r w:rsidR="001B09EF">
        <w:rPr>
          <w:lang w:val="en-US"/>
        </w:rPr>
        <w:t>as the</w:t>
      </w:r>
      <w:r w:rsidR="006E13D3">
        <w:rPr>
          <w:lang w:val="en-US"/>
        </w:rPr>
        <w:t xml:space="preserve"> new reference, </w:t>
      </w:r>
      <w:r w:rsidR="001B09EF">
        <w:rPr>
          <w:lang w:val="en-US"/>
        </w:rPr>
        <w:t xml:space="preserve">the </w:t>
      </w:r>
      <w:r w:rsidR="006E13D3">
        <w:rPr>
          <w:lang w:val="en-US"/>
        </w:rPr>
        <w:t xml:space="preserve">network can </w:t>
      </w:r>
      <w:r w:rsidR="001B09EF">
        <w:rPr>
          <w:lang w:val="en-US"/>
        </w:rPr>
        <w:t xml:space="preserve">disable the </w:t>
      </w:r>
      <w:r w:rsidR="006E13D3">
        <w:rPr>
          <w:lang w:val="en-US"/>
        </w:rPr>
        <w:t xml:space="preserve">use </w:t>
      </w:r>
      <w:r w:rsidR="001B09EF">
        <w:rPr>
          <w:lang w:val="en-US"/>
        </w:rPr>
        <w:t xml:space="preserve">of this </w:t>
      </w:r>
      <w:r w:rsidR="006E13D3">
        <w:rPr>
          <w:lang w:val="en-US"/>
        </w:rPr>
        <w:t>RRC parameter.</w:t>
      </w:r>
      <w:r w:rsidR="003E3CB4">
        <w:rPr>
          <w:lang w:val="en-US"/>
        </w:rPr>
        <w:t xml:space="preserve"> </w:t>
      </w:r>
      <w:r w:rsidR="006E13D3">
        <w:rPr>
          <w:lang w:val="en-US"/>
        </w:rPr>
        <w:t xml:space="preserve">From </w:t>
      </w:r>
      <w:r w:rsidR="001B09EF">
        <w:rPr>
          <w:lang w:val="en-US"/>
        </w:rPr>
        <w:t xml:space="preserve">the </w:t>
      </w:r>
      <w:r w:rsidR="006E13D3">
        <w:rPr>
          <w:lang w:val="en-US"/>
        </w:rPr>
        <w:t xml:space="preserve">flexibility </w:t>
      </w:r>
      <w:r w:rsidR="001B09EF">
        <w:rPr>
          <w:lang w:val="en-US"/>
        </w:rPr>
        <w:t>point of view</w:t>
      </w:r>
      <w:r w:rsidR="006E13D3">
        <w:rPr>
          <w:lang w:val="en-US"/>
        </w:rPr>
        <w:t>, we prefer to support other entries with K0&gt;0 to be included in the same TDRA table when the RRC parameter enables the utilization of the new reference.</w:t>
      </w:r>
    </w:p>
    <w:p w14:paraId="74B77729" w14:textId="1D795B27" w:rsidR="00BC6CCE" w:rsidRPr="00FE3F5D" w:rsidRDefault="0066224D" w:rsidP="0066224D">
      <w:pPr>
        <w:spacing w:before="240" w:after="240" w:afterAutospacing="0"/>
      </w:pPr>
      <w:r w:rsidRPr="003E3EED">
        <w:rPr>
          <w:rFonts w:eastAsia="ＭＳ 明朝"/>
          <w:b/>
          <w:u w:val="single"/>
        </w:rPr>
        <w:t xml:space="preserve">Proposal </w:t>
      </w:r>
      <w:r w:rsidR="003264DB">
        <w:rPr>
          <w:rFonts w:eastAsia="ＭＳ 明朝"/>
          <w:b/>
          <w:u w:val="single"/>
        </w:rPr>
        <w:t>1</w:t>
      </w:r>
      <w:r w:rsidRPr="003E3EED">
        <w:rPr>
          <w:rFonts w:eastAsia="ＭＳ 明朝"/>
          <w:b/>
          <w:u w:val="single"/>
        </w:rPr>
        <w:t>:</w:t>
      </w:r>
      <w:r w:rsidRPr="009F34B6">
        <w:rPr>
          <w:rFonts w:eastAsia="ＭＳ 明朝" w:hint="eastAsia"/>
          <w:b/>
        </w:rPr>
        <w:t xml:space="preserve"> </w:t>
      </w:r>
      <w:r w:rsidR="001165B7" w:rsidRPr="001165B7">
        <w:rPr>
          <w:lang w:val="en-US"/>
        </w:rPr>
        <w:t>When the RRC parameter enables the utilization of the new reference,</w:t>
      </w:r>
      <w:r w:rsidR="001165B7">
        <w:rPr>
          <w:lang w:val="en-US"/>
        </w:rPr>
        <w:t xml:space="preserve"> support </w:t>
      </w:r>
      <w:r w:rsidR="0076039D">
        <w:rPr>
          <w:lang w:val="en-US"/>
        </w:rPr>
        <w:t>other entries with K0&gt;0 to be included in the same TDRA table and the reference for these entries with K0&gt;0 is slot boundary as in Rel-15</w:t>
      </w:r>
      <w:r>
        <w:t>.</w:t>
      </w:r>
    </w:p>
    <w:p w14:paraId="6CFBAC93" w14:textId="5B02F8BE" w:rsidR="0076039D" w:rsidRDefault="0076039D" w:rsidP="0076039D">
      <w:pPr>
        <w:rPr>
          <w:b/>
          <w:u w:val="single"/>
          <w:lang w:val="en-US"/>
        </w:rPr>
      </w:pPr>
      <w:r>
        <w:rPr>
          <w:b/>
          <w:u w:val="single"/>
          <w:lang w:val="en-US"/>
        </w:rPr>
        <w:t>MCS field for DCI format 1_2/0_2</w:t>
      </w:r>
    </w:p>
    <w:p w14:paraId="309CBFBB" w14:textId="14FDE03B" w:rsidR="00BC6CCE" w:rsidRDefault="0076039D" w:rsidP="0076039D">
      <w:pPr>
        <w:rPr>
          <w:lang w:val="en-US"/>
        </w:rPr>
      </w:pPr>
      <w:r w:rsidRPr="005F0B04">
        <w:rPr>
          <w:b/>
          <w:lang w:val="en-US"/>
        </w:rPr>
        <w:t>MCS field:</w:t>
      </w:r>
      <w:r w:rsidRPr="005F0B04">
        <w:rPr>
          <w:lang w:val="en-US"/>
        </w:rPr>
        <w:t xml:space="preserve"> </w:t>
      </w:r>
      <w:r>
        <w:rPr>
          <w:lang w:val="en-US"/>
        </w:rPr>
        <w:t xml:space="preserve">In </w:t>
      </w:r>
      <w:r w:rsidR="00C01EDE">
        <w:rPr>
          <w:lang w:val="en-US"/>
        </w:rPr>
        <w:t xml:space="preserve">the </w:t>
      </w:r>
      <w:r>
        <w:rPr>
          <w:lang w:val="en-US"/>
        </w:rPr>
        <w:t xml:space="preserve">draft CR </w:t>
      </w:r>
      <w:r w:rsidRPr="005C2D97">
        <w:rPr>
          <w:lang w:val="en-US"/>
        </w:rPr>
        <w:t>38.212</w:t>
      </w:r>
      <w:r>
        <w:rPr>
          <w:lang w:val="en-US"/>
        </w:rPr>
        <w:t xml:space="preserve">, the bit width of </w:t>
      </w:r>
      <w:r w:rsidR="00BC6CCE">
        <w:rPr>
          <w:lang w:val="en-US"/>
        </w:rPr>
        <w:t xml:space="preserve">a modulation </w:t>
      </w:r>
      <w:r>
        <w:rPr>
          <w:lang w:val="en-US"/>
        </w:rPr>
        <w:t xml:space="preserve">and coding scheme </w:t>
      </w:r>
      <w:r w:rsidR="00BC6CCE">
        <w:rPr>
          <w:lang w:val="en-US"/>
        </w:rPr>
        <w:t xml:space="preserve">field </w:t>
      </w:r>
      <w:r>
        <w:rPr>
          <w:lang w:val="en-US"/>
        </w:rPr>
        <w:t>is a placeholder.</w:t>
      </w:r>
    </w:p>
    <w:p w14:paraId="01C1213F" w14:textId="63ED8CE2" w:rsidR="004E4E49" w:rsidRDefault="0001680A" w:rsidP="0076039D">
      <w:pPr>
        <w:rPr>
          <w:lang w:val="en-US"/>
        </w:rPr>
      </w:pPr>
      <w:r>
        <w:rPr>
          <w:lang w:val="en-US"/>
        </w:rPr>
        <w:t>The current 5-bits</w:t>
      </w:r>
      <w:r>
        <w:rPr>
          <w:rFonts w:eastAsia="ＭＳ 明朝"/>
        </w:rPr>
        <w:t xml:space="preserve"> “</w:t>
      </w:r>
      <w:r w:rsidRPr="002625EB">
        <w:t>Modulation and coding scheme</w:t>
      </w:r>
      <w:r>
        <w:rPr>
          <w:rFonts w:eastAsia="ＭＳ 明朝"/>
        </w:rPr>
        <w:t>”</w:t>
      </w:r>
      <w:r>
        <w:t xml:space="preserve"> field</w:t>
      </w:r>
      <w:r w:rsidR="002C0C6D">
        <w:rPr>
          <w:lang w:val="en-US"/>
        </w:rPr>
        <w:t xml:space="preserve"> are used to make sure the eMBB traffic transmission with best effort. However, some URLLC use cases may not require the best effort, especially for a higher reliability case. In this case, some MCS entries with higher modulation order or target code rate </w:t>
      </w:r>
      <w:r>
        <w:rPr>
          <w:lang w:val="en-US"/>
        </w:rPr>
        <w:t xml:space="preserve">may be not necessary and </w:t>
      </w:r>
      <w:r w:rsidR="002C0C6D">
        <w:rPr>
          <w:lang w:val="en-US"/>
        </w:rPr>
        <w:t xml:space="preserve">can be </w:t>
      </w:r>
      <w:r>
        <w:rPr>
          <w:lang w:val="en-US"/>
        </w:rPr>
        <w:t>removed</w:t>
      </w:r>
      <w:r w:rsidR="002C0C6D">
        <w:rPr>
          <w:lang w:val="en-US"/>
        </w:rPr>
        <w:t xml:space="preserve"> </w:t>
      </w:r>
      <w:r>
        <w:rPr>
          <w:lang w:val="en-US"/>
        </w:rPr>
        <w:t xml:space="preserve">so that </w:t>
      </w:r>
      <w:r w:rsidR="00B667EA">
        <w:rPr>
          <w:lang w:val="en-US"/>
        </w:rPr>
        <w:t>the bits can be reduced to meet</w:t>
      </w:r>
      <w:r w:rsidR="00D91696">
        <w:rPr>
          <w:lang w:val="en-US"/>
        </w:rPr>
        <w:t xml:space="preserve"> the higher reliability requirement</w:t>
      </w:r>
      <w:r w:rsidR="002C0C6D">
        <w:rPr>
          <w:lang w:val="en-US"/>
        </w:rPr>
        <w:t xml:space="preserve">. </w:t>
      </w:r>
      <w:r w:rsidR="00FE243E">
        <w:rPr>
          <w:lang w:val="en-US"/>
        </w:rPr>
        <w:t>Or,</w:t>
      </w:r>
      <w:r w:rsidR="00D91696">
        <w:rPr>
          <w:lang w:val="en-US"/>
        </w:rPr>
        <w:t xml:space="preserve"> the network</w:t>
      </w:r>
      <w:r w:rsidR="00FE243E">
        <w:rPr>
          <w:lang w:val="en-US"/>
        </w:rPr>
        <w:t xml:space="preserve"> can increase the granularity of MCS entries </w:t>
      </w:r>
      <w:r w:rsidR="00D91696">
        <w:rPr>
          <w:lang w:val="en-US"/>
        </w:rPr>
        <w:t>out of</w:t>
      </w:r>
      <w:r w:rsidR="00FE243E">
        <w:rPr>
          <w:lang w:val="en-US"/>
        </w:rPr>
        <w:t xml:space="preserve"> the MCS index table to reduce the bit</w:t>
      </w:r>
      <w:r w:rsidR="00D91696">
        <w:rPr>
          <w:lang w:val="en-US"/>
        </w:rPr>
        <w:t xml:space="preserve"> </w:t>
      </w:r>
      <w:r w:rsidR="00FE243E">
        <w:rPr>
          <w:lang w:val="en-US"/>
        </w:rPr>
        <w:t xml:space="preserve">. </w:t>
      </w:r>
      <w:r w:rsidR="00D91696">
        <w:rPr>
          <w:lang w:val="en-US"/>
        </w:rPr>
        <w:t>F</w:t>
      </w:r>
      <w:r w:rsidR="00FE243E">
        <w:rPr>
          <w:lang w:val="en-US"/>
        </w:rPr>
        <w:t>or some URLLC use case</w:t>
      </w:r>
      <w:r w:rsidR="00B667EA">
        <w:rPr>
          <w:lang w:val="en-US"/>
        </w:rPr>
        <w:t>s</w:t>
      </w:r>
      <w:r w:rsidR="00FE243E">
        <w:rPr>
          <w:lang w:val="en-US"/>
        </w:rPr>
        <w:t xml:space="preserve"> which require the best effort, the network can </w:t>
      </w:r>
      <w:r w:rsidR="00D91696">
        <w:rPr>
          <w:lang w:val="en-US"/>
        </w:rPr>
        <w:t xml:space="preserve">also </w:t>
      </w:r>
      <w:r w:rsidR="00FE243E">
        <w:rPr>
          <w:lang w:val="en-US"/>
        </w:rPr>
        <w:t xml:space="preserve">configure up to 32 MCS entries to achieve the best effort for </w:t>
      </w:r>
      <w:r w:rsidR="00B667EA">
        <w:rPr>
          <w:lang w:val="en-US"/>
        </w:rPr>
        <w:t>a</w:t>
      </w:r>
      <w:r w:rsidR="00FE243E">
        <w:rPr>
          <w:lang w:val="en-US"/>
        </w:rPr>
        <w:t xml:space="preserve"> UE.</w:t>
      </w:r>
      <w:r w:rsidR="002C0C6D">
        <w:rPr>
          <w:lang w:val="en-US"/>
        </w:rPr>
        <w:t xml:space="preserve"> </w:t>
      </w:r>
      <w:r w:rsidR="00D91696">
        <w:rPr>
          <w:lang w:val="en-US"/>
        </w:rPr>
        <w:t>Therefore, it is beneficial to support a configurable size for ‘Modulation and coding scheme’ field for DCI formats 1_2/0_2. The ne</w:t>
      </w:r>
      <w:r w:rsidR="004E4E49">
        <w:rPr>
          <w:lang w:val="en-US"/>
        </w:rPr>
        <w:t>t</w:t>
      </w:r>
      <w:r w:rsidR="00D91696">
        <w:rPr>
          <w:lang w:val="en-US"/>
        </w:rPr>
        <w:t xml:space="preserve">work can configure different MCS entries according to different use cases and UE’s channel conditions.  </w:t>
      </w:r>
    </w:p>
    <w:p w14:paraId="036436BE" w14:textId="2B429930" w:rsidR="00BC6CCE" w:rsidRDefault="0076039D" w:rsidP="0076039D">
      <w:pPr>
        <w:spacing w:before="240" w:after="240" w:afterAutospacing="0"/>
      </w:pPr>
      <w:r w:rsidRPr="003E3EED">
        <w:rPr>
          <w:rFonts w:eastAsia="ＭＳ 明朝"/>
          <w:b/>
          <w:u w:val="single"/>
        </w:rPr>
        <w:t xml:space="preserve">Proposal </w:t>
      </w:r>
      <w:r w:rsidR="003264DB">
        <w:rPr>
          <w:rFonts w:eastAsia="ＭＳ 明朝"/>
          <w:b/>
          <w:u w:val="single"/>
        </w:rPr>
        <w:t>2</w:t>
      </w:r>
      <w:r w:rsidRPr="003E3EED">
        <w:rPr>
          <w:rFonts w:eastAsia="ＭＳ 明朝"/>
          <w:b/>
          <w:u w:val="single"/>
        </w:rPr>
        <w:t>:</w:t>
      </w:r>
      <w:r w:rsidRPr="009F34B6">
        <w:rPr>
          <w:rFonts w:eastAsia="ＭＳ 明朝" w:hint="eastAsia"/>
          <w:b/>
        </w:rPr>
        <w:t xml:space="preserve"> </w:t>
      </w:r>
      <w:r w:rsidRPr="00B22691">
        <w:rPr>
          <w:rFonts w:eastAsia="ＭＳ 明朝"/>
        </w:rPr>
        <w:t xml:space="preserve">Support </w:t>
      </w:r>
      <w:r>
        <w:rPr>
          <w:rFonts w:eastAsia="ＭＳ 明朝"/>
        </w:rPr>
        <w:t>configurable size for “</w:t>
      </w:r>
      <w:r w:rsidRPr="002625EB">
        <w:t>Modulation and coding scheme</w:t>
      </w:r>
      <w:r>
        <w:rPr>
          <w:rFonts w:eastAsia="ＭＳ 明朝"/>
        </w:rPr>
        <w:t>”</w:t>
      </w:r>
      <w:r>
        <w:t xml:space="preserve"> field for DCI formats 1_2/0_2.</w:t>
      </w:r>
    </w:p>
    <w:p w14:paraId="2659719A" w14:textId="34FB8D2C" w:rsidR="003264DB" w:rsidRPr="00876C12" w:rsidRDefault="003264DB" w:rsidP="003264DB">
      <w:pPr>
        <w:pStyle w:val="30"/>
        <w:rPr>
          <w:lang w:val="en-US"/>
        </w:rPr>
      </w:pPr>
      <w:r>
        <w:rPr>
          <w:lang w:val="en-US"/>
        </w:rPr>
        <w:t xml:space="preserve">New DCI format (DCI format 1_2/0_2) </w:t>
      </w:r>
      <w:r w:rsidR="000F2C64">
        <w:rPr>
          <w:lang w:val="en-US"/>
        </w:rPr>
        <w:t>size</w:t>
      </w:r>
    </w:p>
    <w:p w14:paraId="3DBED262" w14:textId="548F5580" w:rsidR="00C0052B" w:rsidRDefault="003264DB" w:rsidP="003264DB">
      <w:pPr>
        <w:rPr>
          <w:lang w:val="en-US"/>
        </w:rPr>
      </w:pPr>
      <w:r>
        <w:rPr>
          <w:lang w:val="en-US"/>
        </w:rPr>
        <w:t xml:space="preserve">The DCI format 1_2/0_2 with configurable sizes can be configured by network for UEs to enable new Rel-16 URLLC features and disable some Rel-15 features (e.g </w:t>
      </w:r>
      <w:r w:rsidRPr="00787F65">
        <w:rPr>
          <w:lang w:val="en-US"/>
        </w:rPr>
        <w:t>2 TB, CBG</w:t>
      </w:r>
      <w:r>
        <w:rPr>
          <w:lang w:val="en-US"/>
        </w:rPr>
        <w:t>, MIMO-related features</w:t>
      </w:r>
      <w:r w:rsidRPr="00787F65">
        <w:rPr>
          <w:lang w:val="en-US"/>
        </w:rPr>
        <w:t xml:space="preserve"> etc</w:t>
      </w:r>
      <w:r>
        <w:rPr>
          <w:lang w:val="en-US"/>
        </w:rPr>
        <w:t xml:space="preserve">). Furthermore, one </w:t>
      </w:r>
      <w:r w:rsidR="00F77EDA">
        <w:rPr>
          <w:lang w:val="en-US"/>
        </w:rPr>
        <w:t xml:space="preserve">of the most </w:t>
      </w:r>
      <w:r>
        <w:rPr>
          <w:lang w:val="en-US"/>
        </w:rPr>
        <w:t>important motivation</w:t>
      </w:r>
      <w:r w:rsidR="00F77EDA">
        <w:rPr>
          <w:lang w:val="en-US"/>
        </w:rPr>
        <w:t>s</w:t>
      </w:r>
      <w:r>
        <w:rPr>
          <w:lang w:val="en-US"/>
        </w:rPr>
        <w:t xml:space="preserve"> of the DCI format 1_2/0_2 with configurable sizes </w:t>
      </w:r>
      <w:r>
        <w:rPr>
          <w:lang w:val="en-US"/>
        </w:rPr>
        <w:lastRenderedPageBreak/>
        <w:t>targets a reduction of 10~16 bits relative to the Rel-15 fallback DCI format, which</w:t>
      </w:r>
      <w:r w:rsidR="00895EAC">
        <w:rPr>
          <w:lang w:val="en-US"/>
        </w:rPr>
        <w:t xml:space="preserve"> can</w:t>
      </w:r>
      <w:r>
        <w:rPr>
          <w:lang w:val="en-US"/>
        </w:rPr>
        <w:t xml:space="preserve"> contribute to achieve a higher reliability for some use case</w:t>
      </w:r>
      <w:r w:rsidR="00895EAC">
        <w:rPr>
          <w:lang w:val="en-US"/>
        </w:rPr>
        <w:t>s</w:t>
      </w:r>
      <w:r>
        <w:rPr>
          <w:lang w:val="en-US"/>
        </w:rPr>
        <w:t xml:space="preserve"> with </w:t>
      </w:r>
      <w:r w:rsidR="00C0052B">
        <w:rPr>
          <w:lang w:val="en-US"/>
        </w:rPr>
        <w:t xml:space="preserve">higher </w:t>
      </w:r>
      <w:r>
        <w:rPr>
          <w:lang w:val="en-US"/>
        </w:rPr>
        <w:t xml:space="preserve">requirements. The introduction of the DCI format 1_2/0_2 consequently brings an additional </w:t>
      </w:r>
      <w:r w:rsidRPr="00E51FA4">
        <w:rPr>
          <w:lang w:val="en-US"/>
        </w:rPr>
        <w:t xml:space="preserve">DCI size </w:t>
      </w:r>
      <w:r w:rsidR="00C0052B">
        <w:rPr>
          <w:lang w:val="en-US"/>
        </w:rPr>
        <w:t>and has impact on the DCI size budget in blind decoding</w:t>
      </w:r>
      <w:r>
        <w:rPr>
          <w:lang w:val="en-US"/>
        </w:rPr>
        <w:t xml:space="preserve">. </w:t>
      </w:r>
    </w:p>
    <w:p w14:paraId="7A7A3128" w14:textId="1CAC92A2" w:rsidR="00C0052B" w:rsidRPr="00B667EA" w:rsidRDefault="00C0052B" w:rsidP="003264DB">
      <w:pPr>
        <w:rPr>
          <w:rFonts w:eastAsia="ＭＳ 明朝"/>
          <w:kern w:val="2"/>
        </w:rPr>
      </w:pPr>
      <w:r>
        <w:rPr>
          <w:lang w:val="en-US"/>
        </w:rPr>
        <w:t>On the other hand</w:t>
      </w:r>
      <w:r w:rsidR="003264DB">
        <w:rPr>
          <w:lang w:val="en-US"/>
        </w:rPr>
        <w:t xml:space="preserve">, not all the Rel-16 UEs are mandated to be configured </w:t>
      </w:r>
      <w:r>
        <w:rPr>
          <w:lang w:val="en-US"/>
        </w:rPr>
        <w:t xml:space="preserve">to monitor </w:t>
      </w:r>
      <w:r w:rsidR="003264DB">
        <w:rPr>
          <w:lang w:val="en-US"/>
        </w:rPr>
        <w:t xml:space="preserve">the DCI format 1_2/0_2. </w:t>
      </w:r>
      <w:r w:rsidR="000F2C64" w:rsidRPr="00B667EA">
        <w:rPr>
          <w:lang w:val="en-US"/>
        </w:rPr>
        <w:t>S</w:t>
      </w:r>
      <w:r w:rsidR="003264DB" w:rsidRPr="00B667EA">
        <w:rPr>
          <w:lang w:val="en-US"/>
        </w:rPr>
        <w:t xml:space="preserve">ome Rel-16 </w:t>
      </w:r>
      <w:r w:rsidR="000F2C64" w:rsidRPr="00B667EA">
        <w:rPr>
          <w:lang w:val="en-US"/>
        </w:rPr>
        <w:t xml:space="preserve">URLLC </w:t>
      </w:r>
      <w:r w:rsidR="003264DB" w:rsidRPr="00B667EA">
        <w:rPr>
          <w:lang w:val="en-US"/>
        </w:rPr>
        <w:t xml:space="preserve">UEs may be configured with the combination of the Rel-15 fallback DCI formats and Rel-15 non-fallback DCI formats to be monitored. While some Rel-16 </w:t>
      </w:r>
      <w:r w:rsidR="00D54F5C" w:rsidRPr="00B667EA">
        <w:rPr>
          <w:lang w:val="en-US"/>
        </w:rPr>
        <w:t xml:space="preserve">URLLC </w:t>
      </w:r>
      <w:r w:rsidR="003264DB" w:rsidRPr="00B667EA">
        <w:rPr>
          <w:lang w:val="en-US"/>
        </w:rPr>
        <w:t xml:space="preserve">UEs may be configured with the combination of the Rel-15 fallback DCI formats and Rel-16 DCI formats 1_2/0_2 to be monitored. While some Rel-16 </w:t>
      </w:r>
      <w:r w:rsidR="00D54F5C" w:rsidRPr="00B667EA">
        <w:rPr>
          <w:lang w:val="en-US"/>
        </w:rPr>
        <w:t xml:space="preserve">URLLC </w:t>
      </w:r>
      <w:r w:rsidR="003264DB" w:rsidRPr="00B667EA">
        <w:rPr>
          <w:lang w:val="en-US"/>
        </w:rPr>
        <w:t xml:space="preserve">UEs may be configured with the combination of the Rel-15 fallback DCI format, </w:t>
      </w:r>
      <w:r w:rsidR="003264DB" w:rsidRPr="00B667EA">
        <w:rPr>
          <w:rFonts w:eastAsia="ＭＳ 明朝"/>
          <w:kern w:val="2"/>
        </w:rPr>
        <w:t xml:space="preserve">Rel-15 </w:t>
      </w:r>
      <w:r w:rsidR="003264DB" w:rsidRPr="00B667EA">
        <w:rPr>
          <w:lang w:val="en-US"/>
        </w:rPr>
        <w:t>non-fallback</w:t>
      </w:r>
      <w:r w:rsidR="003264DB" w:rsidRPr="00B667EA">
        <w:rPr>
          <w:rFonts w:eastAsia="ＭＳ 明朝"/>
          <w:kern w:val="2"/>
        </w:rPr>
        <w:t xml:space="preserve"> DCI formats and Rel-16 DCI format 1_2/0_2 to be monitored.</w:t>
      </w:r>
    </w:p>
    <w:p w14:paraId="3DD0BC6D" w14:textId="7B2E968C" w:rsidR="003264DB" w:rsidRPr="00B80DDE" w:rsidRDefault="003264DB" w:rsidP="003264DB">
      <w:pPr>
        <w:spacing w:before="240" w:after="240" w:afterAutospacing="0"/>
        <w:rPr>
          <w:rFonts w:eastAsia="ＭＳ 明朝"/>
          <w:kern w:val="2"/>
        </w:rPr>
      </w:pPr>
      <w:r w:rsidRPr="00B667EA">
        <w:rPr>
          <w:b/>
          <w:bCs/>
          <w:u w:val="single"/>
        </w:rPr>
        <w:t>Observation 1:</w:t>
      </w:r>
      <w:r w:rsidRPr="00B667EA">
        <w:rPr>
          <w:b/>
          <w:bCs/>
        </w:rPr>
        <w:t xml:space="preserve"> </w:t>
      </w:r>
      <w:r w:rsidRPr="00B667EA">
        <w:rPr>
          <w:rFonts w:eastAsia="ＭＳ 明朝"/>
          <w:kern w:val="2"/>
        </w:rPr>
        <w:t>(i)</w:t>
      </w:r>
      <w:r w:rsidR="00D54F5C" w:rsidRPr="00B667EA">
        <w:rPr>
          <w:rFonts w:eastAsia="ＭＳ 明朝"/>
          <w:kern w:val="2"/>
        </w:rPr>
        <w:t>S</w:t>
      </w:r>
      <w:r w:rsidRPr="00B667EA">
        <w:rPr>
          <w:rFonts w:eastAsia="ＭＳ 明朝"/>
          <w:kern w:val="2"/>
        </w:rPr>
        <w:t xml:space="preserve">ome Rel-16 </w:t>
      </w:r>
      <w:r w:rsidR="00D54F5C" w:rsidRPr="00B667EA">
        <w:rPr>
          <w:rFonts w:eastAsia="ＭＳ 明朝"/>
          <w:kern w:val="2"/>
        </w:rPr>
        <w:t xml:space="preserve">URLLC </w:t>
      </w:r>
      <w:r w:rsidRPr="00B667EA">
        <w:rPr>
          <w:rFonts w:eastAsia="ＭＳ 明朝"/>
          <w:kern w:val="2"/>
        </w:rPr>
        <w:t xml:space="preserve">UEs may be configured with the combination of Rel-15 </w:t>
      </w:r>
      <w:r w:rsidRPr="00B667EA">
        <w:rPr>
          <w:lang w:val="en-US"/>
        </w:rPr>
        <w:t>fallback</w:t>
      </w:r>
      <w:r w:rsidRPr="00B667EA">
        <w:rPr>
          <w:rFonts w:eastAsia="ＭＳ 明朝"/>
          <w:kern w:val="2"/>
        </w:rPr>
        <w:t xml:space="preserve"> DCI formats and Rel-15 </w:t>
      </w:r>
      <w:r w:rsidRPr="00B667EA">
        <w:rPr>
          <w:lang w:val="en-US"/>
        </w:rPr>
        <w:t>non-fallback</w:t>
      </w:r>
      <w:r w:rsidRPr="00B667EA">
        <w:rPr>
          <w:rFonts w:eastAsia="ＭＳ 明朝"/>
          <w:kern w:val="2"/>
        </w:rPr>
        <w:t xml:space="preserve"> DCI formats to be monitored; (ii)</w:t>
      </w:r>
      <w:r w:rsidR="00D54F5C" w:rsidRPr="00B667EA">
        <w:rPr>
          <w:rFonts w:eastAsia="ＭＳ 明朝"/>
          <w:kern w:val="2"/>
        </w:rPr>
        <w:t>S</w:t>
      </w:r>
      <w:r w:rsidRPr="00B667EA">
        <w:rPr>
          <w:rFonts w:eastAsia="ＭＳ 明朝"/>
          <w:kern w:val="2"/>
        </w:rPr>
        <w:t xml:space="preserve">ome Rel-16 </w:t>
      </w:r>
      <w:r w:rsidR="00D54F5C" w:rsidRPr="00B667EA">
        <w:rPr>
          <w:rFonts w:eastAsia="ＭＳ 明朝"/>
          <w:kern w:val="2"/>
        </w:rPr>
        <w:t xml:space="preserve">URLLC </w:t>
      </w:r>
      <w:r w:rsidRPr="00B667EA">
        <w:rPr>
          <w:rFonts w:eastAsia="ＭＳ 明朝"/>
          <w:kern w:val="2"/>
        </w:rPr>
        <w:t xml:space="preserve">UEs may be configured with the combination of the Rel-15 </w:t>
      </w:r>
      <w:r w:rsidRPr="00B667EA">
        <w:rPr>
          <w:lang w:val="en-US"/>
        </w:rPr>
        <w:t>fallback</w:t>
      </w:r>
      <w:r w:rsidRPr="00B667EA">
        <w:rPr>
          <w:rFonts w:eastAsia="ＭＳ 明朝"/>
          <w:kern w:val="2"/>
        </w:rPr>
        <w:t xml:space="preserve"> DCI formats and </w:t>
      </w:r>
      <w:r w:rsidRPr="00B667EA">
        <w:rPr>
          <w:lang w:val="en-US"/>
        </w:rPr>
        <w:t xml:space="preserve">Rel-16 </w:t>
      </w:r>
      <w:r w:rsidRPr="00B667EA">
        <w:rPr>
          <w:rFonts w:eastAsia="ＭＳ 明朝"/>
          <w:kern w:val="2"/>
        </w:rPr>
        <w:t xml:space="preserve">DCI formats 1_2/0_2 to be monitored; (iii)some Rel-16 </w:t>
      </w:r>
      <w:r w:rsidR="00D54F5C" w:rsidRPr="00B667EA">
        <w:rPr>
          <w:rFonts w:eastAsia="ＭＳ 明朝"/>
          <w:kern w:val="2"/>
        </w:rPr>
        <w:t xml:space="preserve">URLLC </w:t>
      </w:r>
      <w:r w:rsidRPr="00B667EA">
        <w:rPr>
          <w:rFonts w:eastAsia="ＭＳ 明朝"/>
          <w:kern w:val="2"/>
        </w:rPr>
        <w:t xml:space="preserve">UEs may be configured with the combination of Rel-15 </w:t>
      </w:r>
      <w:r w:rsidRPr="00B667EA">
        <w:rPr>
          <w:lang w:val="en-US"/>
        </w:rPr>
        <w:t>fallback</w:t>
      </w:r>
      <w:r w:rsidRPr="00B667EA">
        <w:rPr>
          <w:rFonts w:eastAsia="ＭＳ 明朝"/>
          <w:kern w:val="2"/>
        </w:rPr>
        <w:t xml:space="preserve"> DCI formats, Rel-15 </w:t>
      </w:r>
      <w:r w:rsidRPr="00B667EA">
        <w:rPr>
          <w:lang w:val="en-US"/>
        </w:rPr>
        <w:t>non-fallback</w:t>
      </w:r>
      <w:r w:rsidRPr="00B667EA">
        <w:rPr>
          <w:rFonts w:eastAsia="ＭＳ 明朝"/>
          <w:kern w:val="2"/>
        </w:rPr>
        <w:t xml:space="preserve"> DCI formats and Rel-16 DCI formats 1_2/0_2 to be monitored.</w:t>
      </w:r>
    </w:p>
    <w:p w14:paraId="0BD98974" w14:textId="45526F2C" w:rsidR="003264DB" w:rsidRPr="00B22691" w:rsidRDefault="00D54F5C" w:rsidP="003264DB">
      <w:pPr>
        <w:rPr>
          <w:lang w:val="en-US"/>
        </w:rPr>
      </w:pPr>
      <w:r>
        <w:rPr>
          <w:lang w:val="en-US"/>
        </w:rPr>
        <w:t>I</w:t>
      </w:r>
      <w:r w:rsidR="003264DB">
        <w:rPr>
          <w:lang w:val="en-US"/>
        </w:rPr>
        <w:t xml:space="preserve">ntroduction of the DCI formats 1_2/0_2 would cause the DCI size impact for those Rel-16 </w:t>
      </w:r>
      <w:r>
        <w:rPr>
          <w:lang w:val="en-US"/>
        </w:rPr>
        <w:t xml:space="preserve">URLLC </w:t>
      </w:r>
      <w:r w:rsidR="003264DB">
        <w:rPr>
          <w:lang w:val="en-US"/>
        </w:rPr>
        <w:t xml:space="preserve">UEs which is configured with the combination of </w:t>
      </w:r>
      <w:r w:rsidR="003264DB" w:rsidRPr="00B80DDE">
        <w:rPr>
          <w:rFonts w:eastAsia="ＭＳ 明朝"/>
          <w:kern w:val="2"/>
        </w:rPr>
        <w:t xml:space="preserve">Rel-15 </w:t>
      </w:r>
      <w:r w:rsidR="003264DB" w:rsidRPr="00B80DDE">
        <w:rPr>
          <w:lang w:val="en-US"/>
        </w:rPr>
        <w:t>fallback</w:t>
      </w:r>
      <w:r w:rsidR="003264DB" w:rsidRPr="00B80DDE">
        <w:rPr>
          <w:rFonts w:eastAsia="ＭＳ 明朝"/>
          <w:kern w:val="2"/>
        </w:rPr>
        <w:t xml:space="preserve"> DCI formats, Rel-15 </w:t>
      </w:r>
      <w:r w:rsidR="003264DB" w:rsidRPr="00B80DDE">
        <w:rPr>
          <w:lang w:val="en-US"/>
        </w:rPr>
        <w:t>non-fallback</w:t>
      </w:r>
      <w:r w:rsidR="003264DB" w:rsidRPr="00B80DDE">
        <w:rPr>
          <w:rFonts w:eastAsia="ＭＳ 明朝"/>
          <w:kern w:val="2"/>
        </w:rPr>
        <w:t xml:space="preserve"> DCI formats and </w:t>
      </w:r>
      <w:r w:rsidR="003264DB">
        <w:rPr>
          <w:rFonts w:eastAsia="ＭＳ 明朝"/>
          <w:kern w:val="2"/>
        </w:rPr>
        <w:t>Rel-16 DCI formats 1_2/0_2</w:t>
      </w:r>
      <w:r w:rsidR="003264DB" w:rsidRPr="00B80DDE">
        <w:rPr>
          <w:rFonts w:eastAsia="ＭＳ 明朝"/>
          <w:kern w:val="2"/>
        </w:rPr>
        <w:t xml:space="preserve"> to be monitored</w:t>
      </w:r>
      <w:r w:rsidR="003264DB" w:rsidDel="00C65DD9">
        <w:rPr>
          <w:lang w:val="en-US"/>
        </w:rPr>
        <w:t xml:space="preserve"> </w:t>
      </w:r>
      <w:r w:rsidR="003264DB">
        <w:rPr>
          <w:lang w:val="en-US"/>
        </w:rPr>
        <w:t>.</w:t>
      </w:r>
    </w:p>
    <w:p w14:paraId="337AD12D" w14:textId="77777777" w:rsidR="003264DB" w:rsidRPr="00BB3041" w:rsidRDefault="003264DB" w:rsidP="003264DB">
      <w:pPr>
        <w:rPr>
          <w:rFonts w:eastAsia="ＭＳ 明朝"/>
          <w:kern w:val="2"/>
        </w:rPr>
      </w:pPr>
      <w:r w:rsidRPr="00B80DDE">
        <w:rPr>
          <w:b/>
          <w:bCs/>
          <w:u w:val="single"/>
        </w:rPr>
        <w:t>Observation 2:</w:t>
      </w:r>
      <w:r w:rsidRPr="008C129B">
        <w:rPr>
          <w:b/>
          <w:bCs/>
        </w:rPr>
        <w:t xml:space="preserve"> </w:t>
      </w:r>
      <w:r>
        <w:rPr>
          <w:rFonts w:eastAsia="ＭＳ 明朝"/>
          <w:kern w:val="2"/>
        </w:rPr>
        <w:t xml:space="preserve">Introduction of the DCI format 1_2/0_2 would only cause the DCI size impact for those Rel-16 UEs being configured with the combination of the </w:t>
      </w:r>
      <w:r w:rsidRPr="00BB3041">
        <w:rPr>
          <w:lang w:val="en-US"/>
        </w:rPr>
        <w:t>Rel-15 fallback/non-fallback</w:t>
      </w:r>
      <w:r>
        <w:rPr>
          <w:rFonts w:eastAsia="ＭＳ 明朝"/>
          <w:kern w:val="2"/>
        </w:rPr>
        <w:t xml:space="preserve"> DCI formats and Rel-16 DCI formats 1_2/0_2 to be monitored.</w:t>
      </w:r>
    </w:p>
    <w:p w14:paraId="09B7815E" w14:textId="73977C7D" w:rsidR="003264DB" w:rsidRDefault="003264DB" w:rsidP="003264DB">
      <w:pPr>
        <w:rPr>
          <w:lang w:val="en-US"/>
        </w:rPr>
      </w:pPr>
      <w:r>
        <w:rPr>
          <w:rFonts w:hint="eastAsia"/>
          <w:lang w:val="en-US"/>
        </w:rPr>
        <w:t>N</w:t>
      </w:r>
      <w:r>
        <w:rPr>
          <w:lang w:val="en-US"/>
        </w:rPr>
        <w:t xml:space="preserve">ext, we get discussing the DCI format impact due to the introduction of the DCI format 1_2/0_2 </w:t>
      </w:r>
      <w:r w:rsidRPr="00BB3041">
        <w:rPr>
          <w:lang w:val="en-US"/>
        </w:rPr>
        <w:t>in the premise of the UE being configured the combination of the Rel-15 fallback/non-fallback DCI formats and DCI format</w:t>
      </w:r>
      <w:r>
        <w:rPr>
          <w:lang w:val="en-US"/>
        </w:rPr>
        <w:t>s 1_2/0_2</w:t>
      </w:r>
      <w:r w:rsidRPr="00BB3041">
        <w:rPr>
          <w:lang w:val="en-US"/>
        </w:rPr>
        <w:t>.</w:t>
      </w:r>
      <w:r>
        <w:rPr>
          <w:lang w:val="en-US"/>
        </w:rPr>
        <w:t xml:space="preserve"> Some views have been raised to address the DCI size impact, such as to perform DCI size alignment between the DCI formats 1_2/0_2 and the Rel-15 DCI formats. Although it can eliminate the occurrence of additional DCI size, it would also impair the benefit what the DCI formats 1_2/0_2 with configurable size can bring, e.g. higher reliability requirement. Especially in a case that the size of DCI formats 1_2/0_2 are far from that of Rel-15 DCI formats, quite a few padding bits </w:t>
      </w:r>
      <w:r w:rsidR="00D54F5C">
        <w:rPr>
          <w:lang w:val="en-US"/>
        </w:rPr>
        <w:t xml:space="preserve">(e.g. 10~16 bits) </w:t>
      </w:r>
      <w:r>
        <w:rPr>
          <w:lang w:val="en-US"/>
        </w:rPr>
        <w:t xml:space="preserve">would be required to be added to the DCI formats 1_2/0_2, which would affect the detection performance of the DCI formats 1_2/0_2. </w:t>
      </w:r>
    </w:p>
    <w:p w14:paraId="5FEABAB4" w14:textId="77777777" w:rsidR="003264DB" w:rsidRPr="008C71B0" w:rsidRDefault="003264DB" w:rsidP="003264DB">
      <w:pPr>
        <w:rPr>
          <w:lang w:val="en-US"/>
        </w:rPr>
      </w:pPr>
      <w:r>
        <w:rPr>
          <w:lang w:val="en-US"/>
        </w:rPr>
        <w:t>In addition, size alignment between the DCI formats 1_2/0_2 and Rel-15 DCI format would also encounter some issues as like, which Rel-15 DCI format such as DCI format 0_0/1_0, DCI format 1_1 or DCI format 0_1 should be used to align. The DCI formats 1_2/0_2 with configurable sizes can achieve a reduction of 10~16 bits relative to Rel-15 fallback DCI formats and they can also have a DCI size being larger than the Rel-15 fallback DCI formats. Thus, according to different configurations for the DCI formats 1_2/0_2, the DCI formats 1_2/0_2 may need to be aligned with Rel-15 fallback DCI formats or with Rel-15 non-fallback DCI formats. It is therefore necessary to further discuss how to make the UE and the network be aware of which Rel-15 DCI format the DCI formats 1_2/0_2 is aligned with. Furthermore, after size alignment between the new DCI format and the Rel-15 DCI format, we still need to further discuss how to differentiate them.</w:t>
      </w:r>
    </w:p>
    <w:p w14:paraId="4B097723" w14:textId="210F252F" w:rsidR="003264DB" w:rsidRPr="003E3EED" w:rsidRDefault="003264DB" w:rsidP="003264DB">
      <w:pPr>
        <w:spacing w:before="240" w:after="240" w:afterAutospacing="0"/>
        <w:rPr>
          <w:bCs/>
        </w:rPr>
      </w:pPr>
      <w:r w:rsidRPr="003E3EED">
        <w:rPr>
          <w:b/>
          <w:bCs/>
          <w:u w:val="single"/>
        </w:rPr>
        <w:lastRenderedPageBreak/>
        <w:t>Observation 3:</w:t>
      </w:r>
      <w:r w:rsidRPr="003E3EED">
        <w:rPr>
          <w:b/>
          <w:bCs/>
        </w:rPr>
        <w:t xml:space="preserve"> </w:t>
      </w:r>
      <w:r w:rsidRPr="003E3EED">
        <w:rPr>
          <w:bCs/>
        </w:rPr>
        <w:t xml:space="preserve">It had better not to perform size alignment between </w:t>
      </w:r>
      <w:r w:rsidRPr="003E3EED">
        <w:rPr>
          <w:rFonts w:eastAsia="ＭＳ 明朝"/>
          <w:kern w:val="2"/>
        </w:rPr>
        <w:t xml:space="preserve">the DCI format </w:t>
      </w:r>
      <w:r>
        <w:rPr>
          <w:rFonts w:eastAsia="ＭＳ 明朝"/>
          <w:kern w:val="2"/>
        </w:rPr>
        <w:t xml:space="preserve">1_2/0_2 </w:t>
      </w:r>
      <w:r w:rsidRPr="003E3EED">
        <w:rPr>
          <w:rFonts w:eastAsia="ＭＳ 明朝"/>
          <w:kern w:val="2"/>
        </w:rPr>
        <w:t>and the Rel-15 DCI formats. A</w:t>
      </w:r>
      <w:r w:rsidRPr="003E3EED">
        <w:rPr>
          <w:bCs/>
        </w:rPr>
        <w:t xml:space="preserve">dditional zero-padding bits </w:t>
      </w:r>
      <w:r w:rsidR="00D54F5C">
        <w:rPr>
          <w:lang w:val="en-US"/>
        </w:rPr>
        <w:t xml:space="preserve">(e.g. may up to 16 bits) </w:t>
      </w:r>
      <w:r w:rsidRPr="003E3EED">
        <w:rPr>
          <w:bCs/>
        </w:rPr>
        <w:t>would affect the detection performance of the new DCI format especially if the size</w:t>
      </w:r>
      <w:r>
        <w:rPr>
          <w:bCs/>
        </w:rPr>
        <w:t xml:space="preserve"> of the DCI format 1_2/0_2 </w:t>
      </w:r>
      <w:r w:rsidRPr="003E3EED">
        <w:rPr>
          <w:bCs/>
        </w:rPr>
        <w:t>is far from th</w:t>
      </w:r>
      <w:r>
        <w:rPr>
          <w:bCs/>
        </w:rPr>
        <w:t xml:space="preserve">at of the </w:t>
      </w:r>
      <w:r w:rsidRPr="003E3EED">
        <w:rPr>
          <w:bCs/>
        </w:rPr>
        <w:t>Rel-15 DCI formats.</w:t>
      </w:r>
    </w:p>
    <w:p w14:paraId="452C5B32" w14:textId="627B2809" w:rsidR="003264DB" w:rsidRPr="003E3EED" w:rsidRDefault="003264DB" w:rsidP="003264DB">
      <w:pPr>
        <w:rPr>
          <w:lang w:val="en-US"/>
        </w:rPr>
      </w:pPr>
      <w:r w:rsidRPr="003E3EED">
        <w:rPr>
          <w:lang w:val="en-US"/>
        </w:rPr>
        <w:t>Therefore, it would be beneficial to keep the original size of the new DCI format</w:t>
      </w:r>
      <w:r w:rsidR="000658A8">
        <w:rPr>
          <w:lang w:val="en-US"/>
        </w:rPr>
        <w:t xml:space="preserve"> (1_2/0_2)</w:t>
      </w:r>
      <w:r w:rsidRPr="003E3EED">
        <w:rPr>
          <w:lang w:val="en-US"/>
        </w:rPr>
        <w:t xml:space="preserve"> according to its exclusive configuration. </w:t>
      </w:r>
      <w:r w:rsidR="00D54F5C">
        <w:rPr>
          <w:lang w:val="en-US"/>
        </w:rPr>
        <w:t>On the other hand</w:t>
      </w:r>
      <w:r w:rsidRPr="003E3EED">
        <w:rPr>
          <w:lang w:val="en-US"/>
        </w:rPr>
        <w:t xml:space="preserve">, keeping the original size of the new DCI format results in </w:t>
      </w:r>
      <w:r w:rsidR="004E4E49">
        <w:rPr>
          <w:lang w:val="en-US"/>
        </w:rPr>
        <w:t xml:space="preserve">increasing </w:t>
      </w:r>
      <w:r w:rsidRPr="003E3EED">
        <w:rPr>
          <w:lang w:val="en-US"/>
        </w:rPr>
        <w:t xml:space="preserve">one additional DCI size. However, as mentioned above, not all the Rel-16 </w:t>
      </w:r>
      <w:r w:rsidR="004E4E49">
        <w:rPr>
          <w:lang w:val="en-US"/>
        </w:rPr>
        <w:t xml:space="preserve">URLLC </w:t>
      </w:r>
      <w:r w:rsidRPr="003E3EED">
        <w:rPr>
          <w:lang w:val="en-US"/>
        </w:rPr>
        <w:t xml:space="preserve">UEs would suffer the DCI size budget impact. Only those Rel-16 </w:t>
      </w:r>
      <w:r w:rsidR="004E4E49">
        <w:rPr>
          <w:lang w:val="en-US"/>
        </w:rPr>
        <w:t xml:space="preserve">URLLC </w:t>
      </w:r>
      <w:r w:rsidRPr="003E3EED">
        <w:rPr>
          <w:lang w:val="en-US"/>
        </w:rPr>
        <w:t>UEs who expect to</w:t>
      </w:r>
      <w:r w:rsidR="000658A8">
        <w:rPr>
          <w:lang w:val="en-US"/>
        </w:rPr>
        <w:t xml:space="preserve"> support </w:t>
      </w:r>
      <w:r w:rsidR="004E4E49">
        <w:rPr>
          <w:lang w:val="en-US"/>
        </w:rPr>
        <w:t xml:space="preserve">to monitor </w:t>
      </w:r>
      <w:r w:rsidR="000658A8">
        <w:rPr>
          <w:lang w:val="en-US"/>
        </w:rPr>
        <w:t>the combination of t</w:t>
      </w:r>
      <w:r w:rsidR="000658A8" w:rsidRPr="004A2CA9">
        <w:rPr>
          <w:rFonts w:eastAsia="ＭＳ 明朝"/>
          <w:kern w:val="2"/>
        </w:rPr>
        <w:t xml:space="preserve">he Rel-15 </w:t>
      </w:r>
      <w:r w:rsidR="000658A8" w:rsidRPr="004A2CA9">
        <w:rPr>
          <w:lang w:val="en-US"/>
        </w:rPr>
        <w:t>fallback/non-fallback</w:t>
      </w:r>
      <w:r w:rsidR="000658A8" w:rsidRPr="004A2CA9">
        <w:rPr>
          <w:rFonts w:eastAsia="ＭＳ 明朝"/>
          <w:kern w:val="2"/>
        </w:rPr>
        <w:t xml:space="preserve"> DCI formats and the new DCI formats </w:t>
      </w:r>
      <w:r w:rsidR="004E4E49">
        <w:rPr>
          <w:rFonts w:eastAsia="ＭＳ 明朝"/>
          <w:kern w:val="2"/>
        </w:rPr>
        <w:t>1_2/0_2</w:t>
      </w:r>
      <w:r w:rsidRPr="003E3EED">
        <w:rPr>
          <w:lang w:val="en-US"/>
        </w:rPr>
        <w:t xml:space="preserve">, would suffer the DCI size budget impact. That is, for those Rel-16 UEs supporting </w:t>
      </w:r>
      <w:r w:rsidR="000658A8" w:rsidRPr="004A2CA9">
        <w:rPr>
          <w:rFonts w:eastAsia="ＭＳ 明朝"/>
          <w:kern w:val="2"/>
        </w:rPr>
        <w:t xml:space="preserve">combination of the Rel-15 </w:t>
      </w:r>
      <w:r w:rsidR="000658A8" w:rsidRPr="004A2CA9">
        <w:rPr>
          <w:lang w:val="en-US"/>
        </w:rPr>
        <w:t>fallback/non-fallback</w:t>
      </w:r>
      <w:r w:rsidR="000658A8" w:rsidRPr="004A2CA9">
        <w:rPr>
          <w:rFonts w:eastAsia="ＭＳ 明朝"/>
          <w:kern w:val="2"/>
        </w:rPr>
        <w:t xml:space="preserve"> DCI formats and the new DCI formats to be monitored</w:t>
      </w:r>
      <w:r w:rsidRPr="003E3EED">
        <w:rPr>
          <w:lang w:val="en-US"/>
        </w:rPr>
        <w:t xml:space="preserve">, it may not be a serious issue to enhance the DCI size budget by increase the DCI size budget from 3 DCI size with C-RNTI to 4 DCI size with C-RNTI. Of course, our intention is not that increase of the DCI size budget means to increase the blind decoding number.  </w:t>
      </w:r>
    </w:p>
    <w:p w14:paraId="51B37311" w14:textId="4BF7E065" w:rsidR="003264DB" w:rsidRDefault="003264DB" w:rsidP="003264DB">
      <w:pPr>
        <w:spacing w:before="240" w:after="240" w:afterAutospacing="0"/>
        <w:rPr>
          <w:rFonts w:eastAsia="ＭＳ 明朝"/>
          <w:kern w:val="2"/>
        </w:rPr>
      </w:pPr>
      <w:r w:rsidRPr="003E3EED">
        <w:rPr>
          <w:b/>
          <w:bCs/>
          <w:u w:val="single"/>
        </w:rPr>
        <w:t>Observation 4:</w:t>
      </w:r>
      <w:r w:rsidRPr="003E3EED">
        <w:rPr>
          <w:b/>
          <w:bCs/>
        </w:rPr>
        <w:t xml:space="preserve"> </w:t>
      </w:r>
      <w:r w:rsidRPr="003E3EED">
        <w:rPr>
          <w:rFonts w:eastAsia="ＭＳ 明朝"/>
          <w:kern w:val="2"/>
        </w:rPr>
        <w:t xml:space="preserve">For Rel-16 </w:t>
      </w:r>
      <w:r w:rsidR="004E4E49">
        <w:rPr>
          <w:rFonts w:eastAsia="ＭＳ 明朝"/>
          <w:kern w:val="2"/>
        </w:rPr>
        <w:t xml:space="preserve">URLLC </w:t>
      </w:r>
      <w:r w:rsidRPr="003E3EED">
        <w:rPr>
          <w:rFonts w:eastAsia="ＭＳ 明朝"/>
          <w:kern w:val="2"/>
        </w:rPr>
        <w:t xml:space="preserve">UEs simultaneously supporting the combination of the Rel-15 </w:t>
      </w:r>
      <w:r w:rsidRPr="003E3EED">
        <w:rPr>
          <w:lang w:val="en-US"/>
        </w:rPr>
        <w:t>fallback/non-fallback</w:t>
      </w:r>
      <w:r w:rsidRPr="003E3EED">
        <w:rPr>
          <w:rFonts w:eastAsia="ＭＳ 明朝"/>
          <w:kern w:val="2"/>
        </w:rPr>
        <w:t xml:space="preserve"> DCI formats and the </w:t>
      </w:r>
      <w:r>
        <w:rPr>
          <w:rFonts w:eastAsia="ＭＳ 明朝"/>
          <w:kern w:val="2"/>
        </w:rPr>
        <w:t xml:space="preserve">Rel-16 </w:t>
      </w:r>
      <w:r w:rsidRPr="003E3EED">
        <w:rPr>
          <w:rFonts w:eastAsia="ＭＳ 明朝"/>
          <w:kern w:val="2"/>
        </w:rPr>
        <w:t>DCI formats</w:t>
      </w:r>
      <w:r>
        <w:rPr>
          <w:rFonts w:eastAsia="ＭＳ 明朝"/>
          <w:kern w:val="2"/>
        </w:rPr>
        <w:t xml:space="preserve"> </w:t>
      </w:r>
      <w:r>
        <w:rPr>
          <w:lang w:val="en-US"/>
        </w:rPr>
        <w:t>1_2/0_2</w:t>
      </w:r>
      <w:r w:rsidRPr="003E3EED">
        <w:rPr>
          <w:rFonts w:eastAsia="ＭＳ 明朝"/>
          <w:kern w:val="2"/>
        </w:rPr>
        <w:t xml:space="preserve"> to be monitored, the DCI size budget can be increased from 3+1 to 4+1.</w:t>
      </w:r>
    </w:p>
    <w:p w14:paraId="5CD21D9F" w14:textId="29BBD855" w:rsidR="000263B4" w:rsidRPr="000F6DF2" w:rsidRDefault="000F6DF2" w:rsidP="003264DB">
      <w:pPr>
        <w:spacing w:before="240" w:after="240" w:afterAutospacing="0"/>
        <w:rPr>
          <w:rFonts w:eastAsia="ＭＳ 明朝"/>
          <w:kern w:val="2"/>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4A2CA9">
        <w:rPr>
          <w:rFonts w:eastAsia="ＭＳ 明朝" w:hint="eastAsia"/>
          <w:b/>
        </w:rPr>
        <w:t xml:space="preserve"> </w:t>
      </w:r>
      <w:r>
        <w:rPr>
          <w:lang w:eastAsia="zh-CN"/>
        </w:rPr>
        <w:t xml:space="preserve">Allow to increase </w:t>
      </w:r>
      <w:r>
        <w:t xml:space="preserve">the DCI size budget from 3 to 4 for those Rel-16 URLLC UEs </w:t>
      </w:r>
      <w:r w:rsidRPr="004A2CA9">
        <w:rPr>
          <w:rFonts w:eastAsia="ＭＳ 明朝"/>
          <w:kern w:val="2"/>
        </w:rPr>
        <w:t>simultaneously</w:t>
      </w:r>
      <w:r>
        <w:t xml:space="preserve"> supporting </w:t>
      </w:r>
      <w:r w:rsidRPr="004A2CA9">
        <w:rPr>
          <w:rFonts w:eastAsia="ＭＳ 明朝"/>
          <w:kern w:val="2"/>
        </w:rPr>
        <w:t xml:space="preserve">the combination of the Rel-15 </w:t>
      </w:r>
      <w:r w:rsidRPr="004A2CA9">
        <w:rPr>
          <w:lang w:val="en-US"/>
        </w:rPr>
        <w:t>fallback/non-fallback</w:t>
      </w:r>
      <w:r w:rsidRPr="004A2CA9">
        <w:rPr>
          <w:rFonts w:eastAsia="ＭＳ 明朝"/>
          <w:kern w:val="2"/>
        </w:rPr>
        <w:t xml:space="preserve"> DCI formats and the new DCI formats </w:t>
      </w:r>
      <w:r w:rsidR="004E4E49">
        <w:rPr>
          <w:rFonts w:eastAsia="ＭＳ 明朝"/>
          <w:kern w:val="2"/>
        </w:rPr>
        <w:t xml:space="preserve">1_2/0_2 </w:t>
      </w:r>
      <w:r w:rsidRPr="004A2CA9">
        <w:rPr>
          <w:rFonts w:eastAsia="ＭＳ 明朝"/>
          <w:kern w:val="2"/>
        </w:rPr>
        <w:t>to be monitored</w:t>
      </w:r>
      <w:r>
        <w:t>.</w:t>
      </w:r>
    </w:p>
    <w:p w14:paraId="6C522E36" w14:textId="58877337" w:rsidR="003264DB" w:rsidRPr="003E3EED" w:rsidRDefault="000F6DF2" w:rsidP="003264DB">
      <w:pPr>
        <w:spacing w:before="240" w:after="240" w:afterAutospacing="0"/>
        <w:rPr>
          <w:rFonts w:eastAsia="ＭＳ 明朝"/>
          <w:kern w:val="2"/>
        </w:rPr>
      </w:pPr>
      <w:r>
        <w:rPr>
          <w:b/>
          <w:bCs/>
          <w:u w:val="single"/>
        </w:rPr>
        <w:t>Proposal</w:t>
      </w:r>
      <w:r w:rsidR="003264DB" w:rsidRPr="003E3EED">
        <w:rPr>
          <w:b/>
          <w:bCs/>
          <w:u w:val="single"/>
        </w:rPr>
        <w:t xml:space="preserve"> </w:t>
      </w:r>
      <w:r>
        <w:rPr>
          <w:b/>
          <w:bCs/>
          <w:u w:val="single"/>
        </w:rPr>
        <w:t>4</w:t>
      </w:r>
      <w:r w:rsidR="003264DB" w:rsidRPr="003E3EED">
        <w:rPr>
          <w:b/>
          <w:bCs/>
          <w:u w:val="single"/>
        </w:rPr>
        <w:t>:</w:t>
      </w:r>
      <w:r w:rsidR="003264DB" w:rsidRPr="003E3EED">
        <w:rPr>
          <w:b/>
          <w:bCs/>
        </w:rPr>
        <w:t xml:space="preserve"> </w:t>
      </w:r>
      <w:r w:rsidR="003264DB" w:rsidRPr="003E3EED">
        <w:rPr>
          <w:rFonts w:eastAsia="ＭＳ 明朝"/>
          <w:kern w:val="2"/>
        </w:rPr>
        <w:t xml:space="preserve">The DCI format </w:t>
      </w:r>
      <w:r w:rsidR="003264DB">
        <w:rPr>
          <w:rFonts w:eastAsia="ＭＳ 明朝"/>
          <w:kern w:val="2"/>
        </w:rPr>
        <w:t>1_2</w:t>
      </w:r>
      <w:r w:rsidR="003264DB" w:rsidRPr="003E3EED">
        <w:rPr>
          <w:rFonts w:eastAsia="ＭＳ 明朝"/>
          <w:kern w:val="2"/>
        </w:rPr>
        <w:t xml:space="preserve"> and </w:t>
      </w:r>
      <w:r w:rsidR="003264DB">
        <w:rPr>
          <w:rFonts w:eastAsia="ＭＳ 明朝"/>
          <w:kern w:val="2"/>
        </w:rPr>
        <w:t xml:space="preserve">the </w:t>
      </w:r>
      <w:r w:rsidR="003264DB" w:rsidRPr="003E3EED">
        <w:rPr>
          <w:rFonts w:eastAsia="ＭＳ 明朝"/>
          <w:kern w:val="2"/>
        </w:rPr>
        <w:t xml:space="preserve">DCI format </w:t>
      </w:r>
      <w:r w:rsidR="003264DB">
        <w:rPr>
          <w:rFonts w:eastAsia="ＭＳ 明朝"/>
          <w:kern w:val="2"/>
        </w:rPr>
        <w:t>0_2</w:t>
      </w:r>
      <w:r w:rsidR="003264DB" w:rsidRPr="003E3EED">
        <w:rPr>
          <w:rFonts w:eastAsia="ＭＳ 明朝"/>
          <w:kern w:val="2"/>
        </w:rPr>
        <w:t xml:space="preserve"> can be size-matched to one size.</w:t>
      </w:r>
    </w:p>
    <w:p w14:paraId="27C3C20F" w14:textId="3DDD026D" w:rsidR="003264DB" w:rsidRPr="003E3EED" w:rsidRDefault="003264DB" w:rsidP="003264DB">
      <w:pPr>
        <w:rPr>
          <w:lang w:val="en-US"/>
        </w:rPr>
      </w:pPr>
      <w:r w:rsidRPr="003E3EED">
        <w:rPr>
          <w:lang w:val="en-US"/>
        </w:rPr>
        <w:t>Incidentally, the size of new DCI format may be same with that of Rel-15 DCI format. In this case, 1 zero-padding bit can be added to the new DCI format</w:t>
      </w:r>
      <w:r w:rsidRPr="003E3EED">
        <w:rPr>
          <w:rFonts w:hint="eastAsia"/>
          <w:lang w:val="en-US"/>
        </w:rPr>
        <w:t>.</w:t>
      </w:r>
      <w:r w:rsidRPr="003E3EED">
        <w:rPr>
          <w:lang w:val="en-US"/>
        </w:rPr>
        <w:t xml:space="preserve"> The Rel-16 UEs can differentiate Rel-15 DCI format and new DCI format</w:t>
      </w:r>
      <w:r w:rsidR="004E4E49">
        <w:rPr>
          <w:lang w:val="en-US"/>
        </w:rPr>
        <w:t xml:space="preserve"> 1_2/0_2</w:t>
      </w:r>
      <w:r w:rsidRPr="003E3EED">
        <w:rPr>
          <w:lang w:val="en-US"/>
        </w:rPr>
        <w:t xml:space="preserve"> via different DCI sizes. </w:t>
      </w:r>
    </w:p>
    <w:p w14:paraId="1BF8776B" w14:textId="2BF6CFF8" w:rsidR="003264DB" w:rsidRPr="003E3EED" w:rsidRDefault="000F6DF2" w:rsidP="003264DB">
      <w:pPr>
        <w:rPr>
          <w:lang w:val="en-US"/>
        </w:rPr>
      </w:pPr>
      <w:r>
        <w:rPr>
          <w:b/>
          <w:bCs/>
          <w:u w:val="single"/>
        </w:rPr>
        <w:t>Proposal</w:t>
      </w:r>
      <w:r w:rsidR="003264DB" w:rsidRPr="003E3EED">
        <w:rPr>
          <w:b/>
          <w:bCs/>
          <w:u w:val="single"/>
        </w:rPr>
        <w:t xml:space="preserve"> </w:t>
      </w:r>
      <w:r>
        <w:rPr>
          <w:b/>
          <w:bCs/>
          <w:u w:val="single"/>
        </w:rPr>
        <w:t>5</w:t>
      </w:r>
      <w:r w:rsidR="003264DB" w:rsidRPr="003E3EED">
        <w:rPr>
          <w:b/>
          <w:bCs/>
          <w:u w:val="single"/>
        </w:rPr>
        <w:t>:</w:t>
      </w:r>
      <w:r w:rsidR="003264DB" w:rsidRPr="003E3EED">
        <w:rPr>
          <w:b/>
          <w:bCs/>
        </w:rPr>
        <w:t xml:space="preserve"> </w:t>
      </w:r>
      <w:r w:rsidR="003264DB" w:rsidRPr="003E3EED">
        <w:rPr>
          <w:rFonts w:eastAsia="ＭＳ 明朝"/>
          <w:kern w:val="2"/>
        </w:rPr>
        <w:t xml:space="preserve">In a case that the size of DCI </w:t>
      </w:r>
      <w:r w:rsidR="003264DB">
        <w:rPr>
          <w:rFonts w:eastAsia="ＭＳ 明朝"/>
          <w:kern w:val="2"/>
        </w:rPr>
        <w:t>format</w:t>
      </w:r>
      <w:r w:rsidR="000658A8">
        <w:rPr>
          <w:rFonts w:eastAsia="ＭＳ 明朝"/>
          <w:kern w:val="2"/>
        </w:rPr>
        <w:t xml:space="preserve">s 1_2/0_2 </w:t>
      </w:r>
      <w:r w:rsidR="003264DB" w:rsidRPr="003E3EED">
        <w:rPr>
          <w:rFonts w:eastAsia="ＭＳ 明朝"/>
          <w:kern w:val="2"/>
        </w:rPr>
        <w:t xml:space="preserve">is equal to that of Rel-15 DCI format, 1 bit can be appended to </w:t>
      </w:r>
      <w:r w:rsidR="000658A8">
        <w:rPr>
          <w:rFonts w:eastAsia="ＭＳ 明朝"/>
          <w:kern w:val="2"/>
        </w:rPr>
        <w:t xml:space="preserve">the </w:t>
      </w:r>
      <w:r w:rsidR="003264DB" w:rsidRPr="003E3EED">
        <w:rPr>
          <w:rFonts w:eastAsia="ＭＳ 明朝"/>
          <w:kern w:val="2"/>
        </w:rPr>
        <w:t xml:space="preserve">new DCI </w:t>
      </w:r>
      <w:r w:rsidR="000658A8">
        <w:rPr>
          <w:rFonts w:eastAsia="ＭＳ 明朝"/>
          <w:kern w:val="2"/>
        </w:rPr>
        <w:t>formats 1_2/0_2</w:t>
      </w:r>
      <w:r w:rsidR="003264DB" w:rsidRPr="003E3EED">
        <w:rPr>
          <w:rFonts w:eastAsia="ＭＳ 明朝"/>
          <w:kern w:val="2"/>
        </w:rPr>
        <w:t xml:space="preserve"> to keep their DCI sizes </w:t>
      </w:r>
      <w:r w:rsidR="0031114E">
        <w:rPr>
          <w:rFonts w:eastAsia="ＭＳ 明朝"/>
          <w:kern w:val="2"/>
        </w:rPr>
        <w:t>separate</w:t>
      </w:r>
      <w:r w:rsidR="0031114E">
        <w:rPr>
          <w:rFonts w:eastAsia="ＭＳ 明朝" w:hint="eastAsia"/>
          <w:kern w:val="2"/>
        </w:rPr>
        <w:t xml:space="preserve"> </w:t>
      </w:r>
      <w:r w:rsidR="0031114E">
        <w:rPr>
          <w:rFonts w:eastAsia="ＭＳ 明朝"/>
          <w:kern w:val="2"/>
        </w:rPr>
        <w:t>from that of Rel-15 DCI format</w:t>
      </w:r>
      <w:r w:rsidR="003264DB" w:rsidRPr="003E3EED">
        <w:rPr>
          <w:rFonts w:eastAsia="ＭＳ 明朝"/>
          <w:kern w:val="2"/>
        </w:rPr>
        <w:t>.</w:t>
      </w:r>
      <w:r w:rsidR="003264DB" w:rsidRPr="003E3EED">
        <w:rPr>
          <w:lang w:val="en-US"/>
        </w:rPr>
        <w:t xml:space="preserve"> </w:t>
      </w:r>
    </w:p>
    <w:p w14:paraId="0BB81166" w14:textId="343D54F4" w:rsidR="0036102C" w:rsidRDefault="00EA746C" w:rsidP="00BE37A7">
      <w:pPr>
        <w:pStyle w:val="20"/>
        <w:rPr>
          <w:lang w:val="en-US"/>
        </w:rPr>
      </w:pPr>
      <w:r>
        <w:rPr>
          <w:lang w:val="en-US"/>
        </w:rPr>
        <w:t>Enhancement of</w:t>
      </w:r>
      <w:r w:rsidR="00B73822">
        <w:rPr>
          <w:lang w:val="en-US"/>
        </w:rPr>
        <w:t xml:space="preserve"> PDCCH monitoring capability</w:t>
      </w:r>
    </w:p>
    <w:p w14:paraId="6EB910BA" w14:textId="4E57CA38" w:rsidR="00B4585B" w:rsidRDefault="00BD1C70" w:rsidP="00B4585B">
      <w:pPr>
        <w:spacing w:before="240" w:after="240" w:afterAutospacing="0"/>
        <w:rPr>
          <w:rFonts w:eastAsia="ＭＳ 明朝"/>
        </w:rPr>
      </w:pPr>
      <w:r>
        <w:rPr>
          <w:rFonts w:eastAsia="ＭＳ 明朝"/>
        </w:rPr>
        <w:t>Increased PDCCH monitoring capability has been discussed and some agreements were</w:t>
      </w:r>
      <w:r w:rsidRPr="00BD1C70">
        <w:rPr>
          <w:rFonts w:eastAsia="ＭＳ 明朝"/>
        </w:rPr>
        <w:t xml:space="preserve"> reached </w:t>
      </w:r>
      <w:r>
        <w:rPr>
          <w:rFonts w:eastAsia="ＭＳ 明朝"/>
        </w:rPr>
        <w:t>in RAN1#97</w:t>
      </w:r>
      <w:r w:rsidR="00F61E01">
        <w:rPr>
          <w:rFonts w:eastAsia="ＭＳ 明朝"/>
        </w:rPr>
        <w:t xml:space="preserve"> and RAN1#98</w:t>
      </w:r>
      <w:r>
        <w:rPr>
          <w:rFonts w:eastAsia="ＭＳ 明朝"/>
        </w:rPr>
        <w:t xml:space="preserve"> meeting</w:t>
      </w:r>
      <w:r w:rsidRPr="00BD1C70">
        <w:rPr>
          <w:rFonts w:eastAsia="ＭＳ 明朝"/>
        </w:rPr>
        <w:t xml:space="preserve"> </w:t>
      </w:r>
      <w:r w:rsidR="0046497F">
        <w:rPr>
          <w:rFonts w:eastAsia="ＭＳ 明朝"/>
        </w:rPr>
        <w:t>[</w:t>
      </w:r>
      <w:r w:rsidR="004E4E49">
        <w:rPr>
          <w:rFonts w:eastAsia="ＭＳ 明朝"/>
        </w:rPr>
        <w:t>3</w:t>
      </w:r>
      <w:r w:rsidR="0046497F">
        <w:rPr>
          <w:rFonts w:eastAsia="ＭＳ 明朝"/>
        </w:rPr>
        <w:t xml:space="preserve">] </w:t>
      </w:r>
      <w:r w:rsidRPr="00BD1C70">
        <w:rPr>
          <w:rFonts w:eastAsia="ＭＳ 明朝"/>
        </w:rPr>
        <w:t>as below</w:t>
      </w:r>
      <w:r>
        <w:rPr>
          <w:rFonts w:eastAsia="ＭＳ 明朝"/>
        </w:rPr>
        <w:t xml:space="preserve">. </w:t>
      </w:r>
    </w:p>
    <w:tbl>
      <w:tblPr>
        <w:tblStyle w:val="af2"/>
        <w:tblW w:w="0" w:type="auto"/>
        <w:tblLook w:val="04A0" w:firstRow="1" w:lastRow="0" w:firstColumn="1" w:lastColumn="0" w:noHBand="0" w:noVBand="1"/>
      </w:tblPr>
      <w:tblGrid>
        <w:gridCol w:w="9954"/>
      </w:tblGrid>
      <w:tr w:rsidR="00B4585B" w:rsidRPr="00102CC5" w14:paraId="7783F821" w14:textId="77777777" w:rsidTr="00A228B0">
        <w:trPr>
          <w:trHeight w:val="1125"/>
        </w:trPr>
        <w:tc>
          <w:tcPr>
            <w:tcW w:w="9954" w:type="dxa"/>
          </w:tcPr>
          <w:p w14:paraId="23DB3115" w14:textId="30D48ABE" w:rsidR="00B4585B" w:rsidRPr="00195D2E" w:rsidRDefault="00B4585B" w:rsidP="00A228B0">
            <w:pPr>
              <w:rPr>
                <w:rFonts w:eastAsia="ＭＳ 明朝"/>
              </w:rPr>
            </w:pPr>
            <w:r w:rsidRPr="00ED22E9">
              <w:rPr>
                <w:rFonts w:eastAsia="ＭＳ 明朝"/>
              </w:rPr>
              <w:t>RAN1#9</w:t>
            </w:r>
            <w:r>
              <w:rPr>
                <w:rFonts w:eastAsia="ＭＳ 明朝"/>
              </w:rPr>
              <w:t>7</w:t>
            </w:r>
          </w:p>
          <w:p w14:paraId="7399129C" w14:textId="77777777" w:rsidR="00B4585B" w:rsidRPr="00244DCD" w:rsidRDefault="00B4585B" w:rsidP="00A228B0">
            <w:pPr>
              <w:rPr>
                <w:highlight w:val="green"/>
              </w:rPr>
            </w:pPr>
            <w:r w:rsidRPr="00244DCD">
              <w:rPr>
                <w:highlight w:val="green"/>
              </w:rPr>
              <w:t>Agreements:</w:t>
            </w:r>
          </w:p>
          <w:p w14:paraId="526BDA51" w14:textId="77777777" w:rsidR="00B4585B" w:rsidRPr="00244DCD" w:rsidRDefault="00B4585B" w:rsidP="00A228B0">
            <w:pPr>
              <w:spacing w:beforeLines="50" w:before="180"/>
              <w:rPr>
                <w:kern w:val="2"/>
                <w:lang w:eastAsia="zh-CN"/>
              </w:rPr>
            </w:pPr>
            <w:r w:rsidRPr="00244DCD">
              <w:rPr>
                <w:color w:val="000000"/>
                <w:kern w:val="2"/>
                <w:lang w:eastAsia="zh-CN"/>
              </w:rPr>
              <w:t xml:space="preserve">Take the following framework as the </w:t>
            </w:r>
            <w:r w:rsidRPr="00244DCD">
              <w:rPr>
                <w:color w:val="000000"/>
                <w:kern w:val="2"/>
                <w:highlight w:val="darkYellow"/>
                <w:lang w:eastAsia="zh-CN"/>
              </w:rPr>
              <w:t xml:space="preserve">working assumption </w:t>
            </w:r>
            <w:r w:rsidRPr="00244DCD">
              <w:rPr>
                <w:color w:val="000000"/>
                <w:kern w:val="2"/>
                <w:lang w:eastAsia="zh-CN"/>
              </w:rPr>
              <w:t xml:space="preserve">for defining the limit on the maximum number of non-overlapping CCEs for channel estimation per PDCCH monitoring span: </w:t>
            </w:r>
          </w:p>
          <w:p w14:paraId="0EA32D2C" w14:textId="77777777" w:rsidR="00B4585B" w:rsidRPr="00244DCD" w:rsidRDefault="00B4585B" w:rsidP="004C3606">
            <w:pPr>
              <w:pStyle w:val="aff9"/>
              <w:numPr>
                <w:ilvl w:val="0"/>
                <w:numId w:val="16"/>
              </w:numPr>
              <w:autoSpaceDE w:val="0"/>
              <w:autoSpaceDN w:val="0"/>
              <w:adjustRightInd w:val="0"/>
              <w:spacing w:after="0" w:afterAutospacing="0"/>
              <w:ind w:left="714" w:firstLineChars="0" w:hanging="357"/>
              <w:contextualSpacing/>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25089900" w14:textId="77777777" w:rsidR="00B4585B" w:rsidRPr="00244DCD" w:rsidRDefault="00B4585B" w:rsidP="004C3606">
            <w:pPr>
              <w:pStyle w:val="aff9"/>
              <w:numPr>
                <w:ilvl w:val="1"/>
                <w:numId w:val="16"/>
              </w:numPr>
              <w:autoSpaceDE w:val="0"/>
              <w:autoSpaceDN w:val="0"/>
              <w:adjustRightInd w:val="0"/>
              <w:spacing w:after="0" w:afterAutospacing="0"/>
              <w:ind w:firstLineChars="0"/>
              <w:contextualSpacing/>
              <w:jc w:val="left"/>
              <w:rPr>
                <w:color w:val="000000"/>
                <w:kern w:val="2"/>
                <w:lang w:eastAsia="zh-CN"/>
              </w:rPr>
            </w:pPr>
            <w:r w:rsidRPr="00244DCD">
              <w:rPr>
                <w:color w:val="000000"/>
                <w:kern w:val="2"/>
                <w:lang w:eastAsia="zh-CN"/>
              </w:rPr>
              <w:t xml:space="preserve">FFS whether any modification needed  </w:t>
            </w:r>
          </w:p>
          <w:p w14:paraId="55E24853" w14:textId="77777777" w:rsidR="00B4585B" w:rsidRPr="00B23AF1" w:rsidRDefault="00B4585B" w:rsidP="00A228B0">
            <w:pPr>
              <w:autoSpaceDE w:val="0"/>
              <w:autoSpaceDN w:val="0"/>
              <w:adjustRightInd w:val="0"/>
              <w:ind w:firstLineChars="175" w:firstLine="420"/>
              <w:contextualSpacing/>
              <w:rPr>
                <w:rFonts w:eastAsia="SimSun"/>
                <w:color w:val="000000"/>
                <w:kern w:val="2"/>
                <w:highlight w:val="green"/>
                <w:lang w:eastAsia="zh-CN"/>
              </w:rPr>
            </w:pPr>
          </w:p>
          <w:p w14:paraId="64FD8240" w14:textId="77777777" w:rsidR="00B4585B" w:rsidRPr="00011A05" w:rsidRDefault="00B4585B" w:rsidP="00A228B0">
            <w:r w:rsidRPr="00011A05">
              <w:rPr>
                <w:highlight w:val="green"/>
              </w:rPr>
              <w:t>Agreements</w:t>
            </w:r>
            <w:r w:rsidRPr="00011A05">
              <w:t>:</w:t>
            </w:r>
          </w:p>
          <w:p w14:paraId="6C7AB2E1" w14:textId="77777777" w:rsidR="00B4585B" w:rsidRPr="00011A05" w:rsidRDefault="00B4585B" w:rsidP="004C3606">
            <w:pPr>
              <w:pStyle w:val="aff9"/>
              <w:numPr>
                <w:ilvl w:val="0"/>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3A2D5594"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aspects related to UE capability</w:t>
            </w:r>
          </w:p>
          <w:p w14:paraId="7838E1B5"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bookmarkStart w:id="5" w:name="_Hlk16675579"/>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bookmarkEnd w:id="5"/>
            <w:r w:rsidRPr="00011A05">
              <w:rPr>
                <w:color w:val="000000"/>
                <w:kern w:val="2"/>
                <w:lang w:eastAsia="zh-CN"/>
              </w:rPr>
              <w:t xml:space="preserve"> </w:t>
            </w:r>
          </w:p>
          <w:p w14:paraId="3937DFE1"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Example of combinations as shown in the following table:</w:t>
            </w:r>
          </w:p>
          <w:p w14:paraId="2F948FC9" w14:textId="77777777" w:rsidR="00B4585B" w:rsidRPr="00011A05" w:rsidRDefault="00B4585B" w:rsidP="004C3606">
            <w:pPr>
              <w:pStyle w:val="aff9"/>
              <w:numPr>
                <w:ilvl w:val="2"/>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the value of C</w:t>
            </w:r>
          </w:p>
          <w:p w14:paraId="715CCBB6" w14:textId="77777777" w:rsidR="00B4585B" w:rsidRPr="00011A05" w:rsidRDefault="00B4585B" w:rsidP="004C3606">
            <w:pPr>
              <w:pStyle w:val="aff9"/>
              <w:numPr>
                <w:ilvl w:val="3"/>
                <w:numId w:val="16"/>
              </w:numPr>
              <w:autoSpaceDE w:val="0"/>
              <w:autoSpaceDN w:val="0"/>
              <w:adjustRightInd w:val="0"/>
              <w:spacing w:after="120" w:afterAutospacing="0"/>
              <w:ind w:firstLineChars="0"/>
              <w:contextualSpacing/>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B4585B" w:rsidRPr="00251AD4" w14:paraId="690E1104" w14:textId="77777777" w:rsidTr="00A228B0">
              <w:trPr>
                <w:trHeight w:val="138"/>
                <w:jc w:val="center"/>
              </w:trPr>
              <w:tc>
                <w:tcPr>
                  <w:tcW w:w="1681" w:type="dxa"/>
                  <w:vMerge w:val="restart"/>
                  <w:shd w:val="clear" w:color="auto" w:fill="D9D9D9"/>
                </w:tcPr>
                <w:p w14:paraId="10000014" w14:textId="77777777" w:rsidR="00B4585B" w:rsidRPr="00251AD4" w:rsidRDefault="00B4585B" w:rsidP="00A228B0">
                  <w:pPr>
                    <w:spacing w:beforeLines="50" w:before="180"/>
                    <w:jc w:val="center"/>
                    <w:rPr>
                      <w:kern w:val="2"/>
                      <w:lang w:eastAsia="zh-CN"/>
                    </w:rPr>
                  </w:pPr>
                </w:p>
              </w:tc>
              <w:tc>
                <w:tcPr>
                  <w:tcW w:w="1296" w:type="dxa"/>
                  <w:vMerge w:val="restart"/>
                  <w:shd w:val="clear" w:color="auto" w:fill="D9D9D9"/>
                </w:tcPr>
                <w:p w14:paraId="6B0FB596" w14:textId="77777777" w:rsidR="00B4585B" w:rsidRPr="00251AD4" w:rsidRDefault="00B4585B" w:rsidP="00A228B0">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54B62FC8" w14:textId="77777777" w:rsidR="00B4585B" w:rsidRPr="00251AD4" w:rsidRDefault="00B4585B" w:rsidP="00A228B0">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6C53E1E5" w14:textId="77777777" w:rsidR="00B4585B" w:rsidRPr="00251AD4" w:rsidRDefault="00B4585B" w:rsidP="00A228B0">
                  <w:pPr>
                    <w:spacing w:beforeLines="50" w:before="180"/>
                    <w:jc w:val="center"/>
                    <w:rPr>
                      <w:kern w:val="2"/>
                      <w:lang w:eastAsia="zh-CN"/>
                    </w:rPr>
                  </w:pPr>
                  <w:r w:rsidRPr="00251AD4">
                    <w:rPr>
                      <w:rFonts w:hint="eastAsia"/>
                      <w:kern w:val="2"/>
                      <w:lang w:eastAsia="zh-CN"/>
                    </w:rPr>
                    <w:t>C</w:t>
                  </w:r>
                </w:p>
              </w:tc>
            </w:tr>
            <w:tr w:rsidR="00B4585B" w:rsidRPr="00251AD4" w14:paraId="0997A616" w14:textId="77777777" w:rsidTr="00A228B0">
              <w:trPr>
                <w:trHeight w:val="137"/>
                <w:jc w:val="center"/>
              </w:trPr>
              <w:tc>
                <w:tcPr>
                  <w:tcW w:w="1681" w:type="dxa"/>
                  <w:vMerge/>
                  <w:shd w:val="clear" w:color="auto" w:fill="D9D9D9"/>
                </w:tcPr>
                <w:p w14:paraId="5BAFA5FC" w14:textId="77777777" w:rsidR="00B4585B" w:rsidRPr="00251AD4" w:rsidRDefault="00B4585B" w:rsidP="00A228B0">
                  <w:pPr>
                    <w:spacing w:beforeLines="50" w:before="180"/>
                    <w:jc w:val="center"/>
                    <w:rPr>
                      <w:kern w:val="2"/>
                      <w:lang w:eastAsia="zh-CN"/>
                    </w:rPr>
                  </w:pPr>
                </w:p>
              </w:tc>
              <w:tc>
                <w:tcPr>
                  <w:tcW w:w="1296" w:type="dxa"/>
                  <w:vMerge/>
                  <w:shd w:val="clear" w:color="auto" w:fill="D9D9D9"/>
                </w:tcPr>
                <w:p w14:paraId="7C7FA516" w14:textId="77777777" w:rsidR="00B4585B" w:rsidRPr="00251AD4" w:rsidRDefault="00B4585B" w:rsidP="00A228B0">
                  <w:pPr>
                    <w:spacing w:beforeLines="50" w:before="180"/>
                    <w:jc w:val="center"/>
                    <w:rPr>
                      <w:kern w:val="2"/>
                      <w:lang w:eastAsia="zh-CN"/>
                    </w:rPr>
                  </w:pPr>
                </w:p>
              </w:tc>
              <w:tc>
                <w:tcPr>
                  <w:tcW w:w="1559" w:type="dxa"/>
                  <w:vMerge/>
                  <w:shd w:val="clear" w:color="auto" w:fill="D9D9D9"/>
                </w:tcPr>
                <w:p w14:paraId="47ED3673" w14:textId="77777777" w:rsidR="00B4585B" w:rsidRPr="00251AD4" w:rsidRDefault="00B4585B" w:rsidP="00A228B0">
                  <w:pPr>
                    <w:spacing w:beforeLines="50" w:before="180"/>
                    <w:jc w:val="center"/>
                    <w:rPr>
                      <w:kern w:val="2"/>
                      <w:lang w:eastAsia="zh-CN"/>
                    </w:rPr>
                  </w:pPr>
                </w:p>
              </w:tc>
              <w:tc>
                <w:tcPr>
                  <w:tcW w:w="991" w:type="dxa"/>
                  <w:shd w:val="clear" w:color="auto" w:fill="D9D9D9"/>
                  <w:vAlign w:val="center"/>
                </w:tcPr>
                <w:p w14:paraId="724EC48C"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52D728D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2346B53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6AA2FB82"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B4585B" w:rsidRPr="00251AD4" w14:paraId="7B6E9333" w14:textId="77777777" w:rsidTr="00A228B0">
              <w:trPr>
                <w:jc w:val="center"/>
              </w:trPr>
              <w:tc>
                <w:tcPr>
                  <w:tcW w:w="1681" w:type="dxa"/>
                  <w:shd w:val="clear" w:color="auto" w:fill="auto"/>
                </w:tcPr>
                <w:p w14:paraId="19CB5723" w14:textId="77777777" w:rsidR="00B4585B" w:rsidRPr="00251AD4" w:rsidRDefault="00B4585B" w:rsidP="00A228B0">
                  <w:pPr>
                    <w:spacing w:beforeLines="50" w:before="180"/>
                    <w:jc w:val="center"/>
                    <w:rPr>
                      <w:kern w:val="2"/>
                      <w:lang w:eastAsia="zh-CN"/>
                    </w:rPr>
                  </w:pPr>
                  <w:r w:rsidRPr="00251AD4">
                    <w:rPr>
                      <w:kern w:val="2"/>
                      <w:lang w:eastAsia="zh-CN"/>
                    </w:rPr>
                    <w:t>Combination 1</w:t>
                  </w:r>
                </w:p>
              </w:tc>
              <w:tc>
                <w:tcPr>
                  <w:tcW w:w="1296" w:type="dxa"/>
                  <w:shd w:val="clear" w:color="auto" w:fill="auto"/>
                </w:tcPr>
                <w:p w14:paraId="28DA959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64A953FC"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F07E91A"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865C43"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268E840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46BECF7" w14:textId="77777777" w:rsidR="00B4585B" w:rsidRPr="00251AD4" w:rsidRDefault="00B4585B" w:rsidP="00A228B0">
                  <w:pPr>
                    <w:spacing w:beforeLines="50" w:before="180"/>
                    <w:jc w:val="center"/>
                    <w:rPr>
                      <w:kern w:val="2"/>
                      <w:lang w:eastAsia="zh-CN"/>
                    </w:rPr>
                  </w:pPr>
                </w:p>
              </w:tc>
            </w:tr>
            <w:tr w:rsidR="00B4585B" w:rsidRPr="00251AD4" w14:paraId="59774CC9" w14:textId="77777777" w:rsidTr="00A228B0">
              <w:trPr>
                <w:jc w:val="center"/>
              </w:trPr>
              <w:tc>
                <w:tcPr>
                  <w:tcW w:w="1681" w:type="dxa"/>
                  <w:shd w:val="clear" w:color="auto" w:fill="auto"/>
                </w:tcPr>
                <w:p w14:paraId="5C11F2B4" w14:textId="77777777" w:rsidR="00B4585B" w:rsidRPr="00251AD4" w:rsidRDefault="00B4585B" w:rsidP="00A228B0">
                  <w:pPr>
                    <w:spacing w:beforeLines="50" w:before="180"/>
                    <w:jc w:val="center"/>
                    <w:rPr>
                      <w:kern w:val="2"/>
                      <w:lang w:eastAsia="zh-CN"/>
                    </w:rPr>
                  </w:pPr>
                  <w:r w:rsidRPr="00251AD4">
                    <w:rPr>
                      <w:kern w:val="2"/>
                      <w:lang w:eastAsia="zh-CN"/>
                    </w:rPr>
                    <w:t>Combination 2</w:t>
                  </w:r>
                </w:p>
              </w:tc>
              <w:tc>
                <w:tcPr>
                  <w:tcW w:w="1296" w:type="dxa"/>
                  <w:shd w:val="clear" w:color="auto" w:fill="auto"/>
                </w:tcPr>
                <w:p w14:paraId="3798C1E0"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7A528A1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B88546B"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81B726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000919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10DF16B8" w14:textId="77777777" w:rsidR="00B4585B" w:rsidRPr="00251AD4" w:rsidRDefault="00B4585B" w:rsidP="00A228B0">
                  <w:pPr>
                    <w:spacing w:beforeLines="50" w:before="180"/>
                    <w:jc w:val="center"/>
                    <w:rPr>
                      <w:kern w:val="2"/>
                      <w:lang w:eastAsia="zh-CN"/>
                    </w:rPr>
                  </w:pPr>
                </w:p>
              </w:tc>
            </w:tr>
            <w:tr w:rsidR="00B4585B" w:rsidRPr="00251AD4" w14:paraId="317EA4FD" w14:textId="77777777" w:rsidTr="00A228B0">
              <w:trPr>
                <w:jc w:val="center"/>
              </w:trPr>
              <w:tc>
                <w:tcPr>
                  <w:tcW w:w="1681" w:type="dxa"/>
                  <w:shd w:val="clear" w:color="auto" w:fill="auto"/>
                </w:tcPr>
                <w:p w14:paraId="50C9A0D9" w14:textId="77777777" w:rsidR="00B4585B" w:rsidRPr="00251AD4" w:rsidRDefault="00B4585B" w:rsidP="00A228B0">
                  <w:pPr>
                    <w:spacing w:beforeLines="50" w:before="180"/>
                    <w:jc w:val="center"/>
                    <w:rPr>
                      <w:kern w:val="2"/>
                      <w:lang w:eastAsia="zh-CN"/>
                    </w:rPr>
                  </w:pPr>
                  <w:r w:rsidRPr="00251AD4">
                    <w:rPr>
                      <w:kern w:val="2"/>
                      <w:lang w:eastAsia="zh-CN"/>
                    </w:rPr>
                    <w:t>…</w:t>
                  </w:r>
                </w:p>
              </w:tc>
              <w:tc>
                <w:tcPr>
                  <w:tcW w:w="1296" w:type="dxa"/>
                  <w:shd w:val="clear" w:color="auto" w:fill="auto"/>
                </w:tcPr>
                <w:p w14:paraId="622C78E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5F27081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76F245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D1F55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ABE25C7"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BBC4A63" w14:textId="77777777" w:rsidR="00B4585B" w:rsidRPr="00251AD4" w:rsidRDefault="00B4585B" w:rsidP="00A228B0">
                  <w:pPr>
                    <w:spacing w:beforeLines="50" w:before="180"/>
                    <w:jc w:val="center"/>
                    <w:rPr>
                      <w:kern w:val="2"/>
                      <w:lang w:eastAsia="zh-CN"/>
                    </w:rPr>
                  </w:pPr>
                </w:p>
              </w:tc>
            </w:tr>
            <w:tr w:rsidR="00B4585B" w:rsidRPr="00251AD4" w14:paraId="3EEFA26C" w14:textId="77777777" w:rsidTr="00A228B0">
              <w:trPr>
                <w:jc w:val="center"/>
              </w:trPr>
              <w:tc>
                <w:tcPr>
                  <w:tcW w:w="8500" w:type="dxa"/>
                  <w:gridSpan w:val="7"/>
                  <w:shd w:val="clear" w:color="auto" w:fill="auto"/>
                </w:tcPr>
                <w:p w14:paraId="628C3C79" w14:textId="77777777" w:rsidR="00B4585B" w:rsidRPr="00251AD4" w:rsidRDefault="00B4585B" w:rsidP="00A228B0">
                  <w:pPr>
                    <w:spacing w:beforeLines="50" w:before="180"/>
                    <w:rPr>
                      <w:kern w:val="2"/>
                      <w:lang w:eastAsia="zh-CN"/>
                    </w:rPr>
                  </w:pPr>
                  <w:r w:rsidRPr="00251AD4">
                    <w:rPr>
                      <w:rFonts w:hint="eastAsia"/>
                      <w:kern w:val="2"/>
                      <w:lang w:eastAsia="zh-CN"/>
                    </w:rPr>
                    <w:t>N</w:t>
                  </w:r>
                  <w:r w:rsidRPr="00251AD4">
                    <w:rPr>
                      <w:kern w:val="2"/>
                      <w:lang w:eastAsia="zh-CN"/>
                    </w:rPr>
                    <w:t xml:space="preserve">ote: </w:t>
                  </w:r>
                </w:p>
                <w:p w14:paraId="38F8E17F" w14:textId="77777777" w:rsidR="00B4585B" w:rsidRPr="00251AD4" w:rsidRDefault="00B4585B" w:rsidP="004C3606">
                  <w:pPr>
                    <w:numPr>
                      <w:ilvl w:val="0"/>
                      <w:numId w:val="17"/>
                    </w:numPr>
                    <w:snapToGrid/>
                    <w:spacing w:after="0" w:afterAutospacing="0"/>
                    <w:jc w:val="left"/>
                    <w:rPr>
                      <w:kern w:val="2"/>
                      <w:lang w:eastAsia="zh-CN"/>
                    </w:rPr>
                  </w:pPr>
                  <w:r w:rsidRPr="00251AD4">
                    <w:rPr>
                      <w:kern w:val="2"/>
                      <w:lang w:eastAsia="zh-CN"/>
                    </w:rPr>
                    <w:t xml:space="preserve">The table here doesn’t mean increased PDCCH monitoring capability is supported for all SCS. N/A can be filled in the corresponding cell for the SCS not applicable </w:t>
                  </w:r>
                </w:p>
              </w:tc>
            </w:tr>
          </w:tbl>
          <w:p w14:paraId="2C3EAB06" w14:textId="77777777" w:rsidR="00B4585B" w:rsidRDefault="00B4585B" w:rsidP="00A228B0">
            <w:pPr>
              <w:snapToGrid/>
              <w:spacing w:after="180" w:afterAutospacing="0"/>
              <w:contextualSpacing/>
              <w:jc w:val="left"/>
              <w:rPr>
                <w:color w:val="000000"/>
                <w:kern w:val="2"/>
                <w:lang w:eastAsia="zh-CN"/>
              </w:rPr>
            </w:pPr>
            <w:r w:rsidRPr="00011A05">
              <w:rPr>
                <w:color w:val="000000"/>
                <w:kern w:val="2"/>
                <w:lang w:eastAsia="zh-CN"/>
              </w:rPr>
              <w:t>FFS interaction with Rel-15-based limitation, e.g., whether to increase the limit for PDCCH monitoring case 1 under the increased PDCCH monitoring capability on the maximum number of non-overlapped CCEs per slot for channel estimation</w:t>
            </w:r>
          </w:p>
          <w:p w14:paraId="0E0B6AFF" w14:textId="77777777" w:rsidR="00385190" w:rsidRDefault="00385190" w:rsidP="00A228B0">
            <w:pPr>
              <w:snapToGrid/>
              <w:spacing w:after="180" w:afterAutospacing="0"/>
              <w:contextualSpacing/>
              <w:jc w:val="left"/>
              <w:rPr>
                <w:rFonts w:eastAsia="SimSun"/>
                <w:lang w:eastAsia="zh-CN"/>
              </w:rPr>
            </w:pPr>
          </w:p>
          <w:p w14:paraId="6C075EB3" w14:textId="77777777" w:rsidR="00385190" w:rsidRDefault="00385190" w:rsidP="00A228B0">
            <w:pPr>
              <w:snapToGrid/>
              <w:spacing w:after="180" w:afterAutospacing="0"/>
              <w:contextualSpacing/>
              <w:jc w:val="left"/>
              <w:rPr>
                <w:rFonts w:eastAsia="ＭＳ 明朝"/>
              </w:rPr>
            </w:pPr>
            <w:r>
              <w:rPr>
                <w:rFonts w:eastAsiaTheme="minorEastAsia" w:hint="eastAsia"/>
              </w:rPr>
              <w:t>R</w:t>
            </w:r>
            <w:r>
              <w:rPr>
                <w:rFonts w:eastAsiaTheme="minorEastAsia"/>
              </w:rPr>
              <w:t>AN1</w:t>
            </w:r>
            <w:r w:rsidRPr="00ED22E9">
              <w:rPr>
                <w:rFonts w:eastAsia="ＭＳ 明朝"/>
              </w:rPr>
              <w:t xml:space="preserve"> #9</w:t>
            </w:r>
            <w:r>
              <w:rPr>
                <w:rFonts w:eastAsia="ＭＳ 明朝"/>
              </w:rPr>
              <w:t>8</w:t>
            </w:r>
          </w:p>
          <w:p w14:paraId="45B21E46" w14:textId="77777777" w:rsidR="00385190" w:rsidRPr="00385190" w:rsidRDefault="00385190" w:rsidP="00385190">
            <w:pPr>
              <w:snapToGrid/>
              <w:spacing w:after="0" w:afterAutospacing="0"/>
              <w:jc w:val="left"/>
              <w:rPr>
                <w:rFonts w:ascii="Times" w:eastAsia="Batang" w:hAnsi="Times"/>
                <w:sz w:val="20"/>
                <w:szCs w:val="24"/>
                <w:highlight w:val="green"/>
                <w:lang w:eastAsia="en-US"/>
              </w:rPr>
            </w:pPr>
            <w:r w:rsidRPr="00385190">
              <w:rPr>
                <w:rFonts w:ascii="Times" w:eastAsia="Batang" w:hAnsi="Times"/>
                <w:sz w:val="20"/>
                <w:szCs w:val="24"/>
                <w:highlight w:val="green"/>
                <w:lang w:eastAsia="en-US"/>
              </w:rPr>
              <w:t>Agreements:</w:t>
            </w:r>
          </w:p>
          <w:p w14:paraId="5D404DE7" w14:textId="77777777" w:rsidR="00385190" w:rsidRPr="00385190" w:rsidRDefault="00385190" w:rsidP="00385190">
            <w:pPr>
              <w:snapToGrid/>
              <w:spacing w:after="60" w:afterAutospacing="0"/>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Support (2, 2) (4, 3) (7, 3) defined in UE feature 3-5b as the combination (X, Y) for Rel-16 PDCCH monitoring capability on the per-CC limit on the maximum number of non-overlapping CCEs   for URLLC.    </w:t>
            </w:r>
          </w:p>
          <w:p w14:paraId="06F97508"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Combination (2, 1) (4, 1) (4, 2) (7, 1) (7, 2) are not additionally introduced</w:t>
            </w:r>
          </w:p>
          <w:p w14:paraId="2B0B6CC7"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FFS (3, 3) or (3,2) </w:t>
            </w:r>
          </w:p>
          <w:p w14:paraId="7058E2F6"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 xml:space="preserve">UE reports the supported combinations per SCS </w:t>
            </w:r>
          </w:p>
          <w:p w14:paraId="1D07DAF3" w14:textId="77777777" w:rsidR="00385190" w:rsidRPr="00385190" w:rsidRDefault="00385190" w:rsidP="00385190">
            <w:pPr>
              <w:numPr>
                <w:ilvl w:val="0"/>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iCs/>
                <w:color w:val="000000"/>
                <w:kern w:val="2"/>
                <w:sz w:val="20"/>
                <w:lang w:eastAsia="zh-CN"/>
              </w:rPr>
              <w:t>(2, 2)(4, 3)(7, 3) applicable for 15 kHz and 30 kHz</w:t>
            </w:r>
          </w:p>
          <w:p w14:paraId="05BB9626" w14:textId="3DC310D5" w:rsidR="00385190" w:rsidRPr="00F61E01" w:rsidRDefault="00385190" w:rsidP="00F61E01">
            <w:pPr>
              <w:numPr>
                <w:ilvl w:val="1"/>
                <w:numId w:val="19"/>
              </w:numPr>
              <w:autoSpaceDE w:val="0"/>
              <w:autoSpaceDN w:val="0"/>
              <w:adjustRightInd w:val="0"/>
              <w:snapToGrid/>
              <w:spacing w:after="120" w:afterAutospacing="0"/>
              <w:contextualSpacing/>
              <w:jc w:val="left"/>
              <w:rPr>
                <w:rFonts w:ascii="Times" w:eastAsia="Batang" w:hAnsi="Times"/>
                <w:iCs/>
                <w:color w:val="000000"/>
                <w:kern w:val="2"/>
                <w:sz w:val="20"/>
                <w:lang w:eastAsia="zh-CN"/>
              </w:rPr>
            </w:pPr>
            <w:r w:rsidRPr="00385190">
              <w:rPr>
                <w:rFonts w:ascii="Times" w:eastAsia="Batang" w:hAnsi="Times" w:hint="eastAsia"/>
                <w:iCs/>
                <w:color w:val="000000"/>
                <w:kern w:val="2"/>
                <w:sz w:val="20"/>
                <w:lang w:eastAsia="zh-CN"/>
              </w:rPr>
              <w:t>F</w:t>
            </w:r>
            <w:r w:rsidRPr="00385190">
              <w:rPr>
                <w:rFonts w:ascii="Times" w:eastAsia="Batang" w:hAnsi="Times"/>
                <w:iCs/>
                <w:color w:val="000000"/>
                <w:kern w:val="2"/>
                <w:sz w:val="20"/>
                <w:lang w:eastAsia="zh-CN"/>
              </w:rPr>
              <w:t>FS for 60 kHz and 120 kHz</w:t>
            </w:r>
          </w:p>
          <w:p w14:paraId="087BDDE4" w14:textId="77777777" w:rsidR="00385190" w:rsidRPr="00385190" w:rsidRDefault="00385190" w:rsidP="00385190">
            <w:pPr>
              <w:snapToGrid/>
              <w:spacing w:after="0" w:afterAutospacing="0"/>
              <w:jc w:val="left"/>
              <w:rPr>
                <w:rFonts w:ascii="Times" w:eastAsia="Batang" w:hAnsi="Times"/>
                <w:sz w:val="20"/>
                <w:lang w:eastAsia="en-US"/>
              </w:rPr>
            </w:pPr>
            <w:r w:rsidRPr="00385190">
              <w:rPr>
                <w:rFonts w:ascii="Times" w:eastAsia="Batang" w:hAnsi="Times"/>
                <w:sz w:val="20"/>
                <w:highlight w:val="green"/>
                <w:lang w:eastAsia="en-US"/>
              </w:rPr>
              <w:t>Agreements</w:t>
            </w:r>
            <w:r w:rsidRPr="00385190">
              <w:rPr>
                <w:rFonts w:ascii="Times" w:eastAsia="Batang" w:hAnsi="Times"/>
                <w:sz w:val="20"/>
                <w:lang w:eastAsia="en-US"/>
              </w:rPr>
              <w:t>:</w:t>
            </w:r>
          </w:p>
          <w:p w14:paraId="12FC1C25" w14:textId="77777777" w:rsidR="00385190" w:rsidRPr="00385190" w:rsidRDefault="00385190" w:rsidP="00385190">
            <w:pPr>
              <w:snapToGrid/>
              <w:spacing w:beforeLines="100" w:before="360" w:after="0" w:afterAutospacing="0"/>
              <w:jc w:val="left"/>
              <w:rPr>
                <w:rFonts w:ascii="Times" w:eastAsia="Batang" w:hAnsi="Times"/>
                <w:iCs/>
                <w:sz w:val="20"/>
                <w:lang w:eastAsia="zh-CN"/>
              </w:rPr>
            </w:pPr>
            <w:r w:rsidRPr="00385190">
              <w:rPr>
                <w:rFonts w:ascii="Times" w:eastAsia="Batang" w:hAnsi="Times"/>
                <w:iCs/>
                <w:sz w:val="20"/>
                <w:lang w:eastAsia="zh-CN"/>
              </w:rPr>
              <w:lastRenderedPageBreak/>
              <w:t xml:space="preserve">For a Rel-16 UE supporting enhanced PDCCH monitoring capability, down-select between option 1 and option 2: </w:t>
            </w:r>
          </w:p>
          <w:p w14:paraId="6CD06046"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b/>
                <w:iCs/>
                <w:sz w:val="20"/>
                <w:lang w:eastAsia="zh-CN"/>
              </w:rPr>
              <w:t>Option 1</w:t>
            </w:r>
            <w:r w:rsidRPr="00385190">
              <w:rPr>
                <w:rFonts w:ascii="Times" w:eastAsia="SimSun" w:hAnsi="Times"/>
                <w:iCs/>
                <w:sz w:val="20"/>
                <w:lang w:eastAsia="zh-CN"/>
              </w:rPr>
              <w:t>: PDCCH monitoring based on Rel-15 capability for eMBB and PDCCH monitoring based on Rel-16 capability for URLLC can be configured to a UE on the same carrier</w:t>
            </w:r>
          </w:p>
          <w:p w14:paraId="110A5D6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UE monitors PDCCH for eMBB following reported Rel-15 capability, and monitors PDCCH for URLLC following reported Rel-16 capability </w:t>
            </w:r>
          </w:p>
          <w:p w14:paraId="55AE41E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19236D66"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b/>
                <w:iCs/>
                <w:sz w:val="20"/>
                <w:lang w:eastAsia="zh-CN"/>
              </w:rPr>
              <w:t>Option 2</w:t>
            </w:r>
            <w:r w:rsidRPr="00385190">
              <w:rPr>
                <w:rFonts w:ascii="Times" w:eastAsia="SimSun" w:hAnsi="Times" w:hint="eastAsia"/>
                <w:iCs/>
                <w:sz w:val="20"/>
                <w:lang w:eastAsia="zh-CN"/>
              </w:rPr>
              <w:t>:</w:t>
            </w:r>
            <w:r w:rsidRPr="00385190">
              <w:rPr>
                <w:rFonts w:ascii="Times" w:eastAsia="SimSun" w:hAnsi="Times"/>
                <w:iCs/>
                <w:sz w:val="20"/>
                <w:lang w:eastAsia="zh-CN"/>
              </w:rPr>
              <w:t xml:space="preserve"> PDCCH monitoring for both eMBB and URLLC can be configured based on either Rel-15 capability or Rel-16 capability</w:t>
            </w:r>
          </w:p>
          <w:p w14:paraId="7F28AF27"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  gNB configures which capability is used </w:t>
            </w:r>
          </w:p>
          <w:p w14:paraId="56D467D9" w14:textId="77777777" w:rsidR="00385190" w:rsidRPr="00385190" w:rsidRDefault="00385190" w:rsidP="00385190">
            <w:pPr>
              <w:numPr>
                <w:ilvl w:val="1"/>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For Rel-16 PDCCH monitoring capability,</w:t>
            </w:r>
          </w:p>
          <w:p w14:paraId="2DA0D343" w14:textId="77777777" w:rsidR="00385190" w:rsidRPr="00385190" w:rsidRDefault="00385190" w:rsidP="00385190">
            <w:pPr>
              <w:numPr>
                <w:ilvl w:val="2"/>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 xml:space="preserve">The limit C on the maximum number of non-overlapping CCEs for channel estimation per PDCCH monitoring span is the same across different spans within a slot, each span can cover CSS and/or USS  </w:t>
            </w:r>
          </w:p>
          <w:p w14:paraId="0DD58C9B" w14:textId="77777777" w:rsidR="00385190" w:rsidRPr="00385190" w:rsidRDefault="00385190" w:rsidP="00385190">
            <w:pPr>
              <w:numPr>
                <w:ilvl w:val="0"/>
                <w:numId w:val="25"/>
              </w:numPr>
              <w:snapToGrid/>
              <w:spacing w:after="120" w:afterAutospacing="0"/>
              <w:jc w:val="left"/>
              <w:rPr>
                <w:rFonts w:ascii="Times" w:eastAsia="SimSun" w:hAnsi="Times"/>
                <w:iCs/>
                <w:sz w:val="20"/>
                <w:lang w:eastAsia="zh-CN"/>
              </w:rPr>
            </w:pPr>
            <w:r w:rsidRPr="00385190">
              <w:rPr>
                <w:rFonts w:ascii="Times" w:eastAsia="SimSun" w:hAnsi="Times"/>
                <w:iCs/>
                <w:sz w:val="20"/>
                <w:lang w:eastAsia="zh-CN"/>
              </w:rPr>
              <w:t>Note: the value C is to be separately discussed</w:t>
            </w:r>
          </w:p>
          <w:p w14:paraId="251E8DD1" w14:textId="77777777" w:rsidR="00385190" w:rsidRPr="00D41A7F" w:rsidRDefault="00385190" w:rsidP="00385190">
            <w:bookmarkStart w:id="6" w:name="_Hlk19207907"/>
            <w:r w:rsidRPr="00D41A7F">
              <w:rPr>
                <w:highlight w:val="green"/>
              </w:rPr>
              <w:t>Agreements</w:t>
            </w:r>
            <w:r w:rsidRPr="00D41A7F">
              <w:t>:</w:t>
            </w:r>
          </w:p>
          <w:p w14:paraId="203342AD" w14:textId="77777777" w:rsidR="00385190" w:rsidRPr="00D41A7F" w:rsidRDefault="00385190" w:rsidP="00385190">
            <w:pPr>
              <w:spacing w:after="60"/>
              <w:rPr>
                <w:iCs/>
                <w:color w:val="000000"/>
                <w:kern w:val="2"/>
                <w:lang w:eastAsia="zh-CN"/>
              </w:rPr>
            </w:pPr>
            <w:r w:rsidRPr="00D41A7F">
              <w:rPr>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14:paraId="69919FB7" w14:textId="77777777" w:rsidR="00385190" w:rsidRPr="00D41A7F" w:rsidRDefault="00385190" w:rsidP="00385190">
            <w:pPr>
              <w:pStyle w:val="aff9"/>
              <w:numPr>
                <w:ilvl w:val="0"/>
                <w:numId w:val="25"/>
              </w:numPr>
              <w:autoSpaceDE w:val="0"/>
              <w:autoSpaceDN w:val="0"/>
              <w:adjustRightInd w:val="0"/>
              <w:spacing w:after="120" w:afterAutospacing="0"/>
              <w:ind w:firstLineChars="0"/>
              <w:contextualSpacing/>
              <w:rPr>
                <w:iCs/>
                <w:lang w:eastAsia="zh-CN"/>
              </w:rPr>
            </w:pPr>
            <w:r w:rsidRPr="00D41A7F">
              <w:rPr>
                <w:iCs/>
              </w:rPr>
              <w:t>A combination C(X, Y) is valid if the span pattern satisfies X and Y of the given combination in every slot, including cross slot boundary</w:t>
            </w:r>
          </w:p>
          <w:p w14:paraId="0A36E88C" w14:textId="470756A5" w:rsidR="00385190" w:rsidRPr="006D630C" w:rsidRDefault="00385190" w:rsidP="006D630C">
            <w:pPr>
              <w:pStyle w:val="aff9"/>
              <w:numPr>
                <w:ilvl w:val="0"/>
                <w:numId w:val="25"/>
              </w:numPr>
              <w:autoSpaceDE w:val="0"/>
              <w:autoSpaceDN w:val="0"/>
              <w:adjustRightInd w:val="0"/>
              <w:spacing w:after="120" w:afterAutospacing="0"/>
              <w:ind w:firstLineChars="0"/>
              <w:contextualSpacing/>
              <w:rPr>
                <w:iCs/>
                <w:lang w:eastAsia="zh-CN"/>
              </w:rPr>
            </w:pPr>
            <w:r w:rsidRPr="00D41A7F">
              <w:rPr>
                <w:iCs/>
              </w:rPr>
              <w:t>FFS the impact from empty span(s) on the span pattern</w:t>
            </w:r>
            <w:bookmarkEnd w:id="6"/>
          </w:p>
        </w:tc>
      </w:tr>
    </w:tbl>
    <w:p w14:paraId="3E12FEF9" w14:textId="712783D0" w:rsidR="00C77093" w:rsidRPr="00F61E01" w:rsidRDefault="00F61E01" w:rsidP="00437D3F">
      <w:pPr>
        <w:pStyle w:val="30"/>
        <w:rPr>
          <w:lang w:val="en-US"/>
        </w:rPr>
      </w:pPr>
      <w:r>
        <w:rPr>
          <w:lang w:val="en-US"/>
        </w:rPr>
        <w:lastRenderedPageBreak/>
        <w:t>Combination of (X,Y)</w:t>
      </w:r>
    </w:p>
    <w:p w14:paraId="522304E1" w14:textId="32A2C483" w:rsidR="00437D3F" w:rsidRPr="009A732F" w:rsidRDefault="00656B79" w:rsidP="00437D3F">
      <w:pPr>
        <w:rPr>
          <w:b/>
          <w:bCs/>
          <w:u w:val="single"/>
        </w:rPr>
      </w:pPr>
      <w:r>
        <w:rPr>
          <w:b/>
          <w:bCs/>
          <w:u w:val="single"/>
        </w:rPr>
        <w:t>C</w:t>
      </w:r>
      <w:r w:rsidR="00437D3F">
        <w:rPr>
          <w:b/>
          <w:bCs/>
          <w:u w:val="single"/>
        </w:rPr>
        <w:t xml:space="preserve">ombination </w:t>
      </w:r>
      <w:r>
        <w:rPr>
          <w:b/>
          <w:bCs/>
          <w:u w:val="single"/>
        </w:rPr>
        <w:t xml:space="preserve">candidate </w:t>
      </w:r>
      <w:r w:rsidR="00437D3F">
        <w:rPr>
          <w:b/>
          <w:bCs/>
          <w:u w:val="single"/>
        </w:rPr>
        <w:t>(3, 3) or (3,2)</w:t>
      </w:r>
    </w:p>
    <w:p w14:paraId="7DCB1C69" w14:textId="3C8AD1DD" w:rsidR="00F61E01" w:rsidRDefault="004E4E49" w:rsidP="00B67F3E">
      <w:pPr>
        <w:rPr>
          <w:lang w:val="en-US"/>
        </w:rPr>
      </w:pPr>
      <w:r>
        <w:rPr>
          <w:lang w:val="en-US"/>
        </w:rPr>
        <w:t xml:space="preserve">It </w:t>
      </w:r>
      <w:r w:rsidR="00437D3F">
        <w:rPr>
          <w:lang w:val="en-US"/>
        </w:rPr>
        <w:t>ha</w:t>
      </w:r>
      <w:r>
        <w:rPr>
          <w:lang w:val="en-US"/>
        </w:rPr>
        <w:t>s</w:t>
      </w:r>
      <w:r w:rsidR="00437D3F">
        <w:rPr>
          <w:lang w:val="en-US"/>
        </w:rPr>
        <w:t xml:space="preserve"> been agreed </w:t>
      </w:r>
      <w:r>
        <w:rPr>
          <w:lang w:val="en-US"/>
        </w:rPr>
        <w:t xml:space="preserve">to support </w:t>
      </w:r>
      <w:r w:rsidRPr="004F41CC">
        <w:rPr>
          <w:lang w:val="en-US"/>
        </w:rPr>
        <w:t>(2, 2) (4, 3) (7, 3) defined in UE feature 3-5b as the combination (X, Y) for Rel-16 PDCCH monitoring capability on the per-CC limit on the maximum number of non-overlapping CCEs</w:t>
      </w:r>
      <w:r>
        <w:rPr>
          <w:lang w:val="en-US"/>
        </w:rPr>
        <w:t xml:space="preserve"> </w:t>
      </w:r>
      <w:r w:rsidRPr="004F41CC">
        <w:rPr>
          <w:lang w:val="en-US"/>
        </w:rPr>
        <w:t>for URLLC</w:t>
      </w:r>
      <w:r>
        <w:rPr>
          <w:lang w:val="en-US"/>
        </w:rPr>
        <w:t xml:space="preserve"> </w:t>
      </w:r>
      <w:r w:rsidR="00437D3F">
        <w:rPr>
          <w:lang w:val="en-US"/>
        </w:rPr>
        <w:t xml:space="preserve">in last meeting. One remaining FFS point is whether to further </w:t>
      </w:r>
      <w:r w:rsidR="00FF70FF">
        <w:rPr>
          <w:lang w:val="en-US"/>
        </w:rPr>
        <w:t>introduce</w:t>
      </w:r>
      <w:r w:rsidR="00437D3F">
        <w:rPr>
          <w:lang w:val="en-US"/>
        </w:rPr>
        <w:t xml:space="preserve"> </w:t>
      </w:r>
      <w:r w:rsidR="00FF70FF">
        <w:rPr>
          <w:lang w:val="en-US"/>
        </w:rPr>
        <w:t>a</w:t>
      </w:r>
      <w:r w:rsidR="00437D3F">
        <w:rPr>
          <w:lang w:val="en-US"/>
        </w:rPr>
        <w:t xml:space="preserve"> combination candidates (3,3) or (3,2). </w:t>
      </w:r>
      <w:r w:rsidR="00FF70FF">
        <w:rPr>
          <w:lang w:val="en-US"/>
        </w:rPr>
        <w:t>Next, we share the views on whether to support the combination candidates (3,3) or (3,2)</w:t>
      </w:r>
      <w:r w:rsidR="00F61E01">
        <w:rPr>
          <w:lang w:val="en-US"/>
        </w:rPr>
        <w:t xml:space="preserve"> by comparing with the </w:t>
      </w:r>
      <w:r w:rsidR="00AA6FB4" w:rsidRPr="00F61E01">
        <w:rPr>
          <w:lang w:val="en-US"/>
        </w:rPr>
        <w:t>combination</w:t>
      </w:r>
      <w:r w:rsidR="003D289B" w:rsidRPr="00F61E01">
        <w:rPr>
          <w:rFonts w:hint="eastAsia"/>
          <w:lang w:val="en-US"/>
        </w:rPr>
        <w:t xml:space="preserve"> c</w:t>
      </w:r>
      <w:r w:rsidR="003D289B" w:rsidRPr="00F61E01">
        <w:rPr>
          <w:lang w:val="en-US"/>
        </w:rPr>
        <w:t>andidate</w:t>
      </w:r>
      <w:r w:rsidR="00AA6FB4" w:rsidRPr="00F61E01">
        <w:rPr>
          <w:lang w:val="en-US"/>
        </w:rPr>
        <w:t xml:space="preserve"> (3,3) and (4,3).</w:t>
      </w:r>
      <w:r w:rsidR="00AA6FB4">
        <w:rPr>
          <w:lang w:val="en-US"/>
        </w:rPr>
        <w:t xml:space="preserve"> </w:t>
      </w:r>
    </w:p>
    <w:p w14:paraId="19C04AD0" w14:textId="34A1EF8A" w:rsidR="0009784C" w:rsidRDefault="00F61E01" w:rsidP="00B67F3E">
      <w:pPr>
        <w:rPr>
          <w:highlight w:val="yellow"/>
        </w:rPr>
      </w:pPr>
      <w:r>
        <w:rPr>
          <w:lang w:val="en-US"/>
        </w:rPr>
        <w:lastRenderedPageBreak/>
        <w:t>Firstly, c</w:t>
      </w:r>
      <w:r w:rsidR="003D289B" w:rsidRPr="00905A8D">
        <w:rPr>
          <w:lang w:val="en-US"/>
        </w:rPr>
        <w:t>ompared to t</w:t>
      </w:r>
      <w:r w:rsidR="00401A81">
        <w:rPr>
          <w:lang w:val="en-US"/>
        </w:rPr>
        <w:t xml:space="preserve">he </w:t>
      </w:r>
      <w:r w:rsidR="003D289B" w:rsidRPr="00905A8D">
        <w:rPr>
          <w:lang w:val="en-US"/>
        </w:rPr>
        <w:t>(4,3), the combination candidate (3,3) or (3,2) can yield 4 PDCCH span</w:t>
      </w:r>
      <w:r w:rsidR="003D289B">
        <w:rPr>
          <w:lang w:val="en-US"/>
        </w:rPr>
        <w:t>s</w:t>
      </w:r>
      <w:r w:rsidR="003D289B" w:rsidRPr="00905A8D">
        <w:rPr>
          <w:lang w:val="en-US"/>
        </w:rPr>
        <w:t xml:space="preserve"> in a slot, which are one more than those </w:t>
      </w:r>
      <w:r w:rsidR="004E4E49">
        <w:rPr>
          <w:lang w:val="en-US"/>
        </w:rPr>
        <w:t xml:space="preserve">been </w:t>
      </w:r>
      <w:r w:rsidR="003D289B" w:rsidRPr="00905A8D">
        <w:rPr>
          <w:lang w:val="en-US"/>
        </w:rPr>
        <w:t xml:space="preserve">yielded by (4,3). In principle, (3,3) can </w:t>
      </w:r>
      <w:r w:rsidR="003D289B">
        <w:rPr>
          <w:lang w:val="en-US"/>
        </w:rPr>
        <w:t>support</w:t>
      </w:r>
      <w:r w:rsidR="003D289B" w:rsidRPr="00905A8D">
        <w:rPr>
          <w:lang w:val="en-US"/>
        </w:rPr>
        <w:t xml:space="preserve"> up to 12 symbols for PDCCH monitoring </w:t>
      </w:r>
      <w:r w:rsidR="003D289B">
        <w:rPr>
          <w:lang w:val="en-US"/>
        </w:rPr>
        <w:t xml:space="preserve">occasion </w:t>
      </w:r>
      <w:r w:rsidR="003D289B" w:rsidRPr="00905A8D">
        <w:rPr>
          <w:lang w:val="en-US"/>
        </w:rPr>
        <w:t xml:space="preserve">configuration, while (4,3) can </w:t>
      </w:r>
      <w:r w:rsidR="003D289B">
        <w:rPr>
          <w:lang w:val="en-US"/>
        </w:rPr>
        <w:t>support</w:t>
      </w:r>
      <w:r w:rsidR="003D289B" w:rsidRPr="00905A8D">
        <w:rPr>
          <w:lang w:val="en-US"/>
        </w:rPr>
        <w:t xml:space="preserve"> up to 9 symbols for PDCCH monitoring </w:t>
      </w:r>
      <w:r w:rsidR="003D289B">
        <w:rPr>
          <w:lang w:val="en-US"/>
        </w:rPr>
        <w:t xml:space="preserve">occasion </w:t>
      </w:r>
      <w:r w:rsidR="003D289B" w:rsidRPr="00905A8D">
        <w:rPr>
          <w:lang w:val="en-US"/>
        </w:rPr>
        <w:t>configuration.</w:t>
      </w:r>
      <w:r w:rsidR="003D289B">
        <w:rPr>
          <w:lang w:val="en-US"/>
        </w:rPr>
        <w:t xml:space="preserve"> </w:t>
      </w:r>
      <w:r w:rsidR="003D289B" w:rsidRPr="00905A8D">
        <w:rPr>
          <w:lang w:val="en-US"/>
        </w:rPr>
        <w:t xml:space="preserve">Fig.1 is a straightforward illustration of PDCCH monitoring occasion according to (3,3) and (4,3). Here we do not consider a complicated case that PDCCH monitoring occasion of a same search space </w:t>
      </w:r>
      <w:r w:rsidR="003D289B">
        <w:rPr>
          <w:lang w:val="en-US"/>
        </w:rPr>
        <w:t xml:space="preserve">set </w:t>
      </w:r>
      <w:r w:rsidR="0009784C">
        <w:rPr>
          <w:lang w:val="en-US"/>
        </w:rPr>
        <w:t>can be</w:t>
      </w:r>
      <w:r w:rsidR="003D289B" w:rsidRPr="00905A8D">
        <w:rPr>
          <w:lang w:val="en-US"/>
        </w:rPr>
        <w:t xml:space="preserve"> configured </w:t>
      </w:r>
      <w:r w:rsidR="0009784C" w:rsidRPr="00905A8D">
        <w:rPr>
          <w:lang w:val="en-US"/>
        </w:rPr>
        <w:t xml:space="preserve">more than one </w:t>
      </w:r>
      <w:r w:rsidR="003D289B" w:rsidRPr="00905A8D">
        <w:rPr>
          <w:lang w:val="en-US"/>
        </w:rPr>
        <w:t>in a span</w:t>
      </w:r>
      <w:r w:rsidR="0009784C">
        <w:rPr>
          <w:lang w:val="en-US"/>
        </w:rPr>
        <w:t>,</w:t>
      </w:r>
      <w:r w:rsidR="003D289B" w:rsidRPr="00905A8D">
        <w:rPr>
          <w:lang w:val="en-US"/>
        </w:rPr>
        <w:t xml:space="preserve"> th</w:t>
      </w:r>
      <w:r w:rsidR="003D289B">
        <w:rPr>
          <w:lang w:val="en-US"/>
        </w:rPr>
        <w:t>r</w:t>
      </w:r>
      <w:r w:rsidR="003D289B" w:rsidRPr="00905A8D">
        <w:rPr>
          <w:lang w:val="en-US"/>
        </w:rPr>
        <w:t xml:space="preserve">ough which (4,3) would also provide 4 or more </w:t>
      </w:r>
      <w:r w:rsidR="006E0C8B">
        <w:rPr>
          <w:lang w:val="en-US"/>
        </w:rPr>
        <w:t xml:space="preserve">PDCCH </w:t>
      </w:r>
      <w:r w:rsidR="003D289B" w:rsidRPr="00905A8D">
        <w:rPr>
          <w:lang w:val="en-US"/>
        </w:rPr>
        <w:t>monitoring occasions</w:t>
      </w:r>
      <w:r w:rsidR="0009784C">
        <w:rPr>
          <w:lang w:val="en-US"/>
        </w:rPr>
        <w:t xml:space="preserve"> for a search space set</w:t>
      </w:r>
      <w:r w:rsidR="00401A81">
        <w:rPr>
          <w:lang w:val="en-US"/>
        </w:rPr>
        <w:t xml:space="preserve"> within one</w:t>
      </w:r>
      <w:r w:rsidR="003D289B" w:rsidRPr="00905A8D">
        <w:rPr>
          <w:lang w:val="en-US"/>
        </w:rPr>
        <w:t xml:space="preserve"> slot. </w:t>
      </w:r>
      <w:r w:rsidR="003D289B">
        <w:rPr>
          <w:lang w:val="en-US"/>
        </w:rPr>
        <w:t>Fig.1</w:t>
      </w:r>
      <w:r w:rsidR="00592D0A">
        <w:rPr>
          <w:lang w:val="en-US"/>
        </w:rPr>
        <w:t xml:space="preserve"> shows that </w:t>
      </w:r>
      <w:r w:rsidR="003D289B">
        <w:rPr>
          <w:lang w:val="en-US"/>
        </w:rPr>
        <w:t xml:space="preserve">(3,3) </w:t>
      </w:r>
      <w:r w:rsidR="00592D0A">
        <w:rPr>
          <w:lang w:val="en-US"/>
        </w:rPr>
        <w:t xml:space="preserve">indeed </w:t>
      </w:r>
      <w:r w:rsidR="003D289B">
        <w:rPr>
          <w:lang w:val="en-US"/>
        </w:rPr>
        <w:t>provide</w:t>
      </w:r>
      <w:r w:rsidR="00592D0A">
        <w:rPr>
          <w:lang w:val="en-US"/>
        </w:rPr>
        <w:t>s</w:t>
      </w:r>
      <w:r w:rsidR="003D289B">
        <w:rPr>
          <w:lang w:val="en-US"/>
        </w:rPr>
        <w:t xml:space="preserve"> a better scheduling flexibility than (4,3)</w:t>
      </w:r>
      <w:r w:rsidR="00592D0A">
        <w:rPr>
          <w:lang w:val="en-US"/>
        </w:rPr>
        <w:t xml:space="preserve"> and further reduces the latency</w:t>
      </w:r>
      <w:r w:rsidR="003D289B">
        <w:rPr>
          <w:lang w:val="en-US"/>
        </w:rPr>
        <w:t>.</w:t>
      </w:r>
      <w:r w:rsidR="00592D0A">
        <w:rPr>
          <w:lang w:val="en-US"/>
        </w:rPr>
        <w:t xml:space="preserve"> Surely, </w:t>
      </w:r>
      <w:r w:rsidR="00B67F3E">
        <w:rPr>
          <w:lang w:val="en-US"/>
        </w:rPr>
        <w:t>a</w:t>
      </w:r>
      <w:r w:rsidR="00ED0016">
        <w:rPr>
          <w:lang w:val="en-US"/>
        </w:rPr>
        <w:t>n</w:t>
      </w:r>
      <w:r w:rsidR="00B67F3E">
        <w:rPr>
          <w:lang w:val="en-US"/>
        </w:rPr>
        <w:t xml:space="preserve"> obvious</w:t>
      </w:r>
      <w:r w:rsidR="00592D0A">
        <w:rPr>
          <w:lang w:val="en-US"/>
        </w:rPr>
        <w:t xml:space="preserve"> motivation of introducing the increased PDCCH monitoring capability is to </w:t>
      </w:r>
      <w:r w:rsidR="00B67F3E">
        <w:rPr>
          <w:lang w:val="en-US"/>
        </w:rPr>
        <w:t>enhance the number of PDCCH monitoring occasion</w:t>
      </w:r>
      <w:r w:rsidR="0009784C">
        <w:rPr>
          <w:lang w:val="en-US"/>
        </w:rPr>
        <w:t>s</w:t>
      </w:r>
      <w:r w:rsidR="00B67F3E">
        <w:rPr>
          <w:lang w:val="en-US"/>
        </w:rPr>
        <w:t xml:space="preserve"> for URLLC and achieve the latency reduction. The latency reduction </w:t>
      </w:r>
      <w:r w:rsidR="00401A81">
        <w:rPr>
          <w:lang w:val="en-US"/>
        </w:rPr>
        <w:t>aims</w:t>
      </w:r>
      <w:r w:rsidR="00B67F3E">
        <w:rPr>
          <w:lang w:val="en-US"/>
        </w:rPr>
        <w:t xml:space="preserve"> to make sure </w:t>
      </w:r>
      <w:r w:rsidR="00916014">
        <w:rPr>
          <w:lang w:val="en-US"/>
        </w:rPr>
        <w:t xml:space="preserve">that </w:t>
      </w:r>
      <w:r w:rsidR="00B67F3E">
        <w:rPr>
          <w:lang w:val="en-US"/>
        </w:rPr>
        <w:t>a URLLC transmission can be completed within 1ms</w:t>
      </w:r>
      <w:r w:rsidR="00ED0016">
        <w:rPr>
          <w:lang w:val="en-US"/>
        </w:rPr>
        <w:t xml:space="preserve"> requirement</w:t>
      </w:r>
      <w:r w:rsidR="00B67F3E">
        <w:rPr>
          <w:lang w:val="en-US"/>
        </w:rPr>
        <w:t xml:space="preserve">. Latency reduction should not be independently considered without involving </w:t>
      </w:r>
      <w:r w:rsidR="00F15A96">
        <w:rPr>
          <w:lang w:val="en-US"/>
        </w:rPr>
        <w:t>in</w:t>
      </w:r>
      <w:r w:rsidR="00B67F3E">
        <w:rPr>
          <w:lang w:val="en-US"/>
        </w:rPr>
        <w:t xml:space="preserve"> the 1ms latency requirement. </w:t>
      </w:r>
      <w:r w:rsidR="00B67F3E">
        <w:t>During the SI stage</w:t>
      </w:r>
      <w:r w:rsidR="001B4649">
        <w:t xml:space="preserve"> [</w:t>
      </w:r>
      <w:r w:rsidR="004E4E49">
        <w:t>4</w:t>
      </w:r>
      <w:r w:rsidR="001B4649">
        <w:t>],</w:t>
      </w:r>
      <w:r w:rsidR="00B67F3E">
        <w:t xml:space="preserve"> </w:t>
      </w:r>
      <w:r w:rsidR="001B4649" w:rsidRPr="009D77A2">
        <w:t xml:space="preserve">latency </w:t>
      </w:r>
      <w:r w:rsidR="003135A6" w:rsidRPr="009D77A2">
        <w:t>analysis</w:t>
      </w:r>
      <w:r w:rsidR="001B4649" w:rsidRPr="009D77A2">
        <w:t xml:space="preserve"> had been </w:t>
      </w:r>
      <w:r w:rsidR="003135A6" w:rsidRPr="009D77A2">
        <w:t>considered</w:t>
      </w:r>
      <w:r w:rsidR="001B4649" w:rsidRPr="009D77A2">
        <w:t xml:space="preserve"> </w:t>
      </w:r>
      <w:r w:rsidR="0009784C" w:rsidRPr="009D77A2">
        <w:t xml:space="preserve">for </w:t>
      </w:r>
      <w:r w:rsidR="003135A6" w:rsidRPr="009D77A2">
        <w:t>evaluating the nece</w:t>
      </w:r>
      <w:r w:rsidR="00344FD9" w:rsidRPr="009D77A2">
        <w:t>ssity to introduce a new N1 and N2 timing capability. Here we borrow the</w:t>
      </w:r>
      <w:r w:rsidR="009D77A2">
        <w:t xml:space="preserve"> DL</w:t>
      </w:r>
      <w:r w:rsidR="00344FD9" w:rsidRPr="009D77A2">
        <w:t xml:space="preserve"> latency evaluation to discuss </w:t>
      </w:r>
      <w:r w:rsidR="009D77A2" w:rsidRPr="009D77A2">
        <w:t>the latency difference between</w:t>
      </w:r>
      <w:r w:rsidR="00344FD9" w:rsidRPr="009D77A2">
        <w:t xml:space="preserve"> </w:t>
      </w:r>
      <w:r w:rsidR="009D77A2" w:rsidRPr="009D77A2">
        <w:t xml:space="preserve">the (3,3) and (4,3). </w:t>
      </w:r>
      <w:r w:rsidR="009D77A2">
        <w:t>UL latency anyway can be achieved by the CG configuration.</w:t>
      </w:r>
      <w:r w:rsidR="0009784C" w:rsidRPr="009D77A2">
        <w:t xml:space="preserve"> </w:t>
      </w:r>
    </w:p>
    <w:p w14:paraId="40228C8C" w14:textId="223591CE" w:rsidR="00140D7D" w:rsidRPr="00AE06E9" w:rsidRDefault="00ED0016" w:rsidP="00CE2F15">
      <w:r>
        <w:t>As de</w:t>
      </w:r>
      <w:r w:rsidR="00D00ABB">
        <w:t>scribed</w:t>
      </w:r>
      <w:r>
        <w:t xml:space="preserve"> in </w:t>
      </w:r>
      <w:r w:rsidR="009D77A2">
        <w:t xml:space="preserve">Table 6.4.1.1-1 and A.4 of </w:t>
      </w:r>
      <w:r>
        <w:t>[</w:t>
      </w:r>
      <w:r w:rsidR="004E4E49">
        <w:t>4</w:t>
      </w:r>
      <w:r>
        <w:t xml:space="preserve">], </w:t>
      </w:r>
      <w:r w:rsidR="001B4649">
        <w:t>4 and 7 PDCCH monitoring occasion</w:t>
      </w:r>
      <w:r w:rsidR="00D00ABB">
        <w:t>s</w:t>
      </w:r>
      <w:r w:rsidR="001B4649">
        <w:t xml:space="preserve"> </w:t>
      </w:r>
      <w:r w:rsidR="00D00ABB">
        <w:t xml:space="preserve">per slot </w:t>
      </w:r>
      <w:r w:rsidR="00EF1BBC">
        <w:t>were</w:t>
      </w:r>
      <w:r w:rsidR="001B4649">
        <w:t xml:space="preserve"> </w:t>
      </w:r>
      <w:r w:rsidR="00D00ABB">
        <w:t xml:space="preserve">respectively </w:t>
      </w:r>
      <w:r w:rsidR="001B4649">
        <w:t xml:space="preserve">assumed </w:t>
      </w:r>
      <w:r w:rsidR="00D00ABB">
        <w:t>as [1,0,0,0,1,0,0,0,1,0,0,0,1,0] and [</w:t>
      </w:r>
      <w:r w:rsidR="00D00ABB" w:rsidRPr="00DE2982">
        <w:t>1,0,1,0,1,0,1,0,1,0,1,0,1,0</w:t>
      </w:r>
      <w:r w:rsidR="00D00ABB">
        <w:t xml:space="preserve">] </w:t>
      </w:r>
      <w:r w:rsidR="001B4649">
        <w:t>for</w:t>
      </w:r>
      <w:r w:rsidR="009D77A2">
        <w:t xml:space="preserve"> </w:t>
      </w:r>
      <w:r w:rsidR="001B4649">
        <w:t>latency evaluation</w:t>
      </w:r>
      <w:r w:rsidR="009D77A2">
        <w:t xml:space="preserve"> for downlink</w:t>
      </w:r>
      <w:r w:rsidR="001B4649">
        <w:t xml:space="preserve">. </w:t>
      </w:r>
      <w:r w:rsidR="00167B73">
        <w:t xml:space="preserve">The number of PDCCH monitoring occasions </w:t>
      </w:r>
      <w:r w:rsidR="00162810">
        <w:t>(e.g. DL alignment</w:t>
      </w:r>
      <w:r w:rsidR="00140D7D">
        <w:t xml:space="preserve"> </w:t>
      </w:r>
      <w:r w:rsidR="000F6A24">
        <w:t>delay</w:t>
      </w:r>
      <w:r w:rsidR="00162810">
        <w:t xml:space="preserve">) </w:t>
      </w:r>
      <w:r w:rsidR="006B47AF">
        <w:t xml:space="preserve">would </w:t>
      </w:r>
      <w:r w:rsidR="00167B73">
        <w:t>affect t</w:t>
      </w:r>
      <w:r w:rsidR="00B67F3E">
        <w:t>he worst</w:t>
      </w:r>
      <w:r w:rsidR="0089318B">
        <w:t xml:space="preserve">-case </w:t>
      </w:r>
      <w:r w:rsidR="00167B73">
        <w:t xml:space="preserve">achievable </w:t>
      </w:r>
      <w:r w:rsidR="0089318B">
        <w:t xml:space="preserve">latency for </w:t>
      </w:r>
      <w:r w:rsidR="00167B73">
        <w:t>URLLC transmission.</w:t>
      </w:r>
      <w:r w:rsidR="00162810">
        <w:t xml:space="preserve"> </w:t>
      </w:r>
      <w:r w:rsidR="00916014">
        <w:t>For the worst-case latency consideration, t</w:t>
      </w:r>
      <w:r w:rsidR="00162810">
        <w:t xml:space="preserve">he 4 PDCCH monitoring occasions </w:t>
      </w:r>
      <w:r w:rsidR="00D00ABB">
        <w:t>with</w:t>
      </w:r>
      <w:r w:rsidR="00162810">
        <w:t xml:space="preserve"> [1,0,0,0,1,0,0,0,1,0,0,0,1,0] require</w:t>
      </w:r>
      <w:r w:rsidR="00916014">
        <w:t>d</w:t>
      </w:r>
      <w:r w:rsidR="00162810">
        <w:t xml:space="preserve"> 4 </w:t>
      </w:r>
      <w:r w:rsidR="00916014">
        <w:t xml:space="preserve">symbols </w:t>
      </w:r>
      <w:r w:rsidR="00D00ABB">
        <w:t>for</w:t>
      </w:r>
      <w:r w:rsidR="00916014">
        <w:t xml:space="preserve"> the DL alignment. Similarly, the (3,3) or (3,2) in Fig.1 (b) would also require 4 symbols </w:t>
      </w:r>
      <w:r w:rsidR="00D00ABB">
        <w:t>for</w:t>
      </w:r>
      <w:r w:rsidR="00916014">
        <w:t xml:space="preserve"> the DL alignment. </w:t>
      </w:r>
      <w:r w:rsidR="00F15A96">
        <w:t>Latency analysis for (3,3) or (3,2) can be</w:t>
      </w:r>
      <w:r w:rsidR="00916014">
        <w:t xml:space="preserve"> </w:t>
      </w:r>
      <w:r w:rsidR="00916014" w:rsidRPr="00916014">
        <w:t>observed</w:t>
      </w:r>
      <w:r w:rsidR="00F15A96">
        <w:t xml:space="preserve"> as same as that for [1,0,0,0,1,0,0,0,1,0,0,0,1,0] </w:t>
      </w:r>
      <w:r w:rsidR="00D00ABB">
        <w:t xml:space="preserve">by </w:t>
      </w:r>
      <w:r w:rsidR="00F15A96">
        <w:t>assuming other</w:t>
      </w:r>
      <w:r w:rsidR="00D00ABB">
        <w:t xml:space="preserve"> scheduling</w:t>
      </w:r>
      <w:r w:rsidR="00F15A96">
        <w:t xml:space="preserve"> configurations are same. On the other hand, (4,3) requires 5 symbols as the DL alignment </w:t>
      </w:r>
      <w:r w:rsidR="000F6A24">
        <w:t>delay</w:t>
      </w:r>
      <w:r w:rsidR="0009784C">
        <w:t xml:space="preserve"> </w:t>
      </w:r>
      <w:r w:rsidR="00F15A96">
        <w:t>for the worst-case latency consideration. The latency differen</w:t>
      </w:r>
      <w:r w:rsidR="00D00ABB">
        <w:t>ce</w:t>
      </w:r>
      <w:r w:rsidR="00F15A96">
        <w:t xml:space="preserve"> </w:t>
      </w:r>
      <w:r w:rsidR="00CE2F15">
        <w:t>caused by the PDCCH monitoring occasions for</w:t>
      </w:r>
      <w:r w:rsidR="00F15A96">
        <w:t xml:space="preserve"> (3,3) and (4,3) is one symbols. </w:t>
      </w:r>
      <w:r w:rsidR="00CE2F15">
        <w:t>We discuss the SCS=30kHz case, which has been agreed to support PDCCH monitoring enhancement in last meeting. According to the results provided in [</w:t>
      </w:r>
      <w:r w:rsidR="004E4E49">
        <w:t>5</w:t>
      </w:r>
      <w:r w:rsidR="00CE2F15">
        <w:t>] for the scenario 1 (4 MOs, 2-symbol PDSCH, FDD) and scenario 3 (4 MOs, 4-symbol PDSCH, FDD), a DL single-slot transmission can be completed around 0.58ms and 0.72ms, respectively.</w:t>
      </w:r>
      <w:r w:rsidR="00CE2F15">
        <w:rPr>
          <w:rFonts w:hint="eastAsia"/>
        </w:rPr>
        <w:t xml:space="preserve"> </w:t>
      </w:r>
      <w:r w:rsidR="00CE2F15">
        <w:t>Therefore, e</w:t>
      </w:r>
      <w:r w:rsidR="00AE06E9">
        <w:t>ven in case of (4,3) which would incur one additional symbol (3</w:t>
      </w:r>
      <w:r w:rsidR="000F6A24">
        <w:t>3</w:t>
      </w:r>
      <w:r w:rsidR="00AE06E9">
        <w:t>us), a single-shot URLLC transmission can still be completed within 1ms for 30kHz</w:t>
      </w:r>
      <w:r w:rsidR="00D00ABB">
        <w:t xml:space="preserve"> and FDD</w:t>
      </w:r>
      <w:r w:rsidR="00AE06E9">
        <w:t xml:space="preserve">. </w:t>
      </w:r>
      <w:r w:rsidR="00CE2F15">
        <w:t xml:space="preserve">In this regard, </w:t>
      </w:r>
      <w:r w:rsidR="008B7081">
        <w:t>(3,3) may not bring an obvious latency gain when compared to (4,3)</w:t>
      </w:r>
      <w:r w:rsidR="00061C0C">
        <w:t>.</w:t>
      </w:r>
      <w:r w:rsidR="00AE06E9">
        <w:t xml:space="preserve"> </w:t>
      </w:r>
    </w:p>
    <w:p w14:paraId="3D4BE4C2" w14:textId="322BF746" w:rsidR="003D289B" w:rsidRDefault="00162810" w:rsidP="003D289B">
      <w:pPr>
        <w:rPr>
          <w:lang w:val="en-US"/>
        </w:rPr>
      </w:pPr>
      <w:r>
        <w:rPr>
          <w:rFonts w:hint="eastAsia"/>
          <w:lang w:val="en-US"/>
        </w:rPr>
        <w:t xml:space="preserve"> </w:t>
      </w:r>
      <w:r w:rsidR="00F15A96" w:rsidRPr="00F04DEC">
        <w:rPr>
          <w:noProof/>
          <w:lang w:val="en-US"/>
        </w:rPr>
        <w:drawing>
          <wp:inline distT="0" distB="0" distL="0" distR="0" wp14:anchorId="5BBA16C3" wp14:editId="5169762B">
            <wp:extent cx="6327140" cy="19323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932305"/>
                    </a:xfrm>
                    <a:prstGeom prst="rect">
                      <a:avLst/>
                    </a:prstGeom>
                    <a:noFill/>
                    <a:ln>
                      <a:noFill/>
                    </a:ln>
                  </pic:spPr>
                </pic:pic>
              </a:graphicData>
            </a:graphic>
          </wp:inline>
        </w:drawing>
      </w:r>
    </w:p>
    <w:p w14:paraId="6A51BDB6" w14:textId="73F82E7B" w:rsidR="00B67F3E" w:rsidRPr="00162810" w:rsidRDefault="00AE06E9" w:rsidP="00AE06E9">
      <w:pPr>
        <w:jc w:val="center"/>
        <w:rPr>
          <w:lang w:val="en-US"/>
        </w:rPr>
      </w:pPr>
      <w:r>
        <w:rPr>
          <w:rFonts w:hint="eastAsia"/>
          <w:lang w:val="en-US"/>
        </w:rPr>
        <w:t>F</w:t>
      </w:r>
      <w:r>
        <w:rPr>
          <w:lang w:val="en-US"/>
        </w:rPr>
        <w:t>igure 1: An illustration of span patterns for (4,3) and (3,3).</w:t>
      </w:r>
    </w:p>
    <w:p w14:paraId="11E75FB8" w14:textId="26C6E7C7" w:rsidR="008B7081" w:rsidRDefault="003D31E4" w:rsidP="00F15A96">
      <w:pPr>
        <w:rPr>
          <w:lang w:val="en-US"/>
        </w:rPr>
      </w:pPr>
      <w:r>
        <w:rPr>
          <w:lang w:val="en-US"/>
        </w:rPr>
        <w:lastRenderedPageBreak/>
        <w:t>Note</w:t>
      </w:r>
      <w:r w:rsidR="00225506">
        <w:rPr>
          <w:lang w:val="en-US"/>
        </w:rPr>
        <w:t xml:space="preserve"> that the smaller X is, the more advanced capability the UE </w:t>
      </w:r>
      <w:r w:rsidR="008B7081">
        <w:rPr>
          <w:lang w:val="en-US"/>
        </w:rPr>
        <w:t>possesses</w:t>
      </w:r>
      <w:r w:rsidR="00225506">
        <w:rPr>
          <w:lang w:val="en-US"/>
        </w:rPr>
        <w:t xml:space="preserve">. </w:t>
      </w:r>
      <w:r w:rsidR="00F15A96">
        <w:rPr>
          <w:lang w:val="en-US"/>
        </w:rPr>
        <w:t>F</w:t>
      </w:r>
      <w:r w:rsidR="002A4EA5">
        <w:rPr>
          <w:lang w:val="en-US"/>
        </w:rPr>
        <w:t>rom</w:t>
      </w:r>
      <w:r w:rsidR="00EB7F01">
        <w:rPr>
          <w:lang w:val="en-US"/>
        </w:rPr>
        <w:t xml:space="preserve"> the</w:t>
      </w:r>
      <w:r w:rsidR="00F15A96">
        <w:rPr>
          <w:lang w:val="en-US"/>
        </w:rPr>
        <w:t xml:space="preserve"> </w:t>
      </w:r>
      <w:r w:rsidR="00EB7F01">
        <w:rPr>
          <w:lang w:val="en-US"/>
        </w:rPr>
        <w:t xml:space="preserve">implementation </w:t>
      </w:r>
      <w:r w:rsidR="00F15A96">
        <w:rPr>
          <w:lang w:val="en-US"/>
        </w:rPr>
        <w:t xml:space="preserve">perspective, </w:t>
      </w:r>
      <w:r w:rsidR="008B7081">
        <w:rPr>
          <w:lang w:val="en-US"/>
        </w:rPr>
        <w:t>UE supporting {(</w:t>
      </w:r>
      <w:r w:rsidR="00517ACE">
        <w:rPr>
          <w:lang w:val="en-US"/>
        </w:rPr>
        <w:t>3,3</w:t>
      </w:r>
      <w:r w:rsidR="008B7081">
        <w:rPr>
          <w:lang w:val="en-US"/>
        </w:rPr>
        <w:t>)</w:t>
      </w:r>
      <w:r w:rsidR="00517ACE">
        <w:rPr>
          <w:lang w:val="en-US"/>
        </w:rPr>
        <w:t>, (4,3), (7,3)</w:t>
      </w:r>
      <w:r w:rsidR="008B7081">
        <w:rPr>
          <w:lang w:val="en-US"/>
        </w:rPr>
        <w:t>}</w:t>
      </w:r>
      <w:r w:rsidR="00517ACE">
        <w:rPr>
          <w:lang w:val="en-US"/>
        </w:rPr>
        <w:t xml:space="preserve"> would require increased </w:t>
      </w:r>
      <w:r w:rsidR="00EB7F01">
        <w:rPr>
          <w:lang w:val="en-US"/>
        </w:rPr>
        <w:t xml:space="preserve">the </w:t>
      </w:r>
      <w:r w:rsidR="00517ACE">
        <w:rPr>
          <w:lang w:val="en-US"/>
        </w:rPr>
        <w:t xml:space="preserve">complexity than the UE supporting {(4,3), (7,3)}. </w:t>
      </w:r>
    </w:p>
    <w:p w14:paraId="375F8B52" w14:textId="6EFC911F" w:rsidR="00AE06E9" w:rsidRDefault="00517ACE" w:rsidP="00AE06E9">
      <w:pPr>
        <w:rPr>
          <w:lang w:val="en-US"/>
        </w:rPr>
      </w:pPr>
      <w:r w:rsidRPr="00CE2F15">
        <w:rPr>
          <w:b/>
          <w:bCs/>
          <w:u w:val="single"/>
        </w:rPr>
        <w:t>Observation</w:t>
      </w:r>
      <w:r w:rsidR="00437D3F" w:rsidRPr="00CE2F15">
        <w:rPr>
          <w:b/>
          <w:bCs/>
          <w:u w:val="single"/>
        </w:rPr>
        <w:t xml:space="preserve"> </w:t>
      </w:r>
      <w:r w:rsidR="000F6DF2">
        <w:rPr>
          <w:b/>
          <w:bCs/>
          <w:u w:val="single"/>
        </w:rPr>
        <w:t>5</w:t>
      </w:r>
      <w:r w:rsidR="00437D3F" w:rsidRPr="005C5B1C">
        <w:rPr>
          <w:b/>
          <w:bCs/>
          <w:u w:val="single"/>
        </w:rPr>
        <w:t>:</w:t>
      </w:r>
      <w:r w:rsidRPr="005C5B1C">
        <w:rPr>
          <w:b/>
          <w:bCs/>
        </w:rPr>
        <w:t xml:space="preserve"> </w:t>
      </w:r>
      <w:r w:rsidRPr="00F61E01">
        <w:rPr>
          <w:bCs/>
        </w:rPr>
        <w:t xml:space="preserve">From </w:t>
      </w:r>
      <w:r w:rsidR="00DB56CA" w:rsidRPr="00F61E01">
        <w:rPr>
          <w:bCs/>
        </w:rPr>
        <w:t xml:space="preserve">the </w:t>
      </w:r>
      <w:r w:rsidR="00EB7F01">
        <w:rPr>
          <w:bCs/>
        </w:rPr>
        <w:t>viewpoint</w:t>
      </w:r>
      <w:r w:rsidR="00EB7F01" w:rsidRPr="00F61E01">
        <w:rPr>
          <w:bCs/>
        </w:rPr>
        <w:t xml:space="preserve"> </w:t>
      </w:r>
      <w:r w:rsidR="00DB56CA" w:rsidRPr="00F61E01">
        <w:rPr>
          <w:bCs/>
        </w:rPr>
        <w:t xml:space="preserve">of meeting </w:t>
      </w:r>
      <w:r w:rsidRPr="00F61E01">
        <w:rPr>
          <w:bCs/>
        </w:rPr>
        <w:t xml:space="preserve">the 1ms </w:t>
      </w:r>
      <w:r w:rsidR="00F61E01">
        <w:rPr>
          <w:bCs/>
        </w:rPr>
        <w:t xml:space="preserve">latency </w:t>
      </w:r>
      <w:r w:rsidRPr="00F61E01">
        <w:rPr>
          <w:bCs/>
        </w:rPr>
        <w:t>requirement</w:t>
      </w:r>
      <w:r w:rsidR="00E03262" w:rsidRPr="00F61E01">
        <w:rPr>
          <w:bCs/>
        </w:rPr>
        <w:t xml:space="preserve">, </w:t>
      </w:r>
      <w:r w:rsidR="00437D3F" w:rsidRPr="00F61E01">
        <w:rPr>
          <w:bCs/>
        </w:rPr>
        <w:t>(3,3)</w:t>
      </w:r>
      <w:r w:rsidRPr="00F61E01">
        <w:rPr>
          <w:bCs/>
        </w:rPr>
        <w:t xml:space="preserve"> or </w:t>
      </w:r>
      <w:r w:rsidR="00437D3F" w:rsidRPr="00F61E01">
        <w:rPr>
          <w:bCs/>
        </w:rPr>
        <w:t>(3,2)</w:t>
      </w:r>
      <w:r w:rsidRPr="00F61E01">
        <w:rPr>
          <w:bCs/>
        </w:rPr>
        <w:t xml:space="preserve"> </w:t>
      </w:r>
      <w:r w:rsidR="00AE06E9" w:rsidRPr="00F61E01">
        <w:rPr>
          <w:lang w:val="en-US"/>
        </w:rPr>
        <w:t>seems not to bring a significan</w:t>
      </w:r>
      <w:r w:rsidR="00E03262" w:rsidRPr="00F61E01">
        <w:rPr>
          <w:lang w:val="en-US"/>
        </w:rPr>
        <w:t>t</w:t>
      </w:r>
      <w:r w:rsidR="00AE06E9" w:rsidRPr="00F61E01">
        <w:rPr>
          <w:lang w:val="en-US"/>
        </w:rPr>
        <w:t xml:space="preserve"> </w:t>
      </w:r>
      <w:r w:rsidR="00E03262" w:rsidRPr="005C2D97">
        <w:rPr>
          <w:lang w:val="en-US"/>
        </w:rPr>
        <w:t>latency gain</w:t>
      </w:r>
      <w:r w:rsidR="00E03262" w:rsidRPr="00F61E01">
        <w:rPr>
          <w:lang w:val="en-US"/>
        </w:rPr>
        <w:t xml:space="preserve"> when compared to (4,3)</w:t>
      </w:r>
      <w:r w:rsidR="00AE06E9" w:rsidRPr="00F61E01">
        <w:rPr>
          <w:lang w:val="en-US"/>
        </w:rPr>
        <w:t>.</w:t>
      </w:r>
    </w:p>
    <w:p w14:paraId="44401A00" w14:textId="5FA3FE1E" w:rsidR="00B3619B" w:rsidRPr="00C77093" w:rsidRDefault="000F6A24" w:rsidP="00517ACE">
      <w:pPr>
        <w:spacing w:before="240" w:after="240" w:afterAutospacing="0"/>
        <w:rPr>
          <w:rFonts w:ascii="Times" w:eastAsiaTheme="minorEastAsia" w:hAnsi="Times"/>
          <w:b/>
          <w:iCs/>
          <w:color w:val="000000"/>
          <w:kern w:val="2"/>
          <w:szCs w:val="24"/>
          <w:u w:val="single"/>
          <w:lang w:val="en-US"/>
        </w:rPr>
      </w:pPr>
      <w:r>
        <w:rPr>
          <w:rFonts w:ascii="Times" w:eastAsia="Batang" w:hAnsi="Times"/>
          <w:b/>
          <w:iCs/>
          <w:color w:val="000000"/>
          <w:kern w:val="2"/>
          <w:szCs w:val="24"/>
          <w:u w:val="single"/>
          <w:lang w:eastAsia="zh-CN"/>
        </w:rPr>
        <w:t>(X,</w:t>
      </w:r>
      <w:r w:rsidR="00CE2F15">
        <w:rPr>
          <w:rFonts w:ascii="Times" w:eastAsia="Batang" w:hAnsi="Times"/>
          <w:b/>
          <w:iCs/>
          <w:color w:val="000000"/>
          <w:kern w:val="2"/>
          <w:szCs w:val="24"/>
          <w:u w:val="single"/>
          <w:lang w:eastAsia="zh-CN"/>
        </w:rPr>
        <w:t xml:space="preserve"> </w:t>
      </w:r>
      <w:r>
        <w:rPr>
          <w:rFonts w:ascii="Times" w:eastAsia="Batang" w:hAnsi="Times"/>
          <w:b/>
          <w:iCs/>
          <w:color w:val="000000"/>
          <w:kern w:val="2"/>
          <w:szCs w:val="24"/>
          <w:u w:val="single"/>
          <w:lang w:eastAsia="zh-CN"/>
        </w:rPr>
        <w:t>Y) for</w:t>
      </w:r>
      <w:r w:rsidR="00C77093" w:rsidRPr="00C77093">
        <w:rPr>
          <w:rFonts w:ascii="Times" w:eastAsia="Batang" w:hAnsi="Times"/>
          <w:b/>
          <w:iCs/>
          <w:color w:val="000000"/>
          <w:kern w:val="2"/>
          <w:szCs w:val="24"/>
          <w:u w:val="single"/>
          <w:lang w:eastAsia="zh-CN"/>
        </w:rPr>
        <w:t xml:space="preserve"> 60 kHz and 120 kHz</w:t>
      </w:r>
    </w:p>
    <w:p w14:paraId="34F15D93" w14:textId="6A5843DA" w:rsidR="00437D3F" w:rsidRDefault="007D033D" w:rsidP="00241DF0">
      <w:pPr>
        <w:rPr>
          <w:lang w:val="en-US"/>
        </w:rPr>
      </w:pPr>
      <w:r>
        <w:rPr>
          <w:lang w:val="en-US"/>
        </w:rPr>
        <w:t>According to</w:t>
      </w:r>
      <w:r w:rsidR="00017111">
        <w:rPr>
          <w:lang w:val="en-US"/>
        </w:rPr>
        <w:t xml:space="preserve"> [</w:t>
      </w:r>
      <w:r w:rsidR="00B21035">
        <w:rPr>
          <w:lang w:val="en-US"/>
        </w:rPr>
        <w:t>4</w:t>
      </w:r>
      <w:r w:rsidR="00017111">
        <w:rPr>
          <w:lang w:val="en-US"/>
        </w:rPr>
        <w:t>], a conclusion was drawn that, ‘</w:t>
      </w:r>
      <w:r w:rsidR="00017111" w:rsidRPr="00017111">
        <w:rPr>
          <w:lang w:val="en-US"/>
        </w:rPr>
        <w:t>For downlink, under some considered FDD scenarios, two HARQ transmissions can be completed within 1ms for SCS = 60 KHz</w:t>
      </w:r>
      <w:r w:rsidR="00017111">
        <w:rPr>
          <w:lang w:val="en-US"/>
        </w:rPr>
        <w:t>’</w:t>
      </w:r>
      <w:r w:rsidR="00017111" w:rsidRPr="00017111">
        <w:rPr>
          <w:lang w:val="en-US"/>
        </w:rPr>
        <w:t>.</w:t>
      </w:r>
      <w:r>
        <w:rPr>
          <w:lang w:val="en-US"/>
        </w:rPr>
        <w:t xml:space="preserve"> </w:t>
      </w:r>
      <w:r w:rsidR="00017111">
        <w:rPr>
          <w:lang w:val="en-US"/>
        </w:rPr>
        <w:t xml:space="preserve">Here the considered FDD scenarios include a scenario </w:t>
      </w:r>
      <w:r w:rsidR="00241DF0">
        <w:rPr>
          <w:lang w:val="en-US"/>
        </w:rPr>
        <w:t>with</w:t>
      </w:r>
      <w:r w:rsidR="00017111">
        <w:rPr>
          <w:lang w:val="en-US"/>
        </w:rPr>
        <w:t xml:space="preserve"> 4 MOs and </w:t>
      </w:r>
      <w:r w:rsidR="00017111" w:rsidRPr="00017111">
        <w:rPr>
          <w:lang w:val="en-US"/>
        </w:rPr>
        <w:t>2-symbol PDSCH</w:t>
      </w:r>
      <w:r w:rsidR="00241DF0">
        <w:rPr>
          <w:lang w:val="en-US"/>
        </w:rPr>
        <w:t xml:space="preserve">. That is, </w:t>
      </w:r>
      <w:r>
        <w:rPr>
          <w:lang w:val="en-US"/>
        </w:rPr>
        <w:t>the 4 PDCCH monitoring occasions per slot would guarantee that two HARQ transmission</w:t>
      </w:r>
      <w:r w:rsidR="00241DF0">
        <w:rPr>
          <w:lang w:val="en-US"/>
        </w:rPr>
        <w:t>s</w:t>
      </w:r>
      <w:r>
        <w:rPr>
          <w:lang w:val="en-US"/>
        </w:rPr>
        <w:t xml:space="preserve"> can be completed within 1ms by considering the Rel.15 timing capability for SCS=60KHz</w:t>
      </w:r>
      <w:r w:rsidR="003D31E4">
        <w:rPr>
          <w:lang w:val="en-US"/>
        </w:rPr>
        <w:t xml:space="preserve"> </w:t>
      </w:r>
      <w:r>
        <w:rPr>
          <w:lang w:val="en-US"/>
        </w:rPr>
        <w:t>. If we would want to keep the two HARQ transmission being completed within 1ms</w:t>
      </w:r>
      <w:r w:rsidR="00C77093">
        <w:rPr>
          <w:lang w:val="en-US"/>
        </w:rPr>
        <w:t xml:space="preserve"> for </w:t>
      </w:r>
      <w:r w:rsidR="006331A9">
        <w:rPr>
          <w:lang w:val="en-US"/>
        </w:rPr>
        <w:t>th</w:t>
      </w:r>
      <w:r w:rsidR="00241DF0">
        <w:rPr>
          <w:lang w:val="en-US"/>
        </w:rPr>
        <w:t xml:space="preserve">is kind of </w:t>
      </w:r>
      <w:r w:rsidR="00C77093">
        <w:rPr>
          <w:lang w:val="en-US"/>
        </w:rPr>
        <w:t>scheduling case</w:t>
      </w:r>
      <w:r>
        <w:rPr>
          <w:lang w:val="en-US"/>
        </w:rPr>
        <w:t xml:space="preserve">, it would be beneficial to also enhance the </w:t>
      </w:r>
      <w:r w:rsidR="00C77093">
        <w:rPr>
          <w:lang w:val="en-US"/>
        </w:rPr>
        <w:t>PDCCH monitoring capability for SCS=60kHz at least in terms of (4,3), (7,3).</w:t>
      </w:r>
    </w:p>
    <w:p w14:paraId="4BFEE52D" w14:textId="77FAD33E" w:rsidR="00C77093" w:rsidRPr="00B3619B" w:rsidRDefault="00C77093" w:rsidP="00437D3F">
      <w:pPr>
        <w:rPr>
          <w:bCs/>
        </w:rPr>
      </w:pPr>
      <w:r>
        <w:rPr>
          <w:bCs/>
        </w:rPr>
        <w:t>Furthermore, from the hardware’s perspective, a</w:t>
      </w:r>
      <w:r w:rsidR="00B3619B">
        <w:rPr>
          <w:bCs/>
        </w:rPr>
        <w:t xml:space="preserve"> control processing unit which is capable of supporting (2,2) for SCS=30 kHz with a limit c, </w:t>
      </w:r>
      <w:r>
        <w:rPr>
          <w:bCs/>
        </w:rPr>
        <w:t>may not have problem to</w:t>
      </w:r>
      <w:r w:rsidR="00B3619B">
        <w:rPr>
          <w:bCs/>
        </w:rPr>
        <w:t xml:space="preserve"> support (4,3) for SCS=60kHz with a</w:t>
      </w:r>
      <w:r w:rsidR="003D31E4">
        <w:rPr>
          <w:bCs/>
        </w:rPr>
        <w:t>nother</w:t>
      </w:r>
      <w:r w:rsidR="00B3619B">
        <w:rPr>
          <w:bCs/>
        </w:rPr>
        <w:t xml:space="preserve"> suitable </w:t>
      </w:r>
      <w:r w:rsidR="00241DF0">
        <w:rPr>
          <w:bCs/>
        </w:rPr>
        <w:t xml:space="preserve">value of </w:t>
      </w:r>
      <w:r w:rsidR="00B3619B">
        <w:rPr>
          <w:bCs/>
        </w:rPr>
        <w:t xml:space="preserve">limit </w:t>
      </w:r>
      <w:r w:rsidR="003D31E4">
        <w:rPr>
          <w:bCs/>
        </w:rPr>
        <w:t>c</w:t>
      </w:r>
      <w:r w:rsidR="00B3619B">
        <w:rPr>
          <w:bCs/>
        </w:rPr>
        <w:t xml:space="preserve">. Therefore, it would be beneficial to </w:t>
      </w:r>
      <w:r w:rsidR="007D033D">
        <w:rPr>
          <w:bCs/>
        </w:rPr>
        <w:t xml:space="preserve">support </w:t>
      </w:r>
      <w:r w:rsidR="007D033D" w:rsidRPr="007D033D">
        <w:rPr>
          <w:bCs/>
        </w:rPr>
        <w:t>(4, 3)</w:t>
      </w:r>
      <w:r>
        <w:rPr>
          <w:bCs/>
        </w:rPr>
        <w:t xml:space="preserve"> </w:t>
      </w:r>
      <w:r w:rsidR="007D033D" w:rsidRPr="007D033D">
        <w:rPr>
          <w:bCs/>
        </w:rPr>
        <w:t xml:space="preserve">(7, 3) </w:t>
      </w:r>
      <w:r w:rsidR="007D033D">
        <w:rPr>
          <w:bCs/>
        </w:rPr>
        <w:t xml:space="preserve">being </w:t>
      </w:r>
      <w:r w:rsidR="007D033D" w:rsidRPr="007D033D">
        <w:rPr>
          <w:bCs/>
        </w:rPr>
        <w:t xml:space="preserve">applicable for </w:t>
      </w:r>
      <w:r w:rsidR="007D033D">
        <w:rPr>
          <w:bCs/>
        </w:rPr>
        <w:t>6</w:t>
      </w:r>
      <w:r w:rsidR="007D033D" w:rsidRPr="007D033D">
        <w:rPr>
          <w:bCs/>
        </w:rPr>
        <w:t>0 kHz</w:t>
      </w:r>
      <w:r w:rsidR="00241DF0">
        <w:rPr>
          <w:bCs/>
        </w:rPr>
        <w:t xml:space="preserve"> without causing significant UE complexity</w:t>
      </w:r>
      <w:r w:rsidR="007D033D">
        <w:rPr>
          <w:bCs/>
        </w:rPr>
        <w:t>.</w:t>
      </w:r>
    </w:p>
    <w:p w14:paraId="2A9FA599" w14:textId="572FEA1F" w:rsidR="00437D3F" w:rsidRPr="00D9664F" w:rsidRDefault="00DB56CA" w:rsidP="00437D3F">
      <w:pPr>
        <w:rPr>
          <w:b/>
          <w:bCs/>
          <w:u w:val="single"/>
        </w:rPr>
      </w:pPr>
      <w:r w:rsidRPr="00017111">
        <w:rPr>
          <w:b/>
          <w:bCs/>
          <w:u w:val="single"/>
        </w:rPr>
        <w:t xml:space="preserve">Observation </w:t>
      </w:r>
      <w:r w:rsidR="000F2C64">
        <w:rPr>
          <w:b/>
          <w:bCs/>
          <w:u w:val="single"/>
        </w:rPr>
        <w:t>6</w:t>
      </w:r>
      <w:r w:rsidRPr="00017111">
        <w:rPr>
          <w:b/>
          <w:bCs/>
          <w:u w:val="single"/>
        </w:rPr>
        <w:t xml:space="preserve">: </w:t>
      </w:r>
      <w:r w:rsidR="00017111" w:rsidRPr="00017111">
        <w:rPr>
          <w:bCs/>
        </w:rPr>
        <w:t>Under</w:t>
      </w:r>
      <w:r w:rsidR="007D033D" w:rsidRPr="00017111">
        <w:rPr>
          <w:bCs/>
        </w:rPr>
        <w:t xml:space="preserve"> some DL scheduling </w:t>
      </w:r>
      <w:r w:rsidR="00017111" w:rsidRPr="00017111">
        <w:rPr>
          <w:bCs/>
        </w:rPr>
        <w:t>FDD scenarios</w:t>
      </w:r>
      <w:r w:rsidR="007D033D" w:rsidRPr="00017111">
        <w:rPr>
          <w:bCs/>
        </w:rPr>
        <w:t xml:space="preserve"> (e.g. 2-OS PDSCH), s</w:t>
      </w:r>
      <w:r w:rsidR="005C5B1C" w:rsidRPr="00017111">
        <w:rPr>
          <w:bCs/>
        </w:rPr>
        <w:t xml:space="preserve">upporting (4,3), (7,3) for SCS=60 kHz would be beneficial </w:t>
      </w:r>
      <w:r w:rsidR="00017111" w:rsidRPr="00017111">
        <w:rPr>
          <w:bCs/>
        </w:rPr>
        <w:t xml:space="preserve">to </w:t>
      </w:r>
      <w:r w:rsidR="00241DF0">
        <w:rPr>
          <w:bCs/>
        </w:rPr>
        <w:t>make</w:t>
      </w:r>
      <w:r w:rsidR="005C5B1C" w:rsidRPr="00017111">
        <w:rPr>
          <w:bCs/>
        </w:rPr>
        <w:t xml:space="preserve"> two HARQ transmission</w:t>
      </w:r>
      <w:r w:rsidR="00017111" w:rsidRPr="00017111">
        <w:rPr>
          <w:bCs/>
        </w:rPr>
        <w:t>s</w:t>
      </w:r>
      <w:r w:rsidR="005C5B1C" w:rsidRPr="00017111">
        <w:rPr>
          <w:bCs/>
        </w:rPr>
        <w:t xml:space="preserve"> </w:t>
      </w:r>
      <w:r w:rsidR="00017111" w:rsidRPr="00017111">
        <w:rPr>
          <w:bCs/>
        </w:rPr>
        <w:t>to be</w:t>
      </w:r>
      <w:r w:rsidR="005C5B1C" w:rsidRPr="00017111">
        <w:rPr>
          <w:bCs/>
        </w:rPr>
        <w:t xml:space="preserve"> completed within 1 ms</w:t>
      </w:r>
      <w:r w:rsidR="009F5DAC" w:rsidRPr="00017111">
        <w:rPr>
          <w:bCs/>
        </w:rPr>
        <w:t xml:space="preserve"> </w:t>
      </w:r>
      <w:r w:rsidR="00017111" w:rsidRPr="00017111">
        <w:rPr>
          <w:bCs/>
        </w:rPr>
        <w:t>based on</w:t>
      </w:r>
      <w:r w:rsidR="005C5B1C" w:rsidRPr="00017111">
        <w:rPr>
          <w:bCs/>
        </w:rPr>
        <w:t xml:space="preserve"> the Rel.15 timing capability.</w:t>
      </w:r>
    </w:p>
    <w:p w14:paraId="32B50884" w14:textId="793CE1F0" w:rsidR="00C77093" w:rsidRPr="00017111" w:rsidRDefault="00017111" w:rsidP="00403F3D">
      <w:pPr>
        <w:snapToGrid/>
        <w:spacing w:after="60" w:afterAutospacing="0"/>
        <w:jc w:val="left"/>
        <w:rPr>
          <w:rFonts w:ascii="Times" w:eastAsia="Batang" w:hAnsi="Times"/>
          <w:iCs/>
          <w:color w:val="000000"/>
          <w:kern w:val="2"/>
          <w:sz w:val="20"/>
          <w:lang w:eastAsia="zh-CN"/>
        </w:rPr>
      </w:pPr>
      <w:r>
        <w:rPr>
          <w:rFonts w:ascii="Times" w:eastAsia="Batang" w:hAnsi="Times"/>
          <w:b/>
          <w:iCs/>
          <w:color w:val="000000"/>
          <w:kern w:val="2"/>
          <w:szCs w:val="24"/>
          <w:u w:val="single"/>
          <w:lang w:eastAsia="zh-CN"/>
        </w:rPr>
        <w:t>Value C for combination (X, Y)</w:t>
      </w:r>
    </w:p>
    <w:p w14:paraId="49A0A637" w14:textId="5CA3B5C1" w:rsidR="00437D3F" w:rsidRDefault="00437D3F" w:rsidP="00437D3F">
      <w:pPr>
        <w:rPr>
          <w:lang w:val="en-US"/>
        </w:rPr>
      </w:pPr>
      <w:r>
        <w:t xml:space="preserve">The increased PDCCH monitoring capability aims to ensure a UE to have more frequent opportunities to monitor the DCI format scheduling the </w:t>
      </w:r>
      <w:r>
        <w:rPr>
          <w:lang w:val="en-US"/>
        </w:rPr>
        <w:t xml:space="preserve">Rel-16 URLLC. Furthermore, for each PDCCH monitoring span, they should accommodate sufficient CCEs to support at least one PDCCH candidate with AL=16. </w:t>
      </w:r>
      <w:r>
        <w:rPr>
          <w:rFonts w:hint="eastAsia"/>
          <w:lang w:val="en-US"/>
        </w:rPr>
        <w:t>A</w:t>
      </w:r>
      <w:r>
        <w:rPr>
          <w:lang w:val="en-US"/>
        </w:rPr>
        <w:t xml:space="preserve">ccording to the UE feature 3-5b, the number of PDCCH monitoring spans is no more than floor (14/X). Regarding the PDCCH monitoring span for a combination (2, 2, </w:t>
      </w:r>
      <w:r w:rsidRPr="00251AD4">
        <w:rPr>
          <w:rFonts w:ascii="Symbol" w:eastAsia="Malgun Gothic" w:hAnsi="Symbol"/>
          <w:color w:val="000000"/>
        </w:rPr>
        <w:t></w:t>
      </w:r>
      <w:r>
        <w:rPr>
          <w:lang w:val="en-US"/>
        </w:rPr>
        <w:t xml:space="preserve">), one slot contains up to 7 PDCCH monitoring spans. </w:t>
      </w:r>
      <w:r w:rsidRPr="00241DF0">
        <w:rPr>
          <w:lang w:val="en-US"/>
        </w:rPr>
        <w:t xml:space="preserve">The limit C per PDCCH monitoring span for a combination (2, 2, </w:t>
      </w:r>
      <w:r w:rsidRPr="00241DF0">
        <w:rPr>
          <w:rFonts w:ascii="Symbol" w:eastAsia="Malgun Gothic" w:hAnsi="Symbol"/>
          <w:color w:val="000000"/>
        </w:rPr>
        <w:t></w:t>
      </w:r>
      <w:r w:rsidRPr="00241DF0">
        <w:rPr>
          <w:lang w:val="en-US"/>
        </w:rPr>
        <w:t>) can be set to 16 in order to enable at least one PDCCH candidate with AL=16. The total number of the non-overlapping CCEs per slot achieves up to 112</w:t>
      </w:r>
      <w:r>
        <w:rPr>
          <w:lang w:val="en-US"/>
        </w:rPr>
        <w:t>.</w:t>
      </w:r>
      <w:r w:rsidR="00C9033A">
        <w:rPr>
          <w:rFonts w:hint="eastAsia"/>
          <w:lang w:val="en-US"/>
        </w:rPr>
        <w:t xml:space="preserve"> </w:t>
      </w:r>
      <w:r>
        <w:rPr>
          <w:lang w:val="en-US"/>
        </w:rPr>
        <w:t xml:space="preserve">Regarding the PDCCH monitoring span for a combination (4, 3, </w:t>
      </w:r>
      <w:r w:rsidRPr="00251AD4">
        <w:rPr>
          <w:rFonts w:ascii="Symbol" w:eastAsia="Malgun Gothic" w:hAnsi="Symbol"/>
          <w:color w:val="000000"/>
        </w:rPr>
        <w:t></w:t>
      </w:r>
      <w:r>
        <w:rPr>
          <w:lang w:val="en-US"/>
        </w:rPr>
        <w:t xml:space="preserve">), </w:t>
      </w:r>
      <w:r w:rsidRPr="002539C5">
        <w:rPr>
          <w:lang w:val="en-US"/>
        </w:rPr>
        <w:t xml:space="preserve">one slot contains up to 3 PDCCH monitoring spans. The limit C per span for </w:t>
      </w:r>
      <w:r w:rsidRPr="002539C5">
        <w:rPr>
          <w:rFonts w:ascii="Symbol" w:eastAsia="Malgun Gothic" w:hAnsi="Symbol"/>
          <w:color w:val="000000"/>
        </w:rPr>
        <w:t></w:t>
      </w:r>
      <w:r w:rsidRPr="002539C5">
        <w:rPr>
          <w:rFonts w:ascii="Symbol" w:eastAsia="Malgun Gothic" w:hAnsi="Symbol"/>
          <w:color w:val="000000"/>
        </w:rPr>
        <w:t></w:t>
      </w:r>
      <w:r w:rsidRPr="002539C5">
        <w:rPr>
          <w:rFonts w:eastAsia="Malgun Gothic"/>
          <w:color w:val="000000"/>
        </w:rPr>
        <w:t xml:space="preserve">0, 1, </w:t>
      </w:r>
      <w:r w:rsidR="00241DF0">
        <w:rPr>
          <w:rFonts w:eastAsia="Malgun Gothic"/>
          <w:color w:val="000000"/>
        </w:rPr>
        <w:t xml:space="preserve">or </w:t>
      </w:r>
      <w:r w:rsidRPr="002539C5">
        <w:rPr>
          <w:rFonts w:eastAsia="Malgun Gothic"/>
          <w:color w:val="000000"/>
        </w:rPr>
        <w:t xml:space="preserve">2, can be set to 36, 36, </w:t>
      </w:r>
      <w:r w:rsidR="00241DF0">
        <w:rPr>
          <w:rFonts w:eastAsia="Malgun Gothic"/>
          <w:color w:val="000000"/>
        </w:rPr>
        <w:t xml:space="preserve">or </w:t>
      </w:r>
      <w:r w:rsidRPr="002539C5">
        <w:rPr>
          <w:rFonts w:eastAsia="Malgun Gothic"/>
          <w:color w:val="000000"/>
        </w:rPr>
        <w:t>32, respectively.</w:t>
      </w:r>
      <w:r>
        <w:rPr>
          <w:rFonts w:eastAsia="Malgun Gothic"/>
          <w:color w:val="000000"/>
        </w:rPr>
        <w:t xml:space="preserve"> For example, for combination (4, 3, 0), the limit C=36 can at least accommodate two DCIs that require high reliability with AL=16 scheduling DL or UL and another DCI with AL=4 for non-URLLC purpose.</w:t>
      </w:r>
      <w:r>
        <w:rPr>
          <w:rFonts w:eastAsiaTheme="minorEastAsia" w:hint="eastAsia"/>
          <w:color w:val="000000"/>
        </w:rPr>
        <w:t xml:space="preserve"> </w:t>
      </w:r>
      <w:r>
        <w:rPr>
          <w:lang w:val="en-US"/>
        </w:rPr>
        <w:t xml:space="preserve">Regarding the PDCCH monitoring span for a combination (7, 3, </w:t>
      </w:r>
      <w:r w:rsidRPr="00251AD4">
        <w:rPr>
          <w:rFonts w:ascii="Symbol" w:eastAsia="Malgun Gothic" w:hAnsi="Symbol"/>
          <w:color w:val="000000"/>
        </w:rPr>
        <w:t></w:t>
      </w:r>
      <w:r>
        <w:rPr>
          <w:lang w:val="en-US"/>
        </w:rPr>
        <w:t xml:space="preserve">), one slot contains up to 2 PDCCH monitoring spans. The limit C per span can be same as the Rel-15 maximum number of non-overlapped CCEs per slot. The total numbers per slot can be twice of that for Rel-15.  </w:t>
      </w:r>
    </w:p>
    <w:p w14:paraId="0F80A441" w14:textId="5529FDBF" w:rsidR="00FE3F5D" w:rsidRDefault="00FE3F5D" w:rsidP="00437D3F">
      <w:pPr>
        <w:rPr>
          <w:lang w:val="en-US"/>
        </w:rPr>
      </w:pPr>
    </w:p>
    <w:p w14:paraId="46F861B3" w14:textId="77777777" w:rsidR="00FE3F5D" w:rsidRDefault="00FE3F5D" w:rsidP="00437D3F">
      <w:pPr>
        <w:rPr>
          <w:lang w:val="en-US"/>
        </w:rPr>
      </w:pPr>
    </w:p>
    <w:p w14:paraId="54EA923D" w14:textId="64357EA0" w:rsidR="00437D3F" w:rsidRPr="009A732F" w:rsidRDefault="00437D3F" w:rsidP="00437D3F">
      <w:pPr>
        <w:spacing w:before="240" w:after="240" w:afterAutospacing="0"/>
        <w:rPr>
          <w:rFonts w:eastAsia="ＭＳ 明朝"/>
          <w:b/>
          <w:u w:val="single"/>
        </w:rPr>
      </w:pPr>
      <w:r w:rsidRPr="00C9033A">
        <w:rPr>
          <w:rFonts w:eastAsia="ＭＳ 明朝"/>
          <w:b/>
          <w:u w:val="single"/>
        </w:rPr>
        <w:lastRenderedPageBreak/>
        <w:t xml:space="preserve">Proposal </w:t>
      </w:r>
      <w:r w:rsidR="000F2C64">
        <w:rPr>
          <w:rFonts w:eastAsia="ＭＳ 明朝"/>
          <w:b/>
          <w:u w:val="single"/>
        </w:rPr>
        <w:t>6</w:t>
      </w:r>
      <w:r w:rsidRPr="00C9033A">
        <w:rPr>
          <w:rFonts w:eastAsia="ＭＳ 明朝"/>
          <w:b/>
          <w:u w:val="single"/>
        </w:rPr>
        <w:t>:</w:t>
      </w:r>
      <w:r>
        <w:rPr>
          <w:rFonts w:eastAsia="ＭＳ 明朝" w:hint="eastAsia"/>
          <w:b/>
          <w:u w:val="single"/>
        </w:rPr>
        <w:t xml:space="preserve"> </w:t>
      </w:r>
      <w:r>
        <w:rPr>
          <w:lang w:eastAsia="zh-CN"/>
        </w:rPr>
        <w:t>UE can report the capability combinations and associated limit C as below</w:t>
      </w:r>
      <w:r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437D3F" w:rsidRPr="00251AD4" w14:paraId="3F2A5DD2" w14:textId="77777777" w:rsidTr="009F17C8">
        <w:trPr>
          <w:trHeight w:val="138"/>
          <w:jc w:val="center"/>
        </w:trPr>
        <w:tc>
          <w:tcPr>
            <w:tcW w:w="1681" w:type="dxa"/>
            <w:vMerge w:val="restart"/>
            <w:shd w:val="clear" w:color="auto" w:fill="D9D9D9"/>
          </w:tcPr>
          <w:p w14:paraId="45F91470" w14:textId="77777777" w:rsidR="00437D3F" w:rsidRPr="00251AD4" w:rsidRDefault="00437D3F" w:rsidP="009F17C8">
            <w:pPr>
              <w:spacing w:beforeLines="50" w:before="180"/>
              <w:jc w:val="center"/>
              <w:rPr>
                <w:kern w:val="2"/>
                <w:lang w:eastAsia="zh-CN"/>
              </w:rPr>
            </w:pPr>
          </w:p>
        </w:tc>
        <w:tc>
          <w:tcPr>
            <w:tcW w:w="1296" w:type="dxa"/>
            <w:vMerge w:val="restart"/>
            <w:shd w:val="clear" w:color="auto" w:fill="D9D9D9"/>
          </w:tcPr>
          <w:p w14:paraId="7F91E433" w14:textId="77777777" w:rsidR="00437D3F" w:rsidRPr="00251AD4" w:rsidRDefault="00437D3F" w:rsidP="009F17C8">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1AEC7EBA" w14:textId="77777777" w:rsidR="00437D3F" w:rsidRPr="00251AD4" w:rsidRDefault="00437D3F" w:rsidP="009F17C8">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7DC66555" w14:textId="77777777" w:rsidR="00437D3F" w:rsidRPr="00251AD4" w:rsidRDefault="00437D3F" w:rsidP="009F17C8">
            <w:pPr>
              <w:spacing w:beforeLines="50" w:before="180"/>
              <w:jc w:val="center"/>
              <w:rPr>
                <w:kern w:val="2"/>
                <w:lang w:eastAsia="zh-CN"/>
              </w:rPr>
            </w:pPr>
            <w:r w:rsidRPr="00251AD4">
              <w:rPr>
                <w:rFonts w:hint="eastAsia"/>
                <w:kern w:val="2"/>
                <w:lang w:eastAsia="zh-CN"/>
              </w:rPr>
              <w:t>C</w:t>
            </w:r>
          </w:p>
        </w:tc>
      </w:tr>
      <w:tr w:rsidR="00437D3F" w:rsidRPr="00251AD4" w14:paraId="575F1C65" w14:textId="77777777" w:rsidTr="009F17C8">
        <w:trPr>
          <w:trHeight w:val="137"/>
          <w:jc w:val="center"/>
        </w:trPr>
        <w:tc>
          <w:tcPr>
            <w:tcW w:w="1681" w:type="dxa"/>
            <w:vMerge/>
            <w:shd w:val="clear" w:color="auto" w:fill="D9D9D9"/>
          </w:tcPr>
          <w:p w14:paraId="575E2983" w14:textId="77777777" w:rsidR="00437D3F" w:rsidRPr="00251AD4" w:rsidRDefault="00437D3F" w:rsidP="009F17C8">
            <w:pPr>
              <w:spacing w:beforeLines="50" w:before="180"/>
              <w:jc w:val="center"/>
              <w:rPr>
                <w:kern w:val="2"/>
                <w:lang w:eastAsia="zh-CN"/>
              </w:rPr>
            </w:pPr>
          </w:p>
        </w:tc>
        <w:tc>
          <w:tcPr>
            <w:tcW w:w="1296" w:type="dxa"/>
            <w:vMerge/>
            <w:shd w:val="clear" w:color="auto" w:fill="D9D9D9"/>
          </w:tcPr>
          <w:p w14:paraId="526B79D4" w14:textId="77777777" w:rsidR="00437D3F" w:rsidRPr="00251AD4" w:rsidRDefault="00437D3F" w:rsidP="009F17C8">
            <w:pPr>
              <w:spacing w:beforeLines="50" w:before="180"/>
              <w:jc w:val="center"/>
              <w:rPr>
                <w:kern w:val="2"/>
                <w:lang w:eastAsia="zh-CN"/>
              </w:rPr>
            </w:pPr>
          </w:p>
        </w:tc>
        <w:tc>
          <w:tcPr>
            <w:tcW w:w="1559" w:type="dxa"/>
            <w:vMerge/>
            <w:shd w:val="clear" w:color="auto" w:fill="D9D9D9"/>
          </w:tcPr>
          <w:p w14:paraId="002DA1CC" w14:textId="77777777" w:rsidR="00437D3F" w:rsidRPr="00251AD4" w:rsidRDefault="00437D3F" w:rsidP="009F17C8">
            <w:pPr>
              <w:spacing w:beforeLines="50" w:before="180"/>
              <w:jc w:val="center"/>
              <w:rPr>
                <w:kern w:val="2"/>
                <w:lang w:eastAsia="zh-CN"/>
              </w:rPr>
            </w:pPr>
          </w:p>
        </w:tc>
        <w:tc>
          <w:tcPr>
            <w:tcW w:w="991" w:type="dxa"/>
            <w:shd w:val="clear" w:color="auto" w:fill="D9D9D9"/>
            <w:vAlign w:val="center"/>
          </w:tcPr>
          <w:p w14:paraId="71A4B22C" w14:textId="77777777" w:rsidR="00437D3F" w:rsidRPr="00251AD4" w:rsidRDefault="00437D3F" w:rsidP="009F17C8">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5654427D" w14:textId="77777777" w:rsidR="00437D3F" w:rsidRPr="00251AD4" w:rsidRDefault="00437D3F" w:rsidP="009F17C8">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79878B0D" w14:textId="77777777" w:rsidR="00437D3F" w:rsidRPr="00B22B61" w:rsidRDefault="00437D3F" w:rsidP="009F17C8">
            <w:pPr>
              <w:spacing w:beforeLines="50" w:before="180"/>
              <w:jc w:val="center"/>
              <w:rPr>
                <w:kern w:val="2"/>
                <w:highlight w:val="yellow"/>
                <w:lang w:eastAsia="zh-CN"/>
              </w:rPr>
            </w:pPr>
            <w:r w:rsidRPr="008C0639">
              <w:rPr>
                <w:rFonts w:ascii="Symbol" w:eastAsia="Malgun Gothic" w:hAnsi="Symbol"/>
                <w:color w:val="000000"/>
              </w:rPr>
              <w:t></w:t>
            </w:r>
            <w:r w:rsidRPr="008C0639">
              <w:rPr>
                <w:rFonts w:eastAsia="Malgun Gothic"/>
                <w:color w:val="000000"/>
              </w:rPr>
              <w:t>=2</w:t>
            </w:r>
          </w:p>
        </w:tc>
        <w:tc>
          <w:tcPr>
            <w:tcW w:w="991" w:type="dxa"/>
            <w:shd w:val="clear" w:color="auto" w:fill="D9D9D9"/>
            <w:vAlign w:val="center"/>
          </w:tcPr>
          <w:p w14:paraId="5FEE632A" w14:textId="77777777" w:rsidR="00437D3F" w:rsidRPr="008C0639" w:rsidRDefault="00437D3F" w:rsidP="009F17C8">
            <w:pPr>
              <w:spacing w:beforeLines="50" w:before="180"/>
              <w:jc w:val="center"/>
              <w:rPr>
                <w:kern w:val="2"/>
                <w:lang w:eastAsia="zh-CN"/>
              </w:rPr>
            </w:pPr>
            <w:r w:rsidRPr="008C0639">
              <w:rPr>
                <w:rFonts w:ascii="Symbol" w:eastAsia="Malgun Gothic" w:hAnsi="Symbol"/>
                <w:color w:val="000000"/>
              </w:rPr>
              <w:t></w:t>
            </w:r>
            <w:r w:rsidRPr="008C0639">
              <w:rPr>
                <w:rFonts w:eastAsia="Malgun Gothic"/>
                <w:color w:val="000000"/>
              </w:rPr>
              <w:t>=3</w:t>
            </w:r>
          </w:p>
        </w:tc>
      </w:tr>
      <w:tr w:rsidR="00437D3F" w:rsidRPr="00251AD4" w14:paraId="161B6253" w14:textId="77777777" w:rsidTr="009F17C8">
        <w:trPr>
          <w:jc w:val="center"/>
        </w:trPr>
        <w:tc>
          <w:tcPr>
            <w:tcW w:w="1681" w:type="dxa"/>
            <w:shd w:val="clear" w:color="auto" w:fill="auto"/>
          </w:tcPr>
          <w:p w14:paraId="76D13C3C" w14:textId="77777777" w:rsidR="00437D3F" w:rsidRPr="00251AD4" w:rsidRDefault="00437D3F" w:rsidP="009F17C8">
            <w:pPr>
              <w:spacing w:beforeLines="50" w:before="180"/>
              <w:jc w:val="center"/>
              <w:rPr>
                <w:kern w:val="2"/>
              </w:rPr>
            </w:pPr>
            <w:r w:rsidRPr="00251AD4">
              <w:rPr>
                <w:kern w:val="2"/>
                <w:lang w:eastAsia="zh-CN"/>
              </w:rPr>
              <w:t>Combination 1</w:t>
            </w:r>
          </w:p>
        </w:tc>
        <w:tc>
          <w:tcPr>
            <w:tcW w:w="1296" w:type="dxa"/>
            <w:shd w:val="clear" w:color="auto" w:fill="auto"/>
          </w:tcPr>
          <w:p w14:paraId="5400B911" w14:textId="77777777" w:rsidR="00437D3F" w:rsidRPr="00251AD4" w:rsidRDefault="00437D3F" w:rsidP="009F17C8">
            <w:pPr>
              <w:spacing w:beforeLines="50" w:before="180"/>
              <w:jc w:val="center"/>
              <w:rPr>
                <w:kern w:val="2"/>
              </w:rPr>
            </w:pPr>
            <w:r>
              <w:rPr>
                <w:rFonts w:hint="eastAsia"/>
                <w:kern w:val="2"/>
              </w:rPr>
              <w:t>2</w:t>
            </w:r>
          </w:p>
        </w:tc>
        <w:tc>
          <w:tcPr>
            <w:tcW w:w="1559" w:type="dxa"/>
            <w:shd w:val="clear" w:color="auto" w:fill="auto"/>
          </w:tcPr>
          <w:p w14:paraId="3AC890FA" w14:textId="77777777" w:rsidR="00437D3F" w:rsidRPr="00251AD4" w:rsidRDefault="00437D3F" w:rsidP="009F17C8">
            <w:pPr>
              <w:spacing w:beforeLines="50" w:before="180"/>
              <w:jc w:val="center"/>
              <w:rPr>
                <w:kern w:val="2"/>
              </w:rPr>
            </w:pPr>
            <w:r>
              <w:rPr>
                <w:rFonts w:hint="eastAsia"/>
                <w:kern w:val="2"/>
              </w:rPr>
              <w:t>2</w:t>
            </w:r>
          </w:p>
        </w:tc>
        <w:tc>
          <w:tcPr>
            <w:tcW w:w="991" w:type="dxa"/>
            <w:shd w:val="clear" w:color="auto" w:fill="auto"/>
          </w:tcPr>
          <w:p w14:paraId="3B6E8B75" w14:textId="3C84BFE0" w:rsidR="00437D3F" w:rsidRPr="008C0639" w:rsidRDefault="006531D4" w:rsidP="009F17C8">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1AE8C9AB" w14:textId="4BC1C8BE" w:rsidR="00437D3F" w:rsidRPr="008C0639" w:rsidRDefault="00437D3F" w:rsidP="009F17C8">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6F8D6781" w14:textId="7C721477" w:rsidR="00437D3F" w:rsidRPr="00B22B61" w:rsidRDefault="00437D3F" w:rsidP="009F17C8">
            <w:pPr>
              <w:spacing w:beforeLines="50" w:before="180"/>
              <w:jc w:val="center"/>
              <w:rPr>
                <w:kern w:val="2"/>
                <w:highlight w:val="yellow"/>
              </w:rPr>
            </w:pPr>
          </w:p>
        </w:tc>
        <w:tc>
          <w:tcPr>
            <w:tcW w:w="991" w:type="dxa"/>
            <w:shd w:val="clear" w:color="auto" w:fill="auto"/>
          </w:tcPr>
          <w:p w14:paraId="1EC8BD85" w14:textId="06B46A34" w:rsidR="00437D3F" w:rsidRPr="008C0639" w:rsidRDefault="00437D3F" w:rsidP="009F17C8">
            <w:pPr>
              <w:spacing w:beforeLines="50" w:before="180"/>
              <w:jc w:val="center"/>
              <w:rPr>
                <w:kern w:val="2"/>
              </w:rPr>
            </w:pPr>
          </w:p>
        </w:tc>
      </w:tr>
      <w:tr w:rsidR="00437D3F" w:rsidRPr="00251AD4" w14:paraId="53D4F29C" w14:textId="77777777" w:rsidTr="009F17C8">
        <w:trPr>
          <w:jc w:val="center"/>
        </w:trPr>
        <w:tc>
          <w:tcPr>
            <w:tcW w:w="1681" w:type="dxa"/>
            <w:shd w:val="clear" w:color="auto" w:fill="auto"/>
          </w:tcPr>
          <w:p w14:paraId="3397B6D0" w14:textId="77777777" w:rsidR="00437D3F" w:rsidRPr="00251AD4" w:rsidRDefault="00437D3F" w:rsidP="009F17C8">
            <w:pPr>
              <w:spacing w:beforeLines="50" w:before="180"/>
              <w:jc w:val="center"/>
              <w:rPr>
                <w:kern w:val="2"/>
                <w:lang w:eastAsia="zh-CN"/>
              </w:rPr>
            </w:pPr>
            <w:r w:rsidRPr="00251AD4">
              <w:rPr>
                <w:kern w:val="2"/>
                <w:lang w:eastAsia="zh-CN"/>
              </w:rPr>
              <w:t>Combination 2</w:t>
            </w:r>
          </w:p>
        </w:tc>
        <w:tc>
          <w:tcPr>
            <w:tcW w:w="1296" w:type="dxa"/>
            <w:shd w:val="clear" w:color="auto" w:fill="auto"/>
          </w:tcPr>
          <w:p w14:paraId="5E4D06ED" w14:textId="77777777" w:rsidR="00437D3F" w:rsidRPr="00251AD4" w:rsidRDefault="00437D3F" w:rsidP="009F17C8">
            <w:pPr>
              <w:spacing w:beforeLines="50" w:before="180"/>
              <w:jc w:val="center"/>
              <w:rPr>
                <w:kern w:val="2"/>
              </w:rPr>
            </w:pPr>
            <w:r>
              <w:rPr>
                <w:rFonts w:hint="eastAsia"/>
                <w:kern w:val="2"/>
              </w:rPr>
              <w:t>4</w:t>
            </w:r>
          </w:p>
        </w:tc>
        <w:tc>
          <w:tcPr>
            <w:tcW w:w="1559" w:type="dxa"/>
            <w:shd w:val="clear" w:color="auto" w:fill="auto"/>
          </w:tcPr>
          <w:p w14:paraId="4C0FA93C" w14:textId="77777777" w:rsidR="00437D3F" w:rsidRPr="00251AD4" w:rsidRDefault="00437D3F" w:rsidP="009F17C8">
            <w:pPr>
              <w:spacing w:beforeLines="50" w:before="180"/>
              <w:jc w:val="center"/>
              <w:rPr>
                <w:kern w:val="2"/>
              </w:rPr>
            </w:pPr>
            <w:r>
              <w:rPr>
                <w:rFonts w:hint="eastAsia"/>
                <w:kern w:val="2"/>
              </w:rPr>
              <w:t>3</w:t>
            </w:r>
          </w:p>
        </w:tc>
        <w:tc>
          <w:tcPr>
            <w:tcW w:w="991" w:type="dxa"/>
            <w:shd w:val="clear" w:color="auto" w:fill="auto"/>
          </w:tcPr>
          <w:p w14:paraId="0FDC354C" w14:textId="77777777" w:rsidR="00437D3F" w:rsidRPr="00251AD4" w:rsidRDefault="00437D3F" w:rsidP="009F17C8">
            <w:pPr>
              <w:spacing w:beforeLines="50" w:before="180"/>
              <w:jc w:val="center"/>
              <w:rPr>
                <w:kern w:val="2"/>
              </w:rPr>
            </w:pPr>
            <w:r>
              <w:rPr>
                <w:rFonts w:hint="eastAsia"/>
                <w:kern w:val="2"/>
              </w:rPr>
              <w:t>3</w:t>
            </w:r>
            <w:r>
              <w:rPr>
                <w:kern w:val="2"/>
              </w:rPr>
              <w:t>6</w:t>
            </w:r>
          </w:p>
        </w:tc>
        <w:tc>
          <w:tcPr>
            <w:tcW w:w="991" w:type="dxa"/>
            <w:shd w:val="clear" w:color="auto" w:fill="auto"/>
          </w:tcPr>
          <w:p w14:paraId="0DF55790" w14:textId="77777777" w:rsidR="00437D3F" w:rsidRPr="00251AD4" w:rsidRDefault="00437D3F" w:rsidP="009F17C8">
            <w:pPr>
              <w:spacing w:beforeLines="50" w:before="180"/>
              <w:jc w:val="center"/>
              <w:rPr>
                <w:kern w:val="2"/>
              </w:rPr>
            </w:pPr>
            <w:r>
              <w:rPr>
                <w:rFonts w:hint="eastAsia"/>
                <w:kern w:val="2"/>
              </w:rPr>
              <w:t>3</w:t>
            </w:r>
            <w:r>
              <w:rPr>
                <w:kern w:val="2"/>
              </w:rPr>
              <w:t>6</w:t>
            </w:r>
          </w:p>
        </w:tc>
        <w:tc>
          <w:tcPr>
            <w:tcW w:w="991" w:type="dxa"/>
            <w:shd w:val="clear" w:color="auto" w:fill="auto"/>
          </w:tcPr>
          <w:p w14:paraId="182CF692" w14:textId="77777777" w:rsidR="00437D3F" w:rsidRPr="008C0639" w:rsidRDefault="00437D3F" w:rsidP="009F17C8">
            <w:pPr>
              <w:spacing w:beforeLines="50" w:before="180"/>
              <w:jc w:val="center"/>
              <w:rPr>
                <w:kern w:val="2"/>
              </w:rPr>
            </w:pPr>
            <w:r w:rsidRPr="008C0639">
              <w:rPr>
                <w:rFonts w:hint="eastAsia"/>
                <w:kern w:val="2"/>
              </w:rPr>
              <w:t>3</w:t>
            </w:r>
            <w:r w:rsidRPr="008C0639">
              <w:rPr>
                <w:kern w:val="2"/>
              </w:rPr>
              <w:t>2</w:t>
            </w:r>
          </w:p>
        </w:tc>
        <w:tc>
          <w:tcPr>
            <w:tcW w:w="991" w:type="dxa"/>
            <w:shd w:val="clear" w:color="auto" w:fill="auto"/>
          </w:tcPr>
          <w:p w14:paraId="0FFC0EEA" w14:textId="0C1F2324" w:rsidR="00437D3F" w:rsidRPr="008C0639" w:rsidRDefault="00437D3F" w:rsidP="009F17C8">
            <w:pPr>
              <w:spacing w:beforeLines="50" w:before="180"/>
              <w:jc w:val="center"/>
              <w:rPr>
                <w:kern w:val="2"/>
              </w:rPr>
            </w:pPr>
          </w:p>
        </w:tc>
      </w:tr>
      <w:tr w:rsidR="00437D3F" w:rsidRPr="00251AD4" w14:paraId="6A77860C" w14:textId="77777777" w:rsidTr="009F17C8">
        <w:trPr>
          <w:jc w:val="center"/>
        </w:trPr>
        <w:tc>
          <w:tcPr>
            <w:tcW w:w="1681" w:type="dxa"/>
            <w:shd w:val="clear" w:color="auto" w:fill="auto"/>
          </w:tcPr>
          <w:p w14:paraId="2B6C2F14" w14:textId="77777777" w:rsidR="00437D3F" w:rsidRPr="00251AD4" w:rsidRDefault="00437D3F" w:rsidP="009F17C8">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7056D506" w14:textId="77777777" w:rsidR="00437D3F" w:rsidRPr="00251AD4" w:rsidRDefault="00437D3F" w:rsidP="009F17C8">
            <w:pPr>
              <w:spacing w:beforeLines="50" w:before="180"/>
              <w:jc w:val="center"/>
              <w:rPr>
                <w:kern w:val="2"/>
              </w:rPr>
            </w:pPr>
            <w:r>
              <w:rPr>
                <w:rFonts w:hint="eastAsia"/>
                <w:kern w:val="2"/>
              </w:rPr>
              <w:t>7</w:t>
            </w:r>
          </w:p>
        </w:tc>
        <w:tc>
          <w:tcPr>
            <w:tcW w:w="1559" w:type="dxa"/>
            <w:shd w:val="clear" w:color="auto" w:fill="auto"/>
          </w:tcPr>
          <w:p w14:paraId="4E374150" w14:textId="77777777" w:rsidR="00437D3F" w:rsidRPr="00251AD4" w:rsidRDefault="00437D3F" w:rsidP="009F17C8">
            <w:pPr>
              <w:spacing w:beforeLines="50" w:before="180"/>
              <w:jc w:val="center"/>
              <w:rPr>
                <w:kern w:val="2"/>
              </w:rPr>
            </w:pPr>
            <w:r>
              <w:rPr>
                <w:rFonts w:hint="eastAsia"/>
                <w:kern w:val="2"/>
              </w:rPr>
              <w:t>3</w:t>
            </w:r>
          </w:p>
        </w:tc>
        <w:tc>
          <w:tcPr>
            <w:tcW w:w="991" w:type="dxa"/>
            <w:shd w:val="clear" w:color="auto" w:fill="auto"/>
          </w:tcPr>
          <w:p w14:paraId="38D176E6" w14:textId="77777777" w:rsidR="00437D3F" w:rsidRPr="00251AD4" w:rsidRDefault="00437D3F" w:rsidP="009F17C8">
            <w:pPr>
              <w:spacing w:beforeLines="50" w:before="180"/>
              <w:jc w:val="center"/>
              <w:rPr>
                <w:kern w:val="2"/>
              </w:rPr>
            </w:pPr>
            <w:r>
              <w:rPr>
                <w:rFonts w:hint="eastAsia"/>
                <w:kern w:val="2"/>
              </w:rPr>
              <w:t>5</w:t>
            </w:r>
            <w:r>
              <w:rPr>
                <w:kern w:val="2"/>
              </w:rPr>
              <w:t>6</w:t>
            </w:r>
          </w:p>
        </w:tc>
        <w:tc>
          <w:tcPr>
            <w:tcW w:w="991" w:type="dxa"/>
            <w:shd w:val="clear" w:color="auto" w:fill="auto"/>
          </w:tcPr>
          <w:p w14:paraId="56CB316A" w14:textId="77777777" w:rsidR="00437D3F" w:rsidRPr="00251AD4" w:rsidRDefault="00437D3F" w:rsidP="009F17C8">
            <w:pPr>
              <w:spacing w:beforeLines="50" w:before="180"/>
              <w:jc w:val="center"/>
              <w:rPr>
                <w:kern w:val="2"/>
              </w:rPr>
            </w:pPr>
            <w:r>
              <w:rPr>
                <w:rFonts w:hint="eastAsia"/>
                <w:kern w:val="2"/>
              </w:rPr>
              <w:t>5</w:t>
            </w:r>
            <w:r>
              <w:rPr>
                <w:kern w:val="2"/>
              </w:rPr>
              <w:t>6</w:t>
            </w:r>
          </w:p>
        </w:tc>
        <w:tc>
          <w:tcPr>
            <w:tcW w:w="991" w:type="dxa"/>
            <w:shd w:val="clear" w:color="auto" w:fill="auto"/>
          </w:tcPr>
          <w:p w14:paraId="4C33A3DF" w14:textId="77777777" w:rsidR="00437D3F" w:rsidRPr="008C0639" w:rsidRDefault="00437D3F" w:rsidP="009F17C8">
            <w:pPr>
              <w:spacing w:beforeLines="50" w:before="180"/>
              <w:jc w:val="center"/>
              <w:rPr>
                <w:kern w:val="2"/>
              </w:rPr>
            </w:pPr>
            <w:r w:rsidRPr="008C0639">
              <w:rPr>
                <w:rFonts w:hint="eastAsia"/>
                <w:kern w:val="2"/>
              </w:rPr>
              <w:t>4</w:t>
            </w:r>
            <w:r w:rsidRPr="008C0639">
              <w:rPr>
                <w:kern w:val="2"/>
              </w:rPr>
              <w:t>8</w:t>
            </w:r>
          </w:p>
        </w:tc>
        <w:tc>
          <w:tcPr>
            <w:tcW w:w="991" w:type="dxa"/>
            <w:shd w:val="clear" w:color="auto" w:fill="auto"/>
          </w:tcPr>
          <w:p w14:paraId="74227F38" w14:textId="1D1914AC" w:rsidR="00437D3F" w:rsidRPr="008C0639" w:rsidRDefault="00437D3F" w:rsidP="009F17C8">
            <w:pPr>
              <w:spacing w:beforeLines="50" w:before="180"/>
              <w:jc w:val="center"/>
              <w:rPr>
                <w:kern w:val="2"/>
              </w:rPr>
            </w:pPr>
          </w:p>
        </w:tc>
      </w:tr>
    </w:tbl>
    <w:p w14:paraId="6CB6EFDA" w14:textId="466FEB5D" w:rsidR="00437D3F" w:rsidRDefault="00437D3F" w:rsidP="00437D3F">
      <w:pPr>
        <w:snapToGrid/>
        <w:spacing w:after="0" w:afterAutospacing="0"/>
        <w:jc w:val="left"/>
        <w:rPr>
          <w:rFonts w:ascii="Times" w:eastAsia="Batang" w:hAnsi="Times"/>
          <w:sz w:val="20"/>
          <w:highlight w:val="green"/>
          <w:lang w:eastAsia="en-US"/>
        </w:rPr>
      </w:pPr>
    </w:p>
    <w:p w14:paraId="411C672C" w14:textId="205D67AE" w:rsidR="00437D3F" w:rsidRPr="008C0639" w:rsidRDefault="008C0639" w:rsidP="008C0639">
      <w:pPr>
        <w:pStyle w:val="30"/>
        <w:rPr>
          <w:lang w:val="en-US"/>
        </w:rPr>
      </w:pPr>
      <w:r>
        <w:rPr>
          <w:lang w:val="en-US"/>
        </w:rPr>
        <w:t>PDCCH candidate counting</w:t>
      </w:r>
      <w:r w:rsidR="00E47E73">
        <w:rPr>
          <w:lang w:val="en-US"/>
        </w:rPr>
        <w:t>/dropping rule</w:t>
      </w:r>
    </w:p>
    <w:p w14:paraId="2FE639B1" w14:textId="34EE9BA6" w:rsidR="00AE7DA3" w:rsidRPr="00533D52" w:rsidRDefault="00AE7DA3" w:rsidP="00AE7DA3">
      <w:pPr>
        <w:rPr>
          <w:b/>
          <w:u w:val="single"/>
        </w:rPr>
      </w:pPr>
      <w:r>
        <w:rPr>
          <w:b/>
          <w:u w:val="single"/>
        </w:rPr>
        <w:t xml:space="preserve">PDCCH candidate </w:t>
      </w:r>
      <w:r w:rsidR="00C9033A">
        <w:rPr>
          <w:b/>
          <w:u w:val="single"/>
        </w:rPr>
        <w:t>counting for URLLC</w:t>
      </w:r>
      <w:r>
        <w:rPr>
          <w:b/>
          <w:u w:val="single"/>
        </w:rPr>
        <w:t xml:space="preserve"> </w:t>
      </w:r>
    </w:p>
    <w:p w14:paraId="1A944A50" w14:textId="2C92DDB8" w:rsidR="00125B07" w:rsidRDefault="00AE7DA3" w:rsidP="002203E0">
      <w:r>
        <w:t xml:space="preserve">In Rel-15, </w:t>
      </w:r>
      <w:r w:rsidR="00E47E73">
        <w:t xml:space="preserve">both </w:t>
      </w:r>
      <w:r>
        <w:t>PDCCH candidates/non-overlapping CCEs counting rules are based on slot-level</w:t>
      </w:r>
      <w:r w:rsidR="00E47E73">
        <w:t>, while t</w:t>
      </w:r>
      <w:r>
        <w:t xml:space="preserve">he PDCCH candidates dropping is </w:t>
      </w:r>
      <w:r w:rsidR="00E47E73">
        <w:t>performed</w:t>
      </w:r>
      <w:r>
        <w:t xml:space="preserve"> </w:t>
      </w:r>
      <w:r w:rsidR="00E47E73">
        <w:t xml:space="preserve">per slot if </w:t>
      </w:r>
      <w:r w:rsidR="00C9033A">
        <w:t xml:space="preserve">PDCCH </w:t>
      </w:r>
      <w:r w:rsidR="00E47E73">
        <w:t>overbooking occurs. On the other hand, the maximum number of non-overlapping CCEs is defined per span for the Rel-16 increased PDCCH monitoring capability.</w:t>
      </w:r>
      <w:r>
        <w:t xml:space="preserve"> </w:t>
      </w:r>
      <w:r w:rsidR="002203E0">
        <w:t xml:space="preserve">It should be noted that the number of the non-overlapping CCEs are required by </w:t>
      </w:r>
      <w:r w:rsidR="00C9033A">
        <w:t>related</w:t>
      </w:r>
      <w:r w:rsidR="002203E0">
        <w:t xml:space="preserve"> monitored PDCCH candidates.</w:t>
      </w:r>
      <w:r w:rsidR="002203E0">
        <w:rPr>
          <w:rFonts w:hint="eastAsia"/>
        </w:rPr>
        <w:t xml:space="preserve"> </w:t>
      </w:r>
      <w:r w:rsidR="00E47E73">
        <w:t>Thus</w:t>
      </w:r>
      <w:r w:rsidR="002203E0">
        <w:t>,</w:t>
      </w:r>
      <w:r w:rsidR="00E47E73">
        <w:t xml:space="preserve"> </w:t>
      </w:r>
      <w:r w:rsidR="002203E0">
        <w:t xml:space="preserve">reusing the Rel-15 PDCCH candidates counting/dropping design </w:t>
      </w:r>
      <w:r w:rsidR="00E47E73">
        <w:t xml:space="preserve">seems </w:t>
      </w:r>
      <w:r w:rsidR="002203E0">
        <w:t xml:space="preserve">to be not practicable. </w:t>
      </w:r>
      <w:r w:rsidR="00E47E73">
        <w:t>Additionally, if we reuse Rel-15 BD limit and PDCCH candidates dropping by slot level, UE may lose the frequent opportunity for monitoring PDCCH, which cause the latency extension.</w:t>
      </w:r>
      <w:r w:rsidR="00E47E73">
        <w:rPr>
          <w:rFonts w:hint="eastAsia"/>
        </w:rPr>
        <w:t xml:space="preserve"> </w:t>
      </w:r>
      <w:r w:rsidR="002203E0">
        <w:t xml:space="preserve">It is therefore reasonable that the </w:t>
      </w:r>
      <w:r w:rsidR="002203E0">
        <w:rPr>
          <w:bCs/>
        </w:rPr>
        <w:t>PDCCH candidates counting/dropping for Rel-16 eURLLC can be performed per PDCCH monitoring span</w:t>
      </w:r>
      <w:r w:rsidR="00E47E73">
        <w:t xml:space="preserve"> accordingly. </w:t>
      </w:r>
    </w:p>
    <w:p w14:paraId="6ACE3F61" w14:textId="7347B862" w:rsidR="00AE7DA3" w:rsidRDefault="00AE7DA3" w:rsidP="00AE7DA3">
      <w:r w:rsidRPr="00C9033A">
        <w:rPr>
          <w:b/>
          <w:bCs/>
          <w:u w:val="single"/>
        </w:rPr>
        <w:t xml:space="preserve">Proposal </w:t>
      </w:r>
      <w:r w:rsidR="000F2C64">
        <w:rPr>
          <w:b/>
          <w:bCs/>
          <w:u w:val="single"/>
        </w:rPr>
        <w:t>7</w:t>
      </w:r>
      <w:r w:rsidRPr="00C9033A">
        <w:rPr>
          <w:b/>
          <w:bCs/>
          <w:u w:val="single"/>
        </w:rPr>
        <w:t>:</w:t>
      </w:r>
      <w:r w:rsidRPr="008C129B">
        <w:rPr>
          <w:b/>
          <w:bCs/>
        </w:rPr>
        <w:t xml:space="preserve"> </w:t>
      </w:r>
      <w:r>
        <w:rPr>
          <w:bCs/>
        </w:rPr>
        <w:t xml:space="preserve">In Rel-16 eURLLC, apply the BD limit to each PDCCH monitoring span. The PDCCH candidates </w:t>
      </w:r>
      <w:r w:rsidR="00E47E73">
        <w:rPr>
          <w:bCs/>
        </w:rPr>
        <w:t>counting/</w:t>
      </w:r>
      <w:r>
        <w:rPr>
          <w:bCs/>
        </w:rPr>
        <w:t xml:space="preserve">dropping for Rel-16 eURLLC can be performed </w:t>
      </w:r>
      <w:r w:rsidR="00E47E73">
        <w:rPr>
          <w:bCs/>
        </w:rPr>
        <w:t xml:space="preserve">per </w:t>
      </w:r>
      <w:r>
        <w:rPr>
          <w:bCs/>
        </w:rPr>
        <w:t>PDCCH monitoring span.</w:t>
      </w:r>
      <w:r w:rsidRPr="007F14C1">
        <w:t xml:space="preserve"> </w:t>
      </w:r>
    </w:p>
    <w:p w14:paraId="05625298" w14:textId="44DD4581" w:rsidR="00AE7DA3" w:rsidRPr="00CB0990" w:rsidRDefault="00AE7DA3" w:rsidP="00AE7DA3">
      <w:r>
        <w:t xml:space="preserve">Regarding the BD limit per span, it seems straightforward to equally distribute the maximum BD number per slot into each span. However, </w:t>
      </w:r>
      <w:r w:rsidR="002203E0">
        <w:t>s</w:t>
      </w:r>
      <w:r>
        <w:t xml:space="preserve">ome span </w:t>
      </w:r>
      <w:r w:rsidR="002203E0">
        <w:t>may</w:t>
      </w:r>
      <w:r>
        <w:t xml:space="preserve"> cover the CSS and USS</w:t>
      </w:r>
      <w:r w:rsidR="002203E0">
        <w:t>, while s</w:t>
      </w:r>
      <w:r>
        <w:t xml:space="preserve">ome span may only cover the USS. Those spans covering the CSS and USS would require more BD numbers. In Rel-15, the BD number configured for CSS should be guaranteed and the remaining BD number are used to determine the PDCCH dropping rules for USS. Same principle can be considered to use for Rel-16. That is, in Rel-16, the PDCCH candidates configured for CSS sets should be also expected to not exceed the BD limit for a slot. For a slot, the remaining number of PDCCH candidates (BD limit per slot – BD numbers configured for CSS set in the slot) can be equally distributed to the spans. </w:t>
      </w:r>
      <w:r>
        <w:rPr>
          <w:rFonts w:hint="eastAsia"/>
        </w:rPr>
        <w:t>T</w:t>
      </w:r>
      <w:r>
        <w:t xml:space="preserve">hough this principle, UE can have at least </w:t>
      </w:r>
      <w:r w:rsidR="002203E0">
        <w:t>some</w:t>
      </w:r>
      <w:r>
        <w:t xml:space="preserve"> opportunit</w:t>
      </w:r>
      <w:r w:rsidR="002203E0">
        <w:t>ies</w:t>
      </w:r>
      <w:r>
        <w:t xml:space="preserve"> on each span </w:t>
      </w:r>
      <w:r w:rsidR="002203E0">
        <w:t>to monitor</w:t>
      </w:r>
      <w:r>
        <w:t xml:space="preserve"> the </w:t>
      </w:r>
      <w:r w:rsidR="002203E0">
        <w:t xml:space="preserve">URLLC </w:t>
      </w:r>
      <w:r>
        <w:t xml:space="preserve">PDCCH candidates </w:t>
      </w:r>
      <w:r w:rsidR="002203E0">
        <w:t>in</w:t>
      </w:r>
      <w:r>
        <w:t xml:space="preserve"> USS. The BD number limit for span covering the CSS and USS corresponds to the addition of the BD number for CSS and the distributed remaining number. The BD number limit for span only covering the USS correspond to distributed remaining number.  </w:t>
      </w:r>
    </w:p>
    <w:p w14:paraId="3A9B2A0F" w14:textId="217975E6" w:rsidR="00AE7DA3" w:rsidRDefault="00AE7DA3" w:rsidP="00AE7DA3">
      <w:r w:rsidRPr="00C9033A">
        <w:rPr>
          <w:b/>
          <w:bCs/>
          <w:u w:val="single"/>
        </w:rPr>
        <w:t xml:space="preserve">Proposal </w:t>
      </w:r>
      <w:r w:rsidR="000F2C64">
        <w:rPr>
          <w:b/>
          <w:bCs/>
          <w:u w:val="single"/>
        </w:rPr>
        <w:t>8</w:t>
      </w:r>
      <w:r w:rsidRPr="00C9033A">
        <w:rPr>
          <w:b/>
          <w:bCs/>
          <w:u w:val="single"/>
        </w:rPr>
        <w:t>:</w:t>
      </w:r>
      <w:r w:rsidRPr="008C129B">
        <w:rPr>
          <w:b/>
          <w:bCs/>
        </w:rPr>
        <w:t xml:space="preserve"> </w:t>
      </w:r>
      <w:r w:rsidRPr="00552692">
        <w:rPr>
          <w:bCs/>
        </w:rPr>
        <w:t xml:space="preserve">The </w:t>
      </w:r>
      <w:r>
        <w:rPr>
          <w:bCs/>
        </w:rPr>
        <w:t xml:space="preserve">BD </w:t>
      </w:r>
      <w:r w:rsidRPr="00552692">
        <w:rPr>
          <w:bCs/>
        </w:rPr>
        <w:t xml:space="preserve">limit per PDCCH monitoring span </w:t>
      </w:r>
      <w:r>
        <w:rPr>
          <w:bCs/>
        </w:rPr>
        <w:t>can be</w:t>
      </w:r>
      <w:r w:rsidRPr="00552692">
        <w:rPr>
          <w:bCs/>
        </w:rPr>
        <w:t xml:space="preserve"> </w:t>
      </w:r>
      <w:r>
        <w:rPr>
          <w:bCs/>
        </w:rPr>
        <w:t>different</w:t>
      </w:r>
      <w:r w:rsidRPr="00552692">
        <w:rPr>
          <w:bCs/>
        </w:rPr>
        <w:t xml:space="preserve"> across spans within a slot</w:t>
      </w:r>
      <w:r>
        <w:rPr>
          <w:bCs/>
        </w:rPr>
        <w:t xml:space="preserve"> </w:t>
      </w:r>
      <w:r w:rsidR="00C9033A">
        <w:rPr>
          <w:bCs/>
        </w:rPr>
        <w:t>to keep monitoring opportunity per span for URLLC PDCCH</w:t>
      </w:r>
      <w:r>
        <w:rPr>
          <w:bCs/>
        </w:rPr>
        <w:t>.</w:t>
      </w:r>
    </w:p>
    <w:p w14:paraId="6DA95FA2" w14:textId="77777777" w:rsidR="00AE7DA3" w:rsidRDefault="00AE7DA3" w:rsidP="00AE7DA3">
      <w:pPr>
        <w:rPr>
          <w:b/>
          <w:bCs/>
          <w:u w:val="single"/>
        </w:rPr>
      </w:pPr>
      <w:r>
        <w:rPr>
          <w:b/>
          <w:bCs/>
          <w:u w:val="single"/>
        </w:rPr>
        <w:t>Partial dropping of PDCCH candidate in a search space set</w:t>
      </w:r>
    </w:p>
    <w:p w14:paraId="15C6B00F" w14:textId="4BACBA6B" w:rsidR="00AE7DA3" w:rsidRDefault="00AE7DA3" w:rsidP="00AE7DA3">
      <w:r>
        <w:lastRenderedPageBreak/>
        <w:t>Some views as summarised in [</w:t>
      </w:r>
      <w:r w:rsidR="00B21035">
        <w:t>6</w:t>
      </w:r>
      <w:r>
        <w:t>] also raised that the current Rel-15 PDCCH candidate dropping based on the whole search space set is not beneficial for Rel-16 URLLC. If the PDCCH candidate dropping can be performed based on some smaller granularities</w:t>
      </w:r>
      <w:r w:rsidR="000C637C">
        <w:t xml:space="preserve"> (e.g. aggregation level)</w:t>
      </w:r>
      <w:r>
        <w:t xml:space="preserve"> but not the whole search space set, UE can have more opportunities to detect the Rel-16 URLLC PDCCH.</w:t>
      </w:r>
    </w:p>
    <w:p w14:paraId="30F6B547" w14:textId="3C7867C0" w:rsidR="00331DEA" w:rsidRPr="00394E81" w:rsidRDefault="00AE7DA3" w:rsidP="00616450">
      <w:pPr>
        <w:rPr>
          <w:b/>
          <w:bCs/>
          <w:u w:val="single"/>
        </w:rPr>
      </w:pPr>
      <w:r w:rsidRPr="00C9033A">
        <w:rPr>
          <w:b/>
          <w:bCs/>
          <w:u w:val="single"/>
        </w:rPr>
        <w:t xml:space="preserve">Proposal </w:t>
      </w:r>
      <w:r w:rsidR="000F2C64">
        <w:rPr>
          <w:b/>
          <w:bCs/>
          <w:u w:val="single"/>
        </w:rPr>
        <w:t>9</w:t>
      </w:r>
      <w:r w:rsidRPr="00C9033A">
        <w:rPr>
          <w:b/>
          <w:bCs/>
          <w:u w:val="single"/>
        </w:rPr>
        <w:t>:</w:t>
      </w:r>
      <w:r>
        <w:rPr>
          <w:b/>
          <w:bCs/>
          <w:u w:val="single"/>
        </w:rPr>
        <w:t xml:space="preserve"> </w:t>
      </w:r>
      <w:r w:rsidRPr="004B22B1">
        <w:rPr>
          <w:bCs/>
        </w:rPr>
        <w:t xml:space="preserve">PDCCH </w:t>
      </w:r>
      <w:r>
        <w:rPr>
          <w:bCs/>
        </w:rPr>
        <w:t xml:space="preserve">candidate dropping </w:t>
      </w:r>
      <w:r w:rsidR="000C637C">
        <w:rPr>
          <w:bCs/>
        </w:rPr>
        <w:t xml:space="preserve">for Rel-16 </w:t>
      </w:r>
      <w:r w:rsidR="00C9033A">
        <w:rPr>
          <w:bCs/>
        </w:rPr>
        <w:t xml:space="preserve">URLLC </w:t>
      </w:r>
      <w:r>
        <w:rPr>
          <w:bCs/>
        </w:rPr>
        <w:t xml:space="preserve">can be performed </w:t>
      </w:r>
      <w:r w:rsidR="000C637C">
        <w:rPr>
          <w:bCs/>
        </w:rPr>
        <w:t xml:space="preserve">in terms of </w:t>
      </w:r>
      <w:r>
        <w:rPr>
          <w:bCs/>
        </w:rPr>
        <w:t>aggregation level.</w:t>
      </w:r>
      <w:r>
        <w:rPr>
          <w:rFonts w:hint="eastAsia"/>
          <w:bCs/>
        </w:rPr>
        <w:t xml:space="preserve">　</w:t>
      </w:r>
    </w:p>
    <w:p w14:paraId="15D476DD" w14:textId="77777777" w:rsidR="00BA5AE1" w:rsidRPr="0014090F" w:rsidRDefault="00BA5AE1" w:rsidP="00332CF5">
      <w:pPr>
        <w:pStyle w:val="10"/>
        <w:spacing w:after="180"/>
        <w:rPr>
          <w:lang w:val="en-US"/>
        </w:rPr>
      </w:pPr>
      <w:r w:rsidRPr="0014090F">
        <w:rPr>
          <w:lang w:val="en-US"/>
        </w:rPr>
        <w:t>Conclusion</w:t>
      </w:r>
    </w:p>
    <w:p w14:paraId="33C957BF" w14:textId="13781BB9"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33CA8510" w14:textId="77777777" w:rsidR="00B667EA" w:rsidRDefault="00B667EA" w:rsidP="00B667EA">
      <w:pPr>
        <w:spacing w:before="240" w:after="240" w:afterAutospacing="0"/>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Pr="001165B7">
        <w:rPr>
          <w:lang w:val="en-US"/>
        </w:rPr>
        <w:t>When the RRC parameter enables the utilization of the new reference,</w:t>
      </w:r>
      <w:r>
        <w:rPr>
          <w:lang w:val="en-US"/>
        </w:rPr>
        <w:t xml:space="preserve"> support other entries with K0&gt;0 to be included in the same TDRA table and the reference for these entries with K0&gt;0 is slot boundary as in Rel-15</w:t>
      </w:r>
      <w:r>
        <w:t>.</w:t>
      </w:r>
    </w:p>
    <w:p w14:paraId="19464A7C" w14:textId="77777777" w:rsidR="00B667EA" w:rsidRDefault="00B667EA" w:rsidP="00B667EA">
      <w:pPr>
        <w:spacing w:before="240" w:after="240" w:afterAutospacing="0"/>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B22691">
        <w:rPr>
          <w:rFonts w:eastAsia="ＭＳ 明朝"/>
        </w:rPr>
        <w:t xml:space="preserve">Support </w:t>
      </w:r>
      <w:r>
        <w:rPr>
          <w:rFonts w:eastAsia="ＭＳ 明朝"/>
        </w:rPr>
        <w:t>configurable size for “</w:t>
      </w:r>
      <w:r w:rsidRPr="002625EB">
        <w:t>Modulation and coding scheme</w:t>
      </w:r>
      <w:r>
        <w:rPr>
          <w:rFonts w:eastAsia="ＭＳ 明朝"/>
        </w:rPr>
        <w:t>”</w:t>
      </w:r>
      <w:r>
        <w:t xml:space="preserve"> field for DCI formats 1_2/0_2.</w:t>
      </w:r>
    </w:p>
    <w:p w14:paraId="0F059114" w14:textId="77777777" w:rsidR="00B667EA" w:rsidRPr="00B80DDE" w:rsidRDefault="00B667EA" w:rsidP="00B667EA">
      <w:pPr>
        <w:spacing w:before="240" w:after="240" w:afterAutospacing="0"/>
        <w:rPr>
          <w:rFonts w:eastAsia="ＭＳ 明朝"/>
          <w:kern w:val="2"/>
        </w:rPr>
      </w:pPr>
      <w:r w:rsidRPr="00B667EA">
        <w:rPr>
          <w:b/>
          <w:bCs/>
          <w:u w:val="single"/>
        </w:rPr>
        <w:t>Observation 1:</w:t>
      </w:r>
      <w:r w:rsidRPr="00B667EA">
        <w:rPr>
          <w:b/>
          <w:bCs/>
        </w:rPr>
        <w:t xml:space="preserve"> </w:t>
      </w:r>
      <w:r w:rsidRPr="00B667EA">
        <w:rPr>
          <w:rFonts w:eastAsia="ＭＳ 明朝"/>
          <w:kern w:val="2"/>
        </w:rPr>
        <w:t xml:space="preserve">(i)Some Rel-16 URLLC UEs may be configured with the combination of Rel-15 </w:t>
      </w:r>
      <w:r w:rsidRPr="00B667EA">
        <w:rPr>
          <w:lang w:val="en-US"/>
        </w:rPr>
        <w:t>fallback</w:t>
      </w:r>
      <w:r w:rsidRPr="00B667EA">
        <w:rPr>
          <w:rFonts w:eastAsia="ＭＳ 明朝"/>
          <w:kern w:val="2"/>
        </w:rPr>
        <w:t xml:space="preserve"> DCI formats and Rel-15 </w:t>
      </w:r>
      <w:r w:rsidRPr="00B667EA">
        <w:rPr>
          <w:lang w:val="en-US"/>
        </w:rPr>
        <w:t>non-fallback</w:t>
      </w:r>
      <w:r w:rsidRPr="00B667EA">
        <w:rPr>
          <w:rFonts w:eastAsia="ＭＳ 明朝"/>
          <w:kern w:val="2"/>
        </w:rPr>
        <w:t xml:space="preserve"> DCI formats to be monitored; (ii)Some Rel-16 URLLC UEs may be configured with the combination of the Rel-15 </w:t>
      </w:r>
      <w:r w:rsidRPr="00B667EA">
        <w:rPr>
          <w:lang w:val="en-US"/>
        </w:rPr>
        <w:t>fallback</w:t>
      </w:r>
      <w:r w:rsidRPr="00B667EA">
        <w:rPr>
          <w:rFonts w:eastAsia="ＭＳ 明朝"/>
          <w:kern w:val="2"/>
        </w:rPr>
        <w:t xml:space="preserve"> DCI formats and </w:t>
      </w:r>
      <w:r w:rsidRPr="00B667EA">
        <w:rPr>
          <w:lang w:val="en-US"/>
        </w:rPr>
        <w:t xml:space="preserve">Rel-16 </w:t>
      </w:r>
      <w:r w:rsidRPr="00B667EA">
        <w:rPr>
          <w:rFonts w:eastAsia="ＭＳ 明朝"/>
          <w:kern w:val="2"/>
        </w:rPr>
        <w:t xml:space="preserve">DCI formats 1_2/0_2 to be monitored; (iii)some Rel-16 URLLC UEs may be configured with the combination of Rel-15 </w:t>
      </w:r>
      <w:r w:rsidRPr="00B667EA">
        <w:rPr>
          <w:lang w:val="en-US"/>
        </w:rPr>
        <w:t>fallback</w:t>
      </w:r>
      <w:r w:rsidRPr="00B667EA">
        <w:rPr>
          <w:rFonts w:eastAsia="ＭＳ 明朝"/>
          <w:kern w:val="2"/>
        </w:rPr>
        <w:t xml:space="preserve"> DCI formats, Rel-15 </w:t>
      </w:r>
      <w:r w:rsidRPr="00B667EA">
        <w:rPr>
          <w:lang w:val="en-US"/>
        </w:rPr>
        <w:t>non-fallback</w:t>
      </w:r>
      <w:r w:rsidRPr="00B667EA">
        <w:rPr>
          <w:rFonts w:eastAsia="ＭＳ 明朝"/>
          <w:kern w:val="2"/>
        </w:rPr>
        <w:t xml:space="preserve"> DCI formats and Rel-16 DCI formats 1_2/0_2 to be monitored.</w:t>
      </w:r>
    </w:p>
    <w:p w14:paraId="58B524B7" w14:textId="77777777" w:rsidR="00B667EA" w:rsidRPr="00BB3041" w:rsidRDefault="00B667EA" w:rsidP="00B667EA">
      <w:pPr>
        <w:rPr>
          <w:rFonts w:eastAsia="ＭＳ 明朝"/>
          <w:kern w:val="2"/>
        </w:rPr>
      </w:pPr>
      <w:r w:rsidRPr="00B80DDE">
        <w:rPr>
          <w:b/>
          <w:bCs/>
          <w:u w:val="single"/>
        </w:rPr>
        <w:t>Observation 2:</w:t>
      </w:r>
      <w:r w:rsidRPr="008C129B">
        <w:rPr>
          <w:b/>
          <w:bCs/>
        </w:rPr>
        <w:t xml:space="preserve"> </w:t>
      </w:r>
      <w:r>
        <w:rPr>
          <w:rFonts w:eastAsia="ＭＳ 明朝"/>
          <w:kern w:val="2"/>
        </w:rPr>
        <w:t xml:space="preserve">Introduction of the DCI format 1_2/0_2 would only cause the DCI size impact for those Rel-16 UEs being configured with the combination of the </w:t>
      </w:r>
      <w:r w:rsidRPr="00BB3041">
        <w:rPr>
          <w:lang w:val="en-US"/>
        </w:rPr>
        <w:t>Rel-15 fallback/non-fallback</w:t>
      </w:r>
      <w:r>
        <w:rPr>
          <w:rFonts w:eastAsia="ＭＳ 明朝"/>
          <w:kern w:val="2"/>
        </w:rPr>
        <w:t xml:space="preserve"> DCI formats and Rel-16 DCI formats 1_2/0_2 to be monitored.</w:t>
      </w:r>
    </w:p>
    <w:p w14:paraId="318CC638" w14:textId="77777777" w:rsidR="00B667EA" w:rsidRPr="003E3EED" w:rsidRDefault="00B667EA" w:rsidP="00B667EA">
      <w:pPr>
        <w:spacing w:before="240" w:after="240" w:afterAutospacing="0"/>
        <w:rPr>
          <w:bCs/>
        </w:rPr>
      </w:pPr>
      <w:r w:rsidRPr="003E3EED">
        <w:rPr>
          <w:b/>
          <w:bCs/>
          <w:u w:val="single"/>
        </w:rPr>
        <w:t>Observation 3:</w:t>
      </w:r>
      <w:r w:rsidRPr="003E3EED">
        <w:rPr>
          <w:b/>
          <w:bCs/>
        </w:rPr>
        <w:t xml:space="preserve"> </w:t>
      </w:r>
      <w:r w:rsidRPr="003E3EED">
        <w:rPr>
          <w:bCs/>
        </w:rPr>
        <w:t xml:space="preserve">It had better not to perform size alignment between </w:t>
      </w:r>
      <w:r w:rsidRPr="003E3EED">
        <w:rPr>
          <w:rFonts w:eastAsia="ＭＳ 明朝"/>
          <w:kern w:val="2"/>
        </w:rPr>
        <w:t xml:space="preserve">the DCI format </w:t>
      </w:r>
      <w:r>
        <w:rPr>
          <w:rFonts w:eastAsia="ＭＳ 明朝"/>
          <w:kern w:val="2"/>
        </w:rPr>
        <w:t xml:space="preserve">1_2/0_2 </w:t>
      </w:r>
      <w:r w:rsidRPr="003E3EED">
        <w:rPr>
          <w:rFonts w:eastAsia="ＭＳ 明朝"/>
          <w:kern w:val="2"/>
        </w:rPr>
        <w:t>and the Rel-15 DCI formats. A</w:t>
      </w:r>
      <w:r w:rsidRPr="003E3EED">
        <w:rPr>
          <w:bCs/>
        </w:rPr>
        <w:t xml:space="preserve">dditional zero-padding bits </w:t>
      </w:r>
      <w:r>
        <w:rPr>
          <w:lang w:val="en-US"/>
        </w:rPr>
        <w:t xml:space="preserve">(e.g. may up to 16 bits) </w:t>
      </w:r>
      <w:r w:rsidRPr="003E3EED">
        <w:rPr>
          <w:bCs/>
        </w:rPr>
        <w:t>would affect the detection performance of the new DCI format especially if the size</w:t>
      </w:r>
      <w:r>
        <w:rPr>
          <w:bCs/>
        </w:rPr>
        <w:t xml:space="preserve"> of the DCI format 1_2/0_2 </w:t>
      </w:r>
      <w:r w:rsidRPr="003E3EED">
        <w:rPr>
          <w:bCs/>
        </w:rPr>
        <w:t>is far from th</w:t>
      </w:r>
      <w:r>
        <w:rPr>
          <w:bCs/>
        </w:rPr>
        <w:t xml:space="preserve">at of the </w:t>
      </w:r>
      <w:r w:rsidRPr="003E3EED">
        <w:rPr>
          <w:bCs/>
        </w:rPr>
        <w:t>Rel-15 DCI formats.</w:t>
      </w:r>
    </w:p>
    <w:p w14:paraId="288C9A8F" w14:textId="77777777" w:rsidR="00B667EA" w:rsidRDefault="00B667EA" w:rsidP="00B667EA">
      <w:pPr>
        <w:spacing w:before="240" w:after="240" w:afterAutospacing="0"/>
        <w:rPr>
          <w:rFonts w:eastAsia="ＭＳ 明朝"/>
          <w:kern w:val="2"/>
        </w:rPr>
      </w:pPr>
      <w:r w:rsidRPr="003E3EED">
        <w:rPr>
          <w:b/>
          <w:bCs/>
          <w:u w:val="single"/>
        </w:rPr>
        <w:t>Observation 4:</w:t>
      </w:r>
      <w:r w:rsidRPr="003E3EED">
        <w:rPr>
          <w:b/>
          <w:bCs/>
        </w:rPr>
        <w:t xml:space="preserve"> </w:t>
      </w:r>
      <w:r w:rsidRPr="003E3EED">
        <w:rPr>
          <w:rFonts w:eastAsia="ＭＳ 明朝"/>
          <w:kern w:val="2"/>
        </w:rPr>
        <w:t xml:space="preserve">For Rel-16 </w:t>
      </w:r>
      <w:r>
        <w:rPr>
          <w:rFonts w:eastAsia="ＭＳ 明朝"/>
          <w:kern w:val="2"/>
        </w:rPr>
        <w:t xml:space="preserve">URLLC </w:t>
      </w:r>
      <w:r w:rsidRPr="003E3EED">
        <w:rPr>
          <w:rFonts w:eastAsia="ＭＳ 明朝"/>
          <w:kern w:val="2"/>
        </w:rPr>
        <w:t xml:space="preserve">UEs simultaneously supporting the combination of the Rel-15 </w:t>
      </w:r>
      <w:r w:rsidRPr="003E3EED">
        <w:rPr>
          <w:lang w:val="en-US"/>
        </w:rPr>
        <w:t>fallback/non-fallback</w:t>
      </w:r>
      <w:r w:rsidRPr="003E3EED">
        <w:rPr>
          <w:rFonts w:eastAsia="ＭＳ 明朝"/>
          <w:kern w:val="2"/>
        </w:rPr>
        <w:t xml:space="preserve"> DCI formats and the </w:t>
      </w:r>
      <w:r>
        <w:rPr>
          <w:rFonts w:eastAsia="ＭＳ 明朝"/>
          <w:kern w:val="2"/>
        </w:rPr>
        <w:t xml:space="preserve">Rel-16 </w:t>
      </w:r>
      <w:r w:rsidRPr="003E3EED">
        <w:rPr>
          <w:rFonts w:eastAsia="ＭＳ 明朝"/>
          <w:kern w:val="2"/>
        </w:rPr>
        <w:t>DCI formats</w:t>
      </w:r>
      <w:r>
        <w:rPr>
          <w:rFonts w:eastAsia="ＭＳ 明朝"/>
          <w:kern w:val="2"/>
        </w:rPr>
        <w:t xml:space="preserve"> </w:t>
      </w:r>
      <w:r>
        <w:rPr>
          <w:lang w:val="en-US"/>
        </w:rPr>
        <w:t>1_2/0_2</w:t>
      </w:r>
      <w:r w:rsidRPr="003E3EED">
        <w:rPr>
          <w:rFonts w:eastAsia="ＭＳ 明朝"/>
          <w:kern w:val="2"/>
        </w:rPr>
        <w:t xml:space="preserve"> to be monitored, the DCI size budget can be increased from 3+1 to 4+1.</w:t>
      </w:r>
    </w:p>
    <w:p w14:paraId="1454792F" w14:textId="77777777" w:rsidR="00B667EA" w:rsidRPr="000F6DF2" w:rsidRDefault="00B667EA" w:rsidP="00B667EA">
      <w:pPr>
        <w:spacing w:before="240" w:after="240" w:afterAutospacing="0"/>
        <w:rPr>
          <w:rFonts w:eastAsia="ＭＳ 明朝"/>
          <w:kern w:val="2"/>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4A2CA9">
        <w:rPr>
          <w:rFonts w:eastAsia="ＭＳ 明朝" w:hint="eastAsia"/>
          <w:b/>
        </w:rPr>
        <w:t xml:space="preserve"> </w:t>
      </w:r>
      <w:r>
        <w:rPr>
          <w:lang w:eastAsia="zh-CN"/>
        </w:rPr>
        <w:t xml:space="preserve">Allow to increase </w:t>
      </w:r>
      <w:r>
        <w:t xml:space="preserve">the DCI size budget from 3 to 4 for those Rel-16 URLLC UEs </w:t>
      </w:r>
      <w:r w:rsidRPr="004A2CA9">
        <w:rPr>
          <w:rFonts w:eastAsia="ＭＳ 明朝"/>
          <w:kern w:val="2"/>
        </w:rPr>
        <w:t>simultaneously</w:t>
      </w:r>
      <w:r>
        <w:t xml:space="preserve"> supporting </w:t>
      </w:r>
      <w:r w:rsidRPr="004A2CA9">
        <w:rPr>
          <w:rFonts w:eastAsia="ＭＳ 明朝"/>
          <w:kern w:val="2"/>
        </w:rPr>
        <w:t xml:space="preserve">the combination of the Rel-15 </w:t>
      </w:r>
      <w:r w:rsidRPr="004A2CA9">
        <w:rPr>
          <w:lang w:val="en-US"/>
        </w:rPr>
        <w:t>fallback/non-fallback</w:t>
      </w:r>
      <w:r w:rsidRPr="004A2CA9">
        <w:rPr>
          <w:rFonts w:eastAsia="ＭＳ 明朝"/>
          <w:kern w:val="2"/>
        </w:rPr>
        <w:t xml:space="preserve"> DCI formats and the new DCI formats </w:t>
      </w:r>
      <w:r>
        <w:rPr>
          <w:rFonts w:eastAsia="ＭＳ 明朝"/>
          <w:kern w:val="2"/>
        </w:rPr>
        <w:t xml:space="preserve">1_2/0_2 </w:t>
      </w:r>
      <w:r w:rsidRPr="004A2CA9">
        <w:rPr>
          <w:rFonts w:eastAsia="ＭＳ 明朝"/>
          <w:kern w:val="2"/>
        </w:rPr>
        <w:t>to be monitored</w:t>
      </w:r>
      <w:r>
        <w:t>.</w:t>
      </w:r>
    </w:p>
    <w:p w14:paraId="7BE3360A" w14:textId="77777777" w:rsidR="00B667EA" w:rsidRPr="003E3EED" w:rsidRDefault="00B667EA" w:rsidP="00B667EA">
      <w:pPr>
        <w:spacing w:before="240" w:after="240" w:afterAutospacing="0"/>
        <w:rPr>
          <w:rFonts w:eastAsia="ＭＳ 明朝"/>
          <w:kern w:val="2"/>
        </w:rPr>
      </w:pPr>
      <w:r>
        <w:rPr>
          <w:b/>
          <w:bCs/>
          <w:u w:val="single"/>
        </w:rPr>
        <w:t>Proposal</w:t>
      </w:r>
      <w:r w:rsidRPr="003E3EED">
        <w:rPr>
          <w:b/>
          <w:bCs/>
          <w:u w:val="single"/>
        </w:rPr>
        <w:t xml:space="preserve"> </w:t>
      </w:r>
      <w:r>
        <w:rPr>
          <w:b/>
          <w:bCs/>
          <w:u w:val="single"/>
        </w:rPr>
        <w:t>4</w:t>
      </w:r>
      <w:r w:rsidRPr="003E3EED">
        <w:rPr>
          <w:b/>
          <w:bCs/>
          <w:u w:val="single"/>
        </w:rPr>
        <w:t>:</w:t>
      </w:r>
      <w:r w:rsidRPr="003E3EED">
        <w:rPr>
          <w:b/>
          <w:bCs/>
        </w:rPr>
        <w:t xml:space="preserve"> </w:t>
      </w:r>
      <w:r w:rsidRPr="003E3EED">
        <w:rPr>
          <w:rFonts w:eastAsia="ＭＳ 明朝"/>
          <w:kern w:val="2"/>
        </w:rPr>
        <w:t xml:space="preserve">The DCI format </w:t>
      </w:r>
      <w:r>
        <w:rPr>
          <w:rFonts w:eastAsia="ＭＳ 明朝"/>
          <w:kern w:val="2"/>
        </w:rPr>
        <w:t>1_2</w:t>
      </w:r>
      <w:r w:rsidRPr="003E3EED">
        <w:rPr>
          <w:rFonts w:eastAsia="ＭＳ 明朝"/>
          <w:kern w:val="2"/>
        </w:rPr>
        <w:t xml:space="preserve"> and </w:t>
      </w:r>
      <w:r>
        <w:rPr>
          <w:rFonts w:eastAsia="ＭＳ 明朝"/>
          <w:kern w:val="2"/>
        </w:rPr>
        <w:t xml:space="preserve">the </w:t>
      </w:r>
      <w:r w:rsidRPr="003E3EED">
        <w:rPr>
          <w:rFonts w:eastAsia="ＭＳ 明朝"/>
          <w:kern w:val="2"/>
        </w:rPr>
        <w:t xml:space="preserve">DCI format </w:t>
      </w:r>
      <w:r>
        <w:rPr>
          <w:rFonts w:eastAsia="ＭＳ 明朝"/>
          <w:kern w:val="2"/>
        </w:rPr>
        <w:t>0_2</w:t>
      </w:r>
      <w:r w:rsidRPr="003E3EED">
        <w:rPr>
          <w:rFonts w:eastAsia="ＭＳ 明朝"/>
          <w:kern w:val="2"/>
        </w:rPr>
        <w:t xml:space="preserve"> can be size-matched to one size.</w:t>
      </w:r>
    </w:p>
    <w:p w14:paraId="01CC40C9" w14:textId="603CFB52" w:rsidR="00B667EA" w:rsidRDefault="00B667EA" w:rsidP="004407D4">
      <w:pPr>
        <w:rPr>
          <w:rFonts w:eastAsia="ＭＳ 明朝"/>
          <w:kern w:val="2"/>
        </w:rPr>
      </w:pPr>
      <w:r>
        <w:rPr>
          <w:b/>
          <w:bCs/>
          <w:u w:val="single"/>
        </w:rPr>
        <w:t>Proposal</w:t>
      </w:r>
      <w:r w:rsidRPr="003E3EED">
        <w:rPr>
          <w:b/>
          <w:bCs/>
          <w:u w:val="single"/>
        </w:rPr>
        <w:t xml:space="preserve"> </w:t>
      </w:r>
      <w:r>
        <w:rPr>
          <w:b/>
          <w:bCs/>
          <w:u w:val="single"/>
        </w:rPr>
        <w:t>5</w:t>
      </w:r>
      <w:r w:rsidRPr="003E3EED">
        <w:rPr>
          <w:b/>
          <w:bCs/>
          <w:u w:val="single"/>
        </w:rPr>
        <w:t>:</w:t>
      </w:r>
      <w:r w:rsidRPr="003E3EED">
        <w:rPr>
          <w:b/>
          <w:bCs/>
        </w:rPr>
        <w:t xml:space="preserve"> </w:t>
      </w:r>
      <w:r w:rsidRPr="003E3EED">
        <w:rPr>
          <w:rFonts w:eastAsia="ＭＳ 明朝"/>
          <w:kern w:val="2"/>
        </w:rPr>
        <w:t xml:space="preserve">In a case that the size of DCI </w:t>
      </w:r>
      <w:r>
        <w:rPr>
          <w:rFonts w:eastAsia="ＭＳ 明朝"/>
          <w:kern w:val="2"/>
        </w:rPr>
        <w:t xml:space="preserve">formats 1_2/0_2 </w:t>
      </w:r>
      <w:r w:rsidRPr="003E3EED">
        <w:rPr>
          <w:rFonts w:eastAsia="ＭＳ 明朝"/>
          <w:kern w:val="2"/>
        </w:rPr>
        <w:t xml:space="preserve">is equal to that of Rel-15 DCI format, 1 bit can be appended to </w:t>
      </w:r>
      <w:r>
        <w:rPr>
          <w:rFonts w:eastAsia="ＭＳ 明朝"/>
          <w:kern w:val="2"/>
        </w:rPr>
        <w:t xml:space="preserve">the </w:t>
      </w:r>
      <w:r w:rsidRPr="003E3EED">
        <w:rPr>
          <w:rFonts w:eastAsia="ＭＳ 明朝"/>
          <w:kern w:val="2"/>
        </w:rPr>
        <w:t xml:space="preserve">new DCI </w:t>
      </w:r>
      <w:r>
        <w:rPr>
          <w:rFonts w:eastAsia="ＭＳ 明朝"/>
          <w:kern w:val="2"/>
        </w:rPr>
        <w:t>formats 1_2/0_2</w:t>
      </w:r>
      <w:r w:rsidRPr="003E3EED">
        <w:rPr>
          <w:rFonts w:eastAsia="ＭＳ 明朝"/>
          <w:kern w:val="2"/>
        </w:rPr>
        <w:t xml:space="preserve"> to keep their DCI sizes seperate</w:t>
      </w:r>
      <w:r w:rsidR="0031114E" w:rsidRPr="0031114E">
        <w:rPr>
          <w:rFonts w:eastAsia="ＭＳ 明朝"/>
          <w:kern w:val="2"/>
        </w:rPr>
        <w:t xml:space="preserve"> </w:t>
      </w:r>
      <w:r w:rsidR="0031114E">
        <w:rPr>
          <w:rFonts w:eastAsia="ＭＳ 明朝"/>
          <w:kern w:val="2"/>
        </w:rPr>
        <w:t>from that of Rel-15 DCI format</w:t>
      </w:r>
      <w:r w:rsidRPr="003E3EED">
        <w:rPr>
          <w:rFonts w:eastAsia="ＭＳ 明朝"/>
          <w:kern w:val="2"/>
        </w:rPr>
        <w:t>.</w:t>
      </w:r>
    </w:p>
    <w:p w14:paraId="00A5D66E" w14:textId="77777777" w:rsidR="00B667EA" w:rsidRDefault="00B667EA" w:rsidP="00B667EA">
      <w:pPr>
        <w:rPr>
          <w:lang w:val="en-US"/>
        </w:rPr>
      </w:pPr>
      <w:r w:rsidRPr="00CE2F15">
        <w:rPr>
          <w:b/>
          <w:bCs/>
          <w:u w:val="single"/>
        </w:rPr>
        <w:lastRenderedPageBreak/>
        <w:t xml:space="preserve">Observation </w:t>
      </w:r>
      <w:r>
        <w:rPr>
          <w:b/>
          <w:bCs/>
          <w:u w:val="single"/>
        </w:rPr>
        <w:t>5</w:t>
      </w:r>
      <w:r w:rsidRPr="005C5B1C">
        <w:rPr>
          <w:b/>
          <w:bCs/>
          <w:u w:val="single"/>
        </w:rPr>
        <w:t>:</w:t>
      </w:r>
      <w:r w:rsidRPr="005C5B1C">
        <w:rPr>
          <w:b/>
          <w:bCs/>
        </w:rPr>
        <w:t xml:space="preserve"> </w:t>
      </w:r>
      <w:r w:rsidRPr="00F61E01">
        <w:rPr>
          <w:bCs/>
        </w:rPr>
        <w:t xml:space="preserve">From the </w:t>
      </w:r>
      <w:r>
        <w:rPr>
          <w:bCs/>
        </w:rPr>
        <w:t>viewpoint</w:t>
      </w:r>
      <w:r w:rsidRPr="00F61E01">
        <w:rPr>
          <w:bCs/>
        </w:rPr>
        <w:t xml:space="preserve"> of meeting the 1ms </w:t>
      </w:r>
      <w:r>
        <w:rPr>
          <w:bCs/>
        </w:rPr>
        <w:t xml:space="preserve">latency </w:t>
      </w:r>
      <w:r w:rsidRPr="00F61E01">
        <w:rPr>
          <w:bCs/>
        </w:rPr>
        <w:t xml:space="preserve">requirement, (3,3) or (3,2) </w:t>
      </w:r>
      <w:r w:rsidRPr="00F61E01">
        <w:rPr>
          <w:lang w:val="en-US"/>
        </w:rPr>
        <w:t xml:space="preserve">seems not to bring a significant </w:t>
      </w:r>
      <w:r w:rsidRPr="005C2D97">
        <w:rPr>
          <w:lang w:val="en-US"/>
        </w:rPr>
        <w:t>latency gain</w:t>
      </w:r>
      <w:r w:rsidRPr="00F61E01">
        <w:rPr>
          <w:lang w:val="en-US"/>
        </w:rPr>
        <w:t xml:space="preserve"> when compared to (4,3).</w:t>
      </w:r>
    </w:p>
    <w:p w14:paraId="65D6287F" w14:textId="77777777" w:rsidR="00B667EA" w:rsidRPr="00D9664F" w:rsidRDefault="00B667EA" w:rsidP="00B667EA">
      <w:pPr>
        <w:rPr>
          <w:b/>
          <w:bCs/>
          <w:u w:val="single"/>
        </w:rPr>
      </w:pPr>
      <w:r w:rsidRPr="00017111">
        <w:rPr>
          <w:b/>
          <w:bCs/>
          <w:u w:val="single"/>
        </w:rPr>
        <w:t xml:space="preserve">Observation </w:t>
      </w:r>
      <w:r>
        <w:rPr>
          <w:b/>
          <w:bCs/>
          <w:u w:val="single"/>
        </w:rPr>
        <w:t>6</w:t>
      </w:r>
      <w:r w:rsidRPr="00017111">
        <w:rPr>
          <w:b/>
          <w:bCs/>
          <w:u w:val="single"/>
        </w:rPr>
        <w:t xml:space="preserve">: </w:t>
      </w:r>
      <w:r w:rsidRPr="00017111">
        <w:rPr>
          <w:bCs/>
        </w:rPr>
        <w:t xml:space="preserve">Under some DL scheduling FDD scenarios (e.g. 2-OS PDSCH), supporting (4,3), (7,3) for SCS=60 kHz would be beneficial to </w:t>
      </w:r>
      <w:r>
        <w:rPr>
          <w:bCs/>
        </w:rPr>
        <w:t>make</w:t>
      </w:r>
      <w:r w:rsidRPr="00017111">
        <w:rPr>
          <w:bCs/>
        </w:rPr>
        <w:t xml:space="preserve"> two HARQ transmissions to be completed within 1 ms based on the Rel.15 timing capability.</w:t>
      </w:r>
    </w:p>
    <w:p w14:paraId="28E3A04F" w14:textId="77777777" w:rsidR="00B667EA" w:rsidRPr="009A732F" w:rsidRDefault="00B667EA" w:rsidP="00B667EA">
      <w:pPr>
        <w:spacing w:before="240" w:after="240" w:afterAutospacing="0"/>
        <w:rPr>
          <w:rFonts w:eastAsia="ＭＳ 明朝"/>
          <w:b/>
          <w:u w:val="single"/>
        </w:rPr>
      </w:pPr>
      <w:r w:rsidRPr="00C9033A">
        <w:rPr>
          <w:rFonts w:eastAsia="ＭＳ 明朝"/>
          <w:b/>
          <w:u w:val="single"/>
        </w:rPr>
        <w:t xml:space="preserve">Proposal </w:t>
      </w:r>
      <w:r>
        <w:rPr>
          <w:rFonts w:eastAsia="ＭＳ 明朝"/>
          <w:b/>
          <w:u w:val="single"/>
        </w:rPr>
        <w:t>6</w:t>
      </w:r>
      <w:r w:rsidRPr="00C9033A">
        <w:rPr>
          <w:rFonts w:eastAsia="ＭＳ 明朝"/>
          <w:b/>
          <w:u w:val="single"/>
        </w:rPr>
        <w:t>:</w:t>
      </w:r>
      <w:r>
        <w:rPr>
          <w:rFonts w:eastAsia="ＭＳ 明朝" w:hint="eastAsia"/>
          <w:b/>
          <w:u w:val="single"/>
        </w:rPr>
        <w:t xml:space="preserve"> </w:t>
      </w:r>
      <w:r>
        <w:rPr>
          <w:lang w:eastAsia="zh-CN"/>
        </w:rPr>
        <w:t>UE can report the capability combinations and associated limit C as below</w:t>
      </w:r>
      <w:r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B667EA" w:rsidRPr="00251AD4" w14:paraId="1C47BEE1" w14:textId="77777777" w:rsidTr="004F78A3">
        <w:trPr>
          <w:trHeight w:val="138"/>
          <w:jc w:val="center"/>
        </w:trPr>
        <w:tc>
          <w:tcPr>
            <w:tcW w:w="1681" w:type="dxa"/>
            <w:vMerge w:val="restart"/>
            <w:shd w:val="clear" w:color="auto" w:fill="D9D9D9"/>
          </w:tcPr>
          <w:p w14:paraId="3F89BA82" w14:textId="77777777" w:rsidR="00B667EA" w:rsidRPr="00251AD4" w:rsidRDefault="00B667EA" w:rsidP="004F78A3">
            <w:pPr>
              <w:spacing w:beforeLines="50" w:before="180"/>
              <w:jc w:val="center"/>
              <w:rPr>
                <w:kern w:val="2"/>
                <w:lang w:eastAsia="zh-CN"/>
              </w:rPr>
            </w:pPr>
          </w:p>
        </w:tc>
        <w:tc>
          <w:tcPr>
            <w:tcW w:w="1296" w:type="dxa"/>
            <w:vMerge w:val="restart"/>
            <w:shd w:val="clear" w:color="auto" w:fill="D9D9D9"/>
          </w:tcPr>
          <w:p w14:paraId="21C4F5D4" w14:textId="77777777" w:rsidR="00B667EA" w:rsidRPr="00251AD4" w:rsidRDefault="00B667EA" w:rsidP="004F78A3">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1C178F5F" w14:textId="77777777" w:rsidR="00B667EA" w:rsidRPr="00251AD4" w:rsidRDefault="00B667EA" w:rsidP="004F78A3">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4EE402AE" w14:textId="77777777" w:rsidR="00B667EA" w:rsidRPr="00251AD4" w:rsidRDefault="00B667EA" w:rsidP="004F78A3">
            <w:pPr>
              <w:spacing w:beforeLines="50" w:before="180"/>
              <w:jc w:val="center"/>
              <w:rPr>
                <w:kern w:val="2"/>
                <w:lang w:eastAsia="zh-CN"/>
              </w:rPr>
            </w:pPr>
            <w:r w:rsidRPr="00251AD4">
              <w:rPr>
                <w:rFonts w:hint="eastAsia"/>
                <w:kern w:val="2"/>
                <w:lang w:eastAsia="zh-CN"/>
              </w:rPr>
              <w:t>C</w:t>
            </w:r>
          </w:p>
        </w:tc>
      </w:tr>
      <w:tr w:rsidR="00B667EA" w:rsidRPr="00251AD4" w14:paraId="15FB1F2F" w14:textId="77777777" w:rsidTr="004F78A3">
        <w:trPr>
          <w:trHeight w:val="137"/>
          <w:jc w:val="center"/>
        </w:trPr>
        <w:tc>
          <w:tcPr>
            <w:tcW w:w="1681" w:type="dxa"/>
            <w:vMerge/>
            <w:shd w:val="clear" w:color="auto" w:fill="D9D9D9"/>
          </w:tcPr>
          <w:p w14:paraId="07728646" w14:textId="77777777" w:rsidR="00B667EA" w:rsidRPr="00251AD4" w:rsidRDefault="00B667EA" w:rsidP="004F78A3">
            <w:pPr>
              <w:spacing w:beforeLines="50" w:before="180"/>
              <w:jc w:val="center"/>
              <w:rPr>
                <w:kern w:val="2"/>
                <w:lang w:eastAsia="zh-CN"/>
              </w:rPr>
            </w:pPr>
          </w:p>
        </w:tc>
        <w:tc>
          <w:tcPr>
            <w:tcW w:w="1296" w:type="dxa"/>
            <w:vMerge/>
            <w:shd w:val="clear" w:color="auto" w:fill="D9D9D9"/>
          </w:tcPr>
          <w:p w14:paraId="4F95D850" w14:textId="77777777" w:rsidR="00B667EA" w:rsidRPr="00251AD4" w:rsidRDefault="00B667EA" w:rsidP="004F78A3">
            <w:pPr>
              <w:spacing w:beforeLines="50" w:before="180"/>
              <w:jc w:val="center"/>
              <w:rPr>
                <w:kern w:val="2"/>
                <w:lang w:eastAsia="zh-CN"/>
              </w:rPr>
            </w:pPr>
          </w:p>
        </w:tc>
        <w:tc>
          <w:tcPr>
            <w:tcW w:w="1559" w:type="dxa"/>
            <w:vMerge/>
            <w:shd w:val="clear" w:color="auto" w:fill="D9D9D9"/>
          </w:tcPr>
          <w:p w14:paraId="42984755" w14:textId="77777777" w:rsidR="00B667EA" w:rsidRPr="00251AD4" w:rsidRDefault="00B667EA" w:rsidP="004F78A3">
            <w:pPr>
              <w:spacing w:beforeLines="50" w:before="180"/>
              <w:jc w:val="center"/>
              <w:rPr>
                <w:kern w:val="2"/>
                <w:lang w:eastAsia="zh-CN"/>
              </w:rPr>
            </w:pPr>
          </w:p>
        </w:tc>
        <w:tc>
          <w:tcPr>
            <w:tcW w:w="991" w:type="dxa"/>
            <w:shd w:val="clear" w:color="auto" w:fill="D9D9D9"/>
            <w:vAlign w:val="center"/>
          </w:tcPr>
          <w:p w14:paraId="66F572A6" w14:textId="77777777" w:rsidR="00B667EA" w:rsidRPr="00251AD4" w:rsidRDefault="00B667EA" w:rsidP="004F78A3">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713C4449" w14:textId="77777777" w:rsidR="00B667EA" w:rsidRPr="00251AD4" w:rsidRDefault="00B667EA" w:rsidP="004F78A3">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301499A2" w14:textId="77777777" w:rsidR="00B667EA" w:rsidRPr="00B22B61" w:rsidRDefault="00B667EA" w:rsidP="004F78A3">
            <w:pPr>
              <w:spacing w:beforeLines="50" w:before="180"/>
              <w:jc w:val="center"/>
              <w:rPr>
                <w:kern w:val="2"/>
                <w:highlight w:val="yellow"/>
                <w:lang w:eastAsia="zh-CN"/>
              </w:rPr>
            </w:pPr>
            <w:r w:rsidRPr="008C0639">
              <w:rPr>
                <w:rFonts w:ascii="Symbol" w:eastAsia="Malgun Gothic" w:hAnsi="Symbol"/>
                <w:color w:val="000000"/>
              </w:rPr>
              <w:t></w:t>
            </w:r>
            <w:r w:rsidRPr="008C0639">
              <w:rPr>
                <w:rFonts w:eastAsia="Malgun Gothic"/>
                <w:color w:val="000000"/>
              </w:rPr>
              <w:t>=2</w:t>
            </w:r>
          </w:p>
        </w:tc>
        <w:tc>
          <w:tcPr>
            <w:tcW w:w="991" w:type="dxa"/>
            <w:shd w:val="clear" w:color="auto" w:fill="D9D9D9"/>
            <w:vAlign w:val="center"/>
          </w:tcPr>
          <w:p w14:paraId="2156B219" w14:textId="77777777" w:rsidR="00B667EA" w:rsidRPr="008C0639" w:rsidRDefault="00B667EA" w:rsidP="004F78A3">
            <w:pPr>
              <w:spacing w:beforeLines="50" w:before="180"/>
              <w:jc w:val="center"/>
              <w:rPr>
                <w:kern w:val="2"/>
                <w:lang w:eastAsia="zh-CN"/>
              </w:rPr>
            </w:pPr>
            <w:r w:rsidRPr="008C0639">
              <w:rPr>
                <w:rFonts w:ascii="Symbol" w:eastAsia="Malgun Gothic" w:hAnsi="Symbol"/>
                <w:color w:val="000000"/>
              </w:rPr>
              <w:t></w:t>
            </w:r>
            <w:r w:rsidRPr="008C0639">
              <w:rPr>
                <w:rFonts w:eastAsia="Malgun Gothic"/>
                <w:color w:val="000000"/>
              </w:rPr>
              <w:t>=3</w:t>
            </w:r>
          </w:p>
        </w:tc>
      </w:tr>
      <w:tr w:rsidR="00B667EA" w:rsidRPr="00251AD4" w14:paraId="347ACD5C" w14:textId="77777777" w:rsidTr="004F78A3">
        <w:trPr>
          <w:jc w:val="center"/>
        </w:trPr>
        <w:tc>
          <w:tcPr>
            <w:tcW w:w="1681" w:type="dxa"/>
            <w:shd w:val="clear" w:color="auto" w:fill="auto"/>
          </w:tcPr>
          <w:p w14:paraId="5DE80718" w14:textId="77777777" w:rsidR="00B667EA" w:rsidRPr="00251AD4" w:rsidRDefault="00B667EA" w:rsidP="004F78A3">
            <w:pPr>
              <w:spacing w:beforeLines="50" w:before="180"/>
              <w:jc w:val="center"/>
              <w:rPr>
                <w:kern w:val="2"/>
              </w:rPr>
            </w:pPr>
            <w:r w:rsidRPr="00251AD4">
              <w:rPr>
                <w:kern w:val="2"/>
                <w:lang w:eastAsia="zh-CN"/>
              </w:rPr>
              <w:t>Combination 1</w:t>
            </w:r>
          </w:p>
        </w:tc>
        <w:tc>
          <w:tcPr>
            <w:tcW w:w="1296" w:type="dxa"/>
            <w:shd w:val="clear" w:color="auto" w:fill="auto"/>
          </w:tcPr>
          <w:p w14:paraId="29650653" w14:textId="77777777" w:rsidR="00B667EA" w:rsidRPr="00251AD4" w:rsidRDefault="00B667EA" w:rsidP="004F78A3">
            <w:pPr>
              <w:spacing w:beforeLines="50" w:before="180"/>
              <w:jc w:val="center"/>
              <w:rPr>
                <w:kern w:val="2"/>
              </w:rPr>
            </w:pPr>
            <w:r>
              <w:rPr>
                <w:rFonts w:hint="eastAsia"/>
                <w:kern w:val="2"/>
              </w:rPr>
              <w:t>2</w:t>
            </w:r>
          </w:p>
        </w:tc>
        <w:tc>
          <w:tcPr>
            <w:tcW w:w="1559" w:type="dxa"/>
            <w:shd w:val="clear" w:color="auto" w:fill="auto"/>
          </w:tcPr>
          <w:p w14:paraId="23B0797E" w14:textId="77777777" w:rsidR="00B667EA" w:rsidRPr="00251AD4" w:rsidRDefault="00B667EA" w:rsidP="004F78A3">
            <w:pPr>
              <w:spacing w:beforeLines="50" w:before="180"/>
              <w:jc w:val="center"/>
              <w:rPr>
                <w:kern w:val="2"/>
              </w:rPr>
            </w:pPr>
            <w:r>
              <w:rPr>
                <w:rFonts w:hint="eastAsia"/>
                <w:kern w:val="2"/>
              </w:rPr>
              <w:t>2</w:t>
            </w:r>
          </w:p>
        </w:tc>
        <w:tc>
          <w:tcPr>
            <w:tcW w:w="991" w:type="dxa"/>
            <w:shd w:val="clear" w:color="auto" w:fill="auto"/>
          </w:tcPr>
          <w:p w14:paraId="44319A5C" w14:textId="77777777" w:rsidR="00B667EA" w:rsidRPr="008C0639" w:rsidRDefault="00B667EA" w:rsidP="004F78A3">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3DFB8F1E" w14:textId="77777777" w:rsidR="00B667EA" w:rsidRPr="008C0639" w:rsidRDefault="00B667EA" w:rsidP="004F78A3">
            <w:pPr>
              <w:spacing w:beforeLines="50" w:before="180"/>
              <w:jc w:val="center"/>
              <w:rPr>
                <w:kern w:val="2"/>
              </w:rPr>
            </w:pPr>
            <w:r w:rsidRPr="008C0639">
              <w:rPr>
                <w:rFonts w:hint="eastAsia"/>
                <w:kern w:val="2"/>
              </w:rPr>
              <w:t>1</w:t>
            </w:r>
            <w:r w:rsidRPr="008C0639">
              <w:rPr>
                <w:kern w:val="2"/>
              </w:rPr>
              <w:t>6</w:t>
            </w:r>
          </w:p>
        </w:tc>
        <w:tc>
          <w:tcPr>
            <w:tcW w:w="991" w:type="dxa"/>
            <w:shd w:val="clear" w:color="auto" w:fill="auto"/>
          </w:tcPr>
          <w:p w14:paraId="76AE479D" w14:textId="77777777" w:rsidR="00B667EA" w:rsidRPr="00B22B61" w:rsidRDefault="00B667EA" w:rsidP="004F78A3">
            <w:pPr>
              <w:spacing w:beforeLines="50" w:before="180"/>
              <w:jc w:val="center"/>
              <w:rPr>
                <w:kern w:val="2"/>
                <w:highlight w:val="yellow"/>
              </w:rPr>
            </w:pPr>
          </w:p>
        </w:tc>
        <w:tc>
          <w:tcPr>
            <w:tcW w:w="991" w:type="dxa"/>
            <w:shd w:val="clear" w:color="auto" w:fill="auto"/>
          </w:tcPr>
          <w:p w14:paraId="16FE4A73" w14:textId="77777777" w:rsidR="00B667EA" w:rsidRPr="008C0639" w:rsidRDefault="00B667EA" w:rsidP="004F78A3">
            <w:pPr>
              <w:spacing w:beforeLines="50" w:before="180"/>
              <w:jc w:val="center"/>
              <w:rPr>
                <w:kern w:val="2"/>
              </w:rPr>
            </w:pPr>
          </w:p>
        </w:tc>
      </w:tr>
      <w:tr w:rsidR="00B667EA" w:rsidRPr="00251AD4" w14:paraId="3B9188D1" w14:textId="77777777" w:rsidTr="004F78A3">
        <w:trPr>
          <w:jc w:val="center"/>
        </w:trPr>
        <w:tc>
          <w:tcPr>
            <w:tcW w:w="1681" w:type="dxa"/>
            <w:shd w:val="clear" w:color="auto" w:fill="auto"/>
          </w:tcPr>
          <w:p w14:paraId="66250302" w14:textId="77777777" w:rsidR="00B667EA" w:rsidRPr="00251AD4" w:rsidRDefault="00B667EA" w:rsidP="004F78A3">
            <w:pPr>
              <w:spacing w:beforeLines="50" w:before="180"/>
              <w:jc w:val="center"/>
              <w:rPr>
                <w:kern w:val="2"/>
                <w:lang w:eastAsia="zh-CN"/>
              </w:rPr>
            </w:pPr>
            <w:r w:rsidRPr="00251AD4">
              <w:rPr>
                <w:kern w:val="2"/>
                <w:lang w:eastAsia="zh-CN"/>
              </w:rPr>
              <w:t>Combination 2</w:t>
            </w:r>
          </w:p>
        </w:tc>
        <w:tc>
          <w:tcPr>
            <w:tcW w:w="1296" w:type="dxa"/>
            <w:shd w:val="clear" w:color="auto" w:fill="auto"/>
          </w:tcPr>
          <w:p w14:paraId="34F15398" w14:textId="77777777" w:rsidR="00B667EA" w:rsidRPr="00251AD4" w:rsidRDefault="00B667EA" w:rsidP="004F78A3">
            <w:pPr>
              <w:spacing w:beforeLines="50" w:before="180"/>
              <w:jc w:val="center"/>
              <w:rPr>
                <w:kern w:val="2"/>
              </w:rPr>
            </w:pPr>
            <w:r>
              <w:rPr>
                <w:rFonts w:hint="eastAsia"/>
                <w:kern w:val="2"/>
              </w:rPr>
              <w:t>4</w:t>
            </w:r>
          </w:p>
        </w:tc>
        <w:tc>
          <w:tcPr>
            <w:tcW w:w="1559" w:type="dxa"/>
            <w:shd w:val="clear" w:color="auto" w:fill="auto"/>
          </w:tcPr>
          <w:p w14:paraId="2920CF54" w14:textId="77777777" w:rsidR="00B667EA" w:rsidRPr="00251AD4" w:rsidRDefault="00B667EA" w:rsidP="004F78A3">
            <w:pPr>
              <w:spacing w:beforeLines="50" w:before="180"/>
              <w:jc w:val="center"/>
              <w:rPr>
                <w:kern w:val="2"/>
              </w:rPr>
            </w:pPr>
            <w:r>
              <w:rPr>
                <w:rFonts w:hint="eastAsia"/>
                <w:kern w:val="2"/>
              </w:rPr>
              <w:t>3</w:t>
            </w:r>
          </w:p>
        </w:tc>
        <w:tc>
          <w:tcPr>
            <w:tcW w:w="991" w:type="dxa"/>
            <w:shd w:val="clear" w:color="auto" w:fill="auto"/>
          </w:tcPr>
          <w:p w14:paraId="6ABE8C93" w14:textId="77777777" w:rsidR="00B667EA" w:rsidRPr="00251AD4" w:rsidRDefault="00B667EA" w:rsidP="004F78A3">
            <w:pPr>
              <w:spacing w:beforeLines="50" w:before="180"/>
              <w:jc w:val="center"/>
              <w:rPr>
                <w:kern w:val="2"/>
              </w:rPr>
            </w:pPr>
            <w:r>
              <w:rPr>
                <w:rFonts w:hint="eastAsia"/>
                <w:kern w:val="2"/>
              </w:rPr>
              <w:t>3</w:t>
            </w:r>
            <w:r>
              <w:rPr>
                <w:kern w:val="2"/>
              </w:rPr>
              <w:t>6</w:t>
            </w:r>
          </w:p>
        </w:tc>
        <w:tc>
          <w:tcPr>
            <w:tcW w:w="991" w:type="dxa"/>
            <w:shd w:val="clear" w:color="auto" w:fill="auto"/>
          </w:tcPr>
          <w:p w14:paraId="2B23D30C" w14:textId="77777777" w:rsidR="00B667EA" w:rsidRPr="00251AD4" w:rsidRDefault="00B667EA" w:rsidP="004F78A3">
            <w:pPr>
              <w:spacing w:beforeLines="50" w:before="180"/>
              <w:jc w:val="center"/>
              <w:rPr>
                <w:kern w:val="2"/>
              </w:rPr>
            </w:pPr>
            <w:r>
              <w:rPr>
                <w:rFonts w:hint="eastAsia"/>
                <w:kern w:val="2"/>
              </w:rPr>
              <w:t>3</w:t>
            </w:r>
            <w:r>
              <w:rPr>
                <w:kern w:val="2"/>
              </w:rPr>
              <w:t>6</w:t>
            </w:r>
          </w:p>
        </w:tc>
        <w:tc>
          <w:tcPr>
            <w:tcW w:w="991" w:type="dxa"/>
            <w:shd w:val="clear" w:color="auto" w:fill="auto"/>
          </w:tcPr>
          <w:p w14:paraId="18643F90" w14:textId="77777777" w:rsidR="00B667EA" w:rsidRPr="008C0639" w:rsidRDefault="00B667EA" w:rsidP="004F78A3">
            <w:pPr>
              <w:spacing w:beforeLines="50" w:before="180"/>
              <w:jc w:val="center"/>
              <w:rPr>
                <w:kern w:val="2"/>
              </w:rPr>
            </w:pPr>
            <w:r w:rsidRPr="008C0639">
              <w:rPr>
                <w:rFonts w:hint="eastAsia"/>
                <w:kern w:val="2"/>
              </w:rPr>
              <w:t>3</w:t>
            </w:r>
            <w:r w:rsidRPr="008C0639">
              <w:rPr>
                <w:kern w:val="2"/>
              </w:rPr>
              <w:t>2</w:t>
            </w:r>
          </w:p>
        </w:tc>
        <w:tc>
          <w:tcPr>
            <w:tcW w:w="991" w:type="dxa"/>
            <w:shd w:val="clear" w:color="auto" w:fill="auto"/>
          </w:tcPr>
          <w:p w14:paraId="58E746BC" w14:textId="77777777" w:rsidR="00B667EA" w:rsidRPr="008C0639" w:rsidRDefault="00B667EA" w:rsidP="004F78A3">
            <w:pPr>
              <w:spacing w:beforeLines="50" w:before="180"/>
              <w:jc w:val="center"/>
              <w:rPr>
                <w:kern w:val="2"/>
              </w:rPr>
            </w:pPr>
          </w:p>
        </w:tc>
      </w:tr>
      <w:tr w:rsidR="00B667EA" w:rsidRPr="00251AD4" w14:paraId="7FD516A2" w14:textId="77777777" w:rsidTr="004F78A3">
        <w:trPr>
          <w:jc w:val="center"/>
        </w:trPr>
        <w:tc>
          <w:tcPr>
            <w:tcW w:w="1681" w:type="dxa"/>
            <w:shd w:val="clear" w:color="auto" w:fill="auto"/>
          </w:tcPr>
          <w:p w14:paraId="593A90B1" w14:textId="77777777" w:rsidR="00B667EA" w:rsidRPr="00251AD4" w:rsidRDefault="00B667EA" w:rsidP="004F78A3">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36CDBD2E" w14:textId="77777777" w:rsidR="00B667EA" w:rsidRPr="00251AD4" w:rsidRDefault="00B667EA" w:rsidP="004F78A3">
            <w:pPr>
              <w:spacing w:beforeLines="50" w:before="180"/>
              <w:jc w:val="center"/>
              <w:rPr>
                <w:kern w:val="2"/>
              </w:rPr>
            </w:pPr>
            <w:r>
              <w:rPr>
                <w:rFonts w:hint="eastAsia"/>
                <w:kern w:val="2"/>
              </w:rPr>
              <w:t>7</w:t>
            </w:r>
          </w:p>
        </w:tc>
        <w:tc>
          <w:tcPr>
            <w:tcW w:w="1559" w:type="dxa"/>
            <w:shd w:val="clear" w:color="auto" w:fill="auto"/>
          </w:tcPr>
          <w:p w14:paraId="0DDF5040" w14:textId="77777777" w:rsidR="00B667EA" w:rsidRPr="00251AD4" w:rsidRDefault="00B667EA" w:rsidP="004F78A3">
            <w:pPr>
              <w:spacing w:beforeLines="50" w:before="180"/>
              <w:jc w:val="center"/>
              <w:rPr>
                <w:kern w:val="2"/>
              </w:rPr>
            </w:pPr>
            <w:r>
              <w:rPr>
                <w:rFonts w:hint="eastAsia"/>
                <w:kern w:val="2"/>
              </w:rPr>
              <w:t>3</w:t>
            </w:r>
          </w:p>
        </w:tc>
        <w:tc>
          <w:tcPr>
            <w:tcW w:w="991" w:type="dxa"/>
            <w:shd w:val="clear" w:color="auto" w:fill="auto"/>
          </w:tcPr>
          <w:p w14:paraId="4B16661D" w14:textId="77777777" w:rsidR="00B667EA" w:rsidRPr="00251AD4" w:rsidRDefault="00B667EA" w:rsidP="004F78A3">
            <w:pPr>
              <w:spacing w:beforeLines="50" w:before="180"/>
              <w:jc w:val="center"/>
              <w:rPr>
                <w:kern w:val="2"/>
              </w:rPr>
            </w:pPr>
            <w:r>
              <w:rPr>
                <w:rFonts w:hint="eastAsia"/>
                <w:kern w:val="2"/>
              </w:rPr>
              <w:t>5</w:t>
            </w:r>
            <w:r>
              <w:rPr>
                <w:kern w:val="2"/>
              </w:rPr>
              <w:t>6</w:t>
            </w:r>
          </w:p>
        </w:tc>
        <w:tc>
          <w:tcPr>
            <w:tcW w:w="991" w:type="dxa"/>
            <w:shd w:val="clear" w:color="auto" w:fill="auto"/>
          </w:tcPr>
          <w:p w14:paraId="35584F96" w14:textId="77777777" w:rsidR="00B667EA" w:rsidRPr="00251AD4" w:rsidRDefault="00B667EA" w:rsidP="004F78A3">
            <w:pPr>
              <w:spacing w:beforeLines="50" w:before="180"/>
              <w:jc w:val="center"/>
              <w:rPr>
                <w:kern w:val="2"/>
              </w:rPr>
            </w:pPr>
            <w:r>
              <w:rPr>
                <w:rFonts w:hint="eastAsia"/>
                <w:kern w:val="2"/>
              </w:rPr>
              <w:t>5</w:t>
            </w:r>
            <w:r>
              <w:rPr>
                <w:kern w:val="2"/>
              </w:rPr>
              <w:t>6</w:t>
            </w:r>
          </w:p>
        </w:tc>
        <w:tc>
          <w:tcPr>
            <w:tcW w:w="991" w:type="dxa"/>
            <w:shd w:val="clear" w:color="auto" w:fill="auto"/>
          </w:tcPr>
          <w:p w14:paraId="17F1FA4C" w14:textId="77777777" w:rsidR="00B667EA" w:rsidRPr="008C0639" w:rsidRDefault="00B667EA" w:rsidP="004F78A3">
            <w:pPr>
              <w:spacing w:beforeLines="50" w:before="180"/>
              <w:jc w:val="center"/>
              <w:rPr>
                <w:kern w:val="2"/>
              </w:rPr>
            </w:pPr>
            <w:r w:rsidRPr="008C0639">
              <w:rPr>
                <w:rFonts w:hint="eastAsia"/>
                <w:kern w:val="2"/>
              </w:rPr>
              <w:t>4</w:t>
            </w:r>
            <w:r w:rsidRPr="008C0639">
              <w:rPr>
                <w:kern w:val="2"/>
              </w:rPr>
              <w:t>8</w:t>
            </w:r>
          </w:p>
        </w:tc>
        <w:tc>
          <w:tcPr>
            <w:tcW w:w="991" w:type="dxa"/>
            <w:shd w:val="clear" w:color="auto" w:fill="auto"/>
          </w:tcPr>
          <w:p w14:paraId="391BF00E" w14:textId="77777777" w:rsidR="00B667EA" w:rsidRPr="008C0639" w:rsidRDefault="00B667EA" w:rsidP="004F78A3">
            <w:pPr>
              <w:spacing w:beforeLines="50" w:before="180"/>
              <w:jc w:val="center"/>
              <w:rPr>
                <w:kern w:val="2"/>
              </w:rPr>
            </w:pPr>
          </w:p>
        </w:tc>
      </w:tr>
    </w:tbl>
    <w:p w14:paraId="2CD244FB" w14:textId="77777777" w:rsidR="00B667EA" w:rsidRDefault="00B667EA" w:rsidP="00B667EA">
      <w:pPr>
        <w:snapToGrid/>
        <w:spacing w:after="0" w:afterAutospacing="0"/>
        <w:jc w:val="left"/>
        <w:rPr>
          <w:rFonts w:ascii="Times" w:eastAsia="Batang" w:hAnsi="Times"/>
          <w:sz w:val="20"/>
          <w:highlight w:val="green"/>
          <w:lang w:eastAsia="en-US"/>
        </w:rPr>
      </w:pPr>
    </w:p>
    <w:p w14:paraId="71EBDDB8" w14:textId="7CB49FD1" w:rsidR="00B667EA" w:rsidRDefault="00B667EA" w:rsidP="004407D4">
      <w:pPr>
        <w:rPr>
          <w:bCs/>
        </w:rPr>
      </w:pPr>
      <w:r w:rsidRPr="00C9033A">
        <w:rPr>
          <w:b/>
          <w:bCs/>
          <w:u w:val="single"/>
        </w:rPr>
        <w:t xml:space="preserve">Proposal </w:t>
      </w:r>
      <w:r>
        <w:rPr>
          <w:b/>
          <w:bCs/>
          <w:u w:val="single"/>
        </w:rPr>
        <w:t>7</w:t>
      </w:r>
      <w:r w:rsidRPr="00C9033A">
        <w:rPr>
          <w:b/>
          <w:bCs/>
          <w:u w:val="single"/>
        </w:rPr>
        <w:t>:</w:t>
      </w:r>
      <w:r w:rsidRPr="008C129B">
        <w:rPr>
          <w:b/>
          <w:bCs/>
        </w:rPr>
        <w:t xml:space="preserve"> </w:t>
      </w:r>
      <w:r>
        <w:rPr>
          <w:bCs/>
        </w:rPr>
        <w:t>In Rel-16 eURLLC, apply the BD limit to each PDCCH monitoring span. The PDCCH candidates counting/dropping for Rel-16 eURLLC can be performed per PDCCH monitoring span.</w:t>
      </w:r>
    </w:p>
    <w:p w14:paraId="7299C403" w14:textId="77777777" w:rsidR="00B667EA" w:rsidRDefault="00B667EA" w:rsidP="00B667EA">
      <w:r w:rsidRPr="00C9033A">
        <w:rPr>
          <w:b/>
          <w:bCs/>
          <w:u w:val="single"/>
        </w:rPr>
        <w:t xml:space="preserve">Proposal </w:t>
      </w:r>
      <w:r>
        <w:rPr>
          <w:b/>
          <w:bCs/>
          <w:u w:val="single"/>
        </w:rPr>
        <w:t>8</w:t>
      </w:r>
      <w:r w:rsidRPr="00C9033A">
        <w:rPr>
          <w:b/>
          <w:bCs/>
          <w:u w:val="single"/>
        </w:rPr>
        <w:t>:</w:t>
      </w:r>
      <w:r w:rsidRPr="008C129B">
        <w:rPr>
          <w:b/>
          <w:bCs/>
        </w:rPr>
        <w:t xml:space="preserve"> </w:t>
      </w:r>
      <w:r w:rsidRPr="00552692">
        <w:rPr>
          <w:bCs/>
        </w:rPr>
        <w:t xml:space="preserve">The </w:t>
      </w:r>
      <w:r>
        <w:rPr>
          <w:bCs/>
        </w:rPr>
        <w:t xml:space="preserve">BD </w:t>
      </w:r>
      <w:r w:rsidRPr="00552692">
        <w:rPr>
          <w:bCs/>
        </w:rPr>
        <w:t xml:space="preserve">limit per PDCCH monitoring span </w:t>
      </w:r>
      <w:r>
        <w:rPr>
          <w:bCs/>
        </w:rPr>
        <w:t>can be</w:t>
      </w:r>
      <w:r w:rsidRPr="00552692">
        <w:rPr>
          <w:bCs/>
        </w:rPr>
        <w:t xml:space="preserve"> </w:t>
      </w:r>
      <w:r>
        <w:rPr>
          <w:bCs/>
        </w:rPr>
        <w:t>different</w:t>
      </w:r>
      <w:r w:rsidRPr="00552692">
        <w:rPr>
          <w:bCs/>
        </w:rPr>
        <w:t xml:space="preserve"> across spans within a slot</w:t>
      </w:r>
      <w:r>
        <w:rPr>
          <w:bCs/>
        </w:rPr>
        <w:t xml:space="preserve"> to keep monitoring opportunity per span for URLLC PDCCH.</w:t>
      </w:r>
    </w:p>
    <w:p w14:paraId="38641581" w14:textId="2753FE69" w:rsidR="00B667EA" w:rsidRPr="005C2D97" w:rsidRDefault="00B667EA" w:rsidP="004407D4">
      <w:pPr>
        <w:rPr>
          <w:rFonts w:eastAsiaTheme="minorEastAsia"/>
        </w:rPr>
      </w:pPr>
      <w:r w:rsidRPr="00C9033A">
        <w:rPr>
          <w:b/>
          <w:bCs/>
          <w:u w:val="single"/>
        </w:rPr>
        <w:t xml:space="preserve">Proposal </w:t>
      </w:r>
      <w:r>
        <w:rPr>
          <w:b/>
          <w:bCs/>
          <w:u w:val="single"/>
        </w:rPr>
        <w:t>9</w:t>
      </w:r>
      <w:r w:rsidRPr="00C9033A">
        <w:rPr>
          <w:b/>
          <w:bCs/>
          <w:u w:val="single"/>
        </w:rPr>
        <w:t>:</w:t>
      </w:r>
      <w:r>
        <w:rPr>
          <w:b/>
          <w:bCs/>
          <w:u w:val="single"/>
        </w:rPr>
        <w:t xml:space="preserve"> </w:t>
      </w:r>
      <w:r w:rsidRPr="004B22B1">
        <w:rPr>
          <w:bCs/>
        </w:rPr>
        <w:t xml:space="preserve">PDCCH </w:t>
      </w:r>
      <w:r>
        <w:rPr>
          <w:bCs/>
        </w:rPr>
        <w:t>candidate dropping for Rel-16 URLLC can be performed in terms of aggregation level.</w:t>
      </w:r>
    </w:p>
    <w:bookmarkEnd w:id="4"/>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C5EA697"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Huawei, HiSil</w:t>
      </w:r>
      <w:r w:rsidR="00170AC7">
        <w:rPr>
          <w:szCs w:val="24"/>
          <w:lang w:eastAsia="ja-JP"/>
        </w:rPr>
        <w:t>icon</w:t>
      </w:r>
    </w:p>
    <w:p w14:paraId="3629E58B" w14:textId="4340EE96" w:rsidR="004E4E49" w:rsidRPr="004E4E49" w:rsidRDefault="004E4E49">
      <w:pPr>
        <w:pStyle w:val="textintend2"/>
        <w:rPr>
          <w:szCs w:val="24"/>
        </w:rPr>
      </w:pPr>
      <w:r>
        <w:rPr>
          <w:rFonts w:hint="eastAsia"/>
          <w:szCs w:val="24"/>
          <w:lang w:eastAsia="ja-JP"/>
        </w:rPr>
        <w:t>R</w:t>
      </w:r>
      <w:r>
        <w:rPr>
          <w:szCs w:val="24"/>
          <w:lang w:eastAsia="ja-JP"/>
        </w:rPr>
        <w:t>1-1911078, “</w:t>
      </w:r>
      <w:r w:rsidRPr="00A8306C">
        <w:rPr>
          <w:szCs w:val="24"/>
          <w:lang w:eastAsia="ja-JP"/>
        </w:rPr>
        <w:t>PDCCH enhancements for eURLLC</w:t>
      </w:r>
      <w:r>
        <w:rPr>
          <w:szCs w:val="24"/>
          <w:lang w:eastAsia="ja-JP"/>
        </w:rPr>
        <w:t>”, RAN1#98bis, MediaTek Inc.</w:t>
      </w:r>
    </w:p>
    <w:p w14:paraId="75343B17" w14:textId="17BFCA52" w:rsidR="00B94397" w:rsidRDefault="00C85C72" w:rsidP="006C465F">
      <w:pPr>
        <w:pStyle w:val="textintend2"/>
        <w:rPr>
          <w:szCs w:val="24"/>
        </w:rPr>
      </w:pPr>
      <w:r w:rsidRPr="00100F05">
        <w:rPr>
          <w:szCs w:val="24"/>
        </w:rPr>
        <w:t>“RAN1 Chairman’s Notes”, RAN1#9</w:t>
      </w:r>
      <w:r w:rsidR="00F61E01">
        <w:rPr>
          <w:szCs w:val="24"/>
          <w:lang w:eastAsia="ja-JP"/>
        </w:rPr>
        <w:t>8</w:t>
      </w:r>
    </w:p>
    <w:p w14:paraId="33C15C45" w14:textId="5D3C01F4" w:rsidR="00ED0016" w:rsidRDefault="00ED0016" w:rsidP="006C465F">
      <w:pPr>
        <w:pStyle w:val="textintend2"/>
        <w:rPr>
          <w:szCs w:val="24"/>
        </w:rPr>
      </w:pPr>
      <w:r>
        <w:rPr>
          <w:szCs w:val="24"/>
          <w:lang w:eastAsia="ja-JP"/>
        </w:rPr>
        <w:t>3GPP TR 38.824 v16.0.0 “Study on physical layer enhancements for NR ultra-reliable and low latency case(URLLC)”, 2019-03</w:t>
      </w:r>
    </w:p>
    <w:p w14:paraId="11784144" w14:textId="240DF453" w:rsidR="003D31E4" w:rsidRDefault="003D31E4" w:rsidP="006C465F">
      <w:pPr>
        <w:pStyle w:val="textintend2"/>
        <w:rPr>
          <w:szCs w:val="24"/>
        </w:rPr>
      </w:pPr>
      <w:r>
        <w:rPr>
          <w:lang w:eastAsia="zh-CN"/>
        </w:rPr>
        <w:t>R1-1903776, “Email discussion on collecting the results for eURLLC processing timeline”</w:t>
      </w:r>
    </w:p>
    <w:p w14:paraId="631501E0" w14:textId="6612E725" w:rsidR="00127411" w:rsidRPr="006C465F" w:rsidRDefault="00127411" w:rsidP="006C465F">
      <w:pPr>
        <w:pStyle w:val="textintend2"/>
        <w:rPr>
          <w:szCs w:val="24"/>
        </w:rPr>
      </w:pPr>
      <w:r>
        <w:rPr>
          <w:szCs w:val="24"/>
        </w:rPr>
        <w:t>R1-</w:t>
      </w:r>
      <w:r w:rsidRPr="00127411">
        <w:rPr>
          <w:szCs w:val="24"/>
        </w:rPr>
        <w:t>1909877</w:t>
      </w:r>
      <w:r>
        <w:rPr>
          <w:szCs w:val="24"/>
        </w:rPr>
        <w:t xml:space="preserve"> “</w:t>
      </w:r>
      <w:r w:rsidRPr="00127411">
        <w:rPr>
          <w:szCs w:val="24"/>
        </w:rPr>
        <w:t>Summary of Friday afternoon offline discussion on PDCCH enhancements</w:t>
      </w:r>
      <w:r>
        <w:rPr>
          <w:szCs w:val="24"/>
        </w:rPr>
        <w:t>”, RAN1#98, Huawei</w:t>
      </w:r>
    </w:p>
    <w:sectPr w:rsidR="00127411" w:rsidRPr="006C465F"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584C" w14:textId="77777777" w:rsidR="0075125C" w:rsidRDefault="0075125C">
      <w:r>
        <w:separator/>
      </w:r>
    </w:p>
  </w:endnote>
  <w:endnote w:type="continuationSeparator" w:id="0">
    <w:p w14:paraId="51F358E8" w14:textId="77777777" w:rsidR="0075125C" w:rsidRDefault="0075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801AAB" w:rsidRDefault="00801AAB">
    <w:pPr>
      <w:pStyle w:val="af"/>
      <w:jc w:val="center"/>
    </w:pPr>
    <w:r>
      <w:rPr>
        <w:b/>
      </w:rPr>
      <w:fldChar w:fldCharType="begin"/>
    </w:r>
    <w:r>
      <w:rPr>
        <w:b/>
      </w:rPr>
      <w:instrText>PAGE</w:instrText>
    </w:r>
    <w:r>
      <w:rPr>
        <w:b/>
      </w:rPr>
      <w:fldChar w:fldCharType="separate"/>
    </w:r>
    <w:r w:rsidR="00456FAE">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71F1E" w14:textId="77777777" w:rsidR="0075125C" w:rsidRDefault="0075125C">
      <w:r>
        <w:separator/>
      </w:r>
    </w:p>
  </w:footnote>
  <w:footnote w:type="continuationSeparator" w:id="0">
    <w:p w14:paraId="5A4A9462" w14:textId="77777777" w:rsidR="0075125C" w:rsidRDefault="007512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5"/>
  </w:num>
  <w:num w:numId="3">
    <w:abstractNumId w:val="8"/>
  </w:num>
  <w:num w:numId="4">
    <w:abstractNumId w:val="24"/>
  </w:num>
  <w:num w:numId="5">
    <w:abstractNumId w:val="17"/>
  </w:num>
  <w:num w:numId="6">
    <w:abstractNumId w:val="18"/>
  </w:num>
  <w:num w:numId="7">
    <w:abstractNumId w:val="16"/>
  </w:num>
  <w:num w:numId="8">
    <w:abstractNumId w:val="3"/>
  </w:num>
  <w:num w:numId="9">
    <w:abstractNumId w:val="27"/>
  </w:num>
  <w:num w:numId="10">
    <w:abstractNumId w:val="14"/>
  </w:num>
  <w:num w:numId="11">
    <w:abstractNumId w:val="20"/>
  </w:num>
  <w:num w:numId="12">
    <w:abstractNumId w:val="0"/>
  </w:num>
  <w:num w:numId="13">
    <w:abstractNumId w:val="9"/>
  </w:num>
  <w:num w:numId="14">
    <w:abstractNumId w:val="2"/>
  </w:num>
  <w:num w:numId="15">
    <w:abstractNumId w:val="6"/>
  </w:num>
  <w:num w:numId="16">
    <w:abstractNumId w:val="10"/>
  </w:num>
  <w:num w:numId="17">
    <w:abstractNumId w:val="26"/>
  </w:num>
  <w:num w:numId="18">
    <w:abstractNumId w:val="13"/>
  </w:num>
  <w:num w:numId="19">
    <w:abstractNumId w:val="7"/>
  </w:num>
  <w:num w:numId="20">
    <w:abstractNumId w:val="4"/>
  </w:num>
  <w:num w:numId="21">
    <w:abstractNumId w:val="12"/>
  </w:num>
  <w:num w:numId="22">
    <w:abstractNumId w:val="22"/>
  </w:num>
  <w:num w:numId="23">
    <w:abstractNumId w:val="15"/>
  </w:num>
  <w:num w:numId="24">
    <w:abstractNumId w:val="11"/>
  </w:num>
  <w:num w:numId="25">
    <w:abstractNumId w:val="25"/>
  </w:num>
  <w:num w:numId="26">
    <w:abstractNumId w:val="21"/>
  </w:num>
  <w:num w:numId="27">
    <w:abstractNumId w:val="1"/>
  </w:num>
  <w:num w:numId="28">
    <w:abstractNumId w:val="10"/>
  </w:num>
  <w:num w:numId="2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687"/>
    <w:rsid w:val="001B19F6"/>
    <w:rsid w:val="001B2EC7"/>
    <w:rsid w:val="001B3809"/>
    <w:rsid w:val="001B4022"/>
    <w:rsid w:val="001B4649"/>
    <w:rsid w:val="001B4CA2"/>
    <w:rsid w:val="001B5F00"/>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6FAE"/>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25C"/>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27E4"/>
    <w:rsid w:val="007F2D74"/>
    <w:rsid w:val="007F44C8"/>
    <w:rsid w:val="007F4593"/>
    <w:rsid w:val="007F4EAC"/>
    <w:rsid w:val="007F58F3"/>
    <w:rsid w:val="007F6C30"/>
    <w:rsid w:val="007F74EE"/>
    <w:rsid w:val="007F7FCC"/>
    <w:rsid w:val="008002C9"/>
    <w:rsid w:val="0080152B"/>
    <w:rsid w:val="00801AAB"/>
    <w:rsid w:val="00801C13"/>
    <w:rsid w:val="00802343"/>
    <w:rsid w:val="00802CDD"/>
    <w:rsid w:val="008032A1"/>
    <w:rsid w:val="00803314"/>
    <w:rsid w:val="00803684"/>
    <w:rsid w:val="008038B9"/>
    <w:rsid w:val="00803AE1"/>
    <w:rsid w:val="00805549"/>
    <w:rsid w:val="00805780"/>
    <w:rsid w:val="0080578F"/>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587C"/>
    <w:rsid w:val="00AE6C50"/>
    <w:rsid w:val="00AE6CA1"/>
    <w:rsid w:val="00AE6E44"/>
    <w:rsid w:val="00AE731C"/>
    <w:rsid w:val="00AE7DA3"/>
    <w:rsid w:val="00AE7F2D"/>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508A"/>
    <w:rsid w:val="00BD51CE"/>
    <w:rsid w:val="00BD5293"/>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2F29"/>
    <w:rsid w:val="00E03262"/>
    <w:rsid w:val="00E03355"/>
    <w:rsid w:val="00E039A4"/>
    <w:rsid w:val="00E03F8B"/>
    <w:rsid w:val="00E04781"/>
    <w:rsid w:val="00E04A77"/>
    <w:rsid w:val="00E051D6"/>
    <w:rsid w:val="00E0580E"/>
    <w:rsid w:val="00E05BC4"/>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71B6"/>
    <w:rsid w:val="00F87408"/>
    <w:rsid w:val="00F90CF7"/>
    <w:rsid w:val="00F90FE7"/>
    <w:rsid w:val="00F9255A"/>
    <w:rsid w:val="00F929A2"/>
    <w:rsid w:val="00F92EA7"/>
    <w:rsid w:val="00F9310E"/>
    <w:rsid w:val="00F9367F"/>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B68F3-D6A8-4FB3-8362-9B6360F5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4240</Words>
  <Characters>24168</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2019-02-13T08:31:00Z</cp:lastPrinted>
  <dcterms:created xsi:type="dcterms:W3CDTF">2019-11-08T10:55:00Z</dcterms:created>
  <dcterms:modified xsi:type="dcterms:W3CDTF">2019-11-08T10:55:00Z</dcterms:modified>
</cp:coreProperties>
</file>