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3C61D7" w:rsidRDefault="00F7039A" w:rsidP="00B12B1E">
      <w:pPr>
        <w:pStyle w:val="Header"/>
        <w:tabs>
          <w:tab w:val="right" w:pos="9639"/>
        </w:tabs>
        <w:jc w:val="both"/>
        <w:rPr>
          <w:bCs/>
          <w:i/>
          <w:strike/>
          <w:noProof w:val="0"/>
          <w:sz w:val="24"/>
          <w:szCs w:val="24"/>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w:t>
      </w:r>
      <w:r w:rsidR="000635C1">
        <w:rPr>
          <w:noProof w:val="0"/>
          <w:sz w:val="24"/>
          <w:lang w:val="en-GB"/>
        </w:rPr>
        <w:t>9</w:t>
      </w:r>
      <w:r w:rsidR="00E05E1C">
        <w:rPr>
          <w:noProof w:val="0"/>
          <w:sz w:val="24"/>
          <w:lang w:val="en-GB"/>
        </w:rPr>
        <w:t>9</w:t>
      </w:r>
      <w:r w:rsidRPr="003C61D7">
        <w:rPr>
          <w:bCs/>
          <w:noProof w:val="0"/>
          <w:sz w:val="24"/>
          <w:szCs w:val="24"/>
          <w:lang w:val="en-GB" w:eastAsia="ja-JP"/>
        </w:rPr>
        <w:tab/>
      </w:r>
      <w:r w:rsidR="004039DB" w:rsidRPr="003C61D7">
        <w:rPr>
          <w:bCs/>
          <w:noProof w:val="0"/>
          <w:sz w:val="24"/>
          <w:szCs w:val="24"/>
          <w:lang w:val="en-GB" w:eastAsia="ja-JP"/>
        </w:rPr>
        <w:t>R1-1</w:t>
      </w:r>
      <w:r w:rsidR="0072216E" w:rsidRPr="003C61D7">
        <w:rPr>
          <w:bCs/>
          <w:noProof w:val="0"/>
          <w:sz w:val="24"/>
          <w:szCs w:val="24"/>
          <w:lang w:val="en-GB" w:eastAsia="ja-JP"/>
        </w:rPr>
        <w:t>9</w:t>
      </w:r>
      <w:r w:rsidR="002E3E9D">
        <w:rPr>
          <w:bCs/>
          <w:noProof w:val="0"/>
          <w:sz w:val="24"/>
          <w:szCs w:val="24"/>
          <w:lang w:val="en-GB" w:eastAsia="ja-JP"/>
        </w:rPr>
        <w:t>1</w:t>
      </w:r>
      <w:r w:rsidR="007F6003">
        <w:rPr>
          <w:bCs/>
          <w:noProof w:val="0"/>
          <w:sz w:val="24"/>
          <w:szCs w:val="24"/>
          <w:lang w:val="en-GB" w:eastAsia="ja-JP"/>
        </w:rPr>
        <w:t>2721</w:t>
      </w:r>
    </w:p>
    <w:bookmarkEnd w:id="0"/>
    <w:bookmarkEnd w:id="1"/>
    <w:p w:rsidR="00787640" w:rsidRPr="00E05E1C" w:rsidRDefault="00E05E1C" w:rsidP="00B12B1E">
      <w:pPr>
        <w:pStyle w:val="Header"/>
        <w:jc w:val="both"/>
        <w:rPr>
          <w:rFonts w:eastAsia="MS Mincho" w:cs="Arial"/>
          <w:bCs/>
          <w:noProof w:val="0"/>
          <w:sz w:val="24"/>
          <w:szCs w:val="24"/>
          <w:lang w:eastAsia="ja-JP"/>
        </w:rPr>
      </w:pPr>
      <w:r w:rsidRPr="00E05E1C">
        <w:rPr>
          <w:rFonts w:eastAsia="MS Mincho" w:cs="Arial"/>
          <w:bCs/>
          <w:sz w:val="24"/>
          <w:szCs w:val="24"/>
          <w:lang w:eastAsia="ja-JP"/>
        </w:rPr>
        <w:t>Reno, USA, November 18</w:t>
      </w:r>
      <w:r w:rsidRPr="00E05E1C">
        <w:rPr>
          <w:rFonts w:eastAsia="MS Mincho" w:cs="Arial"/>
          <w:bCs/>
          <w:sz w:val="24"/>
          <w:szCs w:val="24"/>
          <w:vertAlign w:val="superscript"/>
          <w:lang w:eastAsia="ja-JP"/>
        </w:rPr>
        <w:t>th</w:t>
      </w:r>
      <w:r w:rsidRPr="00E05E1C">
        <w:rPr>
          <w:rFonts w:eastAsia="MS Mincho" w:cs="Arial"/>
          <w:bCs/>
          <w:sz w:val="24"/>
          <w:szCs w:val="24"/>
          <w:lang w:eastAsia="ja-JP"/>
        </w:rPr>
        <w:t xml:space="preserve"> – 22</w:t>
      </w:r>
      <w:r w:rsidRPr="00E05E1C">
        <w:rPr>
          <w:rFonts w:eastAsia="MS Mincho" w:cs="Arial"/>
          <w:bCs/>
          <w:sz w:val="24"/>
          <w:szCs w:val="24"/>
          <w:vertAlign w:val="superscript"/>
          <w:lang w:eastAsia="ja-JP"/>
        </w:rPr>
        <w:t>nd</w:t>
      </w:r>
      <w:r w:rsidRPr="00E05E1C">
        <w:rPr>
          <w:rFonts w:eastAsia="MS Mincho" w:cs="Arial"/>
          <w:bCs/>
          <w:sz w:val="24"/>
          <w:szCs w:val="24"/>
          <w:lang w:eastAsia="ja-JP"/>
        </w:rPr>
        <w:t>, 2019</w:t>
      </w:r>
    </w:p>
    <w:p w:rsidR="00C51105" w:rsidRPr="007B7496" w:rsidRDefault="00C51105"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05E1C">
        <w:rPr>
          <w:rFonts w:ascii="Arial" w:hAnsi="Arial" w:cs="Arial"/>
          <w:b/>
          <w:bCs/>
          <w:sz w:val="24"/>
        </w:rPr>
        <w:t>Remaining issues on F</w:t>
      </w:r>
      <w:r w:rsidR="00577EEA">
        <w:rPr>
          <w:rFonts w:ascii="Arial" w:hAnsi="Arial" w:cs="Arial"/>
          <w:b/>
          <w:bCs/>
          <w:sz w:val="24"/>
        </w:rPr>
        <w:t>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7F6003" w:rsidRDefault="007F6003" w:rsidP="00B12B1E">
      <w:pPr>
        <w:jc w:val="both"/>
      </w:pPr>
    </w:p>
    <w:p w:rsidR="00A31E69" w:rsidRDefault="00B91FCB" w:rsidP="00B12B1E">
      <w:pPr>
        <w:pStyle w:val="Heading1"/>
        <w:jc w:val="both"/>
      </w:pPr>
      <w:r w:rsidRPr="00791982">
        <w:t>1</w:t>
      </w:r>
      <w:r w:rsidRPr="00791982">
        <w:tab/>
      </w:r>
      <w:r w:rsidR="00EE7FA7" w:rsidRPr="00E86042">
        <w:t>Introduction</w:t>
      </w:r>
    </w:p>
    <w:p w:rsidR="009F4384" w:rsidRDefault="00E05E1C" w:rsidP="00E05E1C">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Rel-16 NR supports two UE modes, mode-1 and mode-2, as </w:t>
      </w:r>
      <w:r w:rsidR="009F4384">
        <w:rPr>
          <w:rFonts w:ascii="Times New Roman" w:hAnsi="Times New Roman" w:cs="Times New Roman"/>
          <w:kern w:val="2"/>
          <w:sz w:val="20"/>
          <w:szCs w:val="20"/>
        </w:rPr>
        <w:t xml:space="preserve">solutions </w:t>
      </w:r>
      <w:r>
        <w:rPr>
          <w:rFonts w:ascii="Times New Roman" w:hAnsi="Times New Roman" w:cs="Times New Roman"/>
          <w:kern w:val="2"/>
          <w:sz w:val="20"/>
          <w:szCs w:val="20"/>
        </w:rPr>
        <w:t xml:space="preserve">to reach </w:t>
      </w:r>
      <w:r w:rsidR="009F4384">
        <w:rPr>
          <w:rFonts w:ascii="Times New Roman" w:hAnsi="Times New Roman" w:cs="Times New Roman"/>
          <w:kern w:val="2"/>
          <w:sz w:val="20"/>
          <w:szCs w:val="20"/>
        </w:rPr>
        <w:t>uplink full power transmission</w:t>
      </w:r>
      <w:r>
        <w:rPr>
          <w:rFonts w:ascii="Times New Roman" w:hAnsi="Times New Roman" w:cs="Times New Roman"/>
          <w:kern w:val="2"/>
          <w:sz w:val="20"/>
          <w:szCs w:val="20"/>
        </w:rPr>
        <w:t>, for so called UE capability 2 and UE capability 3</w:t>
      </w:r>
      <w:r w:rsidR="009F4384">
        <w:rPr>
          <w:rFonts w:ascii="Times New Roman" w:hAnsi="Times New Roman" w:cs="Times New Roman"/>
          <w:kern w:val="2"/>
          <w:sz w:val="20"/>
          <w:szCs w:val="20"/>
        </w:rPr>
        <w:t>. The definition of mode-1 and mode-2 are listed here</w:t>
      </w:r>
      <w:r w:rsidR="008F503A">
        <w:rPr>
          <w:rFonts w:ascii="Times New Roman" w:hAnsi="Times New Roman" w:cs="Times New Roman"/>
          <w:kern w:val="2"/>
          <w:sz w:val="20"/>
          <w:szCs w:val="20"/>
        </w:rPr>
        <w:t xml:space="preserve"> based on a RAN1 #97 agreement</w:t>
      </w:r>
      <w:r w:rsidR="00431E6D">
        <w:rPr>
          <w:rFonts w:ascii="Times New Roman" w:hAnsi="Times New Roman" w:cs="Times New Roman"/>
          <w:kern w:val="2"/>
          <w:sz w:val="20"/>
          <w:szCs w:val="20"/>
        </w:rPr>
        <w:t xml:space="preserve"> [1]</w:t>
      </w:r>
      <w:r w:rsidR="008F503A">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4384" w:rsidRPr="00453CE7" w:rsidTr="001F12B5">
        <w:tc>
          <w:tcPr>
            <w:tcW w:w="9629" w:type="dxa"/>
            <w:shd w:val="clear" w:color="auto" w:fill="auto"/>
          </w:tcPr>
          <w:p w:rsidR="009F4384" w:rsidRPr="00C0702A" w:rsidRDefault="009F4384" w:rsidP="001F12B5">
            <w:pPr>
              <w:rPr>
                <w:rFonts w:ascii="Times New Roman" w:hAnsi="Times New Roman" w:cs="Times New Roman"/>
                <w:b/>
                <w:sz w:val="20"/>
                <w:szCs w:val="20"/>
                <w:highlight w:val="darkYellow"/>
              </w:rPr>
            </w:pPr>
            <w:r w:rsidRPr="00C0702A">
              <w:rPr>
                <w:rFonts w:ascii="Times New Roman" w:hAnsi="Times New Roman" w:cs="Times New Roman"/>
                <w:b/>
                <w:sz w:val="20"/>
                <w:szCs w:val="20"/>
                <w:highlight w:val="darkYellow"/>
              </w:rPr>
              <w:t>Working Assumption</w:t>
            </w:r>
          </w:p>
          <w:p w:rsidR="009F4384" w:rsidRPr="00C0702A" w:rsidRDefault="009F4384" w:rsidP="001F12B5">
            <w:pPr>
              <w:rPr>
                <w:rFonts w:ascii="Times New Roman" w:hAnsi="Times New Roman"/>
                <w:sz w:val="20"/>
                <w:szCs w:val="20"/>
              </w:rPr>
            </w:pPr>
            <w:r w:rsidRPr="00C0702A">
              <w:rPr>
                <w:rFonts w:ascii="Times New Roman" w:hAnsi="Times New Roman"/>
                <w:sz w:val="20"/>
                <w:szCs w:val="20"/>
              </w:rPr>
              <w:t>Support following scheme for UL full power Tx for UE capability 2 and 3</w:t>
            </w:r>
            <w:r w:rsidRPr="00C0702A">
              <w:rPr>
                <w:rFonts w:ascii="Times New Roman" w:hAnsi="Times New Roman" w:hint="eastAsia"/>
                <w:sz w:val="20"/>
                <w:szCs w:val="20"/>
              </w:rPr>
              <w:t>:</w:t>
            </w:r>
          </w:p>
          <w:p w:rsidR="009F4384" w:rsidRPr="00C0702A" w:rsidRDefault="009F4384" w:rsidP="001F12B5">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A UE can be configured for one of two modes of full power operation to support ‘Capability 2’ and ‘Capability 3’ subject to UE capability</w:t>
            </w:r>
          </w:p>
          <w:p w:rsidR="009F4384" w:rsidRPr="00C0702A" w:rsidRDefault="009F4384" w:rsidP="001F12B5">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UE can be configured by the network to support full power transmission </w:t>
            </w:r>
          </w:p>
          <w:p w:rsidR="009F4384" w:rsidRPr="00C0702A" w:rsidRDefault="009F4384" w:rsidP="001F12B5">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Mode 1: The UE can be configured with one or more SRS resources with same number of SRS ports (according to Rel-15)</w:t>
            </w:r>
            <w:r w:rsidRPr="00C0702A">
              <w:rPr>
                <w:rFonts w:ascii="Times New Roman" w:eastAsia="Malgun Gothic" w:hAnsi="Times New Roman" w:hint="eastAsia"/>
                <w:sz w:val="20"/>
                <w:szCs w:val="20"/>
              </w:rPr>
              <w:t xml:space="preserve"> within a</w:t>
            </w:r>
            <w:r w:rsidRPr="00C0702A">
              <w:rPr>
                <w:rFonts w:ascii="Times New Roman" w:eastAsia="Malgun Gothic" w:hAnsi="Times New Roman"/>
                <w:sz w:val="20"/>
                <w:szCs w:val="20"/>
              </w:rPr>
              <w:t>n</w:t>
            </w:r>
            <w:r w:rsidRPr="00C0702A">
              <w:rPr>
                <w:rFonts w:ascii="Times New Roman" w:eastAsia="Malgun Gothic" w:hAnsi="Times New Roman" w:hint="eastAsia"/>
                <w:sz w:val="20"/>
                <w:szCs w:val="20"/>
              </w:rPr>
              <w:t xml:space="preserve"> SRS resource set which </w:t>
            </w:r>
            <w:r w:rsidRPr="00C0702A">
              <w:rPr>
                <w:rFonts w:ascii="Times New Roman" w:eastAsia="Malgun Gothic" w:hAnsi="Times New Roman" w:hint="eastAsia"/>
                <w:i/>
                <w:sz w:val="20"/>
                <w:szCs w:val="20"/>
              </w:rPr>
              <w:t>usage</w:t>
            </w:r>
            <w:r w:rsidRPr="00C0702A">
              <w:rPr>
                <w:rFonts w:ascii="Times New Roman" w:eastAsia="Malgun Gothic" w:hAnsi="Times New Roman" w:hint="eastAsia"/>
                <w:sz w:val="20"/>
                <w:szCs w:val="20"/>
              </w:rPr>
              <w:t xml:space="preserve"> is set to </w:t>
            </w:r>
            <w:r w:rsidRPr="00C0702A">
              <w:rPr>
                <w:rFonts w:ascii="Times New Roman" w:eastAsia="Malgun Gothic" w:hAnsi="Times New Roman"/>
                <w:sz w:val="20"/>
                <w:szCs w:val="20"/>
              </w:rPr>
              <w:t>‘</w:t>
            </w:r>
            <w:r w:rsidRPr="00C0702A">
              <w:rPr>
                <w:rFonts w:ascii="Times New Roman" w:eastAsia="Malgun Gothic" w:hAnsi="Times New Roman" w:hint="eastAsia"/>
                <w:sz w:val="20"/>
                <w:szCs w:val="20"/>
              </w:rPr>
              <w:t>codebook</w:t>
            </w:r>
            <w:r w:rsidRPr="00C0702A">
              <w:rPr>
                <w:rFonts w:ascii="Times New Roman" w:eastAsia="Malgun Gothic" w:hAnsi="Times New Roman"/>
                <w:sz w:val="20"/>
                <w:szCs w:val="20"/>
              </w:rPr>
              <w:t>’</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gNB can configure the UE to use a subset of TPMIs that combine ports in a layer to produce full power transmission.</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new </w:t>
            </w:r>
            <w:proofErr w:type="spellStart"/>
            <w:r w:rsidRPr="00C0702A">
              <w:rPr>
                <w:rFonts w:ascii="Times New Roman" w:hAnsi="Times New Roman"/>
                <w:sz w:val="20"/>
                <w:szCs w:val="20"/>
              </w:rPr>
              <w:t>codebookSubset</w:t>
            </w:r>
            <w:proofErr w:type="spellEnd"/>
            <w:r w:rsidRPr="00C0702A">
              <w:rPr>
                <w:rFonts w:ascii="Times New Roman" w:hAnsi="Times New Roman"/>
                <w:sz w:val="20"/>
                <w:szCs w:val="20"/>
              </w:rPr>
              <w:t xml:space="preserve"> is introduced only for the rank value(s) where full power transmission in UL is not achievable includes the TPMI precoders in </w:t>
            </w:r>
            <w:proofErr w:type="spellStart"/>
            <w:r w:rsidRPr="00C0702A">
              <w:rPr>
                <w:rFonts w:ascii="Times New Roman" w:hAnsi="Times New Roman"/>
                <w:i/>
                <w:sz w:val="20"/>
                <w:szCs w:val="20"/>
              </w:rPr>
              <w:t>fullyAndPartialAndNonCoherent</w:t>
            </w:r>
            <w:proofErr w:type="spellEnd"/>
            <w:r w:rsidRPr="00C0702A">
              <w:rPr>
                <w:rFonts w:ascii="Times New Roman" w:hAnsi="Times New Roman"/>
                <w:sz w:val="20"/>
                <w:szCs w:val="20"/>
              </w:rPr>
              <w:t xml:space="preserve"> defined in Rel-15</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FFS: At least a subset of the non-antenna selection TPMI precoder(s) is(are) supported </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FFS: Additional support of antenna selection TPMI precoders</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Note: as non-coherent UE, it is not capable of maintaining relative phase of antenna ports according to TPMI</w:t>
            </w:r>
          </w:p>
          <w:p w:rsidR="009F4384" w:rsidRPr="00C0702A" w:rsidRDefault="009F4384" w:rsidP="001F12B5">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Mode 2: The UE can be configured with one SRS resource or multiple SRS resources with different number of SRS ports</w:t>
            </w:r>
            <w:r w:rsidRPr="00C0702A">
              <w:rPr>
                <w:rFonts w:ascii="Times New Roman" w:eastAsia="Malgun Gothic" w:hAnsi="Times New Roman" w:hint="eastAsia"/>
                <w:sz w:val="20"/>
                <w:szCs w:val="20"/>
              </w:rPr>
              <w:t xml:space="preserve"> within </w:t>
            </w:r>
            <w:proofErr w:type="gramStart"/>
            <w:r w:rsidRPr="00C0702A">
              <w:rPr>
                <w:rFonts w:ascii="Times New Roman" w:eastAsia="Malgun Gothic" w:hAnsi="Times New Roman" w:hint="eastAsia"/>
                <w:sz w:val="20"/>
                <w:szCs w:val="20"/>
              </w:rPr>
              <w:t>a</w:t>
            </w:r>
            <w:proofErr w:type="gramEnd"/>
            <w:r w:rsidRPr="00C0702A">
              <w:rPr>
                <w:rFonts w:ascii="Times New Roman" w:eastAsia="Malgun Gothic" w:hAnsi="Times New Roman" w:hint="eastAsia"/>
                <w:sz w:val="20"/>
                <w:szCs w:val="20"/>
              </w:rPr>
              <w:t xml:space="preserve"> SRS resource set which </w:t>
            </w:r>
            <w:r w:rsidRPr="00C0702A">
              <w:rPr>
                <w:rFonts w:ascii="Times New Roman" w:eastAsia="Malgun Gothic" w:hAnsi="Times New Roman" w:hint="eastAsia"/>
                <w:i/>
                <w:sz w:val="20"/>
                <w:szCs w:val="20"/>
              </w:rPr>
              <w:t>usage</w:t>
            </w:r>
            <w:r w:rsidRPr="00C0702A">
              <w:rPr>
                <w:rFonts w:ascii="Times New Roman" w:eastAsia="Malgun Gothic" w:hAnsi="Times New Roman" w:hint="eastAsia"/>
                <w:sz w:val="20"/>
                <w:szCs w:val="20"/>
              </w:rPr>
              <w:t xml:space="preserve"> is set to </w:t>
            </w:r>
            <w:r w:rsidRPr="00C0702A">
              <w:rPr>
                <w:rFonts w:ascii="Times New Roman" w:eastAsia="Malgun Gothic" w:hAnsi="Times New Roman"/>
                <w:sz w:val="20"/>
                <w:szCs w:val="20"/>
              </w:rPr>
              <w:t>‘</w:t>
            </w:r>
            <w:r w:rsidRPr="00C0702A">
              <w:rPr>
                <w:rFonts w:ascii="Times New Roman" w:eastAsia="Malgun Gothic" w:hAnsi="Times New Roman" w:hint="eastAsia"/>
                <w:sz w:val="20"/>
                <w:szCs w:val="20"/>
              </w:rPr>
              <w:t>codebook</w:t>
            </w:r>
            <w:r w:rsidRPr="00C0702A">
              <w:rPr>
                <w:rFonts w:ascii="Times New Roman" w:eastAsia="Malgun Gothic" w:hAnsi="Times New Roman"/>
                <w:sz w:val="20"/>
                <w:szCs w:val="20"/>
              </w:rPr>
              <w:t>’</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eastAsia="Malgun Gothic" w:hAnsi="Times New Roman" w:hint="eastAsia"/>
                <w:sz w:val="20"/>
                <w:szCs w:val="20"/>
              </w:rPr>
              <w:t xml:space="preserve">UE transmits SRS and PUSCH </w:t>
            </w:r>
            <w:r w:rsidRPr="00C0702A">
              <w:rPr>
                <w:rFonts w:ascii="Times New Roman" w:eastAsia="Malgun Gothic" w:hAnsi="Times New Roman"/>
                <w:sz w:val="20"/>
                <w:szCs w:val="20"/>
              </w:rPr>
              <w:t>in same manner, whether antenna virtualization is used or not</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eastAsia="Malgun Gothic" w:hAnsi="Times New Roman"/>
                <w:sz w:val="20"/>
                <w:szCs w:val="20"/>
              </w:rPr>
              <w:t>Rel-15 codebooks and codebook subsets are used</w:t>
            </w:r>
          </w:p>
          <w:p w:rsidR="009F4384" w:rsidRPr="00C0702A" w:rsidRDefault="009F4384" w:rsidP="001F12B5">
            <w:pPr>
              <w:pStyle w:val="ListParagraph"/>
              <w:numPr>
                <w:ilvl w:val="2"/>
                <w:numId w:val="32"/>
              </w:numPr>
              <w:spacing w:after="0" w:line="240" w:lineRule="auto"/>
              <w:ind w:left="1440" w:hanging="240"/>
              <w:contextualSpacing w:val="0"/>
              <w:rPr>
                <w:rFonts w:ascii="Times New Roman" w:hAnsi="Times New Roman"/>
                <w:sz w:val="20"/>
                <w:szCs w:val="20"/>
              </w:rPr>
            </w:pPr>
            <w:r w:rsidRPr="00C0702A">
              <w:rPr>
                <w:rFonts w:ascii="Times New Roman" w:hAnsi="Times New Roman"/>
                <w:sz w:val="20"/>
                <w:szCs w:val="20"/>
              </w:rPr>
              <w:t>Note: Antenna selection precoder can be used to enable full power related PA(s) to produce full power transmission for Capability-3 UE.</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UL full power Tx is achieved for PUSCH transmission according to indicated SRI and/or TPMI</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set of TPMIs that deliver full power can be signalled by the UE in order to support at </w:t>
            </w:r>
            <w:proofErr w:type="gramStart"/>
            <w:r w:rsidRPr="00C0702A">
              <w:rPr>
                <w:rFonts w:ascii="Times New Roman" w:hAnsi="Times New Roman"/>
                <w:sz w:val="20"/>
                <w:szCs w:val="20"/>
              </w:rPr>
              <w:t>least  UEcap</w:t>
            </w:r>
            <w:proofErr w:type="gramEnd"/>
            <w:r w:rsidRPr="00C0702A">
              <w:rPr>
                <w:rFonts w:ascii="Times New Roman" w:hAnsi="Times New Roman"/>
                <w:sz w:val="20"/>
                <w:szCs w:val="20"/>
              </w:rPr>
              <w:t xml:space="preserve">3, for SRS resource with more than 1 ports, </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The following cases are not precluded</w:t>
            </w:r>
          </w:p>
          <w:p w:rsidR="009F4384" w:rsidRPr="00C0702A" w:rsidRDefault="009F4384" w:rsidP="001F12B5">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For example, for 4TX on UE side (with 20+20+17+17dBm) virtualized as 2 SRS ports, full uplink power transmission can be enabled by precoder [1 0] or [0 1]</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eastAsia="Malgun Gothic" w:hAnsi="Times New Roman"/>
                <w:sz w:val="20"/>
                <w:szCs w:val="20"/>
              </w:rPr>
              <w:t xml:space="preserve">FFS: number of SRS resources supported </w:t>
            </w:r>
          </w:p>
          <w:p w:rsidR="009F4384" w:rsidRPr="00C0702A" w:rsidRDefault="009F4384" w:rsidP="001F12B5">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eastAsia="Malgun Gothic" w:hAnsi="Times New Roman"/>
                <w:sz w:val="20"/>
                <w:szCs w:val="20"/>
              </w:rPr>
              <w:t xml:space="preserve">2 </w:t>
            </w:r>
          </w:p>
          <w:p w:rsidR="009F4384" w:rsidRPr="00C0702A" w:rsidRDefault="009F4384" w:rsidP="001F12B5">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eastAsia="Malgun Gothic" w:hAnsi="Times New Roman"/>
                <w:sz w:val="20"/>
                <w:szCs w:val="20"/>
              </w:rPr>
              <w:t xml:space="preserve">3 </w:t>
            </w:r>
          </w:p>
          <w:p w:rsidR="009F4384" w:rsidRPr="00C0702A" w:rsidRDefault="009F4384" w:rsidP="001F12B5">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eastAsia="Malgun Gothic" w:hAnsi="Times New Roman"/>
                <w:sz w:val="20"/>
                <w:szCs w:val="20"/>
              </w:rPr>
              <w:t>FFS: for 4 Tx, how many different TPMIs/TPMI groups support full power</w:t>
            </w:r>
          </w:p>
          <w:p w:rsidR="009F4384" w:rsidRPr="00C0702A" w:rsidRDefault="009F4384" w:rsidP="001F12B5">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FFS: any rules for spatial filter update for the SRS resources with different number ports</w:t>
            </w:r>
          </w:p>
          <w:p w:rsidR="009F4384" w:rsidRPr="00C0702A" w:rsidRDefault="009F4384" w:rsidP="001F12B5">
            <w:pPr>
              <w:pStyle w:val="ListParagraph"/>
              <w:ind w:left="0"/>
              <w:rPr>
                <w:rFonts w:ascii="Times New Roman" w:hAnsi="Times New Roman"/>
                <w:sz w:val="20"/>
                <w:szCs w:val="20"/>
              </w:rPr>
            </w:pPr>
            <w:r w:rsidRPr="00C0702A">
              <w:rPr>
                <w:rFonts w:ascii="Times New Roman" w:hAnsi="Times New Roman"/>
                <w:sz w:val="20"/>
                <w:szCs w:val="20"/>
              </w:rPr>
              <w:t>Note: How to capture the behaviour for ‘Mode 1’ and ‘Mode 2’ in specifications is TBD</w:t>
            </w:r>
          </w:p>
          <w:p w:rsidR="009F4384" w:rsidRPr="00C0702A" w:rsidRDefault="009F4384" w:rsidP="001F12B5">
            <w:pPr>
              <w:pStyle w:val="ListParagraph"/>
              <w:ind w:left="0"/>
              <w:rPr>
                <w:rFonts w:ascii="Times New Roman" w:hAnsi="Times New Roman"/>
                <w:sz w:val="20"/>
                <w:szCs w:val="20"/>
              </w:rPr>
            </w:pPr>
            <w:r w:rsidRPr="00C0702A">
              <w:rPr>
                <w:rFonts w:ascii="Times New Roman" w:hAnsi="Times New Roman"/>
                <w:sz w:val="20"/>
                <w:szCs w:val="20"/>
              </w:rPr>
              <w:lastRenderedPageBreak/>
              <w:t>Note: For single port, there is no SRI and TPMI</w:t>
            </w:r>
          </w:p>
          <w:p w:rsidR="009F4384" w:rsidRPr="00453CE7" w:rsidRDefault="009F4384" w:rsidP="001F12B5">
            <w:pPr>
              <w:pStyle w:val="ListParagraph"/>
              <w:ind w:left="0"/>
              <w:rPr>
                <w:rFonts w:ascii="Times New Roman" w:hAnsi="Times New Roman"/>
                <w:sz w:val="20"/>
                <w:szCs w:val="20"/>
              </w:rPr>
            </w:pPr>
            <w:r w:rsidRPr="00C0702A">
              <w:rPr>
                <w:rFonts w:ascii="Times New Roman" w:hAnsi="Times New Roman"/>
                <w:sz w:val="20"/>
                <w:szCs w:val="20"/>
              </w:rPr>
              <w:t xml:space="preserve">Note: Support of Mode 1, Mode 2 have separate UE capability </w:t>
            </w:r>
          </w:p>
        </w:tc>
      </w:tr>
    </w:tbl>
    <w:p w:rsidR="009F4384" w:rsidRDefault="009F4384" w:rsidP="009F4384">
      <w:pPr>
        <w:rPr>
          <w:rFonts w:ascii="Times New Roman" w:hAnsi="Times New Roman" w:cs="Times New Roman"/>
          <w:sz w:val="20"/>
          <w:szCs w:val="20"/>
        </w:rPr>
      </w:pPr>
    </w:p>
    <w:p w:rsidR="0092167A" w:rsidRDefault="00174B3E" w:rsidP="009F4384">
      <w:pPr>
        <w:rPr>
          <w:rFonts w:ascii="Times New Roman" w:hAnsi="Times New Roman" w:cs="Times New Roman"/>
          <w:sz w:val="20"/>
          <w:szCs w:val="20"/>
        </w:rPr>
      </w:pPr>
      <w:r>
        <w:rPr>
          <w:rFonts w:ascii="Times New Roman" w:hAnsi="Times New Roman" w:cs="Times New Roman"/>
          <w:sz w:val="20"/>
          <w:szCs w:val="20"/>
        </w:rPr>
        <w:t>These TPMIs for Mode 1 have been agreed to support full power transmission</w:t>
      </w:r>
      <w:r w:rsidR="0025055B">
        <w:rPr>
          <w:rFonts w:ascii="Times New Roman" w:hAnsi="Times New Roman" w:cs="Times New Roman"/>
          <w:sz w:val="20"/>
          <w:szCs w:val="20"/>
        </w:rPr>
        <w:t>:</w:t>
      </w:r>
    </w:p>
    <w:p w:rsidR="0025055B" w:rsidRDefault="0025055B" w:rsidP="0025055B">
      <w:pPr>
        <w:pStyle w:val="Caption"/>
        <w:keepNext/>
        <w:jc w:val="center"/>
      </w:pPr>
      <w:r>
        <w:t xml:space="preserve">Table </w:t>
      </w:r>
      <w:r w:rsidR="00EC3FDE">
        <w:fldChar w:fldCharType="begin"/>
      </w:r>
      <w:r w:rsidR="00EC3FDE">
        <w:instrText xml:space="preserve"> SEQ Table \* ARABIC </w:instrText>
      </w:r>
      <w:r w:rsidR="00EC3FDE">
        <w:fldChar w:fldCharType="separate"/>
      </w:r>
      <w:r>
        <w:rPr>
          <w:noProof/>
        </w:rPr>
        <w:t>1</w:t>
      </w:r>
      <w:r w:rsidR="00EC3FDE">
        <w:rPr>
          <w:noProof/>
        </w:rPr>
        <w:fldChar w:fldCharType="end"/>
      </w:r>
      <w:r>
        <w:rPr>
          <w:lang w:val="en-US"/>
        </w:rPr>
        <w:t xml:space="preserve">    Agreed TPMIs for full power Tx</w:t>
      </w:r>
    </w:p>
    <w:tbl>
      <w:tblPr>
        <w:tblStyle w:val="TableGrid"/>
        <w:tblW w:w="0" w:type="auto"/>
        <w:jc w:val="center"/>
        <w:tblLook w:val="04A0" w:firstRow="1" w:lastRow="0" w:firstColumn="1" w:lastColumn="0" w:noHBand="0" w:noVBand="1"/>
      </w:tblPr>
      <w:tblGrid>
        <w:gridCol w:w="1129"/>
        <w:gridCol w:w="539"/>
        <w:gridCol w:w="709"/>
        <w:gridCol w:w="1701"/>
      </w:tblGrid>
      <w:tr w:rsidR="0025055B" w:rsidTr="0025055B">
        <w:trPr>
          <w:jc w:val="center"/>
        </w:trPr>
        <w:tc>
          <w:tcPr>
            <w:tcW w:w="112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UE mode</w:t>
            </w:r>
          </w:p>
        </w:tc>
        <w:tc>
          <w:tcPr>
            <w:tcW w:w="53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Tx</w:t>
            </w: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rank</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Supported TPMI for full power Tx</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UE mode 1</w:t>
            </w:r>
          </w:p>
        </w:tc>
        <w:tc>
          <w:tcPr>
            <w:tcW w:w="53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2Tx</w:t>
            </w: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1</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0, 1, 2</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p>
        </w:tc>
        <w:tc>
          <w:tcPr>
            <w:tcW w:w="539" w:type="dxa"/>
          </w:tcPr>
          <w:p w:rsidR="0025055B" w:rsidRDefault="0025055B" w:rsidP="009F4384">
            <w:pPr>
              <w:rPr>
                <w:rFonts w:ascii="Times New Roman" w:hAnsi="Times New Roman" w:cs="Times New Roman"/>
                <w:sz w:val="20"/>
                <w:szCs w:val="20"/>
              </w:rPr>
            </w:pP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2</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0</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p>
        </w:tc>
        <w:tc>
          <w:tcPr>
            <w:tcW w:w="53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4Tx</w:t>
            </w: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1</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12, 13, 14, 15</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p>
        </w:tc>
        <w:tc>
          <w:tcPr>
            <w:tcW w:w="539" w:type="dxa"/>
          </w:tcPr>
          <w:p w:rsidR="0025055B" w:rsidRDefault="0025055B" w:rsidP="009F4384">
            <w:pPr>
              <w:rPr>
                <w:rFonts w:ascii="Times New Roman" w:hAnsi="Times New Roman" w:cs="Times New Roman"/>
                <w:sz w:val="20"/>
                <w:szCs w:val="20"/>
              </w:rPr>
            </w:pP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2</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6</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p>
        </w:tc>
        <w:tc>
          <w:tcPr>
            <w:tcW w:w="539" w:type="dxa"/>
          </w:tcPr>
          <w:p w:rsidR="0025055B" w:rsidRDefault="0025055B" w:rsidP="009F4384">
            <w:pPr>
              <w:rPr>
                <w:rFonts w:ascii="Times New Roman" w:hAnsi="Times New Roman" w:cs="Times New Roman"/>
                <w:sz w:val="20"/>
                <w:szCs w:val="20"/>
              </w:rPr>
            </w:pP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1</w:t>
            </w:r>
          </w:p>
        </w:tc>
      </w:tr>
      <w:tr w:rsidR="0025055B" w:rsidTr="0025055B">
        <w:trPr>
          <w:jc w:val="center"/>
        </w:trPr>
        <w:tc>
          <w:tcPr>
            <w:tcW w:w="112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UE mode 2</w:t>
            </w:r>
          </w:p>
        </w:tc>
        <w:tc>
          <w:tcPr>
            <w:tcW w:w="53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2Tx</w:t>
            </w:r>
          </w:p>
        </w:tc>
        <w:tc>
          <w:tcPr>
            <w:tcW w:w="709"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1</w:t>
            </w:r>
          </w:p>
        </w:tc>
        <w:tc>
          <w:tcPr>
            <w:tcW w:w="1701" w:type="dxa"/>
          </w:tcPr>
          <w:p w:rsidR="0025055B" w:rsidRDefault="0025055B" w:rsidP="009F4384">
            <w:pPr>
              <w:rPr>
                <w:rFonts w:ascii="Times New Roman" w:hAnsi="Times New Roman" w:cs="Times New Roman"/>
                <w:sz w:val="20"/>
                <w:szCs w:val="20"/>
              </w:rPr>
            </w:pPr>
            <w:r>
              <w:rPr>
                <w:rFonts w:ascii="Times New Roman" w:hAnsi="Times New Roman" w:cs="Times New Roman"/>
                <w:sz w:val="20"/>
                <w:szCs w:val="20"/>
              </w:rPr>
              <w:t>0, 1</w:t>
            </w:r>
          </w:p>
        </w:tc>
      </w:tr>
    </w:tbl>
    <w:p w:rsidR="00174B3E" w:rsidRDefault="00174B3E" w:rsidP="009F4384">
      <w:pPr>
        <w:rPr>
          <w:rFonts w:ascii="Times New Roman" w:hAnsi="Times New Roman" w:cs="Times New Roman"/>
          <w:sz w:val="20"/>
          <w:szCs w:val="20"/>
        </w:rPr>
      </w:pPr>
    </w:p>
    <w:p w:rsidR="0092167A" w:rsidRDefault="00A648E6" w:rsidP="009F4384">
      <w:pPr>
        <w:rPr>
          <w:rFonts w:ascii="Times New Roman" w:hAnsi="Times New Roman" w:cs="Times New Roman"/>
          <w:sz w:val="20"/>
          <w:szCs w:val="20"/>
        </w:rPr>
      </w:pPr>
      <w:r>
        <w:rPr>
          <w:rFonts w:ascii="Times New Roman" w:hAnsi="Times New Roman" w:cs="Times New Roman"/>
          <w:sz w:val="20"/>
          <w:szCs w:val="20"/>
        </w:rPr>
        <w:t>The power scaling factor for Mode 2 has been agreed in RAN1 #98bis</w:t>
      </w:r>
      <w:r w:rsidR="00BD133B">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133B" w:rsidRPr="00453CE7" w:rsidTr="00706658">
        <w:tc>
          <w:tcPr>
            <w:tcW w:w="9629" w:type="dxa"/>
            <w:shd w:val="clear" w:color="auto" w:fill="auto"/>
          </w:tcPr>
          <w:p w:rsidR="00BD133B" w:rsidRPr="00C0702A" w:rsidRDefault="00BD133B" w:rsidP="00706658">
            <w:pPr>
              <w:ind w:left="1440" w:hanging="1440"/>
              <w:rPr>
                <w:rFonts w:ascii="Times New Roman" w:hAnsi="Times New Roman" w:cs="Times New Roman"/>
                <w:b/>
                <w:sz w:val="20"/>
                <w:szCs w:val="20"/>
                <w:highlight w:val="green"/>
                <w:lang w:eastAsia="x-none"/>
              </w:rPr>
            </w:pPr>
            <w:r w:rsidRPr="00C0702A">
              <w:rPr>
                <w:rFonts w:ascii="Times New Roman" w:hAnsi="Times New Roman" w:cs="Times New Roman"/>
                <w:b/>
                <w:sz w:val="20"/>
                <w:szCs w:val="20"/>
                <w:highlight w:val="green"/>
                <w:lang w:eastAsia="x-none"/>
              </w:rPr>
              <w:t>Agreement</w:t>
            </w:r>
          </w:p>
          <w:p w:rsidR="00BD133B" w:rsidRPr="00BD133B" w:rsidRDefault="00BD133B" w:rsidP="00BD133B">
            <w:pPr>
              <w:rPr>
                <w:rFonts w:ascii="Times New Roman" w:hAnsi="Times New Roman" w:cs="Times New Roman"/>
                <w:sz w:val="20"/>
                <w:szCs w:val="20"/>
              </w:rPr>
            </w:pPr>
            <w:r w:rsidRPr="00BD133B">
              <w:rPr>
                <w:rFonts w:ascii="Times New Roman" w:hAnsi="Times New Roman" w:cs="Times New Roman"/>
                <w:sz w:val="20"/>
                <w:szCs w:val="20"/>
              </w:rPr>
              <w:t xml:space="preserve">For Mode2, </w:t>
            </w:r>
          </w:p>
          <w:p w:rsidR="00BD133B" w:rsidRPr="00BD133B" w:rsidRDefault="00BD133B" w:rsidP="00BD133B">
            <w:pPr>
              <w:rPr>
                <w:rFonts w:ascii="Times New Roman" w:hAnsi="Times New Roman" w:cs="Times New Roman"/>
                <w:sz w:val="20"/>
                <w:szCs w:val="20"/>
              </w:rPr>
            </w:pPr>
            <w:r w:rsidRPr="00BD133B">
              <w:rPr>
                <w:rFonts w:ascii="Times New Roman" w:hAnsi="Times New Roman" w:cs="Times New Roman"/>
                <w:sz w:val="20"/>
                <w:szCs w:val="20"/>
              </w:rPr>
              <w:t>•</w:t>
            </w:r>
            <w:r w:rsidRPr="00BD133B">
              <w:rPr>
                <w:rFonts w:ascii="Times New Roman" w:hAnsi="Times New Roman" w:cs="Times New Roman"/>
                <w:sz w:val="20"/>
                <w:szCs w:val="20"/>
              </w:rPr>
              <w:tab/>
              <w:t>Power scaling factor is equal to 1 for the reported TPMI precoders that supports full power Tx</w:t>
            </w:r>
          </w:p>
          <w:p w:rsidR="00BD133B" w:rsidRPr="00BD133B" w:rsidRDefault="00BD133B" w:rsidP="00BD133B">
            <w:pPr>
              <w:rPr>
                <w:rFonts w:ascii="Times New Roman" w:hAnsi="Times New Roman" w:cs="Times New Roman"/>
                <w:sz w:val="20"/>
                <w:szCs w:val="20"/>
              </w:rPr>
            </w:pPr>
            <w:r w:rsidRPr="00BD133B">
              <w:rPr>
                <w:rFonts w:ascii="Times New Roman" w:hAnsi="Times New Roman" w:cs="Times New Roman"/>
                <w:sz w:val="20"/>
                <w:szCs w:val="20"/>
              </w:rPr>
              <w:t>•</w:t>
            </w:r>
            <w:r w:rsidRPr="00BD133B">
              <w:rPr>
                <w:rFonts w:ascii="Times New Roman" w:hAnsi="Times New Roman" w:cs="Times New Roman"/>
                <w:sz w:val="20"/>
                <w:szCs w:val="20"/>
              </w:rPr>
              <w:tab/>
              <w:t>for the other TPMI precoders, if only one SRS resource is configured, the power scaling factor is determined by #non-zero-PUSCH-port divided by #SRS-ports</w:t>
            </w:r>
          </w:p>
          <w:p w:rsidR="00BD133B" w:rsidRPr="00C0702A" w:rsidRDefault="00BD133B" w:rsidP="00BD133B">
            <w:pPr>
              <w:rPr>
                <w:rFonts w:ascii="Times New Roman" w:hAnsi="Times New Roman" w:cs="Times New Roman"/>
                <w:sz w:val="20"/>
                <w:szCs w:val="20"/>
              </w:rPr>
            </w:pPr>
            <w:r w:rsidRPr="00BD133B">
              <w:rPr>
                <w:rFonts w:ascii="Times New Roman" w:hAnsi="Times New Roman" w:cs="Times New Roman"/>
                <w:sz w:val="20"/>
                <w:szCs w:val="20"/>
              </w:rPr>
              <w:t>•</w:t>
            </w:r>
            <w:r w:rsidRPr="00BD133B">
              <w:rPr>
                <w:rFonts w:ascii="Times New Roman" w:hAnsi="Times New Roman" w:cs="Times New Roman"/>
                <w:sz w:val="20"/>
                <w:szCs w:val="20"/>
              </w:rPr>
              <w:tab/>
              <w:t>for the other TPMI precoders, the power scaling factor is determined by #non-zero PUSCH port/#SRS ports in the SRS resource indicated by SRI</w:t>
            </w:r>
          </w:p>
        </w:tc>
      </w:tr>
    </w:tbl>
    <w:p w:rsidR="00BD133B" w:rsidRDefault="00BD133B" w:rsidP="00BD133B">
      <w:pPr>
        <w:rPr>
          <w:rFonts w:ascii="Times New Roman" w:hAnsi="Times New Roman" w:cs="Times New Roman"/>
          <w:sz w:val="20"/>
          <w:szCs w:val="20"/>
        </w:rPr>
      </w:pPr>
    </w:p>
    <w:p w:rsidR="009F6819" w:rsidRDefault="009F6819" w:rsidP="00BD133B">
      <w:pPr>
        <w:rPr>
          <w:rFonts w:ascii="Times New Roman" w:hAnsi="Times New Roman" w:cs="Times New Roman"/>
          <w:sz w:val="20"/>
          <w:szCs w:val="20"/>
        </w:rPr>
      </w:pPr>
      <w:r>
        <w:rPr>
          <w:rFonts w:ascii="Times New Roman" w:hAnsi="Times New Roman" w:cs="Times New Roman"/>
          <w:sz w:val="20"/>
          <w:szCs w:val="20"/>
        </w:rPr>
        <w:t>This contribution continues the discussion of the remaining issues for Mode 1 and Mode 2 to support full power transmission. Our proposals are also provided.</w:t>
      </w:r>
    </w:p>
    <w:p w:rsidR="009F6819" w:rsidRDefault="009F6819" w:rsidP="00BD133B">
      <w:pPr>
        <w:rPr>
          <w:rFonts w:ascii="Times New Roman" w:hAnsi="Times New Roman" w:cs="Times New Roman"/>
          <w:sz w:val="20"/>
          <w:szCs w:val="20"/>
        </w:rPr>
      </w:pPr>
    </w:p>
    <w:p w:rsidR="000231EC" w:rsidRDefault="000231EC" w:rsidP="000231EC">
      <w:pPr>
        <w:pStyle w:val="Heading1"/>
      </w:pPr>
      <w:r>
        <w:t>2</w:t>
      </w:r>
      <w:r w:rsidRPr="00791982">
        <w:tab/>
      </w:r>
      <w:r>
        <w:t>TPMI subset for UE mode 1 and mode 2</w:t>
      </w:r>
    </w:p>
    <w:p w:rsidR="00BD133B" w:rsidRPr="000231EC" w:rsidRDefault="00BD133B" w:rsidP="009F4384">
      <w:pPr>
        <w:rPr>
          <w:rFonts w:ascii="Times New Roman" w:hAnsi="Times New Roman" w:cs="Times New Roman"/>
          <w:sz w:val="20"/>
          <w:szCs w:val="20"/>
        </w:rPr>
      </w:pPr>
    </w:p>
    <w:p w:rsidR="00D86940" w:rsidRDefault="00D86940" w:rsidP="00D86940">
      <w:pPr>
        <w:pStyle w:val="Heading2"/>
      </w:pPr>
      <w:r>
        <w:t>2.1</w:t>
      </w:r>
      <w:r w:rsidRPr="00791982">
        <w:tab/>
      </w:r>
      <w:r>
        <w:t>UE mode 1</w:t>
      </w:r>
    </w:p>
    <w:p w:rsidR="00D86940" w:rsidRDefault="00D86940" w:rsidP="00D86940">
      <w:pPr>
        <w:rPr>
          <w:rFonts w:ascii="Times New Roman" w:hAnsi="Times New Roman" w:cs="Times New Roman"/>
          <w:sz w:val="20"/>
          <w:szCs w:val="20"/>
        </w:rPr>
      </w:pPr>
      <w:r>
        <w:rPr>
          <w:rFonts w:ascii="Times New Roman" w:hAnsi="Times New Roman" w:cs="Times New Roman"/>
          <w:sz w:val="20"/>
          <w:szCs w:val="20"/>
        </w:rPr>
        <w:t>UE mode 1 shall introduce a new codebook subset, which has this definition in RAN1 #97 meeting:</w:t>
      </w:r>
    </w:p>
    <w:p w:rsidR="00D86940" w:rsidRPr="00D86940" w:rsidRDefault="00D86940" w:rsidP="00D86940">
      <w:pPr>
        <w:pStyle w:val="ListParagraph"/>
        <w:numPr>
          <w:ilvl w:val="1"/>
          <w:numId w:val="32"/>
        </w:numPr>
        <w:spacing w:after="0" w:line="240" w:lineRule="auto"/>
        <w:contextualSpacing w:val="0"/>
        <w:rPr>
          <w:rFonts w:ascii="Times New Roman" w:hAnsi="Times New Roman"/>
          <w:i/>
          <w:sz w:val="20"/>
          <w:szCs w:val="20"/>
        </w:rPr>
      </w:pPr>
      <w:r w:rsidRPr="00D86940">
        <w:rPr>
          <w:rFonts w:ascii="Times New Roman" w:hAnsi="Times New Roman"/>
          <w:i/>
          <w:sz w:val="20"/>
          <w:szCs w:val="20"/>
        </w:rPr>
        <w:t xml:space="preserve">A new </w:t>
      </w:r>
      <w:proofErr w:type="spellStart"/>
      <w:r w:rsidRPr="00D86940">
        <w:rPr>
          <w:rFonts w:ascii="Times New Roman" w:hAnsi="Times New Roman"/>
          <w:i/>
          <w:sz w:val="20"/>
          <w:szCs w:val="20"/>
        </w:rPr>
        <w:t>codebookSubset</w:t>
      </w:r>
      <w:proofErr w:type="spellEnd"/>
      <w:r w:rsidRPr="00D86940">
        <w:rPr>
          <w:rFonts w:ascii="Times New Roman" w:hAnsi="Times New Roman"/>
          <w:i/>
          <w:sz w:val="20"/>
          <w:szCs w:val="20"/>
        </w:rPr>
        <w:t xml:space="preserve"> is introduced only for the rank value(s) where full power transmission in UL is not achievable includes the TPMI precoders in </w:t>
      </w:r>
      <w:proofErr w:type="spellStart"/>
      <w:r w:rsidRPr="00D86940">
        <w:rPr>
          <w:rFonts w:ascii="Times New Roman" w:hAnsi="Times New Roman"/>
          <w:i/>
          <w:sz w:val="20"/>
          <w:szCs w:val="20"/>
        </w:rPr>
        <w:t>fullyAndPartialAndNonCoherent</w:t>
      </w:r>
      <w:proofErr w:type="spellEnd"/>
      <w:r w:rsidRPr="00D86940">
        <w:rPr>
          <w:rFonts w:ascii="Times New Roman" w:hAnsi="Times New Roman"/>
          <w:i/>
          <w:sz w:val="20"/>
          <w:szCs w:val="20"/>
        </w:rPr>
        <w:t xml:space="preserve"> defined in Rel-15</w:t>
      </w:r>
    </w:p>
    <w:p w:rsidR="00D86940" w:rsidRPr="00D86940" w:rsidRDefault="00D86940" w:rsidP="00D86940">
      <w:pPr>
        <w:pStyle w:val="ListParagraph"/>
        <w:numPr>
          <w:ilvl w:val="2"/>
          <w:numId w:val="32"/>
        </w:numPr>
        <w:spacing w:after="0" w:line="240" w:lineRule="auto"/>
        <w:contextualSpacing w:val="0"/>
        <w:rPr>
          <w:rFonts w:ascii="Times New Roman" w:hAnsi="Times New Roman"/>
          <w:i/>
          <w:sz w:val="20"/>
          <w:szCs w:val="20"/>
        </w:rPr>
      </w:pPr>
      <w:r w:rsidRPr="00D86940">
        <w:rPr>
          <w:rFonts w:ascii="Times New Roman" w:hAnsi="Times New Roman"/>
          <w:i/>
          <w:sz w:val="20"/>
          <w:szCs w:val="20"/>
        </w:rPr>
        <w:t xml:space="preserve">FFS: At least a subset of the non-antenna selection TPMI precoder(s) is(are) supported </w:t>
      </w:r>
    </w:p>
    <w:p w:rsidR="00D86940" w:rsidRPr="00C0702A" w:rsidRDefault="00D86940" w:rsidP="00D86940">
      <w:pPr>
        <w:pStyle w:val="ListParagraph"/>
        <w:numPr>
          <w:ilvl w:val="2"/>
          <w:numId w:val="32"/>
        </w:numPr>
        <w:spacing w:after="0" w:line="240" w:lineRule="auto"/>
        <w:contextualSpacing w:val="0"/>
        <w:rPr>
          <w:rFonts w:ascii="Times New Roman" w:hAnsi="Times New Roman"/>
          <w:sz w:val="20"/>
          <w:szCs w:val="20"/>
        </w:rPr>
      </w:pPr>
      <w:r w:rsidRPr="00D86940">
        <w:rPr>
          <w:rFonts w:ascii="Times New Roman" w:hAnsi="Times New Roman"/>
          <w:i/>
          <w:sz w:val="20"/>
          <w:szCs w:val="20"/>
        </w:rPr>
        <w:t>FFS: Additional support of antenna selection TPMI precoders</w:t>
      </w:r>
    </w:p>
    <w:p w:rsidR="00D86940" w:rsidRDefault="00D86940" w:rsidP="009F4384">
      <w:pPr>
        <w:rPr>
          <w:rFonts w:ascii="Times New Roman" w:hAnsi="Times New Roman" w:cs="Times New Roman"/>
          <w:sz w:val="20"/>
          <w:szCs w:val="20"/>
        </w:rPr>
      </w:pPr>
    </w:p>
    <w:p w:rsidR="00D86940" w:rsidRDefault="00D86940" w:rsidP="00D86940">
      <w:pPr>
        <w:jc w:val="both"/>
        <w:rPr>
          <w:rFonts w:ascii="Times New Roman" w:hAnsi="Times New Roman" w:cs="Times New Roman"/>
          <w:sz w:val="20"/>
          <w:szCs w:val="20"/>
        </w:rPr>
      </w:pPr>
      <w:r>
        <w:rPr>
          <w:rFonts w:ascii="Times New Roman" w:hAnsi="Times New Roman" w:cs="Times New Roman"/>
          <w:sz w:val="20"/>
          <w:szCs w:val="20"/>
        </w:rPr>
        <w:t>This agreement has the intention that the TPMIs within the codebook subset shall be able to support full power transmission. However, in the RAN1 #98bis meeting, we had these agreement</w:t>
      </w:r>
      <w:r w:rsidR="00D449C8">
        <w:rPr>
          <w:rFonts w:ascii="Times New Roman" w:hAnsi="Times New Roman" w:cs="Times New Roman"/>
          <w:sz w:val="20"/>
          <w:szCs w:val="20"/>
        </w:rPr>
        <w:t>s</w:t>
      </w:r>
      <w:r>
        <w:rPr>
          <w:rFonts w:ascii="Times New Roman" w:hAnsi="Times New Roman" w:cs="Times New Roman"/>
          <w:sz w:val="20"/>
          <w:szCs w:val="20"/>
        </w:rPr>
        <w:t xml:space="preserve"> for the codebook subset related TPMIs:</w:t>
      </w:r>
    </w:p>
    <w:p w:rsidR="007F6003" w:rsidRDefault="007F6003" w:rsidP="007F6003">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6003" w:rsidRPr="00453CE7" w:rsidTr="009E73DD">
        <w:tc>
          <w:tcPr>
            <w:tcW w:w="9629" w:type="dxa"/>
            <w:shd w:val="clear" w:color="auto" w:fill="auto"/>
          </w:tcPr>
          <w:p w:rsidR="007F6003" w:rsidRDefault="007F6003" w:rsidP="009E73DD">
            <w:pPr>
              <w:ind w:left="1440" w:hanging="1440"/>
              <w:rPr>
                <w:rFonts w:ascii="Times New Roman" w:hAnsi="Times New Roman" w:cs="Times New Roman"/>
                <w:b/>
                <w:sz w:val="20"/>
                <w:szCs w:val="20"/>
                <w:highlight w:val="green"/>
                <w:lang w:eastAsia="x-none"/>
              </w:rPr>
            </w:pPr>
            <w:r w:rsidRPr="00C0702A">
              <w:rPr>
                <w:rFonts w:ascii="Times New Roman" w:hAnsi="Times New Roman" w:cs="Times New Roman"/>
                <w:b/>
                <w:sz w:val="20"/>
                <w:szCs w:val="20"/>
                <w:highlight w:val="green"/>
                <w:lang w:eastAsia="x-none"/>
              </w:rPr>
              <w:t>Agreement</w:t>
            </w:r>
          </w:p>
          <w:p w:rsidR="007F6003" w:rsidRPr="007F6003" w:rsidRDefault="007F6003" w:rsidP="007F6003">
            <w:pPr>
              <w:jc w:val="both"/>
              <w:rPr>
                <w:rFonts w:ascii="Times New Roman" w:hAnsi="Times New Roman" w:cs="Times New Roman"/>
                <w:sz w:val="20"/>
                <w:szCs w:val="20"/>
              </w:rPr>
            </w:pPr>
            <w:r w:rsidRPr="007F6003">
              <w:rPr>
                <w:rFonts w:ascii="Times New Roman" w:hAnsi="Times New Roman" w:cs="Times New Roman"/>
                <w:sz w:val="20"/>
                <w:szCs w:val="20"/>
              </w:rPr>
              <w:t xml:space="preserve">For 2Tx in mode 1, </w:t>
            </w:r>
          </w:p>
          <w:p w:rsidR="007F6003" w:rsidRPr="007F6003" w:rsidRDefault="007F6003" w:rsidP="007F6003">
            <w:pPr>
              <w:jc w:val="both"/>
              <w:rPr>
                <w:rFonts w:ascii="Times New Roman" w:hAnsi="Times New Roman" w:cs="Times New Roman"/>
                <w:sz w:val="20"/>
                <w:szCs w:val="20"/>
              </w:rPr>
            </w:pPr>
            <w:r w:rsidRPr="007F6003">
              <w:rPr>
                <w:rFonts w:ascii="Times New Roman" w:hAnsi="Times New Roman" w:cs="Times New Roman"/>
                <w:sz w:val="20"/>
                <w:szCs w:val="20"/>
              </w:rPr>
              <w:t>•</w:t>
            </w:r>
            <w:r w:rsidRPr="007F6003">
              <w:rPr>
                <w:rFonts w:ascii="Times New Roman" w:hAnsi="Times New Roman" w:cs="Times New Roman"/>
                <w:sz w:val="20"/>
                <w:szCs w:val="20"/>
              </w:rPr>
              <w:tab/>
              <w:t xml:space="preserve">For rank=1, TPMI=2, TPMI=0, TPMI=1 are included in new codebook subset for non-coherent UEs with power scaling defined as in [38.213] Rel-15 </w:t>
            </w:r>
          </w:p>
          <w:p w:rsidR="007F6003" w:rsidRPr="007F6003" w:rsidRDefault="007F6003" w:rsidP="007F6003">
            <w:pPr>
              <w:jc w:val="both"/>
              <w:rPr>
                <w:rFonts w:ascii="Times New Roman" w:hAnsi="Times New Roman" w:cs="Times New Roman"/>
                <w:sz w:val="20"/>
                <w:szCs w:val="20"/>
              </w:rPr>
            </w:pPr>
            <w:r w:rsidRPr="007F6003">
              <w:rPr>
                <w:rFonts w:ascii="Times New Roman" w:hAnsi="Times New Roman" w:cs="Times New Roman"/>
                <w:sz w:val="20"/>
                <w:szCs w:val="20"/>
              </w:rPr>
              <w:t>•</w:t>
            </w:r>
            <w:r w:rsidRPr="007F6003">
              <w:rPr>
                <w:rFonts w:ascii="Times New Roman" w:hAnsi="Times New Roman" w:cs="Times New Roman"/>
                <w:sz w:val="20"/>
                <w:szCs w:val="20"/>
              </w:rPr>
              <w:tab/>
              <w:t>For rank=2, TPMI=0 is included in the new codebook subset</w:t>
            </w:r>
          </w:p>
        </w:tc>
      </w:tr>
    </w:tbl>
    <w:p w:rsidR="007F6003" w:rsidRDefault="007F6003" w:rsidP="007F6003">
      <w:pPr>
        <w:rPr>
          <w:rFonts w:ascii="Times New Roman" w:hAnsi="Times New Roman" w:cs="Times New Roman"/>
          <w:sz w:val="20"/>
          <w:szCs w:val="20"/>
        </w:rPr>
      </w:pPr>
    </w:p>
    <w:p w:rsidR="0092167A" w:rsidRDefault="00D86940" w:rsidP="009F4384">
      <w:pPr>
        <w:rPr>
          <w:rFonts w:ascii="Times New Roman" w:hAnsi="Times New Roman" w:cs="Times New Roman"/>
          <w:sz w:val="20"/>
          <w:szCs w:val="20"/>
        </w:rPr>
      </w:pPr>
      <w:r>
        <w:rPr>
          <w:rFonts w:ascii="Times New Roman" w:hAnsi="Times New Roman" w:cs="Times New Roman"/>
          <w:sz w:val="20"/>
          <w:szCs w:val="20"/>
        </w:rPr>
        <w:t>And for 4Tx: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6003" w:rsidRPr="00453CE7" w:rsidTr="009E73DD">
        <w:tc>
          <w:tcPr>
            <w:tcW w:w="9629" w:type="dxa"/>
            <w:shd w:val="clear" w:color="auto" w:fill="auto"/>
          </w:tcPr>
          <w:p w:rsidR="007F6003" w:rsidRDefault="007F6003" w:rsidP="009E73DD">
            <w:pPr>
              <w:ind w:left="1440" w:hanging="1440"/>
              <w:rPr>
                <w:rFonts w:ascii="Times New Roman" w:hAnsi="Times New Roman" w:cs="Times New Roman"/>
                <w:b/>
                <w:sz w:val="20"/>
                <w:szCs w:val="20"/>
                <w:highlight w:val="green"/>
                <w:lang w:eastAsia="x-none"/>
              </w:rPr>
            </w:pPr>
            <w:r w:rsidRPr="00C0702A">
              <w:rPr>
                <w:rFonts w:ascii="Times New Roman" w:hAnsi="Times New Roman" w:cs="Times New Roman"/>
                <w:b/>
                <w:sz w:val="20"/>
                <w:szCs w:val="20"/>
                <w:highlight w:val="green"/>
                <w:lang w:eastAsia="x-none"/>
              </w:rPr>
              <w:t>Agreement</w:t>
            </w:r>
          </w:p>
          <w:p w:rsidR="007F6003" w:rsidRPr="007F6003" w:rsidRDefault="007F6003" w:rsidP="007F6003">
            <w:pPr>
              <w:rPr>
                <w:rFonts w:ascii="Times New Roman" w:hAnsi="Times New Roman" w:cs="Times New Roman"/>
                <w:sz w:val="20"/>
                <w:szCs w:val="20"/>
              </w:rPr>
            </w:pPr>
            <w:r w:rsidRPr="007F6003">
              <w:rPr>
                <w:rFonts w:ascii="Times New Roman" w:hAnsi="Times New Roman" w:cs="Times New Roman"/>
                <w:sz w:val="20"/>
                <w:szCs w:val="20"/>
              </w:rPr>
              <w:t>For Mode 1 4TX, for non-full power uplink transmission, antenna selection precoders are included in the new codebook subset following Rel-15 power scaling factor</w:t>
            </w:r>
          </w:p>
          <w:p w:rsidR="007F6003" w:rsidRPr="007F6003" w:rsidRDefault="007F6003" w:rsidP="007F6003">
            <w:pPr>
              <w:rPr>
                <w:rFonts w:ascii="Times New Roman" w:hAnsi="Times New Roman" w:cs="Times New Roman"/>
                <w:sz w:val="20"/>
                <w:szCs w:val="20"/>
              </w:rPr>
            </w:pPr>
            <w:r w:rsidRPr="007F6003">
              <w:rPr>
                <w:rFonts w:ascii="Times New Roman" w:hAnsi="Times New Roman" w:cs="Times New Roman"/>
                <w:sz w:val="20"/>
                <w:szCs w:val="20"/>
              </w:rPr>
              <w:t>-</w:t>
            </w:r>
            <w:r w:rsidRPr="007F6003">
              <w:rPr>
                <w:rFonts w:ascii="Times New Roman" w:hAnsi="Times New Roman" w:cs="Times New Roman"/>
                <w:sz w:val="20"/>
                <w:szCs w:val="20"/>
              </w:rPr>
              <w:tab/>
              <w:t>FFS: Whether to include antenna selection precoders for full power uplink transmission</w:t>
            </w:r>
          </w:p>
        </w:tc>
      </w:tr>
    </w:tbl>
    <w:p w:rsidR="007F6003" w:rsidRDefault="007F6003" w:rsidP="007F6003">
      <w:pPr>
        <w:rPr>
          <w:rFonts w:ascii="Times New Roman" w:hAnsi="Times New Roman" w:cs="Times New Roman"/>
          <w:sz w:val="20"/>
          <w:szCs w:val="20"/>
        </w:rPr>
      </w:pPr>
    </w:p>
    <w:p w:rsidR="0092167A" w:rsidRDefault="00D86940" w:rsidP="00D86940">
      <w:pPr>
        <w:jc w:val="both"/>
        <w:rPr>
          <w:rFonts w:ascii="Times New Roman" w:hAnsi="Times New Roman" w:cs="Times New Roman"/>
          <w:sz w:val="20"/>
          <w:szCs w:val="20"/>
        </w:rPr>
      </w:pPr>
      <w:r>
        <w:rPr>
          <w:rFonts w:ascii="Times New Roman" w:hAnsi="Times New Roman" w:cs="Times New Roman"/>
          <w:sz w:val="20"/>
          <w:szCs w:val="20"/>
        </w:rPr>
        <w:t xml:space="preserve">These RAN1 #98bis meeting agreements implied that at least there will be two types of TPMIs in the new codebook subset: one type of TPMIs where the power scaling following Rel-15 power scaling factor, and another type of TPMIs following Rel-16 power scaling factor (to be specified). </w:t>
      </w:r>
      <w:r w:rsidR="00D449C8">
        <w:rPr>
          <w:rFonts w:ascii="Times New Roman" w:hAnsi="Times New Roman" w:cs="Times New Roman"/>
          <w:sz w:val="20"/>
          <w:szCs w:val="20"/>
        </w:rPr>
        <w:t>This interpretation is contradicting with the previous agreement in RAN1 #97.</w:t>
      </w:r>
    </w:p>
    <w:p w:rsidR="00D449C8" w:rsidRDefault="00D449C8" w:rsidP="00D86940">
      <w:pPr>
        <w:jc w:val="both"/>
        <w:rPr>
          <w:rFonts w:ascii="Times New Roman" w:hAnsi="Times New Roman" w:cs="Times New Roman"/>
          <w:sz w:val="20"/>
          <w:szCs w:val="20"/>
        </w:rPr>
      </w:pPr>
      <w:r>
        <w:rPr>
          <w:rFonts w:ascii="Times New Roman" w:hAnsi="Times New Roman" w:cs="Times New Roman"/>
          <w:sz w:val="20"/>
          <w:szCs w:val="20"/>
        </w:rPr>
        <w:t>To resolve this mis-interpretation, we propose that</w:t>
      </w:r>
    </w:p>
    <w:p w:rsidR="00D449C8" w:rsidRPr="00D449C8" w:rsidRDefault="00D449C8" w:rsidP="00D86940">
      <w:pPr>
        <w:jc w:val="both"/>
        <w:rPr>
          <w:rFonts w:ascii="Times New Roman" w:hAnsi="Times New Roman" w:cs="Times New Roman"/>
          <w:b/>
          <w:i/>
          <w:sz w:val="20"/>
          <w:szCs w:val="20"/>
        </w:rPr>
      </w:pPr>
      <w:r w:rsidRPr="00D449C8">
        <w:rPr>
          <w:rFonts w:ascii="Times New Roman" w:hAnsi="Times New Roman" w:cs="Times New Roman"/>
          <w:b/>
          <w:i/>
          <w:sz w:val="20"/>
          <w:szCs w:val="20"/>
        </w:rPr>
        <w:t>Proposal 1: The new codebook subset shall include only new TPMIs that will follow Rel-16 power scaling factor</w:t>
      </w:r>
      <w:r>
        <w:rPr>
          <w:rFonts w:ascii="Times New Roman" w:hAnsi="Times New Roman" w:cs="Times New Roman"/>
          <w:b/>
          <w:i/>
          <w:sz w:val="20"/>
          <w:szCs w:val="20"/>
        </w:rPr>
        <w:t>, for UE mode 1.</w:t>
      </w:r>
    </w:p>
    <w:p w:rsidR="00D449C8" w:rsidRDefault="00D449C8" w:rsidP="00D86940">
      <w:pPr>
        <w:jc w:val="both"/>
        <w:rPr>
          <w:rFonts w:ascii="Times New Roman" w:hAnsi="Times New Roman" w:cs="Times New Roman"/>
          <w:sz w:val="20"/>
          <w:szCs w:val="20"/>
        </w:rPr>
      </w:pPr>
      <w:r>
        <w:rPr>
          <w:rFonts w:ascii="Times New Roman" w:hAnsi="Times New Roman" w:cs="Times New Roman"/>
          <w:sz w:val="20"/>
          <w:szCs w:val="20"/>
        </w:rPr>
        <w:t xml:space="preserve">Once the new codebook subset is defined, the UE capability reporting is straightforward. Given that the number of TPMIs in the new codebook subset is limited, a simple indication of TPMI indices should be </w:t>
      </w:r>
      <w:proofErr w:type="gramStart"/>
      <w:r>
        <w:rPr>
          <w:rFonts w:ascii="Times New Roman" w:hAnsi="Times New Roman" w:cs="Times New Roman"/>
          <w:sz w:val="20"/>
          <w:szCs w:val="20"/>
        </w:rPr>
        <w:t>sufficient</w:t>
      </w:r>
      <w:proofErr w:type="gramEnd"/>
      <w:r>
        <w:rPr>
          <w:rFonts w:ascii="Times New Roman" w:hAnsi="Times New Roman" w:cs="Times New Roman"/>
          <w:sz w:val="20"/>
          <w:szCs w:val="20"/>
        </w:rPr>
        <w:t xml:space="preserve"> to report UE’s capability for mode 1.</w:t>
      </w:r>
    </w:p>
    <w:p w:rsidR="00D449C8" w:rsidRPr="00D449C8" w:rsidRDefault="00D449C8" w:rsidP="00D86940">
      <w:pPr>
        <w:jc w:val="both"/>
        <w:rPr>
          <w:rFonts w:ascii="Times New Roman" w:hAnsi="Times New Roman" w:cs="Times New Roman"/>
          <w:b/>
          <w:sz w:val="20"/>
          <w:szCs w:val="20"/>
        </w:rPr>
      </w:pPr>
      <w:r>
        <w:rPr>
          <w:rFonts w:ascii="Times New Roman" w:hAnsi="Times New Roman" w:cs="Times New Roman"/>
          <w:b/>
          <w:i/>
          <w:sz w:val="20"/>
          <w:szCs w:val="20"/>
        </w:rPr>
        <w:t xml:space="preserve">Proposal 2: </w:t>
      </w:r>
      <w:r w:rsidR="005A6633">
        <w:rPr>
          <w:rFonts w:ascii="Times New Roman" w:hAnsi="Times New Roman" w:cs="Times New Roman"/>
          <w:b/>
          <w:i/>
          <w:sz w:val="20"/>
          <w:szCs w:val="20"/>
        </w:rPr>
        <w:t>For UE Mode 1, u</w:t>
      </w:r>
      <w:r>
        <w:rPr>
          <w:rFonts w:ascii="Times New Roman" w:hAnsi="Times New Roman" w:cs="Times New Roman"/>
          <w:b/>
          <w:i/>
          <w:sz w:val="20"/>
          <w:szCs w:val="20"/>
        </w:rPr>
        <w:t>se TPMI indices of the new codebook subset to indicate UE’s capability</w:t>
      </w:r>
      <w:r w:rsidR="005A6633">
        <w:rPr>
          <w:rFonts w:ascii="Times New Roman" w:hAnsi="Times New Roman" w:cs="Times New Roman"/>
          <w:b/>
          <w:i/>
          <w:sz w:val="20"/>
          <w:szCs w:val="20"/>
        </w:rPr>
        <w:t>.</w:t>
      </w:r>
    </w:p>
    <w:p w:rsidR="00D86940" w:rsidRDefault="00D86940" w:rsidP="009F4384">
      <w:pPr>
        <w:rPr>
          <w:rFonts w:ascii="Times New Roman" w:hAnsi="Times New Roman" w:cs="Times New Roman"/>
          <w:sz w:val="20"/>
          <w:szCs w:val="20"/>
        </w:rPr>
      </w:pPr>
    </w:p>
    <w:p w:rsidR="00C0783A" w:rsidRDefault="00C0783A" w:rsidP="00C0783A">
      <w:pPr>
        <w:rPr>
          <w:rFonts w:ascii="Times New Roman" w:hAnsi="Times New Roman" w:cs="Times New Roman"/>
          <w:sz w:val="20"/>
          <w:szCs w:val="20"/>
        </w:rPr>
      </w:pPr>
      <w:r>
        <w:rPr>
          <w:rFonts w:ascii="Times New Roman" w:hAnsi="Times New Roman" w:cs="Times New Roman"/>
          <w:sz w:val="20"/>
          <w:szCs w:val="20"/>
        </w:rPr>
        <w:t>RAN1 #98 has these alternatives for the power scaling factor for UE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783A" w:rsidRPr="00453CE7" w:rsidTr="00706658">
        <w:tc>
          <w:tcPr>
            <w:tcW w:w="9629" w:type="dxa"/>
            <w:shd w:val="clear" w:color="auto" w:fill="auto"/>
          </w:tcPr>
          <w:p w:rsidR="00C0783A" w:rsidRPr="002A277D" w:rsidRDefault="00C0783A" w:rsidP="00706658">
            <w:pPr>
              <w:rPr>
                <w:rFonts w:ascii="Times New Roman" w:hAnsi="Times New Roman" w:cs="Times New Roman"/>
                <w:sz w:val="20"/>
                <w:szCs w:val="20"/>
                <w:highlight w:val="green"/>
              </w:rPr>
            </w:pPr>
            <w:r w:rsidRPr="002A277D">
              <w:rPr>
                <w:rFonts w:ascii="Times New Roman" w:hAnsi="Times New Roman" w:cs="Times New Roman"/>
                <w:b/>
                <w:sz w:val="20"/>
                <w:szCs w:val="20"/>
                <w:highlight w:val="green"/>
              </w:rPr>
              <w:t>Agreement</w:t>
            </w:r>
          </w:p>
          <w:p w:rsidR="00C0783A" w:rsidRPr="002A277D" w:rsidRDefault="00C0783A" w:rsidP="00706658">
            <w:pPr>
              <w:textAlignment w:val="center"/>
              <w:rPr>
                <w:rFonts w:ascii="Times New Roman" w:hAnsi="Times New Roman" w:cs="Times New Roman"/>
                <w:bCs/>
                <w:sz w:val="20"/>
                <w:szCs w:val="20"/>
              </w:rPr>
            </w:pPr>
            <w:r w:rsidRPr="002A277D">
              <w:rPr>
                <w:rFonts w:ascii="Times New Roman" w:hAnsi="Times New Roman" w:cs="Times New Roman"/>
                <w:bCs/>
                <w:sz w:val="20"/>
                <w:szCs w:val="20"/>
              </w:rPr>
              <w:t>For a UE working with Mode1 operation, for PUSCH power control, down-select or merge from the following alternatives in RAN1#98bis</w:t>
            </w:r>
          </w:p>
          <w:p w:rsidR="00C0783A" w:rsidRPr="002A277D" w:rsidRDefault="00C0783A" w:rsidP="00706658">
            <w:pPr>
              <w:pStyle w:val="ListParagraph"/>
              <w:widowControl w:val="0"/>
              <w:numPr>
                <w:ilvl w:val="0"/>
                <w:numId w:val="50"/>
              </w:numPr>
              <w:spacing w:after="0" w:line="240" w:lineRule="auto"/>
              <w:contextualSpacing w:val="0"/>
              <w:jc w:val="both"/>
              <w:textAlignment w:val="bottom"/>
              <w:rPr>
                <w:rFonts w:ascii="Times New Roman" w:hAnsi="Times New Roman" w:cs="Times New Roman"/>
                <w:bCs/>
                <w:sz w:val="20"/>
                <w:szCs w:val="20"/>
              </w:rPr>
            </w:pPr>
            <w:r w:rsidRPr="002A277D">
              <w:rPr>
                <w:rFonts w:ascii="Times New Roman" w:hAnsi="Times New Roman" w:cs="Times New Roman"/>
                <w:bCs/>
                <w:sz w:val="20"/>
                <w:szCs w:val="20"/>
              </w:rPr>
              <w:t>Alt1: reuse Rel-15 power scaling mechanism.</w:t>
            </w:r>
          </w:p>
          <w:p w:rsidR="00C0783A" w:rsidRPr="002A277D" w:rsidRDefault="00C0783A" w:rsidP="00706658">
            <w:pPr>
              <w:pStyle w:val="ListParagraph"/>
              <w:widowControl w:val="0"/>
              <w:numPr>
                <w:ilvl w:val="0"/>
                <w:numId w:val="50"/>
              </w:numPr>
              <w:spacing w:after="0" w:line="240" w:lineRule="auto"/>
              <w:contextualSpacing w:val="0"/>
              <w:jc w:val="both"/>
              <w:textAlignment w:val="bottom"/>
              <w:rPr>
                <w:rFonts w:ascii="Times New Roman" w:hAnsi="Times New Roman" w:cs="Times New Roman"/>
                <w:bCs/>
                <w:sz w:val="20"/>
                <w:szCs w:val="20"/>
              </w:rPr>
            </w:pPr>
            <w:r w:rsidRPr="002A277D">
              <w:rPr>
                <w:rFonts w:ascii="Times New Roman" w:hAnsi="Times New Roman" w:cs="Times New Roman"/>
                <w:bCs/>
                <w:sz w:val="20"/>
                <w:szCs w:val="20"/>
              </w:rPr>
              <w:t xml:space="preserve">Alt2: power scaling factor is configured. </w:t>
            </w:r>
          </w:p>
          <w:p w:rsidR="00C0783A" w:rsidRPr="002A277D" w:rsidRDefault="00C0783A" w:rsidP="00706658">
            <w:pPr>
              <w:pStyle w:val="ListParagraph"/>
              <w:widowControl w:val="0"/>
              <w:numPr>
                <w:ilvl w:val="0"/>
                <w:numId w:val="50"/>
              </w:numPr>
              <w:spacing w:after="0" w:line="240" w:lineRule="auto"/>
              <w:contextualSpacing w:val="0"/>
              <w:jc w:val="both"/>
              <w:textAlignment w:val="bottom"/>
              <w:rPr>
                <w:rFonts w:ascii="Times New Roman" w:hAnsi="Times New Roman" w:cs="Times New Roman"/>
                <w:bCs/>
                <w:sz w:val="20"/>
                <w:szCs w:val="20"/>
              </w:rPr>
            </w:pPr>
            <w:r w:rsidRPr="002A277D">
              <w:rPr>
                <w:rFonts w:ascii="Times New Roman" w:hAnsi="Times New Roman" w:cs="Times New Roman"/>
                <w:bCs/>
                <w:sz w:val="20"/>
                <w:szCs w:val="20"/>
              </w:rPr>
              <w:t xml:space="preserve">Alt3: power scaling factor is </w:t>
            </w:r>
            <w:proofErr w:type="spellStart"/>
            <w:r w:rsidRPr="002A277D">
              <w:rPr>
                <w:rFonts w:ascii="Times New Roman" w:hAnsi="Times New Roman" w:cs="Times New Roman"/>
                <w:bCs/>
                <w:sz w:val="20"/>
                <w:szCs w:val="20"/>
              </w:rPr>
              <w:t>determinded</w:t>
            </w:r>
            <w:proofErr w:type="spellEnd"/>
            <w:r w:rsidRPr="002A277D">
              <w:rPr>
                <w:rFonts w:ascii="Times New Roman" w:hAnsi="Times New Roman" w:cs="Times New Roman"/>
                <w:bCs/>
                <w:sz w:val="20"/>
                <w:szCs w:val="20"/>
              </w:rPr>
              <w:t xml:space="preserve"> by #non-zero-PUSCH-port divided by #SRS-ports in the SRS resource indicated by SRI.</w:t>
            </w:r>
          </w:p>
          <w:p w:rsidR="00C0783A" w:rsidRPr="002A277D" w:rsidRDefault="00C0783A" w:rsidP="00706658">
            <w:pPr>
              <w:pStyle w:val="ListParagraph"/>
              <w:widowControl w:val="0"/>
              <w:numPr>
                <w:ilvl w:val="0"/>
                <w:numId w:val="50"/>
              </w:numPr>
              <w:spacing w:after="0" w:line="240" w:lineRule="auto"/>
              <w:contextualSpacing w:val="0"/>
              <w:jc w:val="both"/>
              <w:textAlignment w:val="bottom"/>
              <w:rPr>
                <w:rFonts w:ascii="Times New Roman" w:hAnsi="Times New Roman" w:cs="Times New Roman"/>
                <w:bCs/>
                <w:sz w:val="20"/>
                <w:szCs w:val="20"/>
              </w:rPr>
            </w:pPr>
            <w:r w:rsidRPr="002A277D">
              <w:rPr>
                <w:rFonts w:ascii="Times New Roman" w:hAnsi="Times New Roman" w:cs="Times New Roman"/>
                <w:bCs/>
                <w:sz w:val="20"/>
                <w:szCs w:val="20"/>
              </w:rPr>
              <w:t xml:space="preserve">Alt4: A UE can scale </w:t>
            </w:r>
            <w:proofErr w:type="gramStart"/>
            <w:r w:rsidRPr="002A277D">
              <w:rPr>
                <w:rFonts w:ascii="Times New Roman" w:hAnsi="Times New Roman" w:cs="Times New Roman"/>
                <w:bCs/>
                <w:sz w:val="20"/>
                <w:szCs w:val="20"/>
              </w:rPr>
              <w:t>its</w:t>
            </w:r>
            <w:proofErr w:type="gramEnd"/>
            <w:r w:rsidRPr="002A277D">
              <w:rPr>
                <w:rFonts w:ascii="Times New Roman" w:hAnsi="Times New Roman" w:cs="Times New Roman"/>
                <w:bCs/>
                <w:sz w:val="20"/>
                <w:szCs w:val="20"/>
              </w:rPr>
              <w:t xml:space="preserve"> transmit power by </w:t>
            </w:r>
            <w:r w:rsidRPr="002A277D">
              <w:rPr>
                <w:rFonts w:ascii="Times New Roman" w:hAnsi="Times New Roman" w:cs="Times New Roman"/>
                <w:bCs/>
                <w:sz w:val="20"/>
                <w:szCs w:val="20"/>
              </w:rPr>
              <w:object w:dxaOrig="2060" w:dyaOrig="380">
                <v:shape id="_x0000_i1026" type="#_x0000_t75" style="width:102.75pt;height:18.75pt" o:ole="">
                  <v:imagedata r:id="rId14" o:title=""/>
                </v:shape>
                <o:OLEObject Type="Embed" ProgID="Equation.DSMT4" ShapeID="_x0000_i1026" DrawAspect="Content" ObjectID="_1634749480" r:id="rId15"/>
              </w:object>
            </w:r>
            <w:r w:rsidRPr="002A277D">
              <w:rPr>
                <w:rFonts w:ascii="Times New Roman" w:hAnsi="Times New Roman" w:cs="Times New Roman"/>
                <w:bCs/>
                <w:sz w:val="20"/>
                <w:szCs w:val="20"/>
              </w:rPr>
              <w:t xml:space="preserve"> to reach full power, where</w:t>
            </w:r>
          </w:p>
          <w:p w:rsidR="00C0783A" w:rsidRPr="002A277D" w:rsidRDefault="00C0783A" w:rsidP="00706658">
            <w:pPr>
              <w:pStyle w:val="ListParagraph"/>
              <w:numPr>
                <w:ilvl w:val="1"/>
                <w:numId w:val="49"/>
              </w:numPr>
              <w:spacing w:after="0" w:line="240" w:lineRule="auto"/>
              <w:textAlignment w:val="bottom"/>
              <w:rPr>
                <w:rFonts w:ascii="Times New Roman" w:hAnsi="Times New Roman" w:cs="Times New Roman"/>
                <w:bCs/>
                <w:sz w:val="20"/>
                <w:szCs w:val="20"/>
              </w:rPr>
            </w:pPr>
            <w:r w:rsidRPr="002A277D">
              <w:rPr>
                <w:rFonts w:ascii="Times New Roman" w:hAnsi="Times New Roman" w:cs="Times New Roman"/>
                <w:position w:val="-12"/>
                <w:sz w:val="20"/>
                <w:szCs w:val="20"/>
              </w:rPr>
              <w:object w:dxaOrig="1200" w:dyaOrig="340">
                <v:shape id="_x0000_i1027" type="#_x0000_t75" style="width:60pt;height:17.25pt" o:ole="">
                  <v:imagedata r:id="rId16" o:title=""/>
                </v:shape>
                <o:OLEObject Type="Embed" ProgID="Equation.DSMT4" ShapeID="_x0000_i1027" DrawAspect="Content" ObjectID="_1634749481" r:id="rId17"/>
              </w:objec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K</m:t>
              </m:r>
              <m:d>
                <m:dPr>
                  <m:ctrlPr>
                    <w:rPr>
                      <w:rFonts w:ascii="Cambria Math" w:hAnsi="Cambria Math" w:cs="Times New Roman"/>
                      <w:b/>
                      <w:i/>
                      <w:sz w:val="20"/>
                      <w:szCs w:val="20"/>
                    </w:rPr>
                  </m:ctrlPr>
                </m:dPr>
                <m:e>
                  <m:r>
                    <m:rPr>
                      <m:sty m:val="p"/>
                    </m:rPr>
                    <w:rPr>
                      <w:rFonts w:ascii="Cambria Math" w:hAnsi="Cambria Math" w:cs="Times New Roman"/>
                      <w:sz w:val="20"/>
                      <w:szCs w:val="20"/>
                    </w:rPr>
                    <m:t>ρ,m,ν</m:t>
                  </m:r>
                </m:e>
              </m:d>
              <m:r>
                <m:rPr>
                  <m:sty m:val="p"/>
                </m:rPr>
                <w:rPr>
                  <w:rFonts w:ascii="Cambria Math" w:hAnsi="Cambria Math" w:cs="Times New Roman"/>
                  <w:sz w:val="20"/>
                  <w:szCs w:val="20"/>
                </w:rPr>
                <m:t>&gt;1</m:t>
              </m:r>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 xml:space="preserve"> is a scale factor associated with </w:t>
            </w:r>
            <w:r w:rsidRPr="002A277D">
              <w:rPr>
                <w:rFonts w:ascii="Times New Roman" w:hAnsi="Times New Roman" w:cs="Times New Roman"/>
                <w:position w:val="-12"/>
                <w:sz w:val="20"/>
                <w:szCs w:val="20"/>
              </w:rPr>
              <w:object w:dxaOrig="980" w:dyaOrig="340">
                <v:shape id="_x0000_i1028" type="#_x0000_t75" style="width:48.75pt;height:17.25pt" o:ole="">
                  <v:imagedata r:id="rId18" o:title=""/>
                </v:shape>
                <o:OLEObject Type="Embed" ProgID="Equation.DSMT4" ShapeID="_x0000_i1028" DrawAspect="Content" ObjectID="_1634749482" r:id="rId19"/>
              </w:object>
            </w:r>
            <w:r w:rsidRPr="002A277D">
              <w:rPr>
                <w:rFonts w:ascii="Times New Roman" w:hAnsi="Times New Roman" w:cs="Times New Roman"/>
                <w:sz w:val="20"/>
                <w:szCs w:val="20"/>
              </w:rPr>
              <w:t xml:space="preserve"> </w: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ρ∈{1,2,4}</m:t>
              </m:r>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 xml:space="preserve">SRS ports corresponding to the PUSCH transmission and an optional </w:t>
            </w:r>
            <w:proofErr w:type="spellStart"/>
            <w:r w:rsidRPr="002A277D">
              <w:rPr>
                <w:rFonts w:ascii="Times New Roman" w:hAnsi="Times New Roman" w:cs="Times New Roman"/>
                <w:bCs/>
                <w:sz w:val="20"/>
                <w:szCs w:val="20"/>
              </w:rPr>
              <w:t>m</w:t>
            </w:r>
            <w:r w:rsidRPr="002A277D">
              <w:rPr>
                <w:rFonts w:ascii="Times New Roman" w:hAnsi="Times New Roman" w:cs="Times New Roman"/>
                <w:bCs/>
                <w:sz w:val="20"/>
                <w:szCs w:val="20"/>
                <w:vertAlign w:val="superscript"/>
              </w:rPr>
              <w:t>th</w:t>
            </w:r>
            <w:proofErr w:type="spellEnd"/>
            <w:r w:rsidRPr="002A277D">
              <w:rPr>
                <w:rFonts w:ascii="Times New Roman" w:hAnsi="Times New Roman" w:cs="Times New Roman"/>
                <w:bCs/>
                <w:sz w:val="20"/>
                <w:szCs w:val="20"/>
              </w:rPr>
              <w:t xml:space="preserve"> TPMI with rank </w:t>
            </w:r>
            <w:proofErr w:type="gramStart"/>
            <w:r w:rsidRPr="002A277D">
              <w:rPr>
                <w:rFonts w:ascii="Times New Roman" w:hAnsi="Times New Roman" w:cs="Times New Roman"/>
                <w:bCs/>
                <w:i/>
                <w:iCs/>
                <w:sz w:val="20"/>
                <w:szCs w:val="20"/>
              </w:rPr>
              <w:t>v</w:t>
            </w:r>
            <w:r w:rsidRPr="002A277D">
              <w:rPr>
                <w:rFonts w:ascii="Times New Roman" w:hAnsi="Times New Roman" w:cs="Times New Roman"/>
                <w:bCs/>
                <w:sz w:val="20"/>
                <w:szCs w:val="20"/>
              </w:rPr>
              <w:t>.</w:t>
            </w:r>
            <w:proofErr w:type="gramEnd"/>
          </w:p>
          <w:p w:rsidR="00C0783A" w:rsidRPr="002A277D" w:rsidRDefault="00C0783A" w:rsidP="00706658">
            <w:pPr>
              <w:pStyle w:val="ListParagraph"/>
              <w:numPr>
                <w:ilvl w:val="2"/>
                <w:numId w:val="49"/>
              </w:numPr>
              <w:spacing w:after="0" w:line="240" w:lineRule="auto"/>
              <w:textAlignment w:val="bottom"/>
              <w:rPr>
                <w:rFonts w:ascii="Times New Roman" w:hAnsi="Times New Roman" w:cs="Times New Roman"/>
                <w:bCs/>
                <w:sz w:val="20"/>
                <w:szCs w:val="20"/>
              </w:rPr>
            </w:pPr>
            <w:r w:rsidRPr="002A277D">
              <w:rPr>
                <w:rFonts w:ascii="Times New Roman" w:hAnsi="Times New Roman" w:cs="Times New Roman"/>
                <w:bCs/>
                <w:sz w:val="20"/>
                <w:szCs w:val="20"/>
              </w:rPr>
              <w:t xml:space="preserve">If a TPMI is not associated with </w:t>
            </w:r>
            <w:r w:rsidRPr="002A277D">
              <w:rPr>
                <w:rFonts w:ascii="Times New Roman" w:hAnsi="Times New Roman" w:cs="Times New Roman"/>
                <w:position w:val="-12"/>
                <w:sz w:val="20"/>
                <w:szCs w:val="20"/>
              </w:rPr>
              <w:object w:dxaOrig="940" w:dyaOrig="340">
                <v:shape id="_x0000_i1029" type="#_x0000_t75" style="width:46.5pt;height:17.25pt" o:ole="">
                  <v:imagedata r:id="rId20" o:title=""/>
                </v:shape>
                <o:OLEObject Type="Embed" ProgID="Equation.DSMT4" ShapeID="_x0000_i1029" DrawAspect="Content" ObjectID="_1634749483" r:id="rId21"/>
              </w:objec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K</m:t>
              </m:r>
              <m:d>
                <m:dPr>
                  <m:ctrlPr>
                    <w:rPr>
                      <w:rFonts w:ascii="Cambria Math" w:hAnsi="Cambria Math" w:cs="Times New Roman"/>
                      <w:b/>
                      <w:i/>
                      <w:sz w:val="20"/>
                      <w:szCs w:val="20"/>
                    </w:rPr>
                  </m:ctrlPr>
                </m:dPr>
                <m:e>
                  <m:r>
                    <m:rPr>
                      <m:sty m:val="p"/>
                    </m:rPr>
                    <w:rPr>
                      <w:rFonts w:ascii="Cambria Math" w:hAnsi="Cambria Math" w:cs="Times New Roman"/>
                      <w:sz w:val="20"/>
                      <w:szCs w:val="20"/>
                    </w:rPr>
                    <m:t>ρ,m,ν</m:t>
                  </m:r>
                </m:e>
              </m:d>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 xml:space="preserve">, then </w:t>
            </w:r>
            <w:r w:rsidRPr="002A277D">
              <w:rPr>
                <w:rFonts w:ascii="Times New Roman" w:hAnsi="Times New Roman" w:cs="Times New Roman"/>
                <w:position w:val="-12"/>
                <w:sz w:val="20"/>
                <w:szCs w:val="20"/>
              </w:rPr>
              <w:object w:dxaOrig="940" w:dyaOrig="340">
                <v:shape id="_x0000_i1030" type="#_x0000_t75" style="width:46.5pt;height:17.25pt" o:ole="">
                  <v:imagedata r:id="rId20" o:title=""/>
                </v:shape>
                <o:OLEObject Type="Embed" ProgID="Equation.DSMT4" ShapeID="_x0000_i1030" DrawAspect="Content" ObjectID="_1634749484" r:id="rId22"/>
              </w:object>
            </w:r>
            <w:r w:rsidRPr="002A277D">
              <w:rPr>
                <w:rFonts w:ascii="Times New Roman" w:hAnsi="Times New Roman" w:cs="Times New Roman"/>
                <w:bCs/>
                <w:sz w:val="20"/>
                <w:szCs w:val="20"/>
              </w:rPr>
              <w:t xml:space="preserve"> is determined without regard to </w:t>
            </w:r>
            <w:r w:rsidRPr="002A277D">
              <w:rPr>
                <w:rFonts w:ascii="Times New Roman" w:hAnsi="Times New Roman" w:cs="Times New Roman"/>
                <w:bCs/>
                <w:i/>
                <w:iCs/>
                <w:sz w:val="20"/>
                <w:szCs w:val="20"/>
              </w:rPr>
              <w:t>m</w:t>
            </w:r>
            <w:r w:rsidRPr="002A277D">
              <w:rPr>
                <w:rFonts w:ascii="Times New Roman" w:hAnsi="Times New Roman" w:cs="Times New Roman"/>
                <w:bCs/>
                <w:sz w:val="20"/>
                <w:szCs w:val="20"/>
              </w:rPr>
              <w:t xml:space="preserve"> and </w:t>
            </w:r>
            <w:r w:rsidRPr="002A277D">
              <w:rPr>
                <w:rFonts w:ascii="Times New Roman" w:hAnsi="Times New Roman" w:cs="Times New Roman"/>
                <w:bCs/>
                <w:i/>
                <w:iCs/>
                <w:sz w:val="20"/>
                <w:szCs w:val="20"/>
              </w:rPr>
              <w:t>v</w:t>
            </w:r>
            <w:r w:rsidRPr="002A277D">
              <w:rPr>
                <w:rFonts w:ascii="Times New Roman" w:hAnsi="Times New Roman" w:cs="Times New Roman"/>
                <w:bCs/>
                <w:sz w:val="20"/>
                <w:szCs w:val="20"/>
              </w:rPr>
              <w:t xml:space="preserve">. </w:t>
            </w:r>
          </w:p>
          <w:p w:rsidR="00C0783A" w:rsidRPr="002A277D" w:rsidRDefault="00C0783A" w:rsidP="00706658">
            <w:pPr>
              <w:pStyle w:val="ListParagraph"/>
              <w:numPr>
                <w:ilvl w:val="2"/>
                <w:numId w:val="49"/>
              </w:numPr>
              <w:spacing w:after="0" w:line="240" w:lineRule="auto"/>
              <w:textAlignment w:val="bottom"/>
              <w:rPr>
                <w:rFonts w:ascii="Times New Roman" w:hAnsi="Times New Roman" w:cs="Times New Roman"/>
                <w:bCs/>
                <w:sz w:val="20"/>
                <w:szCs w:val="20"/>
              </w:rPr>
            </w:pPr>
            <w:r w:rsidRPr="002A277D">
              <w:rPr>
                <w:rFonts w:ascii="Times New Roman" w:hAnsi="Times New Roman" w:cs="Times New Roman"/>
                <w:bCs/>
                <w:sz w:val="20"/>
                <w:szCs w:val="20"/>
              </w:rPr>
              <w:t xml:space="preserve">If </w:t>
            </w:r>
            <w:r w:rsidRPr="002A277D">
              <w:rPr>
                <w:rFonts w:ascii="Times New Roman" w:hAnsi="Times New Roman" w:cs="Times New Roman"/>
                <w:position w:val="-12"/>
                <w:sz w:val="20"/>
                <w:szCs w:val="20"/>
              </w:rPr>
              <w:object w:dxaOrig="940" w:dyaOrig="340">
                <v:shape id="_x0000_i1031" type="#_x0000_t75" style="width:46.5pt;height:17.25pt" o:ole="">
                  <v:imagedata r:id="rId20" o:title=""/>
                </v:shape>
                <o:OLEObject Type="Embed" ProgID="Equation.DSMT4" ShapeID="_x0000_i1031" DrawAspect="Content" ObjectID="_1634749485" r:id="rId23"/>
              </w:objec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K</m:t>
              </m:r>
              <m:d>
                <m:dPr>
                  <m:ctrlPr>
                    <w:rPr>
                      <w:rFonts w:ascii="Cambria Math" w:hAnsi="Cambria Math" w:cs="Times New Roman"/>
                      <w:b/>
                      <w:i/>
                      <w:sz w:val="20"/>
                      <w:szCs w:val="20"/>
                    </w:rPr>
                  </m:ctrlPr>
                </m:dPr>
                <m:e>
                  <m:r>
                    <m:rPr>
                      <m:sty m:val="p"/>
                    </m:rPr>
                    <w:rPr>
                      <w:rFonts w:ascii="Cambria Math" w:hAnsi="Cambria Math" w:cs="Times New Roman"/>
                      <w:sz w:val="20"/>
                      <w:szCs w:val="20"/>
                    </w:rPr>
                    <m:t>ρ,m,ν</m:t>
                  </m:r>
                </m:e>
              </m:d>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 xml:space="preserve"> is not configured by higher layers, a set of fixed values are defined for </w:t>
            </w:r>
            <w:r w:rsidRPr="002A277D">
              <w:rPr>
                <w:rFonts w:ascii="Times New Roman" w:hAnsi="Times New Roman" w:cs="Times New Roman"/>
                <w:position w:val="-12"/>
                <w:sz w:val="20"/>
                <w:szCs w:val="20"/>
              </w:rPr>
              <w:object w:dxaOrig="560" w:dyaOrig="340">
                <v:shape id="_x0000_i1032" type="#_x0000_t75" style="width:28.5pt;height:17.25pt" o:ole="">
                  <v:imagedata r:id="rId24" o:title=""/>
                </v:shape>
                <o:OLEObject Type="Embed" ProgID="Equation.DSMT4" ShapeID="_x0000_i1032" DrawAspect="Content" ObjectID="_1634749486" r:id="rId25"/>
              </w:objec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K(ρ)</m:t>
              </m:r>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w:t>
            </w:r>
          </w:p>
          <w:p w:rsidR="00C0783A" w:rsidRPr="002A277D" w:rsidRDefault="00C0783A" w:rsidP="00706658">
            <w:pPr>
              <w:pStyle w:val="ListParagraph"/>
              <w:numPr>
                <w:ilvl w:val="1"/>
                <w:numId w:val="49"/>
              </w:numPr>
              <w:spacing w:after="0" w:line="240" w:lineRule="auto"/>
              <w:textAlignment w:val="bottom"/>
              <w:rPr>
                <w:rFonts w:ascii="Times New Roman" w:hAnsi="Times New Roman" w:cs="Times New Roman"/>
                <w:bCs/>
                <w:sz w:val="20"/>
                <w:szCs w:val="20"/>
              </w:rPr>
            </w:pPr>
            <w:r w:rsidRPr="002A277D">
              <w:rPr>
                <w:rFonts w:ascii="Times New Roman" w:hAnsi="Times New Roman" w:cs="Times New Roman"/>
                <w:bCs/>
                <w:position w:val="-10"/>
                <w:sz w:val="20"/>
                <w:szCs w:val="20"/>
              </w:rPr>
              <w:object w:dxaOrig="260" w:dyaOrig="300">
                <v:shape id="_x0000_i1033" type="#_x0000_t75" style="width:12.75pt;height:15pt" o:ole="">
                  <v:imagedata r:id="rId26" o:title=""/>
                </v:shape>
                <o:OLEObject Type="Embed" ProgID="Equation.DSMT4" ShapeID="_x0000_i1033" DrawAspect="Content" ObjectID="_1634749487" r:id="rId27"/>
              </w:object>
            </w:r>
            <w:r w:rsidRPr="002A277D">
              <w:rPr>
                <w:rFonts w:ascii="Times New Roman" w:hAnsi="Times New Roman" w:cs="Times New Roman"/>
                <w:bCs/>
                <w:sz w:val="20"/>
                <w:szCs w:val="20"/>
              </w:rPr>
              <w:t xml:space="preserve"> </w:t>
            </w:r>
            <w:r w:rsidRPr="002A277D">
              <w:rPr>
                <w:rFonts w:ascii="Times New Roman" w:hAnsi="Times New Roman" w:cs="Times New Roman"/>
                <w:bCs/>
                <w:sz w:val="20"/>
                <w:szCs w:val="20"/>
              </w:rPr>
              <w:fldChar w:fldCharType="begin"/>
            </w:r>
            <w:r w:rsidRPr="002A277D">
              <w:rPr>
                <w:rFonts w:ascii="Times New Roman" w:hAnsi="Times New Roman" w:cs="Times New Roman"/>
                <w:bCs/>
                <w:sz w:val="20"/>
                <w:szCs w:val="20"/>
              </w:rPr>
              <w:instrText xml:space="preserve"> QUOTE </w:instrText>
            </w:r>
            <m:oMath>
              <m:sSub>
                <m:sSubPr>
                  <m:ctrlPr>
                    <w:rPr>
                      <w:rFonts w:ascii="Cambria Math" w:hAnsi="Cambria Math" w:cs="Times New Roman"/>
                      <w:b/>
                      <w:i/>
                      <w:sz w:val="20"/>
                      <w:szCs w:val="20"/>
                    </w:rPr>
                  </m:ctrlPr>
                </m:sSubPr>
                <m:e>
                  <m:r>
                    <m:rPr>
                      <m:sty m:val="p"/>
                    </m:rPr>
                    <w:rPr>
                      <w:rFonts w:ascii="Cambria Math" w:hAnsi="Cambria Math" w:cs="Times New Roman"/>
                      <w:sz w:val="20"/>
                      <w:szCs w:val="20"/>
                    </w:rPr>
                    <m:t>ρ</m:t>
                  </m:r>
                </m:e>
                <m:sub>
                  <m:r>
                    <m:rPr>
                      <m:sty m:val="p"/>
                    </m:rPr>
                    <w:rPr>
                      <w:rFonts w:ascii="Cambria Math" w:hAnsi="Cambria Math" w:cs="Times New Roman"/>
                      <w:sz w:val="20"/>
                      <w:szCs w:val="20"/>
                    </w:rPr>
                    <m:t>0</m:t>
                  </m:r>
                </m:sub>
              </m:sSub>
            </m:oMath>
            <w:r w:rsidRPr="002A277D">
              <w:rPr>
                <w:rFonts w:ascii="Times New Roman" w:hAnsi="Times New Roman" w:cs="Times New Roman"/>
                <w:bCs/>
                <w:sz w:val="20"/>
                <w:szCs w:val="20"/>
              </w:rPr>
              <w:instrText xml:space="preserve"> </w:instrText>
            </w:r>
            <w:r w:rsidRPr="002A277D">
              <w:rPr>
                <w:rFonts w:ascii="Times New Roman" w:hAnsi="Times New Roman" w:cs="Times New Roman"/>
                <w:bCs/>
                <w:sz w:val="20"/>
                <w:szCs w:val="20"/>
              </w:rPr>
              <w:fldChar w:fldCharType="end"/>
            </w:r>
            <w:r w:rsidRPr="002A277D">
              <w:rPr>
                <w:rFonts w:ascii="Times New Roman" w:hAnsi="Times New Roman" w:cs="Times New Roman"/>
                <w:bCs/>
                <w:sz w:val="20"/>
                <w:szCs w:val="20"/>
              </w:rPr>
              <w:t xml:space="preserve">is the number of non-zero PUSCH ports being </w:t>
            </w:r>
            <w:proofErr w:type="gramStart"/>
            <w:r w:rsidRPr="002A277D">
              <w:rPr>
                <w:rFonts w:ascii="Times New Roman" w:hAnsi="Times New Roman" w:cs="Times New Roman"/>
                <w:bCs/>
                <w:sz w:val="20"/>
                <w:szCs w:val="20"/>
              </w:rPr>
              <w:t>transmitted</w:t>
            </w:r>
            <w:proofErr w:type="gramEnd"/>
          </w:p>
          <w:p w:rsidR="00C0783A" w:rsidRPr="002A277D" w:rsidRDefault="00C0783A" w:rsidP="00706658">
            <w:pPr>
              <w:pStyle w:val="ListParagraph"/>
              <w:widowControl w:val="0"/>
              <w:numPr>
                <w:ilvl w:val="0"/>
                <w:numId w:val="50"/>
              </w:numPr>
              <w:spacing w:after="0" w:line="240" w:lineRule="auto"/>
              <w:contextualSpacing w:val="0"/>
              <w:jc w:val="both"/>
              <w:textAlignment w:val="bottom"/>
              <w:rPr>
                <w:rFonts w:ascii="Times New Roman" w:hAnsi="Times New Roman" w:cs="Times New Roman"/>
                <w:bCs/>
                <w:sz w:val="20"/>
                <w:szCs w:val="20"/>
              </w:rPr>
            </w:pPr>
            <w:r w:rsidRPr="002A277D">
              <w:rPr>
                <w:rFonts w:ascii="Times New Roman" w:hAnsi="Times New Roman" w:cs="Times New Roman"/>
                <w:bCs/>
                <w:sz w:val="20"/>
                <w:szCs w:val="20"/>
              </w:rPr>
              <w:t>Alt5: For the precoders in the new codebook subset for full power transmission, the power scaling factor is 1.</w:t>
            </w:r>
          </w:p>
          <w:p w:rsidR="00C0783A" w:rsidRPr="00C0702A" w:rsidRDefault="00C0783A" w:rsidP="00706658">
            <w:pPr>
              <w:rPr>
                <w:rFonts w:ascii="Times New Roman" w:hAnsi="Times New Roman" w:cs="Times New Roman"/>
                <w:sz w:val="20"/>
                <w:szCs w:val="20"/>
              </w:rPr>
            </w:pPr>
          </w:p>
        </w:tc>
      </w:tr>
    </w:tbl>
    <w:p w:rsidR="00C0783A" w:rsidRDefault="00C0783A" w:rsidP="00C0783A">
      <w:pPr>
        <w:rPr>
          <w:rFonts w:ascii="Times New Roman" w:hAnsi="Times New Roman" w:cs="Times New Roman"/>
          <w:sz w:val="20"/>
          <w:szCs w:val="20"/>
        </w:rPr>
      </w:pPr>
    </w:p>
    <w:p w:rsidR="00C0783A" w:rsidRDefault="00C0783A" w:rsidP="00C0783A">
      <w:pPr>
        <w:rPr>
          <w:rFonts w:ascii="Times New Roman" w:hAnsi="Times New Roman" w:cs="Times New Roman"/>
          <w:iCs/>
          <w:sz w:val="20"/>
          <w:szCs w:val="20"/>
        </w:rPr>
      </w:pPr>
      <w:r>
        <w:rPr>
          <w:rFonts w:ascii="Times New Roman" w:hAnsi="Times New Roman" w:cs="Times New Roman"/>
          <w:iCs/>
          <w:sz w:val="20"/>
          <w:szCs w:val="20"/>
        </w:rPr>
        <w:t>With new defined codebook subset and UE capability reporting, there is no need to further complicate the power control for both mode 1 and mode 2 UE. With this purpose, we propose:</w:t>
      </w:r>
    </w:p>
    <w:p w:rsidR="00C0783A" w:rsidRPr="00243C77" w:rsidRDefault="00C0783A" w:rsidP="00C0783A">
      <w:pPr>
        <w:rPr>
          <w:rFonts w:ascii="Times New Roman" w:hAnsi="Times New Roman" w:cs="Times New Roman"/>
          <w:b/>
          <w:i/>
          <w:iCs/>
          <w:sz w:val="20"/>
          <w:szCs w:val="20"/>
        </w:rPr>
      </w:pPr>
      <w:r w:rsidRPr="00243C77">
        <w:rPr>
          <w:rFonts w:ascii="Times New Roman" w:hAnsi="Times New Roman" w:cs="Times New Roman"/>
          <w:b/>
          <w:i/>
          <w:iCs/>
          <w:sz w:val="20"/>
          <w:szCs w:val="20"/>
        </w:rPr>
        <w:t xml:space="preserve">Proposal </w:t>
      </w:r>
      <w:r>
        <w:rPr>
          <w:rFonts w:ascii="Times New Roman" w:hAnsi="Times New Roman" w:cs="Times New Roman"/>
          <w:b/>
          <w:i/>
          <w:iCs/>
          <w:sz w:val="20"/>
          <w:szCs w:val="20"/>
        </w:rPr>
        <w:t>3</w:t>
      </w:r>
      <w:r w:rsidRPr="00243C77">
        <w:rPr>
          <w:rFonts w:ascii="Times New Roman" w:hAnsi="Times New Roman" w:cs="Times New Roman"/>
          <w:b/>
          <w:i/>
          <w:iCs/>
          <w:sz w:val="20"/>
          <w:szCs w:val="20"/>
        </w:rPr>
        <w:t>: For mode 1 UE, support Alt 5, where the power scaling factor shall be 1</w:t>
      </w:r>
      <w:r>
        <w:rPr>
          <w:rFonts w:ascii="Times New Roman" w:hAnsi="Times New Roman" w:cs="Times New Roman"/>
          <w:b/>
          <w:i/>
          <w:iCs/>
          <w:sz w:val="20"/>
          <w:szCs w:val="20"/>
        </w:rPr>
        <w:t xml:space="preserve"> for the precoders in the new codebook subset.</w:t>
      </w:r>
    </w:p>
    <w:p w:rsidR="00C0783A" w:rsidRPr="00243C77" w:rsidRDefault="00C0783A" w:rsidP="00C0783A">
      <w:pPr>
        <w:rPr>
          <w:rFonts w:ascii="Times New Roman" w:hAnsi="Times New Roman" w:cs="Times New Roman"/>
          <w:b/>
          <w:i/>
          <w:sz w:val="20"/>
          <w:szCs w:val="20"/>
        </w:rPr>
      </w:pPr>
    </w:p>
    <w:p w:rsidR="00AE0A38" w:rsidRDefault="00AE0A38" w:rsidP="00AE0A38">
      <w:pPr>
        <w:pStyle w:val="Heading2"/>
      </w:pPr>
      <w:r>
        <w:t>2.2</w:t>
      </w:r>
      <w:r>
        <w:tab/>
        <w:t>UE mode 2</w:t>
      </w:r>
    </w:p>
    <w:p w:rsidR="00AE0A38" w:rsidRDefault="00C0783A" w:rsidP="009F4384">
      <w:pPr>
        <w:rPr>
          <w:rFonts w:ascii="Times New Roman" w:hAnsi="Times New Roman" w:cs="Times New Roman"/>
          <w:sz w:val="20"/>
          <w:szCs w:val="20"/>
        </w:rPr>
      </w:pPr>
      <w:r>
        <w:rPr>
          <w:rFonts w:ascii="Times New Roman" w:hAnsi="Times New Roman" w:cs="Times New Roman"/>
          <w:sz w:val="20"/>
          <w:szCs w:val="20"/>
        </w:rPr>
        <w:t>Based on the definition of UE Mode 2, the new codebook subset is also supported from this agreement:</w:t>
      </w:r>
    </w:p>
    <w:p w:rsidR="00C0783A" w:rsidRPr="00C0783A" w:rsidRDefault="00C0783A" w:rsidP="00C0783A">
      <w:pPr>
        <w:pStyle w:val="ListParagraph"/>
        <w:numPr>
          <w:ilvl w:val="1"/>
          <w:numId w:val="32"/>
        </w:numPr>
        <w:spacing w:after="0" w:line="240" w:lineRule="auto"/>
        <w:contextualSpacing w:val="0"/>
        <w:rPr>
          <w:rFonts w:ascii="Times New Roman" w:hAnsi="Times New Roman"/>
          <w:i/>
          <w:sz w:val="20"/>
          <w:szCs w:val="20"/>
        </w:rPr>
      </w:pPr>
      <w:r w:rsidRPr="00C0783A">
        <w:rPr>
          <w:rFonts w:ascii="Times New Roman" w:hAnsi="Times New Roman"/>
          <w:i/>
          <w:sz w:val="20"/>
          <w:szCs w:val="20"/>
        </w:rPr>
        <w:t>UL full power Tx is achieved for PUSCH transmission according to indicated SRI and/or TPMI</w:t>
      </w:r>
    </w:p>
    <w:p w:rsidR="00C0783A" w:rsidRPr="00C0783A" w:rsidRDefault="00C0783A" w:rsidP="00C0783A">
      <w:pPr>
        <w:pStyle w:val="ListParagraph"/>
        <w:numPr>
          <w:ilvl w:val="2"/>
          <w:numId w:val="32"/>
        </w:numPr>
        <w:spacing w:after="0" w:line="240" w:lineRule="auto"/>
        <w:contextualSpacing w:val="0"/>
        <w:rPr>
          <w:rFonts w:ascii="Times New Roman" w:hAnsi="Times New Roman"/>
          <w:i/>
          <w:sz w:val="20"/>
          <w:szCs w:val="20"/>
        </w:rPr>
      </w:pPr>
      <w:r w:rsidRPr="00C0783A">
        <w:rPr>
          <w:rFonts w:ascii="Times New Roman" w:hAnsi="Times New Roman"/>
          <w:i/>
          <w:sz w:val="20"/>
          <w:szCs w:val="20"/>
        </w:rPr>
        <w:t xml:space="preserve">A set of TPMIs that deliver full power can be signalled by the UE in order to support at </w:t>
      </w:r>
      <w:proofErr w:type="gramStart"/>
      <w:r w:rsidRPr="00C0783A">
        <w:rPr>
          <w:rFonts w:ascii="Times New Roman" w:hAnsi="Times New Roman"/>
          <w:i/>
          <w:sz w:val="20"/>
          <w:szCs w:val="20"/>
        </w:rPr>
        <w:t>least  UEcap</w:t>
      </w:r>
      <w:proofErr w:type="gramEnd"/>
      <w:r w:rsidRPr="00C0783A">
        <w:rPr>
          <w:rFonts w:ascii="Times New Roman" w:hAnsi="Times New Roman"/>
          <w:i/>
          <w:sz w:val="20"/>
          <w:szCs w:val="20"/>
        </w:rPr>
        <w:t xml:space="preserve">3, for SRS resource with more than 1 ports, </w:t>
      </w:r>
    </w:p>
    <w:p w:rsidR="00C0783A" w:rsidRPr="00C0702A" w:rsidRDefault="00C0783A" w:rsidP="00C0783A">
      <w:pPr>
        <w:pStyle w:val="ListParagraph"/>
        <w:numPr>
          <w:ilvl w:val="2"/>
          <w:numId w:val="32"/>
        </w:numPr>
        <w:spacing w:after="0" w:line="240" w:lineRule="auto"/>
        <w:contextualSpacing w:val="0"/>
        <w:rPr>
          <w:rFonts w:ascii="Times New Roman" w:hAnsi="Times New Roman"/>
          <w:sz w:val="20"/>
          <w:szCs w:val="20"/>
        </w:rPr>
      </w:pPr>
      <w:r w:rsidRPr="00C0783A">
        <w:rPr>
          <w:rFonts w:ascii="Times New Roman" w:hAnsi="Times New Roman"/>
          <w:i/>
          <w:sz w:val="20"/>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rsidR="00C0783A" w:rsidRDefault="00C0783A" w:rsidP="009F4384">
      <w:pPr>
        <w:rPr>
          <w:rFonts w:ascii="Times New Roman" w:hAnsi="Times New Roman" w:cs="Times New Roman"/>
          <w:sz w:val="20"/>
          <w:szCs w:val="20"/>
        </w:rPr>
      </w:pPr>
    </w:p>
    <w:p w:rsidR="0092167A" w:rsidRDefault="00C0783A" w:rsidP="009F4384">
      <w:pPr>
        <w:rPr>
          <w:rFonts w:ascii="Times New Roman" w:hAnsi="Times New Roman" w:cs="Times New Roman"/>
          <w:sz w:val="20"/>
          <w:szCs w:val="20"/>
        </w:rPr>
      </w:pP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Mode 1, the new codebook subset shall only include TPMIs that can achieve full power transmission.</w:t>
      </w:r>
    </w:p>
    <w:p w:rsidR="00C0783A" w:rsidRPr="00C0783A" w:rsidRDefault="00C0783A" w:rsidP="009F4384">
      <w:pPr>
        <w:rPr>
          <w:rFonts w:ascii="Times New Roman" w:hAnsi="Times New Roman" w:cs="Times New Roman"/>
          <w:b/>
          <w:i/>
          <w:sz w:val="20"/>
          <w:szCs w:val="20"/>
        </w:rPr>
      </w:pPr>
      <w:r w:rsidRPr="00C0783A">
        <w:rPr>
          <w:rFonts w:ascii="Times New Roman" w:hAnsi="Times New Roman" w:cs="Times New Roman"/>
          <w:b/>
          <w:i/>
          <w:sz w:val="20"/>
          <w:szCs w:val="20"/>
        </w:rPr>
        <w:t>Proposal 4: Mode 2 new codebook subset shall include only new TPMIs that can support full power transmission.</w:t>
      </w:r>
    </w:p>
    <w:p w:rsidR="00E31F2A" w:rsidRDefault="00A8538F" w:rsidP="00A8538F">
      <w:pPr>
        <w:jc w:val="both"/>
        <w:rPr>
          <w:rFonts w:ascii="Times New Roman" w:hAnsi="Times New Roman" w:cs="Times New Roman"/>
          <w:sz w:val="20"/>
          <w:szCs w:val="20"/>
        </w:rPr>
      </w:pPr>
      <w:r>
        <w:rPr>
          <w:rFonts w:ascii="Times New Roman" w:hAnsi="Times New Roman" w:cs="Times New Roman"/>
          <w:sz w:val="20"/>
          <w:szCs w:val="20"/>
        </w:rPr>
        <w:t>From the definition of Mode 2, the UE can be configured with one SRS resource or multiple SRS resources with different SRS ports. One or more configured SRS resources will have capability to support full power for SRS/PUSCH, where the PUSCH transmission utilizes the same SRS ports. However, not all configured SRS resources have the full Tx power capability.</w:t>
      </w:r>
    </w:p>
    <w:p w:rsidR="00A8538F" w:rsidRDefault="00A8538F" w:rsidP="00A8538F">
      <w:pPr>
        <w:jc w:val="both"/>
        <w:rPr>
          <w:rFonts w:ascii="Times New Roman" w:hAnsi="Times New Roman" w:cs="Times New Roman"/>
          <w:sz w:val="20"/>
          <w:szCs w:val="20"/>
        </w:rPr>
      </w:pPr>
      <w:r>
        <w:rPr>
          <w:rFonts w:ascii="Times New Roman" w:hAnsi="Times New Roman" w:cs="Times New Roman"/>
          <w:sz w:val="20"/>
          <w:szCs w:val="20"/>
        </w:rPr>
        <w:t xml:space="preserve">For a 2Tx UE, the UE may be configured with 2 SRS resources: one 2-port SRS resource, and another 1-port SRS resource. The 1-port SRS resource has its full Tx power capability following Rel-15 behavior. </w:t>
      </w:r>
    </w:p>
    <w:p w:rsidR="00C0783A" w:rsidRDefault="00A8538F" w:rsidP="00FF13B2">
      <w:pPr>
        <w:jc w:val="both"/>
        <w:rPr>
          <w:rFonts w:ascii="Times New Roman" w:hAnsi="Times New Roman" w:cs="Times New Roman"/>
          <w:sz w:val="20"/>
          <w:szCs w:val="20"/>
        </w:rPr>
      </w:pPr>
      <w:r>
        <w:rPr>
          <w:rFonts w:ascii="Times New Roman" w:hAnsi="Times New Roman" w:cs="Times New Roman"/>
          <w:sz w:val="20"/>
          <w:szCs w:val="20"/>
        </w:rPr>
        <w:t>For a 4Tx UE, the UE can be configured with a maximum of 4 SRS resources: some 4-port SRS resources, and/or some 2-port SRS resources. The 2-port SRS resources shall support full Tx capability</w:t>
      </w:r>
      <w:r w:rsidR="00FF13B2">
        <w:rPr>
          <w:rFonts w:ascii="Times New Roman" w:hAnsi="Times New Roman" w:cs="Times New Roman"/>
          <w:sz w:val="20"/>
          <w:szCs w:val="20"/>
        </w:rPr>
        <w:t xml:space="preserve">. </w:t>
      </w:r>
      <w:r w:rsidR="005A6633">
        <w:rPr>
          <w:rFonts w:ascii="Times New Roman" w:hAnsi="Times New Roman" w:cs="Times New Roman"/>
          <w:sz w:val="20"/>
          <w:szCs w:val="20"/>
        </w:rPr>
        <w:t>Mode 2 UE can report its capability by indicating its supported TPMIs.</w:t>
      </w:r>
    </w:p>
    <w:p w:rsidR="005A6633" w:rsidRPr="00D449C8" w:rsidRDefault="005A6633" w:rsidP="005A6633">
      <w:pPr>
        <w:jc w:val="both"/>
        <w:rPr>
          <w:rFonts w:ascii="Times New Roman" w:hAnsi="Times New Roman" w:cs="Times New Roman"/>
          <w:b/>
          <w:sz w:val="20"/>
          <w:szCs w:val="20"/>
        </w:rPr>
      </w:pPr>
      <w:r>
        <w:rPr>
          <w:rFonts w:ascii="Times New Roman" w:hAnsi="Times New Roman" w:cs="Times New Roman"/>
          <w:b/>
          <w:i/>
          <w:sz w:val="20"/>
          <w:szCs w:val="20"/>
        </w:rPr>
        <w:t>Proposal 5: Indication of TPMIs of the new codebook subset shall be used to indicate Mode 2 UE’s full power transmission capability.</w:t>
      </w:r>
    </w:p>
    <w:p w:rsidR="005A6633" w:rsidRDefault="005A6633" w:rsidP="009F4384">
      <w:pPr>
        <w:rPr>
          <w:rFonts w:ascii="Times New Roman" w:hAnsi="Times New Roman" w:cs="Times New Roman"/>
          <w:sz w:val="20"/>
          <w:szCs w:val="20"/>
        </w:rPr>
      </w:pPr>
    </w:p>
    <w:p w:rsidR="00A13F5D" w:rsidRDefault="00A13F5D" w:rsidP="00577EEA">
      <w:pPr>
        <w:rPr>
          <w:rFonts w:ascii="Times New Roman" w:hAnsi="Times New Roman" w:cs="Times New Roman"/>
          <w:sz w:val="20"/>
          <w:szCs w:val="20"/>
        </w:rPr>
      </w:pPr>
    </w:p>
    <w:p w:rsidR="00930825" w:rsidRDefault="005A6633" w:rsidP="00B12B1E">
      <w:pPr>
        <w:pStyle w:val="Heading1"/>
        <w:jc w:val="both"/>
      </w:pPr>
      <w:r>
        <w:t>3</w:t>
      </w:r>
      <w:r w:rsidR="00930825">
        <w:tab/>
        <w:t>Conclusion</w:t>
      </w:r>
      <w:r w:rsidR="00B47610">
        <w:t>s</w:t>
      </w:r>
    </w:p>
    <w:p w:rsidR="00D60C0C" w:rsidRDefault="002C764B" w:rsidP="002B7F6C">
      <w:pPr>
        <w:jc w:val="both"/>
        <w:rPr>
          <w:rFonts w:ascii="Times New Roman" w:hAnsi="Times New Roman" w:cs="Times New Roman"/>
          <w:sz w:val="20"/>
          <w:szCs w:val="20"/>
        </w:rPr>
      </w:pPr>
      <w:r>
        <w:rPr>
          <w:rFonts w:ascii="Times New Roman" w:hAnsi="Times New Roman" w:cs="Times New Roman"/>
          <w:sz w:val="20"/>
          <w:szCs w:val="20"/>
        </w:rPr>
        <w:t>We have th</w:t>
      </w:r>
      <w:r w:rsidR="006B570E">
        <w:rPr>
          <w:rFonts w:ascii="Times New Roman" w:hAnsi="Times New Roman" w:cs="Times New Roman"/>
          <w:sz w:val="20"/>
          <w:szCs w:val="20"/>
        </w:rPr>
        <w:t>ese</w:t>
      </w:r>
      <w:r w:rsidR="00F23F38">
        <w:rPr>
          <w:rFonts w:ascii="Times New Roman" w:hAnsi="Times New Roman" w:cs="Times New Roman"/>
          <w:sz w:val="20"/>
          <w:szCs w:val="20"/>
        </w:rPr>
        <w:t xml:space="preserve"> </w:t>
      </w:r>
      <w:r>
        <w:rPr>
          <w:rFonts w:ascii="Times New Roman" w:hAnsi="Times New Roman" w:cs="Times New Roman"/>
          <w:sz w:val="20"/>
          <w:szCs w:val="20"/>
        </w:rPr>
        <w:t>proposal</w:t>
      </w:r>
      <w:r w:rsidR="006B570E">
        <w:rPr>
          <w:rFonts w:ascii="Times New Roman" w:hAnsi="Times New Roman" w:cs="Times New Roman"/>
          <w:sz w:val="20"/>
          <w:szCs w:val="20"/>
        </w:rPr>
        <w:t>s</w:t>
      </w:r>
      <w:r w:rsidR="00D20F31">
        <w:rPr>
          <w:rFonts w:ascii="Times New Roman" w:hAnsi="Times New Roman" w:cs="Times New Roman"/>
          <w:sz w:val="20"/>
          <w:szCs w:val="20"/>
        </w:rPr>
        <w:t xml:space="preserve"> as the solution for uplink full power transmission:</w:t>
      </w:r>
    </w:p>
    <w:p w:rsidR="00775D4D" w:rsidRDefault="00A20E92" w:rsidP="00775D4D">
      <w:pPr>
        <w:rPr>
          <w:rFonts w:ascii="Times New Roman" w:hAnsi="Times New Roman" w:cs="Times New Roman"/>
          <w:b/>
          <w:i/>
          <w:sz w:val="20"/>
          <w:szCs w:val="20"/>
        </w:rPr>
      </w:pPr>
      <w:r w:rsidRPr="00D449C8">
        <w:rPr>
          <w:rFonts w:ascii="Times New Roman" w:hAnsi="Times New Roman" w:cs="Times New Roman"/>
          <w:b/>
          <w:i/>
          <w:sz w:val="20"/>
          <w:szCs w:val="20"/>
        </w:rPr>
        <w:t>Proposal 1: The new codebook subset shall include only new TPMIs that will follow Rel-16 power scaling factor</w:t>
      </w:r>
      <w:r>
        <w:rPr>
          <w:rFonts w:ascii="Times New Roman" w:hAnsi="Times New Roman" w:cs="Times New Roman"/>
          <w:b/>
          <w:i/>
          <w:sz w:val="20"/>
          <w:szCs w:val="20"/>
        </w:rPr>
        <w:t>, for UE mode 1.</w:t>
      </w:r>
    </w:p>
    <w:p w:rsidR="00A20E92" w:rsidRPr="00D449C8" w:rsidRDefault="00A20E92" w:rsidP="00A20E92">
      <w:pPr>
        <w:jc w:val="both"/>
        <w:rPr>
          <w:rFonts w:ascii="Times New Roman" w:hAnsi="Times New Roman" w:cs="Times New Roman"/>
          <w:b/>
          <w:sz w:val="20"/>
          <w:szCs w:val="20"/>
        </w:rPr>
      </w:pPr>
      <w:r>
        <w:rPr>
          <w:rFonts w:ascii="Times New Roman" w:hAnsi="Times New Roman" w:cs="Times New Roman"/>
          <w:b/>
          <w:i/>
          <w:sz w:val="20"/>
          <w:szCs w:val="20"/>
        </w:rPr>
        <w:t>Proposal 2: For UE Mode 1, use TPMI indices of the new codebook subset to indicate UE’s capability.</w:t>
      </w:r>
    </w:p>
    <w:p w:rsidR="00A20E92" w:rsidRPr="00243C77" w:rsidRDefault="00A20E92" w:rsidP="00A20E92">
      <w:pPr>
        <w:rPr>
          <w:rFonts w:ascii="Times New Roman" w:hAnsi="Times New Roman" w:cs="Times New Roman"/>
          <w:b/>
          <w:i/>
          <w:iCs/>
          <w:sz w:val="20"/>
          <w:szCs w:val="20"/>
        </w:rPr>
      </w:pPr>
      <w:r w:rsidRPr="00243C77">
        <w:rPr>
          <w:rFonts w:ascii="Times New Roman" w:hAnsi="Times New Roman" w:cs="Times New Roman"/>
          <w:b/>
          <w:i/>
          <w:iCs/>
          <w:sz w:val="20"/>
          <w:szCs w:val="20"/>
        </w:rPr>
        <w:t xml:space="preserve">Proposal </w:t>
      </w:r>
      <w:r>
        <w:rPr>
          <w:rFonts w:ascii="Times New Roman" w:hAnsi="Times New Roman" w:cs="Times New Roman"/>
          <w:b/>
          <w:i/>
          <w:iCs/>
          <w:sz w:val="20"/>
          <w:szCs w:val="20"/>
        </w:rPr>
        <w:t>3</w:t>
      </w:r>
      <w:r w:rsidRPr="00243C77">
        <w:rPr>
          <w:rFonts w:ascii="Times New Roman" w:hAnsi="Times New Roman" w:cs="Times New Roman"/>
          <w:b/>
          <w:i/>
          <w:iCs/>
          <w:sz w:val="20"/>
          <w:szCs w:val="20"/>
        </w:rPr>
        <w:t>: For mode 1 UE, support Alt 5, where the power scaling factor shall be 1</w:t>
      </w:r>
      <w:r>
        <w:rPr>
          <w:rFonts w:ascii="Times New Roman" w:hAnsi="Times New Roman" w:cs="Times New Roman"/>
          <w:b/>
          <w:i/>
          <w:iCs/>
          <w:sz w:val="20"/>
          <w:szCs w:val="20"/>
        </w:rPr>
        <w:t xml:space="preserve"> for the precoders in the new codebook subset.</w:t>
      </w:r>
    </w:p>
    <w:p w:rsidR="00A20E92" w:rsidRPr="00C0783A" w:rsidRDefault="00A20E92" w:rsidP="00A20E92">
      <w:pPr>
        <w:rPr>
          <w:rFonts w:ascii="Times New Roman" w:hAnsi="Times New Roman" w:cs="Times New Roman"/>
          <w:b/>
          <w:i/>
          <w:sz w:val="20"/>
          <w:szCs w:val="20"/>
        </w:rPr>
      </w:pPr>
      <w:r w:rsidRPr="00C0783A">
        <w:rPr>
          <w:rFonts w:ascii="Times New Roman" w:hAnsi="Times New Roman" w:cs="Times New Roman"/>
          <w:b/>
          <w:i/>
          <w:sz w:val="20"/>
          <w:szCs w:val="20"/>
        </w:rPr>
        <w:t>Proposal 4: Mode 2 new codebook subset shall include only new TPMIs that can support full power transmission.</w:t>
      </w:r>
    </w:p>
    <w:p w:rsidR="00A20E92" w:rsidRPr="00243C77" w:rsidRDefault="00A20E92" w:rsidP="00775D4D">
      <w:pPr>
        <w:rPr>
          <w:rFonts w:ascii="Times New Roman" w:hAnsi="Times New Roman" w:cs="Times New Roman"/>
          <w:b/>
          <w:i/>
          <w:sz w:val="20"/>
          <w:szCs w:val="20"/>
        </w:rPr>
      </w:pPr>
      <w:r>
        <w:rPr>
          <w:rFonts w:ascii="Times New Roman" w:hAnsi="Times New Roman" w:cs="Times New Roman"/>
          <w:b/>
          <w:i/>
          <w:sz w:val="20"/>
          <w:szCs w:val="20"/>
        </w:rPr>
        <w:lastRenderedPageBreak/>
        <w:t>Proposal 5: Indication of TPMIs of the new codebook subset shall be used to indicate Mode 2 UE’s full power transmission capability.</w:t>
      </w:r>
    </w:p>
    <w:p w:rsidR="00DA0229" w:rsidRPr="00243C77" w:rsidRDefault="00DA0229" w:rsidP="002B7F6C">
      <w:pPr>
        <w:jc w:val="both"/>
        <w:rPr>
          <w:rFonts w:ascii="Times New Roman" w:hAnsi="Times New Roman" w:cs="Times New Roman"/>
          <w:sz w:val="20"/>
          <w:szCs w:val="20"/>
        </w:rPr>
      </w:pPr>
    </w:p>
    <w:p w:rsidR="00453A60" w:rsidRPr="00791982" w:rsidRDefault="00453A60" w:rsidP="00B12B1E">
      <w:pPr>
        <w:pStyle w:val="Heading1"/>
        <w:jc w:val="both"/>
      </w:pPr>
      <w:r w:rsidRPr="00E86042">
        <w:t>References</w:t>
      </w:r>
    </w:p>
    <w:p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23F38">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RAN1 #9</w:t>
      </w:r>
      <w:r w:rsidR="005A6633">
        <w:rPr>
          <w:rFonts w:ascii="Times New Roman" w:hAnsi="Times New Roman" w:cs="Times New Roman"/>
          <w:sz w:val="20"/>
          <w:szCs w:val="20"/>
        </w:rPr>
        <w:t>8bis</w:t>
      </w:r>
      <w:r>
        <w:rPr>
          <w:rFonts w:ascii="Times New Roman" w:hAnsi="Times New Roman" w:cs="Times New Roman"/>
          <w:sz w:val="20"/>
          <w:szCs w:val="20"/>
        </w:rPr>
        <w:t xml:space="preserve"> meeting, Chair’s notes, </w:t>
      </w:r>
      <w:r w:rsidR="0074549F">
        <w:rPr>
          <w:rFonts w:ascii="Times New Roman" w:hAnsi="Times New Roman" w:cs="Times New Roman"/>
          <w:sz w:val="20"/>
          <w:szCs w:val="20"/>
        </w:rPr>
        <w:t>October</w:t>
      </w:r>
      <w:r>
        <w:rPr>
          <w:rFonts w:ascii="Times New Roman" w:hAnsi="Times New Roman" w:cs="Times New Roman"/>
          <w:sz w:val="20"/>
          <w:szCs w:val="20"/>
        </w:rPr>
        <w:t xml:space="preserve"> 201</w:t>
      </w:r>
      <w:r w:rsidR="006B570E">
        <w:rPr>
          <w:rFonts w:ascii="Times New Roman" w:hAnsi="Times New Roman" w:cs="Times New Roman"/>
          <w:sz w:val="20"/>
          <w:szCs w:val="20"/>
        </w:rPr>
        <w:t>9</w:t>
      </w:r>
    </w:p>
    <w:p w:rsidR="0074549F" w:rsidRDefault="0074549F" w:rsidP="0074549F">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RAN1 #98 meeting, Chair’s notes, August 2019</w:t>
      </w:r>
    </w:p>
    <w:p w:rsidR="0074549F" w:rsidRDefault="0074549F" w:rsidP="0074549F">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RAN1 #97 meeting, Chair’s notes, May 2019</w:t>
      </w:r>
    </w:p>
    <w:p w:rsidR="005A6633" w:rsidRDefault="005A6633" w:rsidP="00E97ABD">
      <w:pPr>
        <w:ind w:left="540" w:hanging="540"/>
        <w:jc w:val="both"/>
        <w:rPr>
          <w:rFonts w:ascii="Times New Roman" w:hAnsi="Times New Roman" w:cs="Times New Roman"/>
          <w:sz w:val="20"/>
          <w:szCs w:val="20"/>
        </w:rPr>
      </w:pPr>
    </w:p>
    <w:p w:rsidR="007F6003" w:rsidRDefault="007F6003" w:rsidP="007F6003">
      <w:pPr>
        <w:rPr>
          <w:rFonts w:ascii="Times New Roman" w:hAnsi="Times New Roman" w:cs="Times New Roman"/>
          <w:sz w:val="20"/>
          <w:szCs w:val="20"/>
        </w:rPr>
      </w:pPr>
    </w:p>
    <w:p w:rsidR="007F6003" w:rsidRDefault="007F6003" w:rsidP="007F6003">
      <w:pPr>
        <w:rPr>
          <w:rFonts w:ascii="Times New Roman" w:hAnsi="Times New Roman" w:cs="Times New Roman"/>
          <w:sz w:val="20"/>
          <w:szCs w:val="20"/>
        </w:rPr>
      </w:pPr>
      <w:bookmarkStart w:id="5" w:name="_GoBack"/>
      <w:bookmarkEnd w:id="5"/>
    </w:p>
    <w:p w:rsidR="007F6003" w:rsidRDefault="007F6003" w:rsidP="00E97ABD">
      <w:pPr>
        <w:ind w:left="540" w:hanging="540"/>
        <w:jc w:val="both"/>
        <w:rPr>
          <w:rFonts w:ascii="Times New Roman" w:hAnsi="Times New Roman" w:cs="Times New Roman"/>
          <w:sz w:val="20"/>
          <w:szCs w:val="20"/>
        </w:rPr>
      </w:pPr>
    </w:p>
    <w:sectPr w:rsidR="007F600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DA4" w:rsidRDefault="00304DA4">
      <w:r>
        <w:separator/>
      </w:r>
    </w:p>
  </w:endnote>
  <w:endnote w:type="continuationSeparator" w:id="0">
    <w:p w:rsidR="00304DA4" w:rsidRDefault="0030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DA4" w:rsidRDefault="00304DA4">
      <w:r>
        <w:separator/>
      </w:r>
    </w:p>
  </w:footnote>
  <w:footnote w:type="continuationSeparator" w:id="0">
    <w:p w:rsidR="00304DA4" w:rsidRDefault="00304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cs="Times New Roman" w:hint="default"/>
      </w:rPr>
    </w:lvl>
    <w:lvl w:ilvl="1" w:tplc="AC4C9352">
      <w:start w:val="7052"/>
      <w:numFmt w:val="bullet"/>
      <w:lvlText w:val="•"/>
      <w:lvlJc w:val="left"/>
      <w:pPr>
        <w:tabs>
          <w:tab w:val="num" w:pos="1440"/>
        </w:tabs>
        <w:ind w:left="1440" w:hanging="360"/>
      </w:pPr>
      <w:rPr>
        <w:rFonts w:ascii="Arial" w:hAnsi="Arial" w:cs="Times New Roman" w:hint="default"/>
      </w:rPr>
    </w:lvl>
    <w:lvl w:ilvl="2" w:tplc="24063E78">
      <w:start w:val="7052"/>
      <w:numFmt w:val="bullet"/>
      <w:lvlText w:val="•"/>
      <w:lvlJc w:val="left"/>
      <w:pPr>
        <w:tabs>
          <w:tab w:val="num" w:pos="2160"/>
        </w:tabs>
        <w:ind w:left="2160" w:hanging="360"/>
      </w:pPr>
      <w:rPr>
        <w:rFonts w:ascii="Arial" w:hAnsi="Arial" w:cs="Times New Roman" w:hint="default"/>
      </w:rPr>
    </w:lvl>
    <w:lvl w:ilvl="3" w:tplc="DE74B7B6">
      <w:start w:val="1"/>
      <w:numFmt w:val="bullet"/>
      <w:lvlText w:val="•"/>
      <w:lvlJc w:val="left"/>
      <w:pPr>
        <w:tabs>
          <w:tab w:val="num" w:pos="2880"/>
        </w:tabs>
        <w:ind w:left="2880" w:hanging="360"/>
      </w:pPr>
      <w:rPr>
        <w:rFonts w:ascii="Arial" w:hAnsi="Arial" w:cs="Times New Roman" w:hint="default"/>
      </w:rPr>
    </w:lvl>
    <w:lvl w:ilvl="4" w:tplc="4B08F114">
      <w:start w:val="1"/>
      <w:numFmt w:val="bullet"/>
      <w:lvlText w:val="•"/>
      <w:lvlJc w:val="left"/>
      <w:pPr>
        <w:tabs>
          <w:tab w:val="num" w:pos="3600"/>
        </w:tabs>
        <w:ind w:left="3600" w:hanging="360"/>
      </w:pPr>
      <w:rPr>
        <w:rFonts w:ascii="Arial" w:hAnsi="Arial" w:cs="Times New Roman" w:hint="default"/>
      </w:rPr>
    </w:lvl>
    <w:lvl w:ilvl="5" w:tplc="0E6A6B70">
      <w:start w:val="1"/>
      <w:numFmt w:val="bullet"/>
      <w:lvlText w:val="•"/>
      <w:lvlJc w:val="left"/>
      <w:pPr>
        <w:tabs>
          <w:tab w:val="num" w:pos="4320"/>
        </w:tabs>
        <w:ind w:left="4320" w:hanging="360"/>
      </w:pPr>
      <w:rPr>
        <w:rFonts w:ascii="Arial" w:hAnsi="Arial" w:cs="Times New Roman" w:hint="default"/>
      </w:rPr>
    </w:lvl>
    <w:lvl w:ilvl="6" w:tplc="10249B8E">
      <w:start w:val="1"/>
      <w:numFmt w:val="bullet"/>
      <w:lvlText w:val="•"/>
      <w:lvlJc w:val="left"/>
      <w:pPr>
        <w:tabs>
          <w:tab w:val="num" w:pos="5040"/>
        </w:tabs>
        <w:ind w:left="5040" w:hanging="360"/>
      </w:pPr>
      <w:rPr>
        <w:rFonts w:ascii="Arial" w:hAnsi="Arial" w:cs="Times New Roman" w:hint="default"/>
      </w:rPr>
    </w:lvl>
    <w:lvl w:ilvl="7" w:tplc="0EA640D0">
      <w:start w:val="1"/>
      <w:numFmt w:val="bullet"/>
      <w:lvlText w:val="•"/>
      <w:lvlJc w:val="left"/>
      <w:pPr>
        <w:tabs>
          <w:tab w:val="num" w:pos="5760"/>
        </w:tabs>
        <w:ind w:left="5760" w:hanging="360"/>
      </w:pPr>
      <w:rPr>
        <w:rFonts w:ascii="Arial" w:hAnsi="Arial" w:cs="Times New Roman" w:hint="default"/>
      </w:rPr>
    </w:lvl>
    <w:lvl w:ilvl="8" w:tplc="D76268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57545"/>
    <w:multiLevelType w:val="hybridMultilevel"/>
    <w:tmpl w:val="7156686C"/>
    <w:lvl w:ilvl="0" w:tplc="B5CE2622">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F081A"/>
    <w:multiLevelType w:val="hybridMultilevel"/>
    <w:tmpl w:val="C4BAAC12"/>
    <w:lvl w:ilvl="0" w:tplc="7BCA63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5"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4D0F98"/>
    <w:multiLevelType w:val="hybridMultilevel"/>
    <w:tmpl w:val="9D86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70A3280"/>
    <w:multiLevelType w:val="hybridMultilevel"/>
    <w:tmpl w:val="B4603408"/>
    <w:lvl w:ilvl="0" w:tplc="BDE6BD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756B9"/>
    <w:multiLevelType w:val="hybridMultilevel"/>
    <w:tmpl w:val="B5120F3A"/>
    <w:lvl w:ilvl="0" w:tplc="9E8282B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5"/>
  </w:num>
  <w:num w:numId="2">
    <w:abstractNumId w:val="8"/>
  </w:num>
  <w:num w:numId="3">
    <w:abstractNumId w:val="13"/>
  </w:num>
  <w:num w:numId="4">
    <w:abstractNumId w:val="22"/>
  </w:num>
  <w:num w:numId="5">
    <w:abstractNumId w:val="45"/>
  </w:num>
  <w:num w:numId="6">
    <w:abstractNumId w:val="14"/>
  </w:num>
  <w:num w:numId="7">
    <w:abstractNumId w:val="42"/>
  </w:num>
  <w:num w:numId="8">
    <w:abstractNumId w:val="43"/>
  </w:num>
  <w:num w:numId="9">
    <w:abstractNumId w:val="0"/>
  </w:num>
  <w:num w:numId="10">
    <w:abstractNumId w:val="23"/>
  </w:num>
  <w:num w:numId="11">
    <w:abstractNumId w:val="5"/>
  </w:num>
  <w:num w:numId="12">
    <w:abstractNumId w:val="26"/>
  </w:num>
  <w:num w:numId="13">
    <w:abstractNumId w:val="41"/>
  </w:num>
  <w:num w:numId="14">
    <w:abstractNumId w:val="28"/>
  </w:num>
  <w:num w:numId="15">
    <w:abstractNumId w:val="25"/>
  </w:num>
  <w:num w:numId="16">
    <w:abstractNumId w:val="4"/>
  </w:num>
  <w:num w:numId="17">
    <w:abstractNumId w:val="2"/>
  </w:num>
  <w:num w:numId="18">
    <w:abstractNumId w:val="7"/>
  </w:num>
  <w:num w:numId="19">
    <w:abstractNumId w:val="40"/>
  </w:num>
  <w:num w:numId="20">
    <w:abstractNumId w:val="17"/>
  </w:num>
  <w:num w:numId="21">
    <w:abstractNumId w:val="18"/>
  </w:num>
  <w:num w:numId="22">
    <w:abstractNumId w:val="3"/>
  </w:num>
  <w:num w:numId="23">
    <w:abstractNumId w:val="32"/>
  </w:num>
  <w:num w:numId="24">
    <w:abstractNumId w:val="30"/>
  </w:num>
  <w:num w:numId="25">
    <w:abstractNumId w:val="27"/>
  </w:num>
  <w:num w:numId="26">
    <w:abstractNumId w:val="47"/>
  </w:num>
  <w:num w:numId="27">
    <w:abstractNumId w:val="11"/>
  </w:num>
  <w:num w:numId="28">
    <w:abstractNumId w:val="24"/>
  </w:num>
  <w:num w:numId="29">
    <w:abstractNumId w:val="29"/>
  </w:num>
  <w:num w:numId="30">
    <w:abstractNumId w:val="10"/>
  </w:num>
  <w:num w:numId="31">
    <w:abstractNumId w:val="9"/>
  </w:num>
  <w:num w:numId="32">
    <w:abstractNumId w:val="16"/>
  </w:num>
  <w:num w:numId="33">
    <w:abstractNumId w:val="1"/>
  </w:num>
  <w:num w:numId="34">
    <w:abstractNumId w:val="33"/>
  </w:num>
  <w:num w:numId="35">
    <w:abstractNumId w:val="6"/>
  </w:num>
  <w:num w:numId="36">
    <w:abstractNumId w:val="35"/>
  </w:num>
  <w:num w:numId="37">
    <w:abstractNumId w:val="31"/>
  </w:num>
  <w:num w:numId="38">
    <w:abstractNumId w:val="36"/>
  </w:num>
  <w:num w:numId="39">
    <w:abstractNumId w:val="37"/>
  </w:num>
  <w:num w:numId="40">
    <w:abstractNumId w:val="12"/>
  </w:num>
  <w:num w:numId="41">
    <w:abstractNumId w:val="21"/>
  </w:num>
  <w:num w:numId="42">
    <w:abstractNumId w:val="19"/>
  </w:num>
  <w:num w:numId="43">
    <w:abstractNumId w:val="44"/>
  </w:num>
  <w:num w:numId="44">
    <w:abstractNumId w:val="20"/>
  </w:num>
  <w:num w:numId="45">
    <w:abstractNumId w:val="38"/>
  </w:num>
  <w:num w:numId="46">
    <w:abstractNumId w:val="35"/>
  </w:num>
  <w:num w:numId="47">
    <w:abstractNumId w:val="6"/>
  </w:num>
  <w:num w:numId="48">
    <w:abstractNumId w:val="39"/>
  </w:num>
  <w:num w:numId="49">
    <w:abstractNumId w:val="46"/>
  </w:num>
  <w:num w:numId="5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31EC"/>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57A6"/>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BCC"/>
    <w:rsid w:val="00062F9C"/>
    <w:rsid w:val="0006316C"/>
    <w:rsid w:val="000634CE"/>
    <w:rsid w:val="000635C1"/>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424"/>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B8D"/>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512D"/>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3DB"/>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F72"/>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4B3E"/>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87BD9"/>
    <w:rsid w:val="001900A2"/>
    <w:rsid w:val="00190F29"/>
    <w:rsid w:val="00191226"/>
    <w:rsid w:val="001915E3"/>
    <w:rsid w:val="00191DC6"/>
    <w:rsid w:val="00192B7D"/>
    <w:rsid w:val="00192BAC"/>
    <w:rsid w:val="00192DCF"/>
    <w:rsid w:val="00193DD4"/>
    <w:rsid w:val="00193F28"/>
    <w:rsid w:val="0019463E"/>
    <w:rsid w:val="00194A0C"/>
    <w:rsid w:val="00194D78"/>
    <w:rsid w:val="0019579C"/>
    <w:rsid w:val="00195E78"/>
    <w:rsid w:val="001964E4"/>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A6"/>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F2C"/>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3E39"/>
    <w:rsid w:val="001E4473"/>
    <w:rsid w:val="001E4AD8"/>
    <w:rsid w:val="001E4ADF"/>
    <w:rsid w:val="001E530D"/>
    <w:rsid w:val="001E56C9"/>
    <w:rsid w:val="001E59C3"/>
    <w:rsid w:val="001E5ED3"/>
    <w:rsid w:val="001E5F13"/>
    <w:rsid w:val="001E71DF"/>
    <w:rsid w:val="001E7260"/>
    <w:rsid w:val="001F02B8"/>
    <w:rsid w:val="001F0BB5"/>
    <w:rsid w:val="001F12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EC7"/>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7"/>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55B"/>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48BB"/>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277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06BE"/>
    <w:rsid w:val="002C139E"/>
    <w:rsid w:val="002C1644"/>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3CD"/>
    <w:rsid w:val="002D78A9"/>
    <w:rsid w:val="002D7C18"/>
    <w:rsid w:val="002E0340"/>
    <w:rsid w:val="002E0E1B"/>
    <w:rsid w:val="002E1D1D"/>
    <w:rsid w:val="002E1EB8"/>
    <w:rsid w:val="002E22C5"/>
    <w:rsid w:val="002E27B0"/>
    <w:rsid w:val="002E3686"/>
    <w:rsid w:val="002E3A21"/>
    <w:rsid w:val="002E3BAA"/>
    <w:rsid w:val="002E3E9D"/>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7FF"/>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DA4"/>
    <w:rsid w:val="00304E42"/>
    <w:rsid w:val="0030580E"/>
    <w:rsid w:val="003061B5"/>
    <w:rsid w:val="003071F6"/>
    <w:rsid w:val="0030771E"/>
    <w:rsid w:val="00307930"/>
    <w:rsid w:val="00307A00"/>
    <w:rsid w:val="003102AA"/>
    <w:rsid w:val="00310E98"/>
    <w:rsid w:val="0031128C"/>
    <w:rsid w:val="00311594"/>
    <w:rsid w:val="00312957"/>
    <w:rsid w:val="00312C43"/>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2A"/>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07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961"/>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61D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0A76"/>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5ABE"/>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1E6D"/>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171F"/>
    <w:rsid w:val="004521DE"/>
    <w:rsid w:val="00453341"/>
    <w:rsid w:val="00453A60"/>
    <w:rsid w:val="00453CE7"/>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5154"/>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752"/>
    <w:rsid w:val="00487EF1"/>
    <w:rsid w:val="00490831"/>
    <w:rsid w:val="00491DF0"/>
    <w:rsid w:val="00492033"/>
    <w:rsid w:val="00492931"/>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50E"/>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D7036"/>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4B2A"/>
    <w:rsid w:val="00585B15"/>
    <w:rsid w:val="00585BDC"/>
    <w:rsid w:val="00585C54"/>
    <w:rsid w:val="00585F5F"/>
    <w:rsid w:val="005866AE"/>
    <w:rsid w:val="00586F51"/>
    <w:rsid w:val="00587209"/>
    <w:rsid w:val="00587583"/>
    <w:rsid w:val="00590508"/>
    <w:rsid w:val="00590EEB"/>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6633"/>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358"/>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145"/>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689"/>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B35"/>
    <w:rsid w:val="00670DDA"/>
    <w:rsid w:val="00670E2C"/>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C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570E"/>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BB6"/>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49F"/>
    <w:rsid w:val="007455FD"/>
    <w:rsid w:val="00746086"/>
    <w:rsid w:val="007460F5"/>
    <w:rsid w:val="00746659"/>
    <w:rsid w:val="0074691A"/>
    <w:rsid w:val="0075175D"/>
    <w:rsid w:val="00752717"/>
    <w:rsid w:val="007527EB"/>
    <w:rsid w:val="00752A90"/>
    <w:rsid w:val="00752F4E"/>
    <w:rsid w:val="0075301D"/>
    <w:rsid w:val="0075348F"/>
    <w:rsid w:val="0075373E"/>
    <w:rsid w:val="00753902"/>
    <w:rsid w:val="00754C7C"/>
    <w:rsid w:val="00755F8D"/>
    <w:rsid w:val="00756365"/>
    <w:rsid w:val="007565F4"/>
    <w:rsid w:val="00756832"/>
    <w:rsid w:val="00756B50"/>
    <w:rsid w:val="00757052"/>
    <w:rsid w:val="007573D8"/>
    <w:rsid w:val="00757AED"/>
    <w:rsid w:val="00757E6B"/>
    <w:rsid w:val="007602E1"/>
    <w:rsid w:val="00760478"/>
    <w:rsid w:val="00760F56"/>
    <w:rsid w:val="007613F5"/>
    <w:rsid w:val="00761485"/>
    <w:rsid w:val="0076209A"/>
    <w:rsid w:val="00762498"/>
    <w:rsid w:val="00763135"/>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5D4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2B5B"/>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6A9"/>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5EE6"/>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64AE"/>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003"/>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27F9E"/>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1A"/>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0B2"/>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4C4"/>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03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47E5"/>
    <w:rsid w:val="00915311"/>
    <w:rsid w:val="00915531"/>
    <w:rsid w:val="00915849"/>
    <w:rsid w:val="009159A4"/>
    <w:rsid w:val="00915B81"/>
    <w:rsid w:val="009168A9"/>
    <w:rsid w:val="0092067F"/>
    <w:rsid w:val="009206D7"/>
    <w:rsid w:val="00920E96"/>
    <w:rsid w:val="0092101F"/>
    <w:rsid w:val="009213EB"/>
    <w:rsid w:val="0092167A"/>
    <w:rsid w:val="009216CA"/>
    <w:rsid w:val="00921CE2"/>
    <w:rsid w:val="00921F0F"/>
    <w:rsid w:val="009227EA"/>
    <w:rsid w:val="00922B26"/>
    <w:rsid w:val="00922CFC"/>
    <w:rsid w:val="009239C1"/>
    <w:rsid w:val="009240A7"/>
    <w:rsid w:val="00924783"/>
    <w:rsid w:val="00924E87"/>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D38"/>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0B08"/>
    <w:rsid w:val="009810BE"/>
    <w:rsid w:val="00981C7B"/>
    <w:rsid w:val="0098268E"/>
    <w:rsid w:val="00983679"/>
    <w:rsid w:val="00983A37"/>
    <w:rsid w:val="00983AFA"/>
    <w:rsid w:val="00983C71"/>
    <w:rsid w:val="009841A0"/>
    <w:rsid w:val="00984E48"/>
    <w:rsid w:val="00985CEC"/>
    <w:rsid w:val="00985EF7"/>
    <w:rsid w:val="00986274"/>
    <w:rsid w:val="009864B1"/>
    <w:rsid w:val="00986573"/>
    <w:rsid w:val="009871DC"/>
    <w:rsid w:val="009874C5"/>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BCB"/>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4384"/>
    <w:rsid w:val="009F5041"/>
    <w:rsid w:val="009F50A2"/>
    <w:rsid w:val="009F5190"/>
    <w:rsid w:val="009F51B3"/>
    <w:rsid w:val="009F554D"/>
    <w:rsid w:val="009F55C9"/>
    <w:rsid w:val="009F561B"/>
    <w:rsid w:val="009F58B4"/>
    <w:rsid w:val="009F58FE"/>
    <w:rsid w:val="009F5EBE"/>
    <w:rsid w:val="009F6819"/>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3F5D"/>
    <w:rsid w:val="00A142E0"/>
    <w:rsid w:val="00A14569"/>
    <w:rsid w:val="00A14C42"/>
    <w:rsid w:val="00A14D40"/>
    <w:rsid w:val="00A15495"/>
    <w:rsid w:val="00A1575C"/>
    <w:rsid w:val="00A15A9B"/>
    <w:rsid w:val="00A1613A"/>
    <w:rsid w:val="00A16294"/>
    <w:rsid w:val="00A16B3F"/>
    <w:rsid w:val="00A174D3"/>
    <w:rsid w:val="00A20BFC"/>
    <w:rsid w:val="00A20E92"/>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414"/>
    <w:rsid w:val="00A57834"/>
    <w:rsid w:val="00A57980"/>
    <w:rsid w:val="00A60A02"/>
    <w:rsid w:val="00A60EDB"/>
    <w:rsid w:val="00A612D1"/>
    <w:rsid w:val="00A6147B"/>
    <w:rsid w:val="00A62457"/>
    <w:rsid w:val="00A62EF1"/>
    <w:rsid w:val="00A630DE"/>
    <w:rsid w:val="00A6316D"/>
    <w:rsid w:val="00A63F0A"/>
    <w:rsid w:val="00A641E4"/>
    <w:rsid w:val="00A6458B"/>
    <w:rsid w:val="00A648E6"/>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38F"/>
    <w:rsid w:val="00A854EF"/>
    <w:rsid w:val="00A860F6"/>
    <w:rsid w:val="00A86A82"/>
    <w:rsid w:val="00A86D30"/>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389C"/>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1989"/>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090"/>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0A38"/>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AE3"/>
    <w:rsid w:val="00B34359"/>
    <w:rsid w:val="00B346BF"/>
    <w:rsid w:val="00B3470B"/>
    <w:rsid w:val="00B3505E"/>
    <w:rsid w:val="00B3535F"/>
    <w:rsid w:val="00B35B2C"/>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5CF"/>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7F"/>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33B"/>
    <w:rsid w:val="00BD1450"/>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6EB"/>
    <w:rsid w:val="00C06AE7"/>
    <w:rsid w:val="00C0702A"/>
    <w:rsid w:val="00C0702E"/>
    <w:rsid w:val="00C071A7"/>
    <w:rsid w:val="00C07667"/>
    <w:rsid w:val="00C0783A"/>
    <w:rsid w:val="00C07B50"/>
    <w:rsid w:val="00C11D65"/>
    <w:rsid w:val="00C123C3"/>
    <w:rsid w:val="00C1241F"/>
    <w:rsid w:val="00C1274B"/>
    <w:rsid w:val="00C12828"/>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195C"/>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507"/>
    <w:rsid w:val="00C44ED6"/>
    <w:rsid w:val="00C44F3A"/>
    <w:rsid w:val="00C452CD"/>
    <w:rsid w:val="00C456D7"/>
    <w:rsid w:val="00C46150"/>
    <w:rsid w:val="00C46D6A"/>
    <w:rsid w:val="00C47466"/>
    <w:rsid w:val="00C47944"/>
    <w:rsid w:val="00C47E13"/>
    <w:rsid w:val="00C5011A"/>
    <w:rsid w:val="00C502B1"/>
    <w:rsid w:val="00C507C9"/>
    <w:rsid w:val="00C50DF6"/>
    <w:rsid w:val="00C51105"/>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7D1"/>
    <w:rsid w:val="00C818EB"/>
    <w:rsid w:val="00C81BA7"/>
    <w:rsid w:val="00C8207B"/>
    <w:rsid w:val="00C823FE"/>
    <w:rsid w:val="00C826BB"/>
    <w:rsid w:val="00C82B81"/>
    <w:rsid w:val="00C82D6B"/>
    <w:rsid w:val="00C833BE"/>
    <w:rsid w:val="00C8386A"/>
    <w:rsid w:val="00C83964"/>
    <w:rsid w:val="00C83AC3"/>
    <w:rsid w:val="00C83AEE"/>
    <w:rsid w:val="00C83C62"/>
    <w:rsid w:val="00C83C95"/>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BD3"/>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3D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D79DF"/>
    <w:rsid w:val="00CE10EF"/>
    <w:rsid w:val="00CE1126"/>
    <w:rsid w:val="00CE1355"/>
    <w:rsid w:val="00CE13B7"/>
    <w:rsid w:val="00CE1757"/>
    <w:rsid w:val="00CE18DA"/>
    <w:rsid w:val="00CE2055"/>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8F"/>
    <w:rsid w:val="00D15C2E"/>
    <w:rsid w:val="00D1678E"/>
    <w:rsid w:val="00D173F5"/>
    <w:rsid w:val="00D17426"/>
    <w:rsid w:val="00D17431"/>
    <w:rsid w:val="00D17F4E"/>
    <w:rsid w:val="00D17FAC"/>
    <w:rsid w:val="00D2024A"/>
    <w:rsid w:val="00D20962"/>
    <w:rsid w:val="00D20B76"/>
    <w:rsid w:val="00D20C5A"/>
    <w:rsid w:val="00D20F31"/>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4A"/>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9C8"/>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3FD"/>
    <w:rsid w:val="00D85720"/>
    <w:rsid w:val="00D85866"/>
    <w:rsid w:val="00D86772"/>
    <w:rsid w:val="00D86940"/>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229"/>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D61E8"/>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5E1C"/>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506"/>
    <w:rsid w:val="00E23D7F"/>
    <w:rsid w:val="00E24656"/>
    <w:rsid w:val="00E251EC"/>
    <w:rsid w:val="00E257A7"/>
    <w:rsid w:val="00E26244"/>
    <w:rsid w:val="00E26DB9"/>
    <w:rsid w:val="00E27222"/>
    <w:rsid w:val="00E27A3B"/>
    <w:rsid w:val="00E27FC2"/>
    <w:rsid w:val="00E30565"/>
    <w:rsid w:val="00E308C5"/>
    <w:rsid w:val="00E30BDE"/>
    <w:rsid w:val="00E31F13"/>
    <w:rsid w:val="00E31F2A"/>
    <w:rsid w:val="00E320F3"/>
    <w:rsid w:val="00E32470"/>
    <w:rsid w:val="00E32958"/>
    <w:rsid w:val="00E329BB"/>
    <w:rsid w:val="00E3388B"/>
    <w:rsid w:val="00E34118"/>
    <w:rsid w:val="00E34F76"/>
    <w:rsid w:val="00E35441"/>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2B0D"/>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0EB1"/>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846"/>
    <w:rsid w:val="00E71E56"/>
    <w:rsid w:val="00E723A7"/>
    <w:rsid w:val="00E729DE"/>
    <w:rsid w:val="00E7338E"/>
    <w:rsid w:val="00E73EAD"/>
    <w:rsid w:val="00E74212"/>
    <w:rsid w:val="00E744E6"/>
    <w:rsid w:val="00E748A8"/>
    <w:rsid w:val="00E74C89"/>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6E48"/>
    <w:rsid w:val="00E87A05"/>
    <w:rsid w:val="00E905F6"/>
    <w:rsid w:val="00E9069B"/>
    <w:rsid w:val="00E916EF"/>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0FD3"/>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DD0"/>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3FDE"/>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484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04C"/>
    <w:rsid w:val="00F15435"/>
    <w:rsid w:val="00F15774"/>
    <w:rsid w:val="00F162CB"/>
    <w:rsid w:val="00F17208"/>
    <w:rsid w:val="00F174DB"/>
    <w:rsid w:val="00F17E89"/>
    <w:rsid w:val="00F2078F"/>
    <w:rsid w:val="00F21801"/>
    <w:rsid w:val="00F22353"/>
    <w:rsid w:val="00F23E98"/>
    <w:rsid w:val="00F23F38"/>
    <w:rsid w:val="00F24293"/>
    <w:rsid w:val="00F24AEE"/>
    <w:rsid w:val="00F24E08"/>
    <w:rsid w:val="00F26319"/>
    <w:rsid w:val="00F2637A"/>
    <w:rsid w:val="00F274EE"/>
    <w:rsid w:val="00F27AF8"/>
    <w:rsid w:val="00F27B11"/>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4FC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77EE6"/>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18"/>
    <w:rsid w:val="00F86844"/>
    <w:rsid w:val="00F86A4B"/>
    <w:rsid w:val="00F871B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97E"/>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3B2"/>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512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51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1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F77EE6"/>
    <w:rPr>
      <w:rFonts w:ascii="Arial" w:hAnsi="Arial"/>
      <w:b/>
      <w:noProof/>
      <w:sz w:val="18"/>
      <w:lang w:eastAsia="en-US"/>
    </w:rPr>
  </w:style>
  <w:style w:type="paragraph" w:customStyle="1" w:styleId="LGTdoc">
    <w:name w:val="LGTdoc_본문"/>
    <w:basedOn w:val="Normal"/>
    <w:link w:val="LGTdocChar"/>
    <w:qFormat/>
    <w:rsid w:val="00453C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GTdocChar">
    <w:name w:val="LGTdoc_본문 Char"/>
    <w:link w:val="LGTdoc"/>
    <w:qFormat/>
    <w:rsid w:val="00453CE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71520870">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440244">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5AIRPNAIUNRU-1830940522-6669</_dlc_DocId>
    <_dlc_DocIdUrl xmlns="71c5aaf6-e6ce-465b-b873-5148d2a4c105">
      <Url>https://nokia.sharepoint.com/sites/c5g/5gradio/_layouts/15/DocIdRedir.aspx?ID=5AIRPNAIUNRU-1830940522-6669</Url>
      <Description>5AIRPNAIUNRU-1830940522-6669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AF83-B486-4DE9-A86E-321B5AD52A09}">
  <ds:schemaRefs>
    <ds:schemaRef ds:uri="http://schemas.microsoft.com/sharepoint/events"/>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4B5124C1-A33D-4A23-96F6-7E411D79A96C}">
  <ds:schemaRefs>
    <ds:schemaRef ds:uri="Microsoft.SharePoint.Taxonomy.ContentTypeSync"/>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005B96-7AEA-4E62-9B11-6E636E396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7.xml><?xml version="1.0" encoding="utf-8"?>
<ds:datastoreItem xmlns:ds="http://schemas.openxmlformats.org/officeDocument/2006/customXml" ds:itemID="{4ADA3CDF-9E26-4E8F-AD03-06D6CF93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2920</TotalTime>
  <Pages>5</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105</cp:revision>
  <dcterms:created xsi:type="dcterms:W3CDTF">2018-08-10T05:23:00Z</dcterms:created>
  <dcterms:modified xsi:type="dcterms:W3CDTF">2019-11-08T18:18:00Z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c44da5a0-0e60-4b9d-9399-27f462ec6dd1</vt:lpwstr>
  </property>
</Properties>
</file>