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C72D" w14:textId="3398AC61" w:rsidR="00E21B49" w:rsidRPr="0021560A" w:rsidRDefault="00E21B49" w:rsidP="00AA0088">
      <w:pPr>
        <w:rPr>
          <w:lang w:val="en-US"/>
        </w:rPr>
      </w:pPr>
      <w:r w:rsidRPr="0021560A">
        <w:rPr>
          <w:rFonts w:ascii="Arial" w:hAnsi="Arial" w:cs="Arial"/>
          <w:b/>
          <w:bCs/>
          <w:lang w:val="en-US"/>
        </w:rPr>
        <w:t>3GPP TSG RAN WG1 #9</w:t>
      </w:r>
      <w:r w:rsidR="00797713" w:rsidRPr="0021560A">
        <w:rPr>
          <w:rFonts w:ascii="Arial" w:hAnsi="Arial" w:cs="Arial"/>
          <w:b/>
          <w:bCs/>
          <w:lang w:val="en-US"/>
        </w:rPr>
        <w:t>9</w:t>
      </w:r>
      <w:r w:rsidRPr="0021560A">
        <w:rPr>
          <w:rFonts w:ascii="Arial" w:hAnsi="Arial" w:cs="Arial"/>
          <w:b/>
          <w:bCs/>
          <w:lang w:val="en-US"/>
        </w:rPr>
        <w:tab/>
        <w:t xml:space="preserve">                                                   </w:t>
      </w:r>
      <w:r w:rsidR="00357604">
        <w:rPr>
          <w:rFonts w:ascii="Arial" w:hAnsi="Arial" w:cs="Arial"/>
          <w:b/>
          <w:bCs/>
          <w:lang w:val="en-US"/>
        </w:rPr>
        <w:t xml:space="preserve">            </w:t>
      </w:r>
      <w:r w:rsidR="00350BEC" w:rsidRPr="00350BEC">
        <w:rPr>
          <w:rFonts w:ascii="Arial" w:hAnsi="Arial" w:cs="Arial"/>
          <w:b/>
          <w:bCs/>
          <w:lang w:val="en-US"/>
        </w:rPr>
        <w:t>R1-1912659</w:t>
      </w:r>
    </w:p>
    <w:p w14:paraId="4823CA89" w14:textId="4B7DF7E3" w:rsidR="00E21B49" w:rsidRPr="000A4E62" w:rsidRDefault="00797713" w:rsidP="00E21B49">
      <w:pPr>
        <w:widowControl w:val="0"/>
        <w:tabs>
          <w:tab w:val="center" w:pos="4536"/>
          <w:tab w:val="right" w:pos="9072"/>
        </w:tabs>
        <w:rPr>
          <w:rFonts w:cs="Arial"/>
          <w:b/>
          <w:i/>
          <w:kern w:val="2"/>
          <w:lang w:val="en-US"/>
        </w:rPr>
      </w:pPr>
      <w:r>
        <w:rPr>
          <w:rFonts w:ascii="Arial" w:hAnsi="Arial" w:cs="Arial"/>
          <w:b/>
          <w:bCs/>
          <w:lang w:val="en-US"/>
        </w:rPr>
        <w:t>Reno, NV, USA</w:t>
      </w:r>
      <w:r w:rsidR="00E21B49" w:rsidRPr="000A4E62">
        <w:rPr>
          <w:rFonts w:ascii="Arial" w:hAnsi="Arial" w:cs="Arial"/>
          <w:b/>
          <w:bCs/>
          <w:lang w:val="en-US"/>
        </w:rPr>
        <w:t xml:space="preserve">, </w:t>
      </w:r>
      <w:r>
        <w:rPr>
          <w:rFonts w:ascii="Arial" w:hAnsi="Arial" w:cs="Arial"/>
          <w:b/>
          <w:bCs/>
          <w:lang w:val="en-US"/>
        </w:rPr>
        <w:t>November</w:t>
      </w:r>
      <w:r w:rsidRPr="000A4E62">
        <w:rPr>
          <w:rFonts w:ascii="Arial" w:hAnsi="Arial" w:cs="Arial"/>
          <w:b/>
          <w:bCs/>
          <w:lang w:val="en-US"/>
        </w:rPr>
        <w:t xml:space="preserve"> </w:t>
      </w:r>
      <w:r w:rsidR="00AB1FEF">
        <w:rPr>
          <w:rFonts w:ascii="Arial" w:hAnsi="Arial" w:cs="Arial"/>
          <w:b/>
          <w:bCs/>
          <w:lang w:val="en-US"/>
        </w:rPr>
        <w:t>1</w:t>
      </w:r>
      <w:r>
        <w:rPr>
          <w:rFonts w:ascii="Arial" w:hAnsi="Arial" w:cs="Arial"/>
          <w:b/>
          <w:bCs/>
          <w:lang w:val="en-US"/>
        </w:rPr>
        <w:t>8</w:t>
      </w:r>
      <w:r w:rsidR="00E21B49" w:rsidRPr="000A4E62">
        <w:rPr>
          <w:rFonts w:ascii="Arial" w:hAnsi="Arial" w:cs="Arial"/>
          <w:b/>
          <w:bCs/>
          <w:lang w:val="en-US"/>
        </w:rPr>
        <w:t xml:space="preserve">th – </w:t>
      </w:r>
      <w:r w:rsidR="00AB1FEF">
        <w:rPr>
          <w:rFonts w:ascii="Arial" w:hAnsi="Arial" w:cs="Arial"/>
          <w:b/>
          <w:bCs/>
          <w:lang w:val="en-US"/>
        </w:rPr>
        <w:t>2</w:t>
      </w:r>
      <w:r>
        <w:rPr>
          <w:rFonts w:ascii="Arial" w:hAnsi="Arial" w:cs="Arial"/>
          <w:b/>
          <w:bCs/>
          <w:lang w:val="en-US"/>
        </w:rPr>
        <w:t>2</w:t>
      </w:r>
      <w:r w:rsidR="00E21B49" w:rsidRPr="000A4E62">
        <w:rPr>
          <w:rFonts w:ascii="Arial" w:hAnsi="Arial" w:cs="Arial"/>
          <w:b/>
          <w:bCs/>
          <w:lang w:val="en-US"/>
        </w:rPr>
        <w:t>th, 2019</w:t>
      </w:r>
      <w:r w:rsidR="00E21B49" w:rsidRPr="000A4E62">
        <w:rPr>
          <w:rFonts w:cs="Arial"/>
          <w:i/>
          <w:color w:val="FF0000"/>
          <w:kern w:val="2"/>
          <w:lang w:val="en-US"/>
        </w:rPr>
        <w:t xml:space="preserve">                                         </w:t>
      </w:r>
      <w:r w:rsidR="00E21B49" w:rsidRPr="000A4E62">
        <w:rPr>
          <w:rFonts w:cs="Arial"/>
          <w:i/>
          <w:color w:val="FF0000"/>
          <w:kern w:val="2"/>
          <w:lang w:val="en-US"/>
        </w:rPr>
        <w:tab/>
      </w:r>
    </w:p>
    <w:p w14:paraId="2D62077F" w14:textId="77777777" w:rsidR="00BC6124" w:rsidRPr="000A4E62" w:rsidRDefault="00BC6124" w:rsidP="00BC6124">
      <w:pPr>
        <w:widowControl w:val="0"/>
        <w:tabs>
          <w:tab w:val="center" w:pos="4536"/>
          <w:tab w:val="right" w:pos="9072"/>
        </w:tabs>
        <w:rPr>
          <w:rFonts w:ascii="Arial" w:hAnsi="Arial" w:cs="Arial"/>
          <w:b/>
          <w:lang w:val="en-US"/>
        </w:rPr>
      </w:pPr>
    </w:p>
    <w:p w14:paraId="24C66D5A" w14:textId="77777777" w:rsidR="00BC6124" w:rsidRPr="000A4E62" w:rsidRDefault="00BC6124" w:rsidP="00BC6124">
      <w:pPr>
        <w:ind w:left="1988" w:hanging="1988"/>
        <w:rPr>
          <w:rFonts w:ascii="Arial" w:hAnsi="Arial" w:cs="Arial"/>
          <w:b/>
          <w:lang w:val="en-US"/>
        </w:rPr>
      </w:pPr>
      <w:r w:rsidRPr="000A4E62">
        <w:rPr>
          <w:rFonts w:ascii="Arial" w:hAnsi="Arial" w:cs="Arial"/>
          <w:b/>
          <w:lang w:val="en-US"/>
        </w:rPr>
        <w:t>Source:</w:t>
      </w:r>
      <w:r w:rsidRPr="000A4E62">
        <w:rPr>
          <w:rFonts w:ascii="Arial" w:hAnsi="Arial" w:cs="Arial"/>
          <w:b/>
          <w:lang w:val="en-US"/>
        </w:rPr>
        <w:tab/>
        <w:t>Fraunhofer HHI, Fraunhofer IIS</w:t>
      </w:r>
    </w:p>
    <w:p w14:paraId="6B5DE3D8" w14:textId="7F655244" w:rsidR="00BC6124" w:rsidRPr="000A4E62" w:rsidRDefault="00BC6124" w:rsidP="00BC6124">
      <w:pPr>
        <w:ind w:left="1988" w:hanging="1988"/>
        <w:rPr>
          <w:rFonts w:ascii="Arial" w:hAnsi="Arial" w:cs="Arial"/>
          <w:b/>
          <w:lang w:val="en-US"/>
        </w:rPr>
      </w:pPr>
      <w:r w:rsidRPr="000A4E62">
        <w:rPr>
          <w:rFonts w:ascii="Arial" w:hAnsi="Arial" w:cs="Arial"/>
          <w:b/>
          <w:lang w:val="en-US"/>
        </w:rPr>
        <w:t>Title:</w:t>
      </w:r>
      <w:r w:rsidRPr="000A4E62">
        <w:rPr>
          <w:rFonts w:ascii="Arial" w:hAnsi="Arial" w:cs="Arial"/>
          <w:b/>
          <w:lang w:val="en-US"/>
        </w:rPr>
        <w:tab/>
      </w:r>
      <w:r w:rsidR="00521D2E">
        <w:rPr>
          <w:rFonts w:ascii="Arial" w:hAnsi="Arial" w:cs="Arial"/>
          <w:b/>
          <w:lang w:val="en-US"/>
        </w:rPr>
        <w:t>Wideband operation for NR-U</w:t>
      </w:r>
    </w:p>
    <w:p w14:paraId="0BFAC09F" w14:textId="03ECB0B6" w:rsidR="00BC6124" w:rsidRPr="000A4E62" w:rsidRDefault="00BC6124" w:rsidP="00BC6124">
      <w:pPr>
        <w:ind w:left="1988" w:hanging="1988"/>
        <w:rPr>
          <w:rFonts w:ascii="Arial" w:hAnsi="Arial" w:cs="Arial"/>
          <w:b/>
          <w:lang w:val="en-US"/>
        </w:rPr>
      </w:pPr>
      <w:r w:rsidRPr="000A4E62">
        <w:rPr>
          <w:rFonts w:ascii="Arial" w:hAnsi="Arial" w:cs="Arial"/>
          <w:b/>
          <w:lang w:val="en-US"/>
        </w:rPr>
        <w:t>Agenda item:</w:t>
      </w:r>
      <w:r w:rsidRPr="000A4E62">
        <w:rPr>
          <w:rFonts w:ascii="Arial" w:hAnsi="Arial" w:cs="Arial"/>
          <w:b/>
          <w:lang w:val="en-US"/>
        </w:rPr>
        <w:tab/>
        <w:t>7.2.</w:t>
      </w:r>
      <w:r w:rsidR="00521D2E">
        <w:rPr>
          <w:rFonts w:ascii="Arial" w:hAnsi="Arial" w:cs="Arial"/>
          <w:b/>
          <w:lang w:val="en-US"/>
        </w:rPr>
        <w:t>2.2.5</w:t>
      </w:r>
    </w:p>
    <w:p w14:paraId="6894E145" w14:textId="72CA7910" w:rsidR="008D452D" w:rsidRPr="000A4E62" w:rsidRDefault="008D452D" w:rsidP="008D452D">
      <w:pPr>
        <w:ind w:left="1988" w:hanging="1988"/>
        <w:rPr>
          <w:rFonts w:ascii="Arial" w:hAnsi="Arial" w:cs="Arial"/>
          <w:b/>
          <w:lang w:val="en-US"/>
        </w:rPr>
      </w:pPr>
      <w:r w:rsidRPr="000A4E62">
        <w:rPr>
          <w:rFonts w:ascii="Arial" w:hAnsi="Arial" w:cs="Arial"/>
          <w:b/>
          <w:lang w:val="en-US"/>
        </w:rPr>
        <w:t>Document for:</w:t>
      </w:r>
      <w:r w:rsidRPr="000A4E62">
        <w:rPr>
          <w:rFonts w:ascii="Arial" w:hAnsi="Arial" w:cs="Arial"/>
          <w:b/>
          <w:lang w:val="en-US"/>
        </w:rPr>
        <w:tab/>
        <w:t>Discussion and Decision</w:t>
      </w:r>
    </w:p>
    <w:p w14:paraId="5C934E0D" w14:textId="77777777" w:rsidR="008D452D" w:rsidRPr="000A4E62" w:rsidRDefault="008D452D" w:rsidP="008D452D">
      <w:pPr>
        <w:ind w:left="1988" w:hanging="1988"/>
        <w:rPr>
          <w:rFonts w:ascii="Arial" w:hAnsi="Arial" w:cs="Arial"/>
          <w:b/>
          <w:lang w:val="en-US"/>
        </w:rPr>
      </w:pPr>
    </w:p>
    <w:p w14:paraId="1CFC57CB" w14:textId="4DD9BA91" w:rsidR="005D5660" w:rsidRPr="00181D8F" w:rsidRDefault="005D5660" w:rsidP="000C5F8A">
      <w:pPr>
        <w:pStyle w:val="berschrift1"/>
        <w:rPr>
          <w:lang w:val="en-US"/>
        </w:rPr>
      </w:pPr>
      <w:bookmarkStart w:id="0" w:name="_Ref124589705"/>
      <w:bookmarkStart w:id="1" w:name="_Ref129681862"/>
      <w:r w:rsidRPr="00181D8F">
        <w:rPr>
          <w:lang w:val="en-US"/>
        </w:rPr>
        <w:t>Introduction</w:t>
      </w:r>
      <w:bookmarkEnd w:id="0"/>
      <w:bookmarkEnd w:id="1"/>
    </w:p>
    <w:p w14:paraId="34D7319B" w14:textId="7324D645" w:rsidR="004011A3" w:rsidRDefault="00B45BBD" w:rsidP="004011A3">
      <w:pPr>
        <w:rPr>
          <w:lang w:val="en-US"/>
        </w:rPr>
      </w:pPr>
      <w:r w:rsidRPr="00B45BBD">
        <w:rPr>
          <w:lang w:val="en-US"/>
        </w:rPr>
        <w:t>In RAN1#9</w:t>
      </w:r>
      <w:r w:rsidR="00AB1FEF">
        <w:rPr>
          <w:lang w:val="en-US"/>
        </w:rPr>
        <w:t>8</w:t>
      </w:r>
      <w:r w:rsidR="00797713">
        <w:rPr>
          <w:lang w:val="en-US"/>
        </w:rPr>
        <w:t>b</w:t>
      </w:r>
      <w:r w:rsidRPr="00B45BBD">
        <w:rPr>
          <w:lang w:val="en-US"/>
        </w:rPr>
        <w:t xml:space="preserve"> following </w:t>
      </w:r>
      <w:r>
        <w:rPr>
          <w:lang w:val="en-US"/>
        </w:rPr>
        <w:t>agreements have been made</w:t>
      </w:r>
      <w:r w:rsidR="002007C4">
        <w:rPr>
          <w:lang w:val="en-US"/>
        </w:rPr>
        <w:t xml:space="preserve"> [1]</w:t>
      </w:r>
      <w:r>
        <w:rPr>
          <w:lang w:val="en-US"/>
        </w:rPr>
        <w:t>:</w:t>
      </w:r>
    </w:p>
    <w:p w14:paraId="673CFDD0" w14:textId="77777777" w:rsidR="00927E60" w:rsidRPr="00B45BBD" w:rsidRDefault="00927E60" w:rsidP="004011A3">
      <w:pPr>
        <w:rPr>
          <w:lang w:val="en-US"/>
        </w:rPr>
      </w:pPr>
    </w:p>
    <w:tbl>
      <w:tblPr>
        <w:tblStyle w:val="Tabellenraster"/>
        <w:tblW w:w="0" w:type="auto"/>
        <w:tblLook w:val="04A0" w:firstRow="1" w:lastRow="0" w:firstColumn="1" w:lastColumn="0" w:noHBand="0" w:noVBand="1"/>
      </w:tblPr>
      <w:tblGrid>
        <w:gridCol w:w="9307"/>
      </w:tblGrid>
      <w:tr w:rsidR="00B45BBD" w:rsidRPr="00A90F72" w14:paraId="300A09D8" w14:textId="77777777" w:rsidTr="00B45BBD">
        <w:tc>
          <w:tcPr>
            <w:tcW w:w="9307" w:type="dxa"/>
          </w:tcPr>
          <w:p w14:paraId="4BBA9AD9" w14:textId="77777777" w:rsidR="001B161E" w:rsidRPr="0021560A" w:rsidRDefault="001B161E" w:rsidP="001B161E">
            <w:pPr>
              <w:rPr>
                <w:lang w:val="en-US"/>
              </w:rPr>
            </w:pPr>
            <w:r w:rsidRPr="0021560A">
              <w:rPr>
                <w:highlight w:val="green"/>
                <w:lang w:val="en-US"/>
              </w:rPr>
              <w:t>Agreement:</w:t>
            </w:r>
          </w:p>
          <w:p w14:paraId="50D34787" w14:textId="77777777" w:rsidR="001B161E" w:rsidRPr="0021560A" w:rsidRDefault="001B161E" w:rsidP="001B161E">
            <w:pPr>
              <w:rPr>
                <w:lang w:val="en-US" w:eastAsia="x-none"/>
              </w:rPr>
            </w:pPr>
            <w:r w:rsidRPr="0021560A">
              <w:rPr>
                <w:lang w:val="en-US" w:eastAsia="x-none"/>
              </w:rPr>
              <w:t>For a search space set configuration associated with multiple monitoring locations in the frequency domain (as per the previous agreement defining such a search space set associated with a CORESET confined within an LBT bandwidth):</w:t>
            </w:r>
          </w:p>
          <w:p w14:paraId="546BF7EF" w14:textId="77777777" w:rsidR="001B161E" w:rsidRPr="0021560A" w:rsidRDefault="001B161E" w:rsidP="001B161E">
            <w:pPr>
              <w:numPr>
                <w:ilvl w:val="0"/>
                <w:numId w:val="35"/>
              </w:numPr>
              <w:jc w:val="left"/>
              <w:rPr>
                <w:lang w:val="en-US"/>
              </w:rPr>
            </w:pPr>
            <w:r w:rsidRPr="0021560A">
              <w:rPr>
                <w:lang w:val="en-US"/>
              </w:rPr>
              <w:t xml:space="preserve">PRBs allocated by </w:t>
            </w:r>
            <w:proofErr w:type="spellStart"/>
            <w:r w:rsidRPr="0021560A">
              <w:rPr>
                <w:i/>
                <w:lang w:val="en-US"/>
              </w:rPr>
              <w:t>frequencyDomainResources</w:t>
            </w:r>
            <w:proofErr w:type="spellEnd"/>
            <w:r w:rsidRPr="0021560A">
              <w:rPr>
                <w:lang w:val="en-US"/>
              </w:rPr>
              <w:t xml:space="preserve"> in the CORESET configuration are confined within one of LBT bandwidths within the BWP corresponding to the CORESET.</w:t>
            </w:r>
          </w:p>
          <w:p w14:paraId="4D136942" w14:textId="77777777" w:rsidR="001B161E" w:rsidRPr="0021560A" w:rsidRDefault="001B161E" w:rsidP="001B161E">
            <w:pPr>
              <w:numPr>
                <w:ilvl w:val="0"/>
                <w:numId w:val="35"/>
              </w:numPr>
              <w:jc w:val="left"/>
              <w:rPr>
                <w:lang w:val="en-US"/>
              </w:rPr>
            </w:pPr>
            <w:r w:rsidRPr="0021560A">
              <w:rPr>
                <w:lang w:val="en-US"/>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CB9F638" w14:textId="77777777" w:rsidR="001B161E" w:rsidRPr="0021560A" w:rsidRDefault="001B161E" w:rsidP="001B161E">
            <w:pPr>
              <w:numPr>
                <w:ilvl w:val="1"/>
                <w:numId w:val="35"/>
              </w:numPr>
              <w:jc w:val="left"/>
              <w:rPr>
                <w:lang w:val="en-US"/>
              </w:rPr>
            </w:pPr>
            <w:r w:rsidRPr="0021560A">
              <w:rPr>
                <w:lang w:val="en-US"/>
              </w:rPr>
              <w:t xml:space="preserve">CORESET parameters other than frequency domain resource allocation pattern </w:t>
            </w:r>
            <w:proofErr w:type="gramStart"/>
            <w:r w:rsidRPr="0021560A">
              <w:rPr>
                <w:lang w:val="en-US"/>
              </w:rPr>
              <w:t>are</w:t>
            </w:r>
            <w:proofErr w:type="gramEnd"/>
            <w:r w:rsidRPr="0021560A">
              <w:rPr>
                <w:lang w:val="en-US"/>
              </w:rPr>
              <w:t xml:space="preserve"> identical for each of the one or more monitoring locations in the frequency domain.</w:t>
            </w:r>
          </w:p>
          <w:p w14:paraId="0527BC1B" w14:textId="77777777" w:rsidR="001B161E" w:rsidRPr="0021560A" w:rsidRDefault="001B161E" w:rsidP="001B161E">
            <w:pPr>
              <w:numPr>
                <w:ilvl w:val="0"/>
                <w:numId w:val="35"/>
              </w:numPr>
              <w:jc w:val="left"/>
              <w:rPr>
                <w:lang w:val="en-US"/>
              </w:rPr>
            </w:pPr>
            <w:r w:rsidRPr="0021560A">
              <w:rPr>
                <w:lang w:val="en-US"/>
              </w:rPr>
              <w:t xml:space="preserve">Include this and the prior agreement on this issue in </w:t>
            </w:r>
            <w:proofErr w:type="gramStart"/>
            <w:r w:rsidRPr="0021560A">
              <w:rPr>
                <w:lang w:val="en-US"/>
              </w:rPr>
              <w:t>an</w:t>
            </w:r>
            <w:proofErr w:type="gramEnd"/>
            <w:r w:rsidRPr="0021560A">
              <w:rPr>
                <w:lang w:val="en-US"/>
              </w:rPr>
              <w:t xml:space="preserve"> LS to RAN2</w:t>
            </w:r>
          </w:p>
          <w:p w14:paraId="606811BA" w14:textId="77777777" w:rsidR="001B161E" w:rsidRPr="0021560A" w:rsidRDefault="001B161E" w:rsidP="001B161E">
            <w:pPr>
              <w:rPr>
                <w:lang w:val="en-US"/>
              </w:rPr>
            </w:pPr>
          </w:p>
          <w:p w14:paraId="137CF613" w14:textId="77777777" w:rsidR="001B161E" w:rsidRPr="0021560A" w:rsidRDefault="001B161E" w:rsidP="001B161E">
            <w:pPr>
              <w:rPr>
                <w:lang w:val="en-US"/>
              </w:rPr>
            </w:pPr>
            <w:r w:rsidRPr="0021560A">
              <w:rPr>
                <w:highlight w:val="green"/>
                <w:lang w:val="en-US"/>
              </w:rPr>
              <w:t>Agreement:</w:t>
            </w:r>
          </w:p>
          <w:p w14:paraId="3BF8E0CA" w14:textId="77777777" w:rsidR="001B161E" w:rsidRPr="0021560A" w:rsidRDefault="001B161E" w:rsidP="001B161E">
            <w:pPr>
              <w:rPr>
                <w:lang w:val="en-US"/>
              </w:rPr>
            </w:pPr>
            <w:r w:rsidRPr="0021560A">
              <w:rPr>
                <w:lang w:val="en-US"/>
              </w:rPr>
              <w:t>The intra-carrier guard bands on a carrier can be semi-statically adjusted with an RB level granularity. The RAN4 minimum guard band requirements are used as the guard bands when no semi-static adjustment is applied.</w:t>
            </w:r>
          </w:p>
          <w:p w14:paraId="55D46D76" w14:textId="77777777" w:rsidR="001B161E" w:rsidRPr="0021560A" w:rsidRDefault="001B161E" w:rsidP="001B161E">
            <w:pPr>
              <w:numPr>
                <w:ilvl w:val="0"/>
                <w:numId w:val="34"/>
              </w:numPr>
              <w:jc w:val="left"/>
              <w:rPr>
                <w:lang w:val="en-US"/>
              </w:rPr>
            </w:pPr>
            <w:r w:rsidRPr="0021560A">
              <w:rPr>
                <w:lang w:val="en-US"/>
              </w:rPr>
              <w:t>The guard bands adjustments do not affect the already agreed restrictions on PUCCH resource allocation.</w:t>
            </w:r>
          </w:p>
          <w:p w14:paraId="51783E07" w14:textId="77777777" w:rsidR="001B161E" w:rsidRPr="0021560A" w:rsidRDefault="001B161E" w:rsidP="001B161E">
            <w:pPr>
              <w:numPr>
                <w:ilvl w:val="0"/>
                <w:numId w:val="34"/>
              </w:numPr>
              <w:jc w:val="left"/>
              <w:rPr>
                <w:lang w:val="en-US"/>
              </w:rPr>
            </w:pPr>
            <w:r w:rsidRPr="0021560A">
              <w:rPr>
                <w:lang w:val="en-US"/>
              </w:rPr>
              <w:t>FFS: Whether and how to handle the case where the intra-carrier guard bands are part of a resource allocation</w:t>
            </w:r>
          </w:p>
          <w:p w14:paraId="0CF07D8B" w14:textId="77777777" w:rsidR="001B161E" w:rsidRPr="0021560A" w:rsidRDefault="001B161E" w:rsidP="001B161E">
            <w:pPr>
              <w:rPr>
                <w:lang w:val="en-US"/>
              </w:rPr>
            </w:pPr>
          </w:p>
          <w:p w14:paraId="010CFFA9" w14:textId="77777777" w:rsidR="001B161E" w:rsidRDefault="001B161E" w:rsidP="001B161E">
            <w:r w:rsidRPr="00DF686C">
              <w:rPr>
                <w:highlight w:val="green"/>
              </w:rPr>
              <w:t>Agreement:</w:t>
            </w:r>
          </w:p>
          <w:p w14:paraId="6AB8B8C7" w14:textId="77777777" w:rsidR="001B161E" w:rsidRPr="0021560A" w:rsidRDefault="001B161E" w:rsidP="001B161E">
            <w:pPr>
              <w:numPr>
                <w:ilvl w:val="0"/>
                <w:numId w:val="34"/>
              </w:numPr>
              <w:jc w:val="left"/>
              <w:rPr>
                <w:lang w:val="en-US"/>
              </w:rPr>
            </w:pPr>
            <w:r w:rsidRPr="0021560A">
              <w:rPr>
                <w:lang w:val="en-US"/>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4B95A7F3" w14:textId="77777777" w:rsidR="001B161E" w:rsidRPr="0021560A" w:rsidRDefault="001B161E" w:rsidP="001B161E">
            <w:pPr>
              <w:numPr>
                <w:ilvl w:val="0"/>
                <w:numId w:val="34"/>
              </w:numPr>
              <w:jc w:val="left"/>
              <w:rPr>
                <w:lang w:val="en-US"/>
              </w:rPr>
            </w:pPr>
            <w:r w:rsidRPr="0021560A">
              <w:rPr>
                <w:lang w:val="en-US"/>
              </w:rPr>
              <w:t xml:space="preserve">The UE is not expected to receive resource allocations in </w:t>
            </w:r>
            <w:proofErr w:type="spellStart"/>
            <w:r w:rsidRPr="0021560A">
              <w:rPr>
                <w:lang w:val="en-US"/>
              </w:rPr>
              <w:t>discontiguous</w:t>
            </w:r>
            <w:proofErr w:type="spellEnd"/>
            <w:r w:rsidRPr="0021560A">
              <w:rPr>
                <w:lang w:val="en-US"/>
              </w:rPr>
              <w:t xml:space="preserve"> LBT bandwidths within a wideband carrier</w:t>
            </w:r>
          </w:p>
          <w:p w14:paraId="7B8B74BA" w14:textId="0319D51E" w:rsidR="00B45BBD" w:rsidRPr="00927E60" w:rsidRDefault="001B161E" w:rsidP="004A5C37">
            <w:pPr>
              <w:numPr>
                <w:ilvl w:val="1"/>
                <w:numId w:val="34"/>
              </w:numPr>
              <w:spacing w:after="240"/>
              <w:ind w:left="1434" w:hanging="357"/>
              <w:jc w:val="left"/>
              <w:rPr>
                <w:lang w:val="en-US"/>
              </w:rPr>
            </w:pPr>
            <w:r w:rsidRPr="0021560A">
              <w:rPr>
                <w:lang w:val="en-US"/>
              </w:rPr>
              <w:t xml:space="preserve">This does not preclude such resource allocation in </w:t>
            </w:r>
            <w:proofErr w:type="spellStart"/>
            <w:r w:rsidRPr="0021560A">
              <w:rPr>
                <w:lang w:val="en-US"/>
              </w:rPr>
              <w:t>discontiguous</w:t>
            </w:r>
            <w:proofErr w:type="spellEnd"/>
            <w:r w:rsidRPr="0021560A">
              <w:rPr>
                <w:lang w:val="en-US"/>
              </w:rPr>
              <w:t xml:space="preserve"> LBT bandwidths being supported by specifications managed by RAN1 in Rel-16.</w:t>
            </w:r>
          </w:p>
        </w:tc>
      </w:tr>
    </w:tbl>
    <w:p w14:paraId="1BF52614" w14:textId="29E062E3" w:rsidR="004011A3" w:rsidRDefault="004011A3" w:rsidP="008938A7">
      <w:pPr>
        <w:rPr>
          <w:lang w:val="en-US"/>
        </w:rPr>
      </w:pPr>
    </w:p>
    <w:p w14:paraId="203E754F" w14:textId="17271F2F" w:rsidR="00857C70" w:rsidRDefault="00857C70" w:rsidP="008938A7">
      <w:pPr>
        <w:rPr>
          <w:lang w:val="en-US"/>
        </w:rPr>
      </w:pPr>
    </w:p>
    <w:p w14:paraId="21E6C593" w14:textId="77777777" w:rsidR="00A82AD5" w:rsidRPr="002F21B2" w:rsidRDefault="00A82AD5" w:rsidP="00BD0F20">
      <w:pPr>
        <w:rPr>
          <w:rFonts w:cstheme="minorHAnsi"/>
          <w:b/>
          <w:lang w:val="en-US"/>
        </w:rPr>
      </w:pPr>
      <w:bookmarkStart w:id="2" w:name="_Ref129681832"/>
    </w:p>
    <w:bookmarkEnd w:id="2"/>
    <w:p w14:paraId="242C9E4A" w14:textId="6D11E86F" w:rsidR="00B83254" w:rsidRDefault="00182BF8" w:rsidP="00B83254">
      <w:pPr>
        <w:pStyle w:val="berschrift1"/>
        <w:rPr>
          <w:lang w:val="en-US"/>
        </w:rPr>
      </w:pPr>
      <w:r>
        <w:rPr>
          <w:lang w:val="en-US"/>
        </w:rPr>
        <w:t>Wideband CORESETs</w:t>
      </w:r>
    </w:p>
    <w:p w14:paraId="1E3F4C37" w14:textId="3C137909" w:rsidR="00114625" w:rsidRDefault="00114625" w:rsidP="003220BB">
      <w:pPr>
        <w:rPr>
          <w:lang w:val="en-US"/>
        </w:rPr>
      </w:pPr>
      <w:r>
        <w:rPr>
          <w:lang w:val="en-US"/>
        </w:rPr>
        <w:t xml:space="preserve">In the last meeting, the previous agreement on CORESETs with multiple monitoring locations across frequency has been further refined. The CORESET configurations are confined within </w:t>
      </w:r>
      <w:proofErr w:type="gramStart"/>
      <w:r>
        <w:rPr>
          <w:lang w:val="en-US"/>
        </w:rPr>
        <w:t>a</w:t>
      </w:r>
      <w:proofErr w:type="gramEnd"/>
      <w:r>
        <w:rPr>
          <w:lang w:val="en-US"/>
        </w:rPr>
        <w:t xml:space="preserve"> LBT subband and the same pattern is replicated for the further </w:t>
      </w:r>
      <w:r w:rsidR="004A5C37">
        <w:rPr>
          <w:lang w:val="en-US"/>
        </w:rPr>
        <w:t xml:space="preserve">frequency domain </w:t>
      </w:r>
      <w:r>
        <w:rPr>
          <w:lang w:val="en-US"/>
        </w:rPr>
        <w:t xml:space="preserve">monitoring locations in different LBT subbands. However, it is still an open issue how to distribute the search space candidates of a search space configuration associated with such a CORESET across the multiple frequency locations. In case the same number of search space candidates are applied </w:t>
      </w:r>
      <w:r w:rsidR="00CA1430">
        <w:rPr>
          <w:lang w:val="en-US"/>
        </w:rPr>
        <w:t>to the further frequency</w:t>
      </w:r>
      <w:r w:rsidR="004A5C37">
        <w:rPr>
          <w:lang w:val="en-US"/>
        </w:rPr>
        <w:t xml:space="preserve"> domain monitoring</w:t>
      </w:r>
      <w:r w:rsidR="00CA1430">
        <w:rPr>
          <w:lang w:val="en-US"/>
        </w:rPr>
        <w:t xml:space="preserve"> locations</w:t>
      </w:r>
      <w:r w:rsidR="00927E60">
        <w:rPr>
          <w:lang w:val="en-US"/>
        </w:rPr>
        <w:t>,</w:t>
      </w:r>
      <w:r w:rsidR="00CA1430">
        <w:rPr>
          <w:lang w:val="en-US"/>
        </w:rPr>
        <w:t xml:space="preserve"> the number of </w:t>
      </w:r>
      <w:proofErr w:type="gramStart"/>
      <w:r w:rsidR="00927E60">
        <w:rPr>
          <w:lang w:val="en-US"/>
        </w:rPr>
        <w:t>blind</w:t>
      </w:r>
      <w:proofErr w:type="gramEnd"/>
      <w:r w:rsidR="00927E60">
        <w:rPr>
          <w:lang w:val="en-US"/>
        </w:rPr>
        <w:t xml:space="preserve"> decodes (</w:t>
      </w:r>
      <w:r w:rsidR="00CA1430">
        <w:rPr>
          <w:lang w:val="en-US"/>
        </w:rPr>
        <w:t>BDs</w:t>
      </w:r>
      <w:r w:rsidR="00927E60">
        <w:rPr>
          <w:lang w:val="en-US"/>
        </w:rPr>
        <w:t>)</w:t>
      </w:r>
      <w:r w:rsidR="00CA1430">
        <w:rPr>
          <w:lang w:val="en-US"/>
        </w:rPr>
        <w:t xml:space="preserve"> would increase drastically by the number of further locations. In case the total number of BDs hits the upper limit of BDs per slot</w:t>
      </w:r>
      <w:r w:rsidR="00927E60">
        <w:rPr>
          <w:lang w:val="en-US"/>
        </w:rPr>
        <w:t>,</w:t>
      </w:r>
      <w:r w:rsidR="00CA1430">
        <w:rPr>
          <w:lang w:val="en-US"/>
        </w:rPr>
        <w:t xml:space="preserve"> the order of performing the blind decodes will impact the UE behavior </w:t>
      </w:r>
      <w:r w:rsidR="0021560A">
        <w:rPr>
          <w:lang w:val="en-US"/>
        </w:rPr>
        <w:t>severely</w:t>
      </w:r>
      <w:r w:rsidR="00CA1430">
        <w:rPr>
          <w:lang w:val="en-US"/>
        </w:rPr>
        <w:t xml:space="preserve"> and hence, has to be specified. </w:t>
      </w:r>
    </w:p>
    <w:p w14:paraId="1AA04017" w14:textId="3028A2C2" w:rsidR="00CA1430" w:rsidRDefault="00CA1430" w:rsidP="003220BB">
      <w:pPr>
        <w:rPr>
          <w:lang w:val="en-US"/>
        </w:rPr>
      </w:pPr>
      <w:r>
        <w:rPr>
          <w:lang w:val="en-US"/>
        </w:rPr>
        <w:t>The alternative solution is to equally distribute the candidates across the LBT subbands which are detected to be active, e.g. from the LBT indication in GC-PDCCH</w:t>
      </w:r>
      <w:r w:rsidR="0021560A">
        <w:rPr>
          <w:lang w:val="en-US"/>
        </w:rPr>
        <w:t>, such that the total number of PDCCH candidates per search space stays the same</w:t>
      </w:r>
      <w:r>
        <w:rPr>
          <w:lang w:val="en-US"/>
        </w:rPr>
        <w:t xml:space="preserve">. However, this approach brings in more ambiguities. If the </w:t>
      </w:r>
      <w:r w:rsidR="0021560A">
        <w:rPr>
          <w:lang w:val="en-US"/>
        </w:rPr>
        <w:t xml:space="preserve">PDCCH </w:t>
      </w:r>
      <w:r>
        <w:rPr>
          <w:lang w:val="en-US"/>
        </w:rPr>
        <w:t>candidates</w:t>
      </w:r>
      <w:r w:rsidR="0021560A">
        <w:rPr>
          <w:lang w:val="en-US"/>
        </w:rPr>
        <w:t xml:space="preserve"> of a search space</w:t>
      </w:r>
      <w:r>
        <w:rPr>
          <w:lang w:val="en-US"/>
        </w:rPr>
        <w:t xml:space="preserve"> are distributed among </w:t>
      </w:r>
      <w:r w:rsidR="00F34E16">
        <w:rPr>
          <w:lang w:val="en-US"/>
        </w:rPr>
        <w:t>the multiple frequency</w:t>
      </w:r>
      <w:r w:rsidR="004A5C37">
        <w:rPr>
          <w:lang w:val="en-US"/>
        </w:rPr>
        <w:t xml:space="preserve"> domain monitoring</w:t>
      </w:r>
      <w:r w:rsidR="00F34E16">
        <w:rPr>
          <w:lang w:val="en-US"/>
        </w:rPr>
        <w:t xml:space="preserve"> locations, </w:t>
      </w:r>
      <w:r w:rsidR="00927E60">
        <w:rPr>
          <w:lang w:val="en-US"/>
        </w:rPr>
        <w:t>it has to be considered that</w:t>
      </w:r>
      <w:r w:rsidR="00F34E16">
        <w:rPr>
          <w:lang w:val="en-US"/>
        </w:rPr>
        <w:t xml:space="preserve"> the number of </w:t>
      </w:r>
      <w:r w:rsidR="0021560A">
        <w:rPr>
          <w:lang w:val="en-US"/>
        </w:rPr>
        <w:t>PDCCH</w:t>
      </w:r>
      <w:r w:rsidR="00F34E16">
        <w:rPr>
          <w:lang w:val="en-US"/>
        </w:rPr>
        <w:t xml:space="preserve"> candidates per AL</w:t>
      </w:r>
      <w:r w:rsidR="0021560A">
        <w:rPr>
          <w:lang w:val="en-US"/>
        </w:rPr>
        <w:t xml:space="preserve"> in a search space configuration</w:t>
      </w:r>
      <w:r w:rsidR="00F34E16">
        <w:rPr>
          <w:lang w:val="en-US"/>
        </w:rPr>
        <w:t xml:space="preserve"> </w:t>
      </w:r>
      <w:r w:rsidR="00927E60">
        <w:rPr>
          <w:lang w:val="en-US"/>
        </w:rPr>
        <w:t xml:space="preserve">may </w:t>
      </w:r>
      <w:r w:rsidR="00F34E16">
        <w:rPr>
          <w:lang w:val="en-US"/>
        </w:rPr>
        <w:t xml:space="preserve">not </w:t>
      </w:r>
      <w:r w:rsidR="00927E60">
        <w:rPr>
          <w:lang w:val="en-US"/>
        </w:rPr>
        <w:t xml:space="preserve">be </w:t>
      </w:r>
      <w:r w:rsidR="000204E1">
        <w:rPr>
          <w:lang w:val="en-US"/>
        </w:rPr>
        <w:t xml:space="preserve">divisible </w:t>
      </w:r>
      <w:r w:rsidR="00F34E16">
        <w:rPr>
          <w:lang w:val="en-US"/>
        </w:rPr>
        <w:t>by the number of frequenc</w:t>
      </w:r>
      <w:r w:rsidR="004A5C37">
        <w:rPr>
          <w:lang w:val="en-US"/>
        </w:rPr>
        <w:t>y domain monitoring locations.</w:t>
      </w:r>
      <w:r w:rsidR="0021560A">
        <w:rPr>
          <w:lang w:val="en-US"/>
        </w:rPr>
        <w:t xml:space="preserve"> Furthermore, it has to be specified which PDCCH candidates the UE would monitor in each of the frequency locations.</w:t>
      </w:r>
      <w:r w:rsidR="00F34E16">
        <w:rPr>
          <w:lang w:val="en-US"/>
        </w:rPr>
        <w:t xml:space="preserve"> Hence, applying the same search space configuration to each of the frequency locations is more straightforward.</w:t>
      </w:r>
    </w:p>
    <w:p w14:paraId="2A00BA1D" w14:textId="405EDD95" w:rsidR="00F34E16" w:rsidRDefault="00F34E16" w:rsidP="003220BB">
      <w:pPr>
        <w:rPr>
          <w:lang w:val="en-US"/>
        </w:rPr>
      </w:pPr>
    </w:p>
    <w:p w14:paraId="12678030" w14:textId="0BBC7F69" w:rsidR="00F34E16" w:rsidRDefault="00F34E16" w:rsidP="003220BB">
      <w:pPr>
        <w:rPr>
          <w:b/>
          <w:bCs/>
          <w:lang w:val="en-US"/>
        </w:rPr>
      </w:pPr>
      <w:r w:rsidRPr="0021560A">
        <w:rPr>
          <w:b/>
          <w:bCs/>
          <w:lang w:val="en-US"/>
        </w:rPr>
        <w:t>Proposal</w:t>
      </w:r>
      <w:r w:rsidR="0021560A">
        <w:rPr>
          <w:b/>
          <w:bCs/>
          <w:lang w:val="en-US"/>
        </w:rPr>
        <w:t xml:space="preserve"> 1</w:t>
      </w:r>
      <w:r w:rsidRPr="0021560A">
        <w:rPr>
          <w:b/>
          <w:bCs/>
          <w:lang w:val="en-US"/>
        </w:rPr>
        <w:t>: Apply the same number of BDs per AL</w:t>
      </w:r>
      <w:r w:rsidR="00927E60">
        <w:rPr>
          <w:b/>
          <w:bCs/>
          <w:lang w:val="en-US"/>
        </w:rPr>
        <w:t>,</w:t>
      </w:r>
      <w:r w:rsidRPr="0021560A">
        <w:rPr>
          <w:b/>
          <w:bCs/>
          <w:lang w:val="en-US"/>
        </w:rPr>
        <w:t xml:space="preserve"> per search space configuration</w:t>
      </w:r>
      <w:r w:rsidR="00927E60">
        <w:rPr>
          <w:b/>
          <w:bCs/>
          <w:lang w:val="en-US"/>
        </w:rPr>
        <w:t>, and</w:t>
      </w:r>
      <w:r w:rsidRPr="0021560A">
        <w:rPr>
          <w:b/>
          <w:bCs/>
          <w:lang w:val="en-US"/>
        </w:rPr>
        <w:t xml:space="preserve"> per frequency location of the associated CORESET.</w:t>
      </w:r>
    </w:p>
    <w:p w14:paraId="0C999897" w14:textId="77777777" w:rsidR="00F54E1C" w:rsidRPr="0021560A" w:rsidRDefault="00F54E1C" w:rsidP="003220BB">
      <w:pPr>
        <w:rPr>
          <w:b/>
          <w:bCs/>
          <w:lang w:val="en-US"/>
        </w:rPr>
      </w:pPr>
    </w:p>
    <w:p w14:paraId="0F2507FA" w14:textId="4DC6A7EC" w:rsidR="00927E60" w:rsidRDefault="00927E60" w:rsidP="00927E60">
      <w:pPr>
        <w:rPr>
          <w:lang w:val="en-US"/>
        </w:rPr>
      </w:pPr>
      <w:r>
        <w:rPr>
          <w:lang w:val="en-US"/>
        </w:rPr>
        <w:t xml:space="preserve">As mentioned above, to avoid ambiguities in the UE behavior, the different frequency locations </w:t>
      </w:r>
      <w:r w:rsidR="000E0571">
        <w:rPr>
          <w:lang w:val="en-US"/>
        </w:rPr>
        <w:t xml:space="preserve">should be in order wrt. the BDs performed by the UE. </w:t>
      </w:r>
      <w:r>
        <w:rPr>
          <w:lang w:val="en-US"/>
        </w:rPr>
        <w:t xml:space="preserve">The order could be based on </w:t>
      </w:r>
      <w:r w:rsidR="000E0571">
        <w:rPr>
          <w:lang w:val="en-US"/>
        </w:rPr>
        <w:t xml:space="preserve">an </w:t>
      </w:r>
      <w:r>
        <w:rPr>
          <w:lang w:val="en-US"/>
        </w:rPr>
        <w:t>ascending numbering of subbands. Furthermore, to reduce the BD effort</w:t>
      </w:r>
      <w:r w:rsidR="000E0571">
        <w:rPr>
          <w:lang w:val="en-US"/>
        </w:rPr>
        <w:t xml:space="preserve">, </w:t>
      </w:r>
      <w:r>
        <w:rPr>
          <w:lang w:val="en-US"/>
        </w:rPr>
        <w:t xml:space="preserve">the UE may </w:t>
      </w:r>
      <w:r w:rsidR="004A5C37">
        <w:rPr>
          <w:lang w:val="en-US"/>
        </w:rPr>
        <w:t xml:space="preserve">continue blind decoding only within </w:t>
      </w:r>
      <w:r>
        <w:rPr>
          <w:lang w:val="en-US"/>
        </w:rPr>
        <w:t>a frequency</w:t>
      </w:r>
      <w:r w:rsidR="004A5C37">
        <w:rPr>
          <w:lang w:val="en-US"/>
        </w:rPr>
        <w:t xml:space="preserve"> domain monitoring</w:t>
      </w:r>
      <w:r>
        <w:rPr>
          <w:lang w:val="en-US"/>
        </w:rPr>
        <w:t xml:space="preserve"> location responsive to successfully detecting a PDCCH in one of the frequency locations for the COT duration, as depicted in </w:t>
      </w:r>
      <w:r>
        <w:rPr>
          <w:lang w:val="en-US"/>
        </w:rPr>
        <w:fldChar w:fldCharType="begin"/>
      </w:r>
      <w:r>
        <w:rPr>
          <w:lang w:val="en-US"/>
        </w:rPr>
        <w:instrText xml:space="preserve"> REF _Ref23865614 \h </w:instrText>
      </w:r>
      <w:r>
        <w:rPr>
          <w:lang w:val="en-US"/>
        </w:rPr>
      </w:r>
      <w:r>
        <w:rPr>
          <w:lang w:val="en-US"/>
        </w:rPr>
        <w:fldChar w:fldCharType="separate"/>
      </w:r>
      <w:r w:rsidRPr="0021560A">
        <w:rPr>
          <w:lang w:val="en-US"/>
        </w:rPr>
        <w:t xml:space="preserve">Figure </w:t>
      </w:r>
      <w:r w:rsidRPr="0021560A">
        <w:rPr>
          <w:noProof/>
          <w:lang w:val="en-US"/>
        </w:rPr>
        <w:t>1</w:t>
      </w:r>
      <w:r>
        <w:rPr>
          <w:lang w:val="en-US"/>
        </w:rPr>
        <w:fldChar w:fldCharType="end"/>
      </w:r>
      <w:r>
        <w:rPr>
          <w:lang w:val="en-US"/>
        </w:rPr>
        <w:t>. This would reduce the amount of BD effort after a PDCCH has been found.</w:t>
      </w:r>
      <w:r w:rsidR="000E0571">
        <w:rPr>
          <w:lang w:val="en-US"/>
        </w:rPr>
        <w:t xml:space="preserve"> The UE would have to perform an increased BD effort o</w:t>
      </w:r>
      <w:r>
        <w:rPr>
          <w:lang w:val="en-US"/>
        </w:rPr>
        <w:t>nly for the initial PDCCH monitoring occasion of a COT. However, this can also be minimized if the UE starts with a certain search space configuration first</w:t>
      </w:r>
      <w:r w:rsidR="000E0571">
        <w:rPr>
          <w:lang w:val="en-US"/>
        </w:rPr>
        <w:t>,</w:t>
      </w:r>
      <w:r>
        <w:rPr>
          <w:lang w:val="en-US"/>
        </w:rPr>
        <w:t xml:space="preserve"> and performs the associated BDs across the frequency </w:t>
      </w:r>
      <w:r w:rsidR="004A5C37">
        <w:rPr>
          <w:lang w:val="en-US"/>
        </w:rPr>
        <w:t xml:space="preserve">domain monitoring </w:t>
      </w:r>
      <w:r>
        <w:rPr>
          <w:lang w:val="en-US"/>
        </w:rPr>
        <w:t>locations</w:t>
      </w:r>
      <w:r w:rsidR="000E0571">
        <w:rPr>
          <w:lang w:val="en-US"/>
        </w:rPr>
        <w:t xml:space="preserve"> subsequently</w:t>
      </w:r>
      <w:r>
        <w:rPr>
          <w:lang w:val="en-US"/>
        </w:rPr>
        <w:t>. In this case, the gNB can schedule a PDCCH for the corresponding UE in this search space, such that the UE would detect which frequency location to use.  In further PDCCH monitoring locations within the COT, the gNB would schedule the UE always in the same frequency</w:t>
      </w:r>
      <w:r w:rsidR="004A5C37">
        <w:rPr>
          <w:lang w:val="en-US"/>
        </w:rPr>
        <w:t xml:space="preserve"> domain monitoring</w:t>
      </w:r>
      <w:r>
        <w:rPr>
          <w:lang w:val="en-US"/>
        </w:rPr>
        <w:t xml:space="preserve"> location. In the </w:t>
      </w:r>
      <w:r w:rsidR="000E0571">
        <w:rPr>
          <w:lang w:val="en-US"/>
        </w:rPr>
        <w:t>case</w:t>
      </w:r>
      <w:r>
        <w:rPr>
          <w:lang w:val="en-US"/>
        </w:rPr>
        <w:t xml:space="preserve"> that the </w:t>
      </w:r>
      <w:proofErr w:type="spellStart"/>
      <w:r>
        <w:rPr>
          <w:lang w:val="en-US"/>
        </w:rPr>
        <w:t>gNB</w:t>
      </w:r>
      <w:proofErr w:type="spellEnd"/>
      <w:r>
        <w:rPr>
          <w:lang w:val="en-US"/>
        </w:rPr>
        <w:t xml:space="preserve"> cannot transmit a frequency </w:t>
      </w:r>
      <w:r w:rsidR="004A5C37">
        <w:rPr>
          <w:lang w:val="en-US"/>
        </w:rPr>
        <w:t xml:space="preserve">domain monitoring </w:t>
      </w:r>
      <w:r>
        <w:rPr>
          <w:lang w:val="en-US"/>
        </w:rPr>
        <w:t xml:space="preserve">location of a CORESET due to </w:t>
      </w:r>
      <w:bookmarkStart w:id="3" w:name="_GoBack"/>
      <w:r>
        <w:rPr>
          <w:lang w:val="en-US"/>
        </w:rPr>
        <w:t>LBT</w:t>
      </w:r>
      <w:r w:rsidR="000E0571">
        <w:rPr>
          <w:lang w:val="en-US"/>
        </w:rPr>
        <w:t>-failure</w:t>
      </w:r>
      <w:bookmarkEnd w:id="3"/>
      <w:r>
        <w:rPr>
          <w:lang w:val="en-US"/>
        </w:rPr>
        <w:t>, UEs originally scheduled in this location would not find any valid PDCCH in the first PDCCH monitoring occasion of the COT. However, in the next PDCCH monitoring occasion</w:t>
      </w:r>
      <w:r w:rsidR="000E0571">
        <w:rPr>
          <w:lang w:val="en-US"/>
        </w:rPr>
        <w:t>,</w:t>
      </w:r>
      <w:r>
        <w:rPr>
          <w:lang w:val="en-US"/>
        </w:rPr>
        <w:t xml:space="preserve"> the gNB can use one of the frequency</w:t>
      </w:r>
      <w:r w:rsidR="004A5C37">
        <w:rPr>
          <w:lang w:val="en-US"/>
        </w:rPr>
        <w:t xml:space="preserve"> domain monitoring</w:t>
      </w:r>
      <w:r>
        <w:rPr>
          <w:lang w:val="en-US"/>
        </w:rPr>
        <w:t xml:space="preserve"> locations of the CORESET which are</w:t>
      </w:r>
      <w:r w:rsidR="000E0571">
        <w:rPr>
          <w:lang w:val="en-US"/>
        </w:rPr>
        <w:t xml:space="preserve"> located</w:t>
      </w:r>
      <w:r>
        <w:rPr>
          <w:lang w:val="en-US"/>
        </w:rPr>
        <w:t xml:space="preserve"> in subbands where LBT was successful to schedule the UE.</w:t>
      </w:r>
    </w:p>
    <w:p w14:paraId="67BA1742" w14:textId="691B33CA" w:rsidR="00F34E16" w:rsidRDefault="00F34E16" w:rsidP="003220BB">
      <w:pPr>
        <w:rPr>
          <w:lang w:val="en-US"/>
        </w:rPr>
      </w:pPr>
    </w:p>
    <w:p w14:paraId="29EE04B3" w14:textId="77777777" w:rsidR="00F54E1C" w:rsidRDefault="00F54E1C" w:rsidP="004A5C37">
      <w:pPr>
        <w:keepNext/>
        <w:spacing w:after="240"/>
        <w:jc w:val="center"/>
      </w:pPr>
      <w:r>
        <w:rPr>
          <w:noProof/>
          <w:lang w:val="en-US"/>
        </w:rPr>
        <w:lastRenderedPageBreak/>
        <w:drawing>
          <wp:inline distT="0" distB="0" distL="0" distR="0" wp14:anchorId="324EAF26" wp14:editId="22277ABC">
            <wp:extent cx="4251434" cy="3107465"/>
            <wp:effectExtent l="0" t="0" r="3175"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RESET.png"/>
                    <pic:cNvPicPr/>
                  </pic:nvPicPr>
                  <pic:blipFill>
                    <a:blip r:embed="rId8">
                      <a:extLst>
                        <a:ext uri="{28A0092B-C50C-407E-A947-70E740481C1C}">
                          <a14:useLocalDpi xmlns:a14="http://schemas.microsoft.com/office/drawing/2010/main" val="0"/>
                        </a:ext>
                      </a:extLst>
                    </a:blip>
                    <a:stretch>
                      <a:fillRect/>
                    </a:stretch>
                  </pic:blipFill>
                  <pic:spPr>
                    <a:xfrm>
                      <a:off x="0" y="0"/>
                      <a:ext cx="4275478" cy="3125039"/>
                    </a:xfrm>
                    <a:prstGeom prst="rect">
                      <a:avLst/>
                    </a:prstGeom>
                  </pic:spPr>
                </pic:pic>
              </a:graphicData>
            </a:graphic>
          </wp:inline>
        </w:drawing>
      </w:r>
    </w:p>
    <w:p w14:paraId="01C4D262" w14:textId="333EB643" w:rsidR="00F54E1C" w:rsidRDefault="00F54E1C" w:rsidP="0021560A">
      <w:pPr>
        <w:pStyle w:val="Beschriftung"/>
        <w:jc w:val="center"/>
        <w:rPr>
          <w:lang w:val="en-US"/>
        </w:rPr>
      </w:pPr>
      <w:bookmarkStart w:id="4" w:name="_Ref23865614"/>
      <w:r w:rsidRPr="0021560A">
        <w:rPr>
          <w:lang w:val="en-US"/>
        </w:rPr>
        <w:t xml:space="preserve">Figure </w:t>
      </w:r>
      <w:r>
        <w:fldChar w:fldCharType="begin"/>
      </w:r>
      <w:r w:rsidRPr="0021560A">
        <w:rPr>
          <w:lang w:val="en-US"/>
        </w:rPr>
        <w:instrText xml:space="preserve"> SEQ Figure \* ARABIC </w:instrText>
      </w:r>
      <w:r>
        <w:fldChar w:fldCharType="separate"/>
      </w:r>
      <w:r w:rsidRPr="0021560A">
        <w:rPr>
          <w:noProof/>
          <w:lang w:val="en-US"/>
        </w:rPr>
        <w:t>1</w:t>
      </w:r>
      <w:r>
        <w:fldChar w:fldCharType="end"/>
      </w:r>
      <w:bookmarkEnd w:id="4"/>
      <w:r w:rsidRPr="0021560A">
        <w:rPr>
          <w:lang w:val="en-US"/>
        </w:rPr>
        <w:t>: UE stays with the same frequency location across a gNB COT.</w:t>
      </w:r>
    </w:p>
    <w:p w14:paraId="3F118E96" w14:textId="77777777" w:rsidR="003921BD" w:rsidRDefault="003921BD" w:rsidP="007C282A">
      <w:pPr>
        <w:rPr>
          <w:lang w:val="en-US"/>
        </w:rPr>
      </w:pPr>
    </w:p>
    <w:p w14:paraId="282B8058" w14:textId="2FED09AB" w:rsidR="00A70916" w:rsidRPr="0021560A" w:rsidRDefault="00F54E1C" w:rsidP="00032719">
      <w:pPr>
        <w:pStyle w:val="3GPPNormalText"/>
        <w:rPr>
          <w:b/>
          <w:bCs/>
          <w:lang w:val="en-US"/>
        </w:rPr>
      </w:pPr>
      <w:r w:rsidRPr="0021560A">
        <w:rPr>
          <w:b/>
          <w:bCs/>
          <w:lang w:val="en-US"/>
        </w:rPr>
        <w:t>Proposal</w:t>
      </w:r>
      <w:r w:rsidR="0021560A">
        <w:rPr>
          <w:b/>
          <w:bCs/>
          <w:lang w:val="en-US"/>
        </w:rPr>
        <w:t xml:space="preserve"> 2</w:t>
      </w:r>
      <w:r w:rsidRPr="0021560A">
        <w:rPr>
          <w:b/>
          <w:bCs/>
          <w:lang w:val="en-US"/>
        </w:rPr>
        <w:t>: The UE stays with</w:t>
      </w:r>
      <w:r w:rsidR="004A5C37">
        <w:rPr>
          <w:b/>
          <w:bCs/>
          <w:lang w:val="en-US"/>
        </w:rPr>
        <w:t>in</w:t>
      </w:r>
      <w:r w:rsidRPr="0021560A">
        <w:rPr>
          <w:b/>
          <w:bCs/>
          <w:lang w:val="en-US"/>
        </w:rPr>
        <w:t xml:space="preserve"> a frequency</w:t>
      </w:r>
      <w:r w:rsidR="004A5C37">
        <w:rPr>
          <w:b/>
          <w:bCs/>
          <w:lang w:val="en-US"/>
        </w:rPr>
        <w:t xml:space="preserve"> domain monitoring</w:t>
      </w:r>
      <w:r w:rsidRPr="0021560A">
        <w:rPr>
          <w:b/>
          <w:bCs/>
          <w:lang w:val="en-US"/>
        </w:rPr>
        <w:t xml:space="preserve"> location</w:t>
      </w:r>
      <w:r w:rsidR="0021560A">
        <w:rPr>
          <w:b/>
          <w:bCs/>
          <w:lang w:val="en-US"/>
        </w:rPr>
        <w:t xml:space="preserve"> of a CORESET</w:t>
      </w:r>
      <w:r w:rsidRPr="0021560A">
        <w:rPr>
          <w:b/>
          <w:bCs/>
          <w:lang w:val="en-US"/>
        </w:rPr>
        <w:t xml:space="preserve"> responsive to successfully detecting a PDCCH</w:t>
      </w:r>
      <w:r w:rsidR="0021560A">
        <w:rPr>
          <w:b/>
          <w:bCs/>
          <w:lang w:val="en-US"/>
        </w:rPr>
        <w:t xml:space="preserve"> for the COT duration</w:t>
      </w:r>
      <w:r w:rsidRPr="0021560A">
        <w:rPr>
          <w:b/>
          <w:bCs/>
          <w:lang w:val="en-US"/>
        </w:rPr>
        <w:t>.</w:t>
      </w:r>
    </w:p>
    <w:p w14:paraId="0ADBA470" w14:textId="77777777" w:rsidR="002A0320" w:rsidRPr="000A4E62" w:rsidRDefault="002A0320" w:rsidP="00032719">
      <w:pPr>
        <w:pStyle w:val="3GPPNormalText"/>
        <w:rPr>
          <w:lang w:val="en-US"/>
        </w:rPr>
      </w:pPr>
    </w:p>
    <w:p w14:paraId="588591C8" w14:textId="201DE3C6" w:rsidR="00D00394" w:rsidRPr="004A5C37" w:rsidRDefault="00572FD3" w:rsidP="003913DA">
      <w:pPr>
        <w:pStyle w:val="berschrift1"/>
        <w:rPr>
          <w:lang w:val="en-US"/>
        </w:rPr>
      </w:pPr>
      <w:r w:rsidRPr="004A5C37">
        <w:rPr>
          <w:lang w:val="en-US"/>
        </w:rPr>
        <w:t>Conclusion</w:t>
      </w:r>
    </w:p>
    <w:p w14:paraId="218E34DE" w14:textId="7730B319" w:rsidR="00EE38AB" w:rsidRDefault="00985AEB" w:rsidP="003913DA">
      <w:pPr>
        <w:pStyle w:val="3GPPNormalText"/>
        <w:rPr>
          <w:lang w:val="en-GB" w:eastAsia="zh-CN"/>
        </w:rPr>
      </w:pPr>
      <w:r w:rsidRPr="00747D93">
        <w:rPr>
          <w:lang w:val="en-GB" w:eastAsia="zh-CN"/>
        </w:rPr>
        <w:t xml:space="preserve">In this </w:t>
      </w:r>
      <w:r w:rsidR="008E4C70" w:rsidRPr="00747D93">
        <w:rPr>
          <w:lang w:val="en-GB" w:eastAsia="zh-CN"/>
        </w:rPr>
        <w:t>contribution</w:t>
      </w:r>
      <w:r w:rsidRPr="00747D93">
        <w:rPr>
          <w:lang w:val="en-GB" w:eastAsia="zh-CN"/>
        </w:rPr>
        <w:t xml:space="preserve">, we discussed </w:t>
      </w:r>
      <w:r w:rsidR="00DE0BAE">
        <w:rPr>
          <w:lang w:val="en-GB" w:eastAsia="zh-CN"/>
        </w:rPr>
        <w:t>enhancements to the NR-U wide-band operation</w:t>
      </w:r>
      <w:r w:rsidR="000E0571">
        <w:rPr>
          <w:lang w:val="en-GB" w:eastAsia="zh-CN"/>
        </w:rPr>
        <w:t xml:space="preserve"> and propose the following:</w:t>
      </w:r>
    </w:p>
    <w:p w14:paraId="0ACE7C53" w14:textId="424ABF24" w:rsidR="00EE38AB" w:rsidRDefault="00EE38AB" w:rsidP="000B1B6B">
      <w:pPr>
        <w:rPr>
          <w:rFonts w:cstheme="minorHAnsi"/>
          <w:b/>
          <w:lang w:val="en-US"/>
        </w:rPr>
      </w:pPr>
    </w:p>
    <w:p w14:paraId="4054C319" w14:textId="352C05BC" w:rsidR="0021560A" w:rsidRDefault="0021560A" w:rsidP="0021560A">
      <w:pPr>
        <w:rPr>
          <w:b/>
          <w:bCs/>
          <w:lang w:val="en-US"/>
        </w:rPr>
      </w:pPr>
      <w:r w:rsidRPr="0021560A">
        <w:rPr>
          <w:b/>
          <w:bCs/>
          <w:lang w:val="en-US"/>
        </w:rPr>
        <w:t>Proposal</w:t>
      </w:r>
      <w:r>
        <w:rPr>
          <w:b/>
          <w:bCs/>
          <w:lang w:val="en-US"/>
        </w:rPr>
        <w:t xml:space="preserve"> 1</w:t>
      </w:r>
      <w:r w:rsidRPr="0021560A">
        <w:rPr>
          <w:b/>
          <w:bCs/>
          <w:lang w:val="en-US"/>
        </w:rPr>
        <w:t>: Apply the same number of BDs per AL</w:t>
      </w:r>
      <w:r w:rsidR="000E0571">
        <w:rPr>
          <w:b/>
          <w:bCs/>
          <w:lang w:val="en-US"/>
        </w:rPr>
        <w:t>,</w:t>
      </w:r>
      <w:r w:rsidRPr="0021560A">
        <w:rPr>
          <w:b/>
          <w:bCs/>
          <w:lang w:val="en-US"/>
        </w:rPr>
        <w:t xml:space="preserve"> per search space configuration</w:t>
      </w:r>
      <w:r w:rsidR="000E0571">
        <w:rPr>
          <w:b/>
          <w:bCs/>
          <w:lang w:val="en-US"/>
        </w:rPr>
        <w:t>, and</w:t>
      </w:r>
      <w:r w:rsidRPr="0021560A">
        <w:rPr>
          <w:b/>
          <w:bCs/>
          <w:lang w:val="en-US"/>
        </w:rPr>
        <w:t xml:space="preserve"> per frequency location of the associated CORESET.</w:t>
      </w:r>
    </w:p>
    <w:p w14:paraId="4893969A" w14:textId="77777777" w:rsidR="00686F7F" w:rsidRDefault="00686F7F" w:rsidP="000B1B6B">
      <w:pPr>
        <w:rPr>
          <w:rFonts w:cstheme="minorHAnsi"/>
          <w:b/>
          <w:lang w:val="en-US"/>
        </w:rPr>
      </w:pPr>
    </w:p>
    <w:p w14:paraId="11CD9563" w14:textId="77777777" w:rsidR="0021560A" w:rsidRPr="0021560A" w:rsidRDefault="0021560A" w:rsidP="0021560A">
      <w:pPr>
        <w:pStyle w:val="3GPPNormalText"/>
        <w:rPr>
          <w:b/>
          <w:bCs/>
          <w:lang w:val="en-US"/>
        </w:rPr>
      </w:pPr>
      <w:r w:rsidRPr="0021560A">
        <w:rPr>
          <w:b/>
          <w:bCs/>
          <w:lang w:val="en-US"/>
        </w:rPr>
        <w:t>Proposal</w:t>
      </w:r>
      <w:r>
        <w:rPr>
          <w:b/>
          <w:bCs/>
          <w:lang w:val="en-US"/>
        </w:rPr>
        <w:t xml:space="preserve"> 2</w:t>
      </w:r>
      <w:r w:rsidRPr="0021560A">
        <w:rPr>
          <w:b/>
          <w:bCs/>
          <w:lang w:val="en-US"/>
        </w:rPr>
        <w:t>: The UE stays with a frequency location</w:t>
      </w:r>
      <w:r>
        <w:rPr>
          <w:b/>
          <w:bCs/>
          <w:lang w:val="en-US"/>
        </w:rPr>
        <w:t xml:space="preserve"> of a CORESET</w:t>
      </w:r>
      <w:r w:rsidRPr="0021560A">
        <w:rPr>
          <w:b/>
          <w:bCs/>
          <w:lang w:val="en-US"/>
        </w:rPr>
        <w:t xml:space="preserve"> responsive to successfully detecting a PDCCH</w:t>
      </w:r>
      <w:r>
        <w:rPr>
          <w:b/>
          <w:bCs/>
          <w:lang w:val="en-US"/>
        </w:rPr>
        <w:t xml:space="preserve"> for the COT duration</w:t>
      </w:r>
      <w:r w:rsidRPr="0021560A">
        <w:rPr>
          <w:b/>
          <w:bCs/>
          <w:lang w:val="en-US"/>
        </w:rPr>
        <w:t>.</w:t>
      </w:r>
    </w:p>
    <w:p w14:paraId="3ABD3806" w14:textId="77777777" w:rsidR="002F21B2" w:rsidRPr="000A4E62" w:rsidRDefault="002F21B2" w:rsidP="003913DA">
      <w:pPr>
        <w:pStyle w:val="3GPPNormalText"/>
        <w:rPr>
          <w:b/>
          <w:lang w:val="en-US"/>
        </w:rPr>
      </w:pPr>
    </w:p>
    <w:p w14:paraId="04175DF7" w14:textId="3E09A0DC" w:rsidR="001F3AFC" w:rsidRPr="00F107DC" w:rsidRDefault="00097D6A" w:rsidP="00F107DC">
      <w:pPr>
        <w:pStyle w:val="berschrift1"/>
        <w:rPr>
          <w:rFonts w:eastAsiaTheme="minorHAnsi" w:cstheme="minorHAnsi"/>
          <w:color w:val="000000"/>
          <w:lang w:val="en-US"/>
        </w:rPr>
      </w:pPr>
      <w:r w:rsidRPr="003913DA">
        <w:t>References</w:t>
      </w:r>
    </w:p>
    <w:p w14:paraId="66A4A371" w14:textId="2917888F" w:rsidR="002007C4" w:rsidRPr="00F107DC" w:rsidRDefault="002007C4" w:rsidP="000D50F3">
      <w:pPr>
        <w:widowControl w:val="0"/>
        <w:numPr>
          <w:ilvl w:val="0"/>
          <w:numId w:val="27"/>
        </w:numPr>
        <w:autoSpaceDN w:val="0"/>
        <w:spacing w:after="120" w:line="254" w:lineRule="auto"/>
        <w:rPr>
          <w:iCs/>
          <w:lang w:val="en-US"/>
        </w:rPr>
      </w:pPr>
      <w:r w:rsidRPr="00F107DC">
        <w:rPr>
          <w:lang w:val="en-US"/>
        </w:rPr>
        <w:t>Chairman’s Notes, TSG RAN WG1 #9</w:t>
      </w:r>
      <w:r w:rsidR="00AB1FEF">
        <w:rPr>
          <w:lang w:val="en-US"/>
        </w:rPr>
        <w:t>8</w:t>
      </w:r>
      <w:r w:rsidR="0021560A">
        <w:rPr>
          <w:lang w:val="en-US"/>
        </w:rPr>
        <w:t>b</w:t>
      </w:r>
      <w:r w:rsidRPr="00F107DC">
        <w:rPr>
          <w:lang w:val="en-US"/>
        </w:rPr>
        <w:t xml:space="preserve">, </w:t>
      </w:r>
      <w:r w:rsidR="0021560A">
        <w:rPr>
          <w:lang w:val="en-US"/>
        </w:rPr>
        <w:t>October</w:t>
      </w:r>
      <w:r w:rsidR="0021560A" w:rsidRPr="00F107DC">
        <w:rPr>
          <w:lang w:val="en-US"/>
        </w:rPr>
        <w:t xml:space="preserve"> </w:t>
      </w:r>
      <w:r w:rsidRPr="00F107DC">
        <w:rPr>
          <w:lang w:val="en-US"/>
        </w:rPr>
        <w:t>2019.</w:t>
      </w:r>
    </w:p>
    <w:p w14:paraId="46EC1637" w14:textId="72DEE138" w:rsidR="002007C4" w:rsidRPr="000A4E62" w:rsidRDefault="002007C4">
      <w:pPr>
        <w:pStyle w:val="3GPPNormalText"/>
        <w:spacing w:after="120"/>
        <w:rPr>
          <w:rFonts w:eastAsiaTheme="minorHAnsi" w:cstheme="minorHAnsi"/>
          <w:color w:val="000000"/>
          <w:lang w:val="en-US"/>
        </w:rPr>
      </w:pPr>
    </w:p>
    <w:sectPr w:rsidR="002007C4" w:rsidRPr="000A4E62" w:rsidSect="004B005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C518D" w14:textId="77777777" w:rsidR="007044D9" w:rsidRDefault="007044D9" w:rsidP="00BD29AC">
      <w:r>
        <w:separator/>
      </w:r>
    </w:p>
  </w:endnote>
  <w:endnote w:type="continuationSeparator" w:id="0">
    <w:p w14:paraId="07FC56C0" w14:textId="77777777" w:rsidR="007044D9" w:rsidRDefault="007044D9" w:rsidP="00BD29AC">
      <w:r>
        <w:continuationSeparator/>
      </w:r>
    </w:p>
  </w:endnote>
  <w:endnote w:type="continuationNotice" w:id="1">
    <w:p w14:paraId="5B891FF0" w14:textId="77777777" w:rsidR="007044D9" w:rsidRDefault="00704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F3A3E" w14:textId="77777777" w:rsidR="000D50F3" w:rsidRDefault="000D50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67262" w14:textId="77777777" w:rsidR="007044D9" w:rsidRDefault="007044D9" w:rsidP="00BD29AC">
      <w:r>
        <w:separator/>
      </w:r>
    </w:p>
  </w:footnote>
  <w:footnote w:type="continuationSeparator" w:id="0">
    <w:p w14:paraId="5E6A353E" w14:textId="77777777" w:rsidR="007044D9" w:rsidRDefault="007044D9" w:rsidP="00BD29AC">
      <w:r>
        <w:continuationSeparator/>
      </w:r>
    </w:p>
  </w:footnote>
  <w:footnote w:type="continuationNotice" w:id="1">
    <w:p w14:paraId="559CFD6F" w14:textId="77777777" w:rsidR="007044D9" w:rsidRDefault="00704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0D2DF" w14:textId="77777777" w:rsidR="000D50F3" w:rsidRDefault="000D50F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2E02AF"/>
    <w:multiLevelType w:val="hybridMultilevel"/>
    <w:tmpl w:val="5854E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CA7969"/>
    <w:multiLevelType w:val="hybridMultilevel"/>
    <w:tmpl w:val="B888C5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897DF1"/>
    <w:multiLevelType w:val="hybridMultilevel"/>
    <w:tmpl w:val="CB3C66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F636B"/>
    <w:multiLevelType w:val="multilevel"/>
    <w:tmpl w:val="A59E1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1" w15:restartNumberingAfterBreak="0">
    <w:nsid w:val="342C2F24"/>
    <w:multiLevelType w:val="hybridMultilevel"/>
    <w:tmpl w:val="801AC98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9076DDB"/>
    <w:multiLevelType w:val="multilevel"/>
    <w:tmpl w:val="4F641D68"/>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89475A"/>
    <w:multiLevelType w:val="hybridMultilevel"/>
    <w:tmpl w:val="195AE9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1EB43B22"/>
    <w:lvl w:ilvl="0" w:tplc="75ACA638">
      <w:numFmt w:val="bullet"/>
      <w:lvlText w:val=""/>
      <w:lvlJc w:val="left"/>
      <w:pPr>
        <w:ind w:left="0" w:hanging="360"/>
      </w:pPr>
      <w:rPr>
        <w:rFonts w:ascii="Symbol" w:eastAsia="Calibri" w:hAnsi="Symbol" w:cs="Times New Roman"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1440" w:hanging="360"/>
      </w:pPr>
      <w:rPr>
        <w:rFonts w:ascii="Wingdings" w:hAnsi="Wingdings" w:hint="default"/>
      </w:rPr>
    </w:lvl>
    <w:lvl w:ilvl="3" w:tplc="041D0001">
      <w:start w:val="1"/>
      <w:numFmt w:val="bullet"/>
      <w:lvlText w:val=""/>
      <w:lvlJc w:val="left"/>
      <w:pPr>
        <w:ind w:left="2160" w:hanging="360"/>
      </w:pPr>
      <w:rPr>
        <w:rFonts w:ascii="Symbol" w:hAnsi="Symbol" w:hint="default"/>
      </w:rPr>
    </w:lvl>
    <w:lvl w:ilvl="4" w:tplc="041D0003">
      <w:start w:val="1"/>
      <w:numFmt w:val="bullet"/>
      <w:lvlText w:val="o"/>
      <w:lvlJc w:val="left"/>
      <w:pPr>
        <w:ind w:left="2880" w:hanging="360"/>
      </w:pPr>
      <w:rPr>
        <w:rFonts w:ascii="Courier New" w:hAnsi="Courier New" w:cs="Courier New" w:hint="default"/>
      </w:rPr>
    </w:lvl>
    <w:lvl w:ilvl="5" w:tplc="041D0005">
      <w:start w:val="1"/>
      <w:numFmt w:val="bullet"/>
      <w:lvlText w:val=""/>
      <w:lvlJc w:val="left"/>
      <w:pPr>
        <w:ind w:left="3600" w:hanging="360"/>
      </w:pPr>
      <w:rPr>
        <w:rFonts w:ascii="Wingdings" w:hAnsi="Wingdings" w:hint="default"/>
      </w:rPr>
    </w:lvl>
    <w:lvl w:ilvl="6" w:tplc="041D0001">
      <w:start w:val="1"/>
      <w:numFmt w:val="bullet"/>
      <w:lvlText w:val=""/>
      <w:lvlJc w:val="left"/>
      <w:pPr>
        <w:ind w:left="4320" w:hanging="360"/>
      </w:pPr>
      <w:rPr>
        <w:rFonts w:ascii="Symbol" w:hAnsi="Symbol" w:hint="default"/>
      </w:rPr>
    </w:lvl>
    <w:lvl w:ilvl="7" w:tplc="041D0003">
      <w:start w:val="1"/>
      <w:numFmt w:val="bullet"/>
      <w:lvlText w:val="o"/>
      <w:lvlJc w:val="left"/>
      <w:pPr>
        <w:ind w:left="5040" w:hanging="360"/>
      </w:pPr>
      <w:rPr>
        <w:rFonts w:ascii="Courier New" w:hAnsi="Courier New" w:cs="Courier New" w:hint="default"/>
      </w:rPr>
    </w:lvl>
    <w:lvl w:ilvl="8" w:tplc="041D0005">
      <w:start w:val="1"/>
      <w:numFmt w:val="bullet"/>
      <w:lvlText w:val=""/>
      <w:lvlJc w:val="left"/>
      <w:pPr>
        <w:ind w:left="5760" w:hanging="360"/>
      </w:pPr>
      <w:rPr>
        <w:rFonts w:ascii="Wingdings" w:hAnsi="Wingdings" w:hint="default"/>
      </w:rPr>
    </w:lvl>
  </w:abstractNum>
  <w:abstractNum w:abstractNumId="1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2969ED"/>
    <w:multiLevelType w:val="hybridMultilevel"/>
    <w:tmpl w:val="EC725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7255D9"/>
    <w:multiLevelType w:val="multilevel"/>
    <w:tmpl w:val="5650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5A0BE2"/>
    <w:multiLevelType w:val="hybridMultilevel"/>
    <w:tmpl w:val="3CF03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0371ED"/>
    <w:multiLevelType w:val="hybridMultilevel"/>
    <w:tmpl w:val="A33E0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10C05"/>
    <w:multiLevelType w:val="hybridMultilevel"/>
    <w:tmpl w:val="B3F2B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C991E0D"/>
    <w:multiLevelType w:val="multilevel"/>
    <w:tmpl w:val="2884A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A6DBE"/>
    <w:multiLevelType w:val="hybridMultilevel"/>
    <w:tmpl w:val="D7B863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0"/>
  </w:num>
  <w:num w:numId="4">
    <w:abstractNumId w:val="20"/>
  </w:num>
  <w:num w:numId="5">
    <w:abstractNumId w:val="5"/>
  </w:num>
  <w:num w:numId="6">
    <w:abstractNumId w:val="4"/>
  </w:num>
  <w:num w:numId="7">
    <w:abstractNumId w:val="18"/>
  </w:num>
  <w:num w:numId="8">
    <w:abstractNumId w:val="15"/>
  </w:num>
  <w:num w:numId="9">
    <w:abstractNumId w:val="2"/>
  </w:num>
  <w:num w:numId="10">
    <w:abstractNumId w:val="3"/>
  </w:num>
  <w:num w:numId="11">
    <w:abstractNumId w:val="23"/>
  </w:num>
  <w:num w:numId="12">
    <w:abstractNumId w:val="8"/>
  </w:num>
  <w:num w:numId="13">
    <w:abstractNumId w:val="13"/>
  </w:num>
  <w:num w:numId="14">
    <w:abstractNumId w:val="2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9"/>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6"/>
  </w:num>
  <w:num w:numId="30">
    <w:abstractNumId w:val="14"/>
  </w:num>
  <w:num w:numId="31">
    <w:abstractNumId w:val="17"/>
  </w:num>
  <w:num w:numId="32">
    <w:abstractNumId w:val="9"/>
  </w:num>
  <w:num w:numId="33">
    <w:abstractNumId w:val="25"/>
  </w:num>
  <w:num w:numId="34">
    <w:abstractNumId w:val="24"/>
  </w:num>
  <w:num w:numId="35">
    <w:abstractNumId w:val="1"/>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660"/>
    <w:rsid w:val="000017F7"/>
    <w:rsid w:val="0000421B"/>
    <w:rsid w:val="00010B3D"/>
    <w:rsid w:val="00011744"/>
    <w:rsid w:val="000129AF"/>
    <w:rsid w:val="00012E5B"/>
    <w:rsid w:val="00015C5B"/>
    <w:rsid w:val="000204E1"/>
    <w:rsid w:val="00020D46"/>
    <w:rsid w:val="00023291"/>
    <w:rsid w:val="00023AD8"/>
    <w:rsid w:val="00023C3D"/>
    <w:rsid w:val="00025605"/>
    <w:rsid w:val="000267C4"/>
    <w:rsid w:val="000319D6"/>
    <w:rsid w:val="00032719"/>
    <w:rsid w:val="000332D0"/>
    <w:rsid w:val="00033CB1"/>
    <w:rsid w:val="00034376"/>
    <w:rsid w:val="000343B7"/>
    <w:rsid w:val="00036C84"/>
    <w:rsid w:val="00041385"/>
    <w:rsid w:val="0004494C"/>
    <w:rsid w:val="00045890"/>
    <w:rsid w:val="00045B3D"/>
    <w:rsid w:val="000467F6"/>
    <w:rsid w:val="0005539C"/>
    <w:rsid w:val="00056310"/>
    <w:rsid w:val="00056B0F"/>
    <w:rsid w:val="0006079D"/>
    <w:rsid w:val="00064A13"/>
    <w:rsid w:val="000653A7"/>
    <w:rsid w:val="00070956"/>
    <w:rsid w:val="00074C95"/>
    <w:rsid w:val="00082BC2"/>
    <w:rsid w:val="00082DE7"/>
    <w:rsid w:val="00086853"/>
    <w:rsid w:val="000929A8"/>
    <w:rsid w:val="00093BA9"/>
    <w:rsid w:val="00095CCE"/>
    <w:rsid w:val="00097D6A"/>
    <w:rsid w:val="000A14FC"/>
    <w:rsid w:val="000A284A"/>
    <w:rsid w:val="000A4E62"/>
    <w:rsid w:val="000A58D3"/>
    <w:rsid w:val="000A6E3D"/>
    <w:rsid w:val="000B0C5C"/>
    <w:rsid w:val="000B1B6B"/>
    <w:rsid w:val="000B2CA7"/>
    <w:rsid w:val="000B466E"/>
    <w:rsid w:val="000B5C95"/>
    <w:rsid w:val="000B7165"/>
    <w:rsid w:val="000C1102"/>
    <w:rsid w:val="000C5A1B"/>
    <w:rsid w:val="000C5F8A"/>
    <w:rsid w:val="000D019C"/>
    <w:rsid w:val="000D2024"/>
    <w:rsid w:val="000D376E"/>
    <w:rsid w:val="000D50F3"/>
    <w:rsid w:val="000D5E8C"/>
    <w:rsid w:val="000E0571"/>
    <w:rsid w:val="000E06DA"/>
    <w:rsid w:val="000E2B58"/>
    <w:rsid w:val="000E4215"/>
    <w:rsid w:val="000E4A04"/>
    <w:rsid w:val="000E5B89"/>
    <w:rsid w:val="000E792D"/>
    <w:rsid w:val="001033BA"/>
    <w:rsid w:val="00103AEE"/>
    <w:rsid w:val="001052DB"/>
    <w:rsid w:val="001107F5"/>
    <w:rsid w:val="00114625"/>
    <w:rsid w:val="0011521A"/>
    <w:rsid w:val="00115C49"/>
    <w:rsid w:val="0012075E"/>
    <w:rsid w:val="00120D7A"/>
    <w:rsid w:val="00121AFE"/>
    <w:rsid w:val="00130090"/>
    <w:rsid w:val="00131BD8"/>
    <w:rsid w:val="00134914"/>
    <w:rsid w:val="001349DB"/>
    <w:rsid w:val="00136895"/>
    <w:rsid w:val="0013699A"/>
    <w:rsid w:val="001415DD"/>
    <w:rsid w:val="00142AB4"/>
    <w:rsid w:val="00142B53"/>
    <w:rsid w:val="00142BFA"/>
    <w:rsid w:val="0014415B"/>
    <w:rsid w:val="0015192A"/>
    <w:rsid w:val="00151FB1"/>
    <w:rsid w:val="00154B3F"/>
    <w:rsid w:val="00155FF9"/>
    <w:rsid w:val="00160B15"/>
    <w:rsid w:val="0016164E"/>
    <w:rsid w:val="001624DA"/>
    <w:rsid w:val="00167815"/>
    <w:rsid w:val="00173149"/>
    <w:rsid w:val="00175D16"/>
    <w:rsid w:val="00176EF1"/>
    <w:rsid w:val="001776C4"/>
    <w:rsid w:val="00181D8F"/>
    <w:rsid w:val="00182BF8"/>
    <w:rsid w:val="00182DA0"/>
    <w:rsid w:val="00182DA2"/>
    <w:rsid w:val="00183EBA"/>
    <w:rsid w:val="00185380"/>
    <w:rsid w:val="001868CD"/>
    <w:rsid w:val="00187AB6"/>
    <w:rsid w:val="001929FD"/>
    <w:rsid w:val="00192A7A"/>
    <w:rsid w:val="001931FA"/>
    <w:rsid w:val="001945F6"/>
    <w:rsid w:val="00194FCD"/>
    <w:rsid w:val="00196B00"/>
    <w:rsid w:val="00196E21"/>
    <w:rsid w:val="001A0C53"/>
    <w:rsid w:val="001A1089"/>
    <w:rsid w:val="001A1A89"/>
    <w:rsid w:val="001A26D3"/>
    <w:rsid w:val="001A5F68"/>
    <w:rsid w:val="001B161E"/>
    <w:rsid w:val="001B1A3B"/>
    <w:rsid w:val="001B391B"/>
    <w:rsid w:val="001B71A3"/>
    <w:rsid w:val="001C228E"/>
    <w:rsid w:val="001C33C1"/>
    <w:rsid w:val="001D26D1"/>
    <w:rsid w:val="001D2787"/>
    <w:rsid w:val="001D7409"/>
    <w:rsid w:val="001E1A53"/>
    <w:rsid w:val="001E6BE4"/>
    <w:rsid w:val="001F3AFC"/>
    <w:rsid w:val="001F4A26"/>
    <w:rsid w:val="001F4FD2"/>
    <w:rsid w:val="002007C4"/>
    <w:rsid w:val="00200CB3"/>
    <w:rsid w:val="00202B3C"/>
    <w:rsid w:val="00205609"/>
    <w:rsid w:val="00207D12"/>
    <w:rsid w:val="002106BE"/>
    <w:rsid w:val="00213810"/>
    <w:rsid w:val="0021560A"/>
    <w:rsid w:val="002158F1"/>
    <w:rsid w:val="0022030B"/>
    <w:rsid w:val="00234C6C"/>
    <w:rsid w:val="00240132"/>
    <w:rsid w:val="00240443"/>
    <w:rsid w:val="00243A19"/>
    <w:rsid w:val="00243B50"/>
    <w:rsid w:val="00243CF1"/>
    <w:rsid w:val="0024423D"/>
    <w:rsid w:val="00247EE2"/>
    <w:rsid w:val="0025592F"/>
    <w:rsid w:val="00261251"/>
    <w:rsid w:val="00262211"/>
    <w:rsid w:val="002671F3"/>
    <w:rsid w:val="002743E3"/>
    <w:rsid w:val="00274A87"/>
    <w:rsid w:val="0027545A"/>
    <w:rsid w:val="00276B3A"/>
    <w:rsid w:val="002815C5"/>
    <w:rsid w:val="0028314F"/>
    <w:rsid w:val="00286962"/>
    <w:rsid w:val="00292C65"/>
    <w:rsid w:val="00293C2D"/>
    <w:rsid w:val="00295B83"/>
    <w:rsid w:val="0029692D"/>
    <w:rsid w:val="002A0320"/>
    <w:rsid w:val="002A4E3C"/>
    <w:rsid w:val="002B524E"/>
    <w:rsid w:val="002B6EB0"/>
    <w:rsid w:val="002C4C7C"/>
    <w:rsid w:val="002C4EA6"/>
    <w:rsid w:val="002D3E2F"/>
    <w:rsid w:val="002E2E8E"/>
    <w:rsid w:val="002E3E6E"/>
    <w:rsid w:val="002F21B2"/>
    <w:rsid w:val="002F3110"/>
    <w:rsid w:val="002F3F0C"/>
    <w:rsid w:val="00300DC4"/>
    <w:rsid w:val="00306167"/>
    <w:rsid w:val="00307925"/>
    <w:rsid w:val="003102E2"/>
    <w:rsid w:val="003143B1"/>
    <w:rsid w:val="00314E5E"/>
    <w:rsid w:val="00315E59"/>
    <w:rsid w:val="00315EC0"/>
    <w:rsid w:val="00315FCB"/>
    <w:rsid w:val="0031631C"/>
    <w:rsid w:val="00316B28"/>
    <w:rsid w:val="003201D7"/>
    <w:rsid w:val="003202D6"/>
    <w:rsid w:val="0032140C"/>
    <w:rsid w:val="00321D92"/>
    <w:rsid w:val="003220BB"/>
    <w:rsid w:val="00322A5D"/>
    <w:rsid w:val="00324CBC"/>
    <w:rsid w:val="00324E8D"/>
    <w:rsid w:val="003253A0"/>
    <w:rsid w:val="00330CA5"/>
    <w:rsid w:val="0033669B"/>
    <w:rsid w:val="00336C94"/>
    <w:rsid w:val="003422A3"/>
    <w:rsid w:val="003451F1"/>
    <w:rsid w:val="00347ACD"/>
    <w:rsid w:val="00350BEC"/>
    <w:rsid w:val="00354F43"/>
    <w:rsid w:val="003574FF"/>
    <w:rsid w:val="00357604"/>
    <w:rsid w:val="00361332"/>
    <w:rsid w:val="00365845"/>
    <w:rsid w:val="00365945"/>
    <w:rsid w:val="0037284F"/>
    <w:rsid w:val="00375021"/>
    <w:rsid w:val="00375B9C"/>
    <w:rsid w:val="0038592D"/>
    <w:rsid w:val="003876FD"/>
    <w:rsid w:val="003913DA"/>
    <w:rsid w:val="003921BD"/>
    <w:rsid w:val="00393343"/>
    <w:rsid w:val="0039370B"/>
    <w:rsid w:val="00394DD8"/>
    <w:rsid w:val="003974FF"/>
    <w:rsid w:val="00397FDF"/>
    <w:rsid w:val="003B477D"/>
    <w:rsid w:val="003B506E"/>
    <w:rsid w:val="003C3D28"/>
    <w:rsid w:val="003C5D80"/>
    <w:rsid w:val="003C76B0"/>
    <w:rsid w:val="003D0BFF"/>
    <w:rsid w:val="003D2E1B"/>
    <w:rsid w:val="003E0261"/>
    <w:rsid w:val="003E2A74"/>
    <w:rsid w:val="003E3E75"/>
    <w:rsid w:val="003E6638"/>
    <w:rsid w:val="003F0F13"/>
    <w:rsid w:val="003F232B"/>
    <w:rsid w:val="003F3CC4"/>
    <w:rsid w:val="00400D36"/>
    <w:rsid w:val="004011A3"/>
    <w:rsid w:val="0040535A"/>
    <w:rsid w:val="004060AE"/>
    <w:rsid w:val="00412255"/>
    <w:rsid w:val="00414AE5"/>
    <w:rsid w:val="0041685C"/>
    <w:rsid w:val="00416F4C"/>
    <w:rsid w:val="00417013"/>
    <w:rsid w:val="00422434"/>
    <w:rsid w:val="00424942"/>
    <w:rsid w:val="00426D22"/>
    <w:rsid w:val="0043634E"/>
    <w:rsid w:val="00436CEB"/>
    <w:rsid w:val="00437B86"/>
    <w:rsid w:val="00440931"/>
    <w:rsid w:val="00440E5D"/>
    <w:rsid w:val="004430B8"/>
    <w:rsid w:val="0044527C"/>
    <w:rsid w:val="004453C6"/>
    <w:rsid w:val="00445D0A"/>
    <w:rsid w:val="00447618"/>
    <w:rsid w:val="0045482E"/>
    <w:rsid w:val="004562B0"/>
    <w:rsid w:val="00462B1E"/>
    <w:rsid w:val="00464ED9"/>
    <w:rsid w:val="004673C7"/>
    <w:rsid w:val="00471494"/>
    <w:rsid w:val="0047533B"/>
    <w:rsid w:val="0048017E"/>
    <w:rsid w:val="00484699"/>
    <w:rsid w:val="00491A21"/>
    <w:rsid w:val="00495562"/>
    <w:rsid w:val="004958A4"/>
    <w:rsid w:val="00496964"/>
    <w:rsid w:val="004A2BF8"/>
    <w:rsid w:val="004A3272"/>
    <w:rsid w:val="004A3C3E"/>
    <w:rsid w:val="004A5C37"/>
    <w:rsid w:val="004A7815"/>
    <w:rsid w:val="004B0051"/>
    <w:rsid w:val="004B03C0"/>
    <w:rsid w:val="004B048E"/>
    <w:rsid w:val="004B0D28"/>
    <w:rsid w:val="004B14D8"/>
    <w:rsid w:val="004B3447"/>
    <w:rsid w:val="004B4174"/>
    <w:rsid w:val="004B64EB"/>
    <w:rsid w:val="004C23AE"/>
    <w:rsid w:val="004C5235"/>
    <w:rsid w:val="004D0316"/>
    <w:rsid w:val="004D0495"/>
    <w:rsid w:val="004D3720"/>
    <w:rsid w:val="004D4192"/>
    <w:rsid w:val="004D4D71"/>
    <w:rsid w:val="004D55F5"/>
    <w:rsid w:val="004D6F02"/>
    <w:rsid w:val="004E0471"/>
    <w:rsid w:val="004E0F30"/>
    <w:rsid w:val="004E5B98"/>
    <w:rsid w:val="004E6247"/>
    <w:rsid w:val="004E74CD"/>
    <w:rsid w:val="004F1A8D"/>
    <w:rsid w:val="004F4546"/>
    <w:rsid w:val="004F4990"/>
    <w:rsid w:val="004F66C3"/>
    <w:rsid w:val="005006EE"/>
    <w:rsid w:val="005019DC"/>
    <w:rsid w:val="0050296D"/>
    <w:rsid w:val="005046E1"/>
    <w:rsid w:val="00506310"/>
    <w:rsid w:val="005104CA"/>
    <w:rsid w:val="005131E9"/>
    <w:rsid w:val="00517676"/>
    <w:rsid w:val="00520362"/>
    <w:rsid w:val="00521D2E"/>
    <w:rsid w:val="00525288"/>
    <w:rsid w:val="00526CA6"/>
    <w:rsid w:val="005361E1"/>
    <w:rsid w:val="0053620F"/>
    <w:rsid w:val="005366A8"/>
    <w:rsid w:val="00541627"/>
    <w:rsid w:val="00541ED8"/>
    <w:rsid w:val="00543A1E"/>
    <w:rsid w:val="00546CDB"/>
    <w:rsid w:val="00547D58"/>
    <w:rsid w:val="00553699"/>
    <w:rsid w:val="00564C22"/>
    <w:rsid w:val="00565D3C"/>
    <w:rsid w:val="00572696"/>
    <w:rsid w:val="00572C03"/>
    <w:rsid w:val="00572FD3"/>
    <w:rsid w:val="0057531A"/>
    <w:rsid w:val="00576376"/>
    <w:rsid w:val="00581A5D"/>
    <w:rsid w:val="005821D9"/>
    <w:rsid w:val="00584624"/>
    <w:rsid w:val="00584EE9"/>
    <w:rsid w:val="005857A9"/>
    <w:rsid w:val="005860C0"/>
    <w:rsid w:val="00592AC6"/>
    <w:rsid w:val="00592C27"/>
    <w:rsid w:val="005936F7"/>
    <w:rsid w:val="00593DED"/>
    <w:rsid w:val="005976D9"/>
    <w:rsid w:val="005A0316"/>
    <w:rsid w:val="005A4C53"/>
    <w:rsid w:val="005B654E"/>
    <w:rsid w:val="005C216D"/>
    <w:rsid w:val="005C2391"/>
    <w:rsid w:val="005C7390"/>
    <w:rsid w:val="005C791B"/>
    <w:rsid w:val="005D02A1"/>
    <w:rsid w:val="005D0629"/>
    <w:rsid w:val="005D2541"/>
    <w:rsid w:val="005D4BE2"/>
    <w:rsid w:val="005D5660"/>
    <w:rsid w:val="005D5ADC"/>
    <w:rsid w:val="005E56A5"/>
    <w:rsid w:val="005F0627"/>
    <w:rsid w:val="005F48B8"/>
    <w:rsid w:val="005F5702"/>
    <w:rsid w:val="005F7D4E"/>
    <w:rsid w:val="00600E68"/>
    <w:rsid w:val="0060165F"/>
    <w:rsid w:val="0060343B"/>
    <w:rsid w:val="00606580"/>
    <w:rsid w:val="00606E2A"/>
    <w:rsid w:val="006106B2"/>
    <w:rsid w:val="00613EDB"/>
    <w:rsid w:val="00615C63"/>
    <w:rsid w:val="0062065F"/>
    <w:rsid w:val="00622C0D"/>
    <w:rsid w:val="00636BC2"/>
    <w:rsid w:val="006374E7"/>
    <w:rsid w:val="006421B6"/>
    <w:rsid w:val="00642261"/>
    <w:rsid w:val="0064367D"/>
    <w:rsid w:val="00644933"/>
    <w:rsid w:val="00644F4B"/>
    <w:rsid w:val="00645BA7"/>
    <w:rsid w:val="00654CA5"/>
    <w:rsid w:val="00660100"/>
    <w:rsid w:val="00660E82"/>
    <w:rsid w:val="00662C65"/>
    <w:rsid w:val="006703D1"/>
    <w:rsid w:val="00673BD8"/>
    <w:rsid w:val="006745E9"/>
    <w:rsid w:val="006764F7"/>
    <w:rsid w:val="00676B79"/>
    <w:rsid w:val="00681B12"/>
    <w:rsid w:val="0068372F"/>
    <w:rsid w:val="00685BB4"/>
    <w:rsid w:val="00686F7F"/>
    <w:rsid w:val="006873D1"/>
    <w:rsid w:val="00687BF0"/>
    <w:rsid w:val="006904A0"/>
    <w:rsid w:val="00691242"/>
    <w:rsid w:val="0069156E"/>
    <w:rsid w:val="00693F10"/>
    <w:rsid w:val="006941A4"/>
    <w:rsid w:val="00696EC3"/>
    <w:rsid w:val="00697D16"/>
    <w:rsid w:val="006A0653"/>
    <w:rsid w:val="006A2880"/>
    <w:rsid w:val="006A2AC9"/>
    <w:rsid w:val="006A348D"/>
    <w:rsid w:val="006A4E64"/>
    <w:rsid w:val="006A5201"/>
    <w:rsid w:val="006B2375"/>
    <w:rsid w:val="006B363B"/>
    <w:rsid w:val="006B5FEE"/>
    <w:rsid w:val="006B6CF2"/>
    <w:rsid w:val="006C238F"/>
    <w:rsid w:val="006C3BD1"/>
    <w:rsid w:val="006D0AE0"/>
    <w:rsid w:val="006D1652"/>
    <w:rsid w:val="006D3026"/>
    <w:rsid w:val="006D356A"/>
    <w:rsid w:val="006D6DF5"/>
    <w:rsid w:val="006D6F42"/>
    <w:rsid w:val="006E373D"/>
    <w:rsid w:val="006E473B"/>
    <w:rsid w:val="006F0562"/>
    <w:rsid w:val="006F267B"/>
    <w:rsid w:val="006F2C91"/>
    <w:rsid w:val="007044D9"/>
    <w:rsid w:val="007045CF"/>
    <w:rsid w:val="00706C29"/>
    <w:rsid w:val="00707A3D"/>
    <w:rsid w:val="00710556"/>
    <w:rsid w:val="00714414"/>
    <w:rsid w:val="007145C5"/>
    <w:rsid w:val="00714F26"/>
    <w:rsid w:val="007163F3"/>
    <w:rsid w:val="0072075A"/>
    <w:rsid w:val="00721A1B"/>
    <w:rsid w:val="00725B43"/>
    <w:rsid w:val="00734141"/>
    <w:rsid w:val="00735B83"/>
    <w:rsid w:val="00736441"/>
    <w:rsid w:val="00741A47"/>
    <w:rsid w:val="0074251A"/>
    <w:rsid w:val="00743377"/>
    <w:rsid w:val="0074792F"/>
    <w:rsid w:val="00747D93"/>
    <w:rsid w:val="00750555"/>
    <w:rsid w:val="00750CCF"/>
    <w:rsid w:val="00751660"/>
    <w:rsid w:val="00752FAB"/>
    <w:rsid w:val="00756A3A"/>
    <w:rsid w:val="00757CFA"/>
    <w:rsid w:val="00757D80"/>
    <w:rsid w:val="00763A1B"/>
    <w:rsid w:val="00765230"/>
    <w:rsid w:val="00765934"/>
    <w:rsid w:val="007659A6"/>
    <w:rsid w:val="007673EE"/>
    <w:rsid w:val="00770366"/>
    <w:rsid w:val="00771B14"/>
    <w:rsid w:val="00774EB4"/>
    <w:rsid w:val="00777050"/>
    <w:rsid w:val="00777CB5"/>
    <w:rsid w:val="00780D9E"/>
    <w:rsid w:val="00781B44"/>
    <w:rsid w:val="00783134"/>
    <w:rsid w:val="00786800"/>
    <w:rsid w:val="00787182"/>
    <w:rsid w:val="0079131C"/>
    <w:rsid w:val="00795BB2"/>
    <w:rsid w:val="00796E63"/>
    <w:rsid w:val="007974DB"/>
    <w:rsid w:val="00797713"/>
    <w:rsid w:val="0079787E"/>
    <w:rsid w:val="007A15AB"/>
    <w:rsid w:val="007A3108"/>
    <w:rsid w:val="007A32A5"/>
    <w:rsid w:val="007A696A"/>
    <w:rsid w:val="007B070F"/>
    <w:rsid w:val="007B5145"/>
    <w:rsid w:val="007B532E"/>
    <w:rsid w:val="007B766B"/>
    <w:rsid w:val="007B7DBD"/>
    <w:rsid w:val="007C09EC"/>
    <w:rsid w:val="007C2724"/>
    <w:rsid w:val="007C282A"/>
    <w:rsid w:val="007C37A3"/>
    <w:rsid w:val="007D2757"/>
    <w:rsid w:val="007D316E"/>
    <w:rsid w:val="007D654E"/>
    <w:rsid w:val="007E065F"/>
    <w:rsid w:val="007F031B"/>
    <w:rsid w:val="007F1CA4"/>
    <w:rsid w:val="007F5D45"/>
    <w:rsid w:val="007F63B2"/>
    <w:rsid w:val="007F73F5"/>
    <w:rsid w:val="00801BF5"/>
    <w:rsid w:val="0080372F"/>
    <w:rsid w:val="008060BF"/>
    <w:rsid w:val="00807372"/>
    <w:rsid w:val="00811573"/>
    <w:rsid w:val="00816598"/>
    <w:rsid w:val="00817CCB"/>
    <w:rsid w:val="008211BD"/>
    <w:rsid w:val="00825382"/>
    <w:rsid w:val="00827FCC"/>
    <w:rsid w:val="00830802"/>
    <w:rsid w:val="00830CED"/>
    <w:rsid w:val="00834C81"/>
    <w:rsid w:val="00836665"/>
    <w:rsid w:val="00843C37"/>
    <w:rsid w:val="008463BA"/>
    <w:rsid w:val="0085229A"/>
    <w:rsid w:val="0085233E"/>
    <w:rsid w:val="00854DCA"/>
    <w:rsid w:val="008568E9"/>
    <w:rsid w:val="00857C70"/>
    <w:rsid w:val="00860068"/>
    <w:rsid w:val="00861446"/>
    <w:rsid w:val="00867F69"/>
    <w:rsid w:val="00871F9B"/>
    <w:rsid w:val="00882ABD"/>
    <w:rsid w:val="008850B8"/>
    <w:rsid w:val="0088703A"/>
    <w:rsid w:val="008915CA"/>
    <w:rsid w:val="008938A7"/>
    <w:rsid w:val="00895753"/>
    <w:rsid w:val="008959E6"/>
    <w:rsid w:val="00895D3C"/>
    <w:rsid w:val="008A239D"/>
    <w:rsid w:val="008A3A48"/>
    <w:rsid w:val="008A6772"/>
    <w:rsid w:val="008A6A76"/>
    <w:rsid w:val="008B120E"/>
    <w:rsid w:val="008B4940"/>
    <w:rsid w:val="008B76DF"/>
    <w:rsid w:val="008C3D23"/>
    <w:rsid w:val="008C45F5"/>
    <w:rsid w:val="008C46DB"/>
    <w:rsid w:val="008C7436"/>
    <w:rsid w:val="008D0281"/>
    <w:rsid w:val="008D1092"/>
    <w:rsid w:val="008D452D"/>
    <w:rsid w:val="008D7B1E"/>
    <w:rsid w:val="008E2A01"/>
    <w:rsid w:val="008E4C70"/>
    <w:rsid w:val="008E66B7"/>
    <w:rsid w:val="008F2482"/>
    <w:rsid w:val="008F6EEF"/>
    <w:rsid w:val="009015D5"/>
    <w:rsid w:val="00903594"/>
    <w:rsid w:val="00903AC2"/>
    <w:rsid w:val="0091257F"/>
    <w:rsid w:val="00922511"/>
    <w:rsid w:val="00927E60"/>
    <w:rsid w:val="00931A17"/>
    <w:rsid w:val="0093397D"/>
    <w:rsid w:val="009408CF"/>
    <w:rsid w:val="0094162A"/>
    <w:rsid w:val="00941D4D"/>
    <w:rsid w:val="0094451B"/>
    <w:rsid w:val="00944855"/>
    <w:rsid w:val="0094573B"/>
    <w:rsid w:val="00947D74"/>
    <w:rsid w:val="00950E91"/>
    <w:rsid w:val="009537B0"/>
    <w:rsid w:val="0095406D"/>
    <w:rsid w:val="009602C1"/>
    <w:rsid w:val="00960921"/>
    <w:rsid w:val="00961D75"/>
    <w:rsid w:val="0096283E"/>
    <w:rsid w:val="00963A4C"/>
    <w:rsid w:val="0096529C"/>
    <w:rsid w:val="00965897"/>
    <w:rsid w:val="009729C8"/>
    <w:rsid w:val="00974C18"/>
    <w:rsid w:val="00975ABD"/>
    <w:rsid w:val="00976DE4"/>
    <w:rsid w:val="00981879"/>
    <w:rsid w:val="009850C1"/>
    <w:rsid w:val="00985AEB"/>
    <w:rsid w:val="0099288D"/>
    <w:rsid w:val="00996026"/>
    <w:rsid w:val="00997363"/>
    <w:rsid w:val="009A1A50"/>
    <w:rsid w:val="009A1C47"/>
    <w:rsid w:val="009A5BBF"/>
    <w:rsid w:val="009C01E8"/>
    <w:rsid w:val="009C03EA"/>
    <w:rsid w:val="009C2E99"/>
    <w:rsid w:val="009C38B1"/>
    <w:rsid w:val="009C3CB3"/>
    <w:rsid w:val="009D5C5C"/>
    <w:rsid w:val="009D650F"/>
    <w:rsid w:val="009E2BC6"/>
    <w:rsid w:val="009E40C5"/>
    <w:rsid w:val="009E4E0C"/>
    <w:rsid w:val="009E6393"/>
    <w:rsid w:val="009F2CD2"/>
    <w:rsid w:val="009F312D"/>
    <w:rsid w:val="009F3ECD"/>
    <w:rsid w:val="009F6A89"/>
    <w:rsid w:val="00A00309"/>
    <w:rsid w:val="00A02536"/>
    <w:rsid w:val="00A0430A"/>
    <w:rsid w:val="00A07D82"/>
    <w:rsid w:val="00A11C07"/>
    <w:rsid w:val="00A13A39"/>
    <w:rsid w:val="00A23984"/>
    <w:rsid w:val="00A30F8C"/>
    <w:rsid w:val="00A33655"/>
    <w:rsid w:val="00A342F0"/>
    <w:rsid w:val="00A354CB"/>
    <w:rsid w:val="00A362DE"/>
    <w:rsid w:val="00A369A7"/>
    <w:rsid w:val="00A370C7"/>
    <w:rsid w:val="00A37D48"/>
    <w:rsid w:val="00A37D5B"/>
    <w:rsid w:val="00A444DE"/>
    <w:rsid w:val="00A537BA"/>
    <w:rsid w:val="00A56BD5"/>
    <w:rsid w:val="00A61DF7"/>
    <w:rsid w:val="00A62924"/>
    <w:rsid w:val="00A63663"/>
    <w:rsid w:val="00A64505"/>
    <w:rsid w:val="00A656BD"/>
    <w:rsid w:val="00A66007"/>
    <w:rsid w:val="00A70916"/>
    <w:rsid w:val="00A7209A"/>
    <w:rsid w:val="00A72F29"/>
    <w:rsid w:val="00A761AE"/>
    <w:rsid w:val="00A81418"/>
    <w:rsid w:val="00A820E3"/>
    <w:rsid w:val="00A82AD5"/>
    <w:rsid w:val="00A855E3"/>
    <w:rsid w:val="00A87CC5"/>
    <w:rsid w:val="00A87D6D"/>
    <w:rsid w:val="00A90F72"/>
    <w:rsid w:val="00A91A53"/>
    <w:rsid w:val="00A92D97"/>
    <w:rsid w:val="00A94589"/>
    <w:rsid w:val="00A95EBC"/>
    <w:rsid w:val="00A97103"/>
    <w:rsid w:val="00AA0088"/>
    <w:rsid w:val="00AA0414"/>
    <w:rsid w:val="00AA1EFB"/>
    <w:rsid w:val="00AA306E"/>
    <w:rsid w:val="00AA69CA"/>
    <w:rsid w:val="00AB085B"/>
    <w:rsid w:val="00AB1FEF"/>
    <w:rsid w:val="00AB23E8"/>
    <w:rsid w:val="00AB6AF6"/>
    <w:rsid w:val="00AB75CD"/>
    <w:rsid w:val="00AC3488"/>
    <w:rsid w:val="00AD0052"/>
    <w:rsid w:val="00AD0AAD"/>
    <w:rsid w:val="00AD3F74"/>
    <w:rsid w:val="00AE2CE8"/>
    <w:rsid w:val="00AE2FC9"/>
    <w:rsid w:val="00AF07A8"/>
    <w:rsid w:val="00AF4002"/>
    <w:rsid w:val="00AF493F"/>
    <w:rsid w:val="00AF7D7C"/>
    <w:rsid w:val="00AF7E3A"/>
    <w:rsid w:val="00B00D7E"/>
    <w:rsid w:val="00B04C8F"/>
    <w:rsid w:val="00B10EB8"/>
    <w:rsid w:val="00B16312"/>
    <w:rsid w:val="00B2018F"/>
    <w:rsid w:val="00B26D78"/>
    <w:rsid w:val="00B26FD1"/>
    <w:rsid w:val="00B3441F"/>
    <w:rsid w:val="00B4115B"/>
    <w:rsid w:val="00B44120"/>
    <w:rsid w:val="00B44682"/>
    <w:rsid w:val="00B45BBD"/>
    <w:rsid w:val="00B4641E"/>
    <w:rsid w:val="00B53C14"/>
    <w:rsid w:val="00B53E27"/>
    <w:rsid w:val="00B551ED"/>
    <w:rsid w:val="00B577D6"/>
    <w:rsid w:val="00B623AA"/>
    <w:rsid w:val="00B627EB"/>
    <w:rsid w:val="00B64579"/>
    <w:rsid w:val="00B64E61"/>
    <w:rsid w:val="00B7359B"/>
    <w:rsid w:val="00B76409"/>
    <w:rsid w:val="00B772DB"/>
    <w:rsid w:val="00B81C40"/>
    <w:rsid w:val="00B828BA"/>
    <w:rsid w:val="00B831F6"/>
    <w:rsid w:val="00B83254"/>
    <w:rsid w:val="00B90A4D"/>
    <w:rsid w:val="00BA1AB5"/>
    <w:rsid w:val="00BA6ACF"/>
    <w:rsid w:val="00BA787D"/>
    <w:rsid w:val="00BB076B"/>
    <w:rsid w:val="00BB186B"/>
    <w:rsid w:val="00BB4C3D"/>
    <w:rsid w:val="00BB695D"/>
    <w:rsid w:val="00BB7CF2"/>
    <w:rsid w:val="00BC2D5D"/>
    <w:rsid w:val="00BC6124"/>
    <w:rsid w:val="00BD0F20"/>
    <w:rsid w:val="00BD29AC"/>
    <w:rsid w:val="00BD3891"/>
    <w:rsid w:val="00BD39E4"/>
    <w:rsid w:val="00BE0C1A"/>
    <w:rsid w:val="00BE18EA"/>
    <w:rsid w:val="00BE2F95"/>
    <w:rsid w:val="00BE4F6A"/>
    <w:rsid w:val="00BE57C0"/>
    <w:rsid w:val="00BF4DC2"/>
    <w:rsid w:val="00BF580A"/>
    <w:rsid w:val="00C036C4"/>
    <w:rsid w:val="00C060C6"/>
    <w:rsid w:val="00C06587"/>
    <w:rsid w:val="00C106BA"/>
    <w:rsid w:val="00C10A8F"/>
    <w:rsid w:val="00C138F4"/>
    <w:rsid w:val="00C1447D"/>
    <w:rsid w:val="00C24FC7"/>
    <w:rsid w:val="00C25852"/>
    <w:rsid w:val="00C26A33"/>
    <w:rsid w:val="00C31D3D"/>
    <w:rsid w:val="00C33AC1"/>
    <w:rsid w:val="00C34E2C"/>
    <w:rsid w:val="00C35A39"/>
    <w:rsid w:val="00C42A93"/>
    <w:rsid w:val="00C47E1D"/>
    <w:rsid w:val="00C50539"/>
    <w:rsid w:val="00C51E0F"/>
    <w:rsid w:val="00C51FB2"/>
    <w:rsid w:val="00C541C7"/>
    <w:rsid w:val="00C5609B"/>
    <w:rsid w:val="00C560E2"/>
    <w:rsid w:val="00C6684D"/>
    <w:rsid w:val="00C66DA0"/>
    <w:rsid w:val="00C70B9C"/>
    <w:rsid w:val="00C74C51"/>
    <w:rsid w:val="00C76A4A"/>
    <w:rsid w:val="00C778EF"/>
    <w:rsid w:val="00C907AE"/>
    <w:rsid w:val="00C93BDA"/>
    <w:rsid w:val="00C95A3B"/>
    <w:rsid w:val="00C95DC6"/>
    <w:rsid w:val="00C969F0"/>
    <w:rsid w:val="00CA1430"/>
    <w:rsid w:val="00CA3360"/>
    <w:rsid w:val="00CA49A0"/>
    <w:rsid w:val="00CB06B2"/>
    <w:rsid w:val="00CB435C"/>
    <w:rsid w:val="00CC0754"/>
    <w:rsid w:val="00CC0A46"/>
    <w:rsid w:val="00CC1769"/>
    <w:rsid w:val="00CC2A92"/>
    <w:rsid w:val="00CC44EC"/>
    <w:rsid w:val="00CC5D3C"/>
    <w:rsid w:val="00CC694B"/>
    <w:rsid w:val="00CC69A5"/>
    <w:rsid w:val="00CD17F8"/>
    <w:rsid w:val="00CD2977"/>
    <w:rsid w:val="00CD562D"/>
    <w:rsid w:val="00CE017A"/>
    <w:rsid w:val="00CE0686"/>
    <w:rsid w:val="00CE52ED"/>
    <w:rsid w:val="00CF1490"/>
    <w:rsid w:val="00CF4F5B"/>
    <w:rsid w:val="00CF53FC"/>
    <w:rsid w:val="00CF58D9"/>
    <w:rsid w:val="00CF5CE1"/>
    <w:rsid w:val="00D00394"/>
    <w:rsid w:val="00D01AF9"/>
    <w:rsid w:val="00D05835"/>
    <w:rsid w:val="00D145E1"/>
    <w:rsid w:val="00D147AF"/>
    <w:rsid w:val="00D179CA"/>
    <w:rsid w:val="00D23DF6"/>
    <w:rsid w:val="00D2446A"/>
    <w:rsid w:val="00D2690F"/>
    <w:rsid w:val="00D3192F"/>
    <w:rsid w:val="00D4323D"/>
    <w:rsid w:val="00D44C93"/>
    <w:rsid w:val="00D44DAE"/>
    <w:rsid w:val="00D47B56"/>
    <w:rsid w:val="00D5424C"/>
    <w:rsid w:val="00D601DD"/>
    <w:rsid w:val="00D7176F"/>
    <w:rsid w:val="00D72DBC"/>
    <w:rsid w:val="00D74A03"/>
    <w:rsid w:val="00D81F8A"/>
    <w:rsid w:val="00D82523"/>
    <w:rsid w:val="00D82AEF"/>
    <w:rsid w:val="00D865D4"/>
    <w:rsid w:val="00D91184"/>
    <w:rsid w:val="00DA5E4E"/>
    <w:rsid w:val="00DA6EFA"/>
    <w:rsid w:val="00DA7A50"/>
    <w:rsid w:val="00DB1C32"/>
    <w:rsid w:val="00DB7AFA"/>
    <w:rsid w:val="00DD2849"/>
    <w:rsid w:val="00DD4458"/>
    <w:rsid w:val="00DD7A4D"/>
    <w:rsid w:val="00DE0BAE"/>
    <w:rsid w:val="00DE2CF7"/>
    <w:rsid w:val="00DE7FAF"/>
    <w:rsid w:val="00DF3E56"/>
    <w:rsid w:val="00DF431F"/>
    <w:rsid w:val="00DF7D7D"/>
    <w:rsid w:val="00E00A30"/>
    <w:rsid w:val="00E02AC9"/>
    <w:rsid w:val="00E03464"/>
    <w:rsid w:val="00E04951"/>
    <w:rsid w:val="00E054A5"/>
    <w:rsid w:val="00E21B49"/>
    <w:rsid w:val="00E26187"/>
    <w:rsid w:val="00E30224"/>
    <w:rsid w:val="00E3170F"/>
    <w:rsid w:val="00E3448C"/>
    <w:rsid w:val="00E35D10"/>
    <w:rsid w:val="00E37A15"/>
    <w:rsid w:val="00E40942"/>
    <w:rsid w:val="00E43D74"/>
    <w:rsid w:val="00E46F35"/>
    <w:rsid w:val="00E5316E"/>
    <w:rsid w:val="00E65B80"/>
    <w:rsid w:val="00E66CB2"/>
    <w:rsid w:val="00E74ECA"/>
    <w:rsid w:val="00E75974"/>
    <w:rsid w:val="00E7723C"/>
    <w:rsid w:val="00E776B3"/>
    <w:rsid w:val="00E77E01"/>
    <w:rsid w:val="00E77E07"/>
    <w:rsid w:val="00E825BD"/>
    <w:rsid w:val="00E8354A"/>
    <w:rsid w:val="00E8622B"/>
    <w:rsid w:val="00E86E3C"/>
    <w:rsid w:val="00E8756D"/>
    <w:rsid w:val="00E876A2"/>
    <w:rsid w:val="00E933F3"/>
    <w:rsid w:val="00E9738D"/>
    <w:rsid w:val="00EA1A58"/>
    <w:rsid w:val="00EB19A3"/>
    <w:rsid w:val="00EB2B12"/>
    <w:rsid w:val="00EB3C13"/>
    <w:rsid w:val="00EB5D41"/>
    <w:rsid w:val="00EC0917"/>
    <w:rsid w:val="00EC54EA"/>
    <w:rsid w:val="00EC5AED"/>
    <w:rsid w:val="00EC5CC9"/>
    <w:rsid w:val="00EC62BE"/>
    <w:rsid w:val="00ED131D"/>
    <w:rsid w:val="00EE2D48"/>
    <w:rsid w:val="00EE38AB"/>
    <w:rsid w:val="00EE462B"/>
    <w:rsid w:val="00EE4D03"/>
    <w:rsid w:val="00EF02B2"/>
    <w:rsid w:val="00EF52E5"/>
    <w:rsid w:val="00F03696"/>
    <w:rsid w:val="00F03761"/>
    <w:rsid w:val="00F103F7"/>
    <w:rsid w:val="00F107DC"/>
    <w:rsid w:val="00F12AC3"/>
    <w:rsid w:val="00F168F8"/>
    <w:rsid w:val="00F17902"/>
    <w:rsid w:val="00F2092D"/>
    <w:rsid w:val="00F232D2"/>
    <w:rsid w:val="00F25F02"/>
    <w:rsid w:val="00F26DEA"/>
    <w:rsid w:val="00F34E16"/>
    <w:rsid w:val="00F361E9"/>
    <w:rsid w:val="00F4171A"/>
    <w:rsid w:val="00F428EC"/>
    <w:rsid w:val="00F4496F"/>
    <w:rsid w:val="00F468D4"/>
    <w:rsid w:val="00F468D9"/>
    <w:rsid w:val="00F51731"/>
    <w:rsid w:val="00F540DE"/>
    <w:rsid w:val="00F54E1C"/>
    <w:rsid w:val="00F616E4"/>
    <w:rsid w:val="00F63F55"/>
    <w:rsid w:val="00F64FAD"/>
    <w:rsid w:val="00F65022"/>
    <w:rsid w:val="00F65460"/>
    <w:rsid w:val="00F66C75"/>
    <w:rsid w:val="00F708D4"/>
    <w:rsid w:val="00F71D0B"/>
    <w:rsid w:val="00F72747"/>
    <w:rsid w:val="00F730D5"/>
    <w:rsid w:val="00F762F6"/>
    <w:rsid w:val="00F824F2"/>
    <w:rsid w:val="00F82B7D"/>
    <w:rsid w:val="00F844D6"/>
    <w:rsid w:val="00F847C6"/>
    <w:rsid w:val="00F86F00"/>
    <w:rsid w:val="00F928E4"/>
    <w:rsid w:val="00F95144"/>
    <w:rsid w:val="00F96A9D"/>
    <w:rsid w:val="00F971DA"/>
    <w:rsid w:val="00F97A76"/>
    <w:rsid w:val="00FA2634"/>
    <w:rsid w:val="00FB1C67"/>
    <w:rsid w:val="00FB4C81"/>
    <w:rsid w:val="00FB5DA1"/>
    <w:rsid w:val="00FE303F"/>
    <w:rsid w:val="00FE63A1"/>
    <w:rsid w:val="00FE6A55"/>
    <w:rsid w:val="00FE7343"/>
    <w:rsid w:val="00FF415F"/>
    <w:rsid w:val="00FF7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949BC"/>
  <w15:docId w15:val="{B171F0E9-FBD2-4134-9A78-E6F355C3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03EA"/>
    <w:pPr>
      <w:spacing w:after="0" w:line="240" w:lineRule="auto"/>
      <w:jc w:val="both"/>
    </w:pPr>
    <w:rPr>
      <w:rFonts w:ascii="Times New Roman" w:eastAsia="Times New Roman" w:hAnsi="Times New Roman" w:cs="Times New Roman"/>
      <w:sz w:val="24"/>
      <w:szCs w:val="24"/>
      <w:lang w:eastAsia="de-DE"/>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927E60"/>
    <w:pPr>
      <w:keepNext/>
      <w:numPr>
        <w:numId w:val="2"/>
      </w:numPr>
      <w:pBdr>
        <w:top w:val="single" w:sz="4" w:space="1" w:color="auto"/>
      </w:pBdr>
      <w:spacing w:before="240" w:after="180"/>
      <w:ind w:left="357" w:hanging="357"/>
      <w:outlineLvl w:val="0"/>
    </w:pPr>
    <w:rPr>
      <w:b/>
      <w:bCs/>
      <w:sz w:val="36"/>
      <w:szCs w:val="28"/>
    </w:rPr>
  </w:style>
  <w:style w:type="paragraph" w:styleId="berschrift2">
    <w:name w:val="heading 2"/>
    <w:aliases w:val="H2,h2,Head2A,2,UNDERRUBRIK 1-2,DO NOT USE_h2,h21,H2 Char,h2 Char"/>
    <w:basedOn w:val="Standard"/>
    <w:next w:val="Standard"/>
    <w:link w:val="berschrift2Zchn"/>
    <w:qFormat/>
    <w:rsid w:val="00BF4DC2"/>
    <w:pPr>
      <w:keepNext/>
      <w:numPr>
        <w:ilvl w:val="1"/>
        <w:numId w:val="2"/>
      </w:numPr>
      <w:spacing w:before="120"/>
      <w:outlineLvl w:val="1"/>
    </w:pPr>
    <w:rPr>
      <w:b/>
      <w:bCs/>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5D5660"/>
    <w:pPr>
      <w:keepNext/>
      <w:numPr>
        <w:ilvl w:val="2"/>
        <w:numId w:val="1"/>
      </w:numPr>
      <w:tabs>
        <w:tab w:val="clear" w:pos="720"/>
      </w:tabs>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5D5660"/>
    <w:pPr>
      <w:keepNext/>
      <w:numPr>
        <w:ilvl w:val="3"/>
        <w:numId w:val="1"/>
      </w:numPr>
      <w:tabs>
        <w:tab w:val="clear" w:pos="864"/>
      </w:tabs>
      <w:spacing w:before="120"/>
      <w:ind w:left="720" w:hanging="720"/>
      <w:outlineLvl w:val="3"/>
    </w:pPr>
    <w:rPr>
      <w:b/>
      <w:bCs/>
      <w:szCs w:val="28"/>
    </w:rPr>
  </w:style>
  <w:style w:type="paragraph" w:styleId="berschrift5">
    <w:name w:val="heading 5"/>
    <w:aliases w:val="h5,Heading5"/>
    <w:basedOn w:val="Standard"/>
    <w:next w:val="Standard"/>
    <w:link w:val="berschrift5Zchn"/>
    <w:qFormat/>
    <w:rsid w:val="005D5660"/>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qFormat/>
    <w:rsid w:val="005D5660"/>
    <w:pPr>
      <w:numPr>
        <w:ilvl w:val="5"/>
        <w:numId w:val="1"/>
      </w:numPr>
      <w:spacing w:before="240" w:after="60"/>
      <w:outlineLvl w:val="5"/>
    </w:pPr>
    <w:rPr>
      <w:b/>
      <w:bCs/>
    </w:rPr>
  </w:style>
  <w:style w:type="paragraph" w:styleId="berschrift7">
    <w:name w:val="heading 7"/>
    <w:basedOn w:val="Standard"/>
    <w:next w:val="Standard"/>
    <w:link w:val="berschrift7Zchn"/>
    <w:qFormat/>
    <w:rsid w:val="005D5660"/>
    <w:pPr>
      <w:numPr>
        <w:ilvl w:val="6"/>
        <w:numId w:val="1"/>
      </w:numPr>
      <w:spacing w:before="240" w:after="60"/>
      <w:outlineLvl w:val="6"/>
    </w:pPr>
  </w:style>
  <w:style w:type="paragraph" w:styleId="berschrift8">
    <w:name w:val="heading 8"/>
    <w:basedOn w:val="Standard"/>
    <w:next w:val="Standard"/>
    <w:link w:val="berschrift8Zchn"/>
    <w:qFormat/>
    <w:rsid w:val="005D5660"/>
    <w:pPr>
      <w:numPr>
        <w:ilvl w:val="7"/>
        <w:numId w:val="1"/>
      </w:numPr>
      <w:spacing w:before="240" w:after="60"/>
      <w:outlineLvl w:val="7"/>
    </w:pPr>
    <w:rPr>
      <w:i/>
      <w:iCs/>
    </w:rPr>
  </w:style>
  <w:style w:type="paragraph" w:styleId="berschrift9">
    <w:name w:val="heading 9"/>
    <w:aliases w:val="Figure Heading,FH"/>
    <w:basedOn w:val="Standard"/>
    <w:next w:val="Standard"/>
    <w:link w:val="berschrift9Zchn"/>
    <w:qFormat/>
    <w:rsid w:val="005D5660"/>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927E60"/>
    <w:rPr>
      <w:rFonts w:ascii="Times New Roman" w:eastAsia="Times New Roman" w:hAnsi="Times New Roman" w:cs="Times New Roman"/>
      <w:b/>
      <w:bCs/>
      <w:sz w:val="36"/>
      <w:szCs w:val="28"/>
      <w:lang w:eastAsia="de-DE"/>
    </w:rPr>
  </w:style>
  <w:style w:type="character" w:customStyle="1" w:styleId="berschrift2Zchn">
    <w:name w:val="Überschrift 2 Zchn"/>
    <w:aliases w:val="H2 Zchn,h2 Zchn,Head2A Zchn,2 Zchn,UNDERRUBRIK 1-2 Zchn,DO NOT USE_h2 Zchn,h21 Zchn,H2 Char Zchn,h2 Char Zchn"/>
    <w:basedOn w:val="Absatz-Standardschriftart"/>
    <w:link w:val="berschrift2"/>
    <w:rsid w:val="00D81F8A"/>
    <w:rPr>
      <w:rFonts w:ascii="Times New Roman" w:eastAsia="Times New Roman" w:hAnsi="Times New Roman" w:cs="Times New Roman"/>
      <w:b/>
      <w:bCs/>
      <w:sz w:val="24"/>
      <w:szCs w:val="24"/>
      <w:lang w:eastAsia="de-DE"/>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5D5660"/>
    <w:rPr>
      <w:rFonts w:ascii="Times New Roman" w:eastAsia="Times New Roman" w:hAnsi="Times New Roman" w:cs="Times New Roman"/>
      <w:b/>
      <w:sz w:val="24"/>
      <w:szCs w:val="24"/>
      <w:lang w:eastAsia="de-D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5D5660"/>
    <w:rPr>
      <w:rFonts w:ascii="Times New Roman" w:eastAsia="Times New Roman" w:hAnsi="Times New Roman" w:cs="Times New Roman"/>
      <w:b/>
      <w:bCs/>
      <w:sz w:val="24"/>
      <w:szCs w:val="28"/>
      <w:lang w:eastAsia="de-DE"/>
    </w:rPr>
  </w:style>
  <w:style w:type="character" w:customStyle="1" w:styleId="berschrift5Zchn">
    <w:name w:val="Überschrift 5 Zchn"/>
    <w:aliases w:val="h5 Zchn,Heading5 Zchn"/>
    <w:basedOn w:val="Absatz-Standardschriftart"/>
    <w:link w:val="berschrift5"/>
    <w:rsid w:val="005D5660"/>
    <w:rPr>
      <w:rFonts w:ascii="Times New Roman" w:eastAsia="Times New Roman" w:hAnsi="Times New Roman" w:cs="Times New Roman"/>
      <w:b/>
      <w:bCs/>
      <w:i/>
      <w:iCs/>
      <w:sz w:val="24"/>
      <w:szCs w:val="26"/>
      <w:lang w:eastAsia="de-DE"/>
    </w:rPr>
  </w:style>
  <w:style w:type="character" w:customStyle="1" w:styleId="berschrift6Zchn">
    <w:name w:val="Überschrift 6 Zchn"/>
    <w:basedOn w:val="Absatz-Standardschriftart"/>
    <w:link w:val="berschrift6"/>
    <w:rsid w:val="005D5660"/>
    <w:rPr>
      <w:rFonts w:ascii="Times New Roman" w:eastAsia="Times New Roman" w:hAnsi="Times New Roman" w:cs="Times New Roman"/>
      <w:b/>
      <w:bCs/>
      <w:sz w:val="24"/>
      <w:szCs w:val="24"/>
      <w:lang w:eastAsia="de-DE"/>
    </w:rPr>
  </w:style>
  <w:style w:type="character" w:customStyle="1" w:styleId="berschrift7Zchn">
    <w:name w:val="Überschrift 7 Zchn"/>
    <w:basedOn w:val="Absatz-Standardschriftart"/>
    <w:link w:val="berschrift7"/>
    <w:rsid w:val="005D5660"/>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5D5660"/>
    <w:rPr>
      <w:rFonts w:ascii="Times New Roman" w:eastAsia="Times New Roman" w:hAnsi="Times New Roman" w:cs="Times New Roman"/>
      <w:i/>
      <w:iCs/>
      <w:sz w:val="24"/>
      <w:szCs w:val="24"/>
      <w:lang w:eastAsia="de-DE"/>
    </w:rPr>
  </w:style>
  <w:style w:type="character" w:customStyle="1" w:styleId="berschrift9Zchn">
    <w:name w:val="Überschrift 9 Zchn"/>
    <w:aliases w:val="Figure Heading Zchn,FH Zchn"/>
    <w:basedOn w:val="Absatz-Standardschriftart"/>
    <w:link w:val="berschrift9"/>
    <w:rsid w:val="005D5660"/>
    <w:rPr>
      <w:rFonts w:ascii="Arial" w:eastAsia="Times New Roman" w:hAnsi="Arial" w:cs="Arial"/>
      <w:sz w:val="24"/>
      <w:szCs w:val="24"/>
      <w:lang w:eastAsia="de-DE"/>
    </w:rPr>
  </w:style>
  <w:style w:type="character" w:styleId="Platzhaltertext">
    <w:name w:val="Placeholder Text"/>
    <w:basedOn w:val="Absatz-Standardschriftart"/>
    <w:uiPriority w:val="99"/>
    <w:semiHidden/>
    <w:rsid w:val="00CC0754"/>
    <w:rPr>
      <w:color w:val="808080"/>
    </w:rPr>
  </w:style>
  <w:style w:type="table" w:styleId="Tabellenraster">
    <w:name w:val="Table Grid"/>
    <w:basedOn w:val="NormaleTabelle"/>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E1A53"/>
    <w:pPr>
      <w:spacing w:after="200"/>
    </w:pPr>
    <w:rPr>
      <w:i/>
      <w:iCs/>
      <w:color w:val="44546A" w:themeColor="text2"/>
      <w:sz w:val="18"/>
      <w:szCs w:val="18"/>
    </w:rPr>
  </w:style>
  <w:style w:type="paragraph" w:styleId="Sprechblasentext">
    <w:name w:val="Balloon Text"/>
    <w:basedOn w:val="Standard"/>
    <w:link w:val="SprechblasentextZchn"/>
    <w:uiPriority w:val="99"/>
    <w:semiHidden/>
    <w:unhideWhenUsed/>
    <w:rsid w:val="00662C6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62C65"/>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167815"/>
    <w:rPr>
      <w:sz w:val="16"/>
      <w:szCs w:val="16"/>
    </w:rPr>
  </w:style>
  <w:style w:type="paragraph" w:styleId="Kommentartext">
    <w:name w:val="annotation text"/>
    <w:basedOn w:val="Standard"/>
    <w:link w:val="KommentartextZchn"/>
    <w:uiPriority w:val="99"/>
    <w:semiHidden/>
    <w:unhideWhenUsed/>
    <w:rsid w:val="00167815"/>
    <w:rPr>
      <w:sz w:val="20"/>
      <w:szCs w:val="20"/>
    </w:rPr>
  </w:style>
  <w:style w:type="character" w:customStyle="1" w:styleId="KommentartextZchn">
    <w:name w:val="Kommentartext Zchn"/>
    <w:basedOn w:val="Absatz-Standardschriftart"/>
    <w:link w:val="Kommentartext"/>
    <w:uiPriority w:val="99"/>
    <w:semiHidden/>
    <w:rsid w:val="00167815"/>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167815"/>
    <w:rPr>
      <w:b/>
      <w:bCs/>
    </w:rPr>
  </w:style>
  <w:style w:type="character" w:customStyle="1" w:styleId="KommentarthemaZchn">
    <w:name w:val="Kommentarthema Zchn"/>
    <w:basedOn w:val="KommentartextZchn"/>
    <w:link w:val="Kommentarthema"/>
    <w:uiPriority w:val="99"/>
    <w:semiHidden/>
    <w:rsid w:val="00167815"/>
    <w:rPr>
      <w:rFonts w:ascii="Times New Roman" w:eastAsia="SimSun" w:hAnsi="Times New Roman" w:cs="Times New Roman"/>
      <w:b/>
      <w:bCs/>
      <w:sz w:val="20"/>
      <w:szCs w:val="20"/>
      <w:lang w:val="en-US"/>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
    <w:basedOn w:val="Standard"/>
    <w:link w:val="ListenabsatzZchn"/>
    <w:uiPriority w:val="34"/>
    <w:qFormat/>
    <w:rsid w:val="00E02AC9"/>
    <w:pPr>
      <w:ind w:left="720"/>
      <w:contextualSpacing/>
    </w:pPr>
  </w:style>
  <w:style w:type="paragraph" w:customStyle="1" w:styleId="3GPPNormalText">
    <w:name w:val="3GPP Normal Text"/>
    <w:basedOn w:val="Textkrper"/>
    <w:link w:val="3GPPNormalTextChar"/>
    <w:qFormat/>
    <w:rsid w:val="000D50F3"/>
    <w:rPr>
      <w:rFonts w:eastAsia="MS Mincho"/>
    </w:rPr>
  </w:style>
  <w:style w:type="character" w:customStyle="1" w:styleId="3GPPNormalTextChar">
    <w:name w:val="3GPP Normal Text Char"/>
    <w:link w:val="3GPPNormalText"/>
    <w:rsid w:val="002F21B2"/>
    <w:rPr>
      <w:rFonts w:ascii="Times New Roman" w:eastAsia="MS Mincho" w:hAnsi="Times New Roman" w:cs="Times New Roman"/>
      <w:sz w:val="24"/>
      <w:szCs w:val="24"/>
      <w:lang w:eastAsia="de-DE"/>
    </w:rPr>
  </w:style>
  <w:style w:type="paragraph" w:styleId="Textkrper">
    <w:name w:val="Body Text"/>
    <w:basedOn w:val="Standard"/>
    <w:link w:val="TextkrperZchn"/>
    <w:uiPriority w:val="99"/>
    <w:semiHidden/>
    <w:unhideWhenUsed/>
    <w:rsid w:val="00C907AE"/>
  </w:style>
  <w:style w:type="character" w:customStyle="1" w:styleId="TextkrperZchn">
    <w:name w:val="Textkörper Zchn"/>
    <w:basedOn w:val="Absatz-Standardschriftart"/>
    <w:link w:val="Textkrper"/>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Kopfzeile">
    <w:name w:val="header"/>
    <w:basedOn w:val="Standard"/>
    <w:link w:val="KopfzeileZchn"/>
    <w:uiPriority w:val="99"/>
    <w:unhideWhenUsed/>
    <w:rsid w:val="00BD29AC"/>
    <w:pPr>
      <w:tabs>
        <w:tab w:val="center" w:pos="4680"/>
        <w:tab w:val="right" w:pos="9360"/>
      </w:tabs>
    </w:pPr>
  </w:style>
  <w:style w:type="character" w:customStyle="1" w:styleId="KopfzeileZchn">
    <w:name w:val="Kopfzeile Zchn"/>
    <w:basedOn w:val="Absatz-Standardschriftart"/>
    <w:link w:val="Kopfzeile"/>
    <w:uiPriority w:val="99"/>
    <w:rsid w:val="00BD29AC"/>
    <w:rPr>
      <w:rFonts w:ascii="Times New Roman" w:eastAsia="SimSun" w:hAnsi="Times New Roman" w:cs="Times New Roman"/>
      <w:lang w:val="en-US"/>
    </w:rPr>
  </w:style>
  <w:style w:type="paragraph" w:styleId="Fuzeile">
    <w:name w:val="footer"/>
    <w:basedOn w:val="Standard"/>
    <w:link w:val="FuzeileZchn"/>
    <w:uiPriority w:val="99"/>
    <w:unhideWhenUsed/>
    <w:rsid w:val="00BD29AC"/>
    <w:pPr>
      <w:tabs>
        <w:tab w:val="center" w:pos="4680"/>
        <w:tab w:val="right" w:pos="9360"/>
      </w:tabs>
    </w:pPr>
  </w:style>
  <w:style w:type="character" w:customStyle="1" w:styleId="FuzeileZchn">
    <w:name w:val="Fußzeile Zchn"/>
    <w:basedOn w:val="Absatz-Standardschriftart"/>
    <w:link w:val="Fuzeile"/>
    <w:uiPriority w:val="99"/>
    <w:rsid w:val="00BD29AC"/>
    <w:rPr>
      <w:rFonts w:ascii="Times New Roman" w:eastAsia="SimSun" w:hAnsi="Times New Roman" w:cs="Times New Roman"/>
      <w:lang w:val="en-US"/>
    </w:rPr>
  </w:style>
  <w:style w:type="paragraph" w:customStyle="1" w:styleId="LGTdoc">
    <w:name w:val="LGTdoc_본문"/>
    <w:basedOn w:val="Standard"/>
    <w:link w:val="LGTdocChar"/>
    <w:qFormat/>
    <w:rsid w:val="00B828BA"/>
    <w:pPr>
      <w:widowControl w:val="0"/>
      <w:spacing w:afterLines="50" w:line="264" w:lineRule="auto"/>
    </w:pPr>
    <w:rPr>
      <w:rFonts w:eastAsia="Batang"/>
      <w:kern w:val="2"/>
      <w:lang w:val="en-GB" w:eastAsia="ko-KR"/>
    </w:rPr>
  </w:style>
  <w:style w:type="character" w:customStyle="1" w:styleId="LGTdocChar">
    <w:name w:val="LGTdoc_본문 Char"/>
    <w:link w:val="LGTdoc"/>
    <w:qFormat/>
    <w:rsid w:val="00B828BA"/>
    <w:rPr>
      <w:rFonts w:ascii="Times New Roman" w:eastAsia="Batang" w:hAnsi="Times New Roman" w:cs="Times New Roman"/>
      <w:kern w:val="2"/>
      <w:szCs w:val="24"/>
      <w:lang w:val="en-GB" w:eastAsia="ko-KR"/>
    </w:rPr>
  </w:style>
  <w:style w:type="numbering" w:styleId="111111">
    <w:name w:val="Outline List 2"/>
    <w:basedOn w:val="KeineListe"/>
    <w:uiPriority w:val="99"/>
    <w:semiHidden/>
    <w:unhideWhenUsed/>
    <w:rsid w:val="000C5F8A"/>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72C03"/>
    <w:rPr>
      <w:rFonts w:ascii="Times New Roman" w:eastAsia="SimSun" w:hAnsi="Times New Roman" w:cs="Times New Roman"/>
      <w:lang w:val="en-US"/>
    </w:rPr>
  </w:style>
  <w:style w:type="character" w:styleId="Hyperlink">
    <w:name w:val="Hyperlink"/>
    <w:basedOn w:val="Absatz-Standardschriftart"/>
    <w:uiPriority w:val="99"/>
    <w:semiHidden/>
    <w:unhideWhenUsed/>
    <w:rsid w:val="00B10EB8"/>
    <w:rPr>
      <w:color w:val="0000FF"/>
      <w:u w:val="single"/>
    </w:rPr>
  </w:style>
  <w:style w:type="paragraph" w:styleId="berarbeitung">
    <w:name w:val="Revision"/>
    <w:hidden/>
    <w:uiPriority w:val="99"/>
    <w:semiHidden/>
    <w:rsid w:val="007D316E"/>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3751">
      <w:bodyDiv w:val="1"/>
      <w:marLeft w:val="0"/>
      <w:marRight w:val="0"/>
      <w:marTop w:val="0"/>
      <w:marBottom w:val="0"/>
      <w:divBdr>
        <w:top w:val="none" w:sz="0" w:space="0" w:color="auto"/>
        <w:left w:val="none" w:sz="0" w:space="0" w:color="auto"/>
        <w:bottom w:val="none" w:sz="0" w:space="0" w:color="auto"/>
        <w:right w:val="none" w:sz="0" w:space="0" w:color="auto"/>
      </w:divBdr>
    </w:div>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511265193">
      <w:bodyDiv w:val="1"/>
      <w:marLeft w:val="0"/>
      <w:marRight w:val="0"/>
      <w:marTop w:val="0"/>
      <w:marBottom w:val="0"/>
      <w:divBdr>
        <w:top w:val="none" w:sz="0" w:space="0" w:color="auto"/>
        <w:left w:val="none" w:sz="0" w:space="0" w:color="auto"/>
        <w:bottom w:val="none" w:sz="0" w:space="0" w:color="auto"/>
        <w:right w:val="none" w:sz="0" w:space="0" w:color="auto"/>
      </w:divBdr>
      <w:divsChild>
        <w:div w:id="2062048555">
          <w:marLeft w:val="0"/>
          <w:marRight w:val="0"/>
          <w:marTop w:val="0"/>
          <w:marBottom w:val="0"/>
          <w:divBdr>
            <w:top w:val="none" w:sz="0" w:space="0" w:color="auto"/>
            <w:left w:val="none" w:sz="0" w:space="0" w:color="auto"/>
            <w:bottom w:val="none" w:sz="0" w:space="0" w:color="auto"/>
            <w:right w:val="none" w:sz="0" w:space="0" w:color="auto"/>
          </w:divBdr>
        </w:div>
        <w:div w:id="922224335">
          <w:marLeft w:val="0"/>
          <w:marRight w:val="0"/>
          <w:marTop w:val="0"/>
          <w:marBottom w:val="0"/>
          <w:divBdr>
            <w:top w:val="none" w:sz="0" w:space="0" w:color="auto"/>
            <w:left w:val="none" w:sz="0" w:space="0" w:color="auto"/>
            <w:bottom w:val="none" w:sz="0" w:space="0" w:color="auto"/>
            <w:right w:val="none" w:sz="0" w:space="0" w:color="auto"/>
          </w:divBdr>
        </w:div>
        <w:div w:id="843593438">
          <w:marLeft w:val="0"/>
          <w:marRight w:val="0"/>
          <w:marTop w:val="0"/>
          <w:marBottom w:val="0"/>
          <w:divBdr>
            <w:top w:val="none" w:sz="0" w:space="0" w:color="auto"/>
            <w:left w:val="none" w:sz="0" w:space="0" w:color="auto"/>
            <w:bottom w:val="none" w:sz="0" w:space="0" w:color="auto"/>
            <w:right w:val="none" w:sz="0" w:space="0" w:color="auto"/>
          </w:divBdr>
        </w:div>
        <w:div w:id="12850405">
          <w:marLeft w:val="0"/>
          <w:marRight w:val="0"/>
          <w:marTop w:val="0"/>
          <w:marBottom w:val="0"/>
          <w:divBdr>
            <w:top w:val="none" w:sz="0" w:space="0" w:color="auto"/>
            <w:left w:val="none" w:sz="0" w:space="0" w:color="auto"/>
            <w:bottom w:val="none" w:sz="0" w:space="0" w:color="auto"/>
            <w:right w:val="none" w:sz="0" w:space="0" w:color="auto"/>
          </w:divBdr>
        </w:div>
        <w:div w:id="412313958">
          <w:marLeft w:val="0"/>
          <w:marRight w:val="0"/>
          <w:marTop w:val="0"/>
          <w:marBottom w:val="0"/>
          <w:divBdr>
            <w:top w:val="none" w:sz="0" w:space="0" w:color="auto"/>
            <w:left w:val="none" w:sz="0" w:space="0" w:color="auto"/>
            <w:bottom w:val="none" w:sz="0" w:space="0" w:color="auto"/>
            <w:right w:val="none" w:sz="0" w:space="0" w:color="auto"/>
          </w:divBdr>
        </w:div>
        <w:div w:id="420487513">
          <w:marLeft w:val="0"/>
          <w:marRight w:val="0"/>
          <w:marTop w:val="0"/>
          <w:marBottom w:val="0"/>
          <w:divBdr>
            <w:top w:val="none" w:sz="0" w:space="0" w:color="auto"/>
            <w:left w:val="none" w:sz="0" w:space="0" w:color="auto"/>
            <w:bottom w:val="none" w:sz="0" w:space="0" w:color="auto"/>
            <w:right w:val="none" w:sz="0" w:space="0" w:color="auto"/>
          </w:divBdr>
        </w:div>
        <w:div w:id="1750615594">
          <w:marLeft w:val="0"/>
          <w:marRight w:val="0"/>
          <w:marTop w:val="0"/>
          <w:marBottom w:val="0"/>
          <w:divBdr>
            <w:top w:val="none" w:sz="0" w:space="0" w:color="auto"/>
            <w:left w:val="none" w:sz="0" w:space="0" w:color="auto"/>
            <w:bottom w:val="none" w:sz="0" w:space="0" w:color="auto"/>
            <w:right w:val="none" w:sz="0" w:space="0" w:color="auto"/>
          </w:divBdr>
        </w:div>
        <w:div w:id="1221750049">
          <w:marLeft w:val="0"/>
          <w:marRight w:val="0"/>
          <w:marTop w:val="0"/>
          <w:marBottom w:val="0"/>
          <w:divBdr>
            <w:top w:val="none" w:sz="0" w:space="0" w:color="auto"/>
            <w:left w:val="none" w:sz="0" w:space="0" w:color="auto"/>
            <w:bottom w:val="none" w:sz="0" w:space="0" w:color="auto"/>
            <w:right w:val="none" w:sz="0" w:space="0" w:color="auto"/>
          </w:divBdr>
        </w:div>
        <w:div w:id="1142235974">
          <w:marLeft w:val="0"/>
          <w:marRight w:val="0"/>
          <w:marTop w:val="0"/>
          <w:marBottom w:val="0"/>
          <w:divBdr>
            <w:top w:val="none" w:sz="0" w:space="0" w:color="auto"/>
            <w:left w:val="none" w:sz="0" w:space="0" w:color="auto"/>
            <w:bottom w:val="none" w:sz="0" w:space="0" w:color="auto"/>
            <w:right w:val="none" w:sz="0" w:space="0" w:color="auto"/>
          </w:divBdr>
        </w:div>
        <w:div w:id="1423986687">
          <w:marLeft w:val="0"/>
          <w:marRight w:val="0"/>
          <w:marTop w:val="0"/>
          <w:marBottom w:val="0"/>
          <w:divBdr>
            <w:top w:val="none" w:sz="0" w:space="0" w:color="auto"/>
            <w:left w:val="none" w:sz="0" w:space="0" w:color="auto"/>
            <w:bottom w:val="none" w:sz="0" w:space="0" w:color="auto"/>
            <w:right w:val="none" w:sz="0" w:space="0" w:color="auto"/>
          </w:divBdr>
        </w:div>
        <w:div w:id="2125030646">
          <w:marLeft w:val="0"/>
          <w:marRight w:val="0"/>
          <w:marTop w:val="0"/>
          <w:marBottom w:val="0"/>
          <w:divBdr>
            <w:top w:val="none" w:sz="0" w:space="0" w:color="auto"/>
            <w:left w:val="none" w:sz="0" w:space="0" w:color="auto"/>
            <w:bottom w:val="none" w:sz="0" w:space="0" w:color="auto"/>
            <w:right w:val="none" w:sz="0" w:space="0" w:color="auto"/>
          </w:divBdr>
        </w:div>
        <w:div w:id="1694455407">
          <w:marLeft w:val="0"/>
          <w:marRight w:val="0"/>
          <w:marTop w:val="0"/>
          <w:marBottom w:val="0"/>
          <w:divBdr>
            <w:top w:val="none" w:sz="0" w:space="0" w:color="auto"/>
            <w:left w:val="none" w:sz="0" w:space="0" w:color="auto"/>
            <w:bottom w:val="none" w:sz="0" w:space="0" w:color="auto"/>
            <w:right w:val="none" w:sz="0" w:space="0" w:color="auto"/>
          </w:divBdr>
        </w:div>
        <w:div w:id="2042314958">
          <w:marLeft w:val="0"/>
          <w:marRight w:val="0"/>
          <w:marTop w:val="0"/>
          <w:marBottom w:val="0"/>
          <w:divBdr>
            <w:top w:val="none" w:sz="0" w:space="0" w:color="auto"/>
            <w:left w:val="none" w:sz="0" w:space="0" w:color="auto"/>
            <w:bottom w:val="none" w:sz="0" w:space="0" w:color="auto"/>
            <w:right w:val="none" w:sz="0" w:space="0" w:color="auto"/>
          </w:divBdr>
        </w:div>
        <w:div w:id="701130264">
          <w:marLeft w:val="0"/>
          <w:marRight w:val="0"/>
          <w:marTop w:val="0"/>
          <w:marBottom w:val="0"/>
          <w:divBdr>
            <w:top w:val="none" w:sz="0" w:space="0" w:color="auto"/>
            <w:left w:val="none" w:sz="0" w:space="0" w:color="auto"/>
            <w:bottom w:val="none" w:sz="0" w:space="0" w:color="auto"/>
            <w:right w:val="none" w:sz="0" w:space="0" w:color="auto"/>
          </w:divBdr>
        </w:div>
        <w:div w:id="1084186234">
          <w:marLeft w:val="0"/>
          <w:marRight w:val="0"/>
          <w:marTop w:val="0"/>
          <w:marBottom w:val="0"/>
          <w:divBdr>
            <w:top w:val="none" w:sz="0" w:space="0" w:color="auto"/>
            <w:left w:val="none" w:sz="0" w:space="0" w:color="auto"/>
            <w:bottom w:val="none" w:sz="0" w:space="0" w:color="auto"/>
            <w:right w:val="none" w:sz="0" w:space="0" w:color="auto"/>
          </w:divBdr>
        </w:div>
        <w:div w:id="582573644">
          <w:marLeft w:val="0"/>
          <w:marRight w:val="0"/>
          <w:marTop w:val="0"/>
          <w:marBottom w:val="0"/>
          <w:divBdr>
            <w:top w:val="none" w:sz="0" w:space="0" w:color="auto"/>
            <w:left w:val="none" w:sz="0" w:space="0" w:color="auto"/>
            <w:bottom w:val="none" w:sz="0" w:space="0" w:color="auto"/>
            <w:right w:val="none" w:sz="0" w:space="0" w:color="auto"/>
          </w:divBdr>
        </w:div>
        <w:div w:id="770708160">
          <w:marLeft w:val="0"/>
          <w:marRight w:val="0"/>
          <w:marTop w:val="0"/>
          <w:marBottom w:val="0"/>
          <w:divBdr>
            <w:top w:val="none" w:sz="0" w:space="0" w:color="auto"/>
            <w:left w:val="none" w:sz="0" w:space="0" w:color="auto"/>
            <w:bottom w:val="none" w:sz="0" w:space="0" w:color="auto"/>
            <w:right w:val="none" w:sz="0" w:space="0" w:color="auto"/>
          </w:divBdr>
        </w:div>
        <w:div w:id="1692876606">
          <w:marLeft w:val="0"/>
          <w:marRight w:val="0"/>
          <w:marTop w:val="0"/>
          <w:marBottom w:val="0"/>
          <w:divBdr>
            <w:top w:val="none" w:sz="0" w:space="0" w:color="auto"/>
            <w:left w:val="none" w:sz="0" w:space="0" w:color="auto"/>
            <w:bottom w:val="none" w:sz="0" w:space="0" w:color="auto"/>
            <w:right w:val="none" w:sz="0" w:space="0" w:color="auto"/>
          </w:divBdr>
        </w:div>
        <w:div w:id="962661767">
          <w:marLeft w:val="0"/>
          <w:marRight w:val="0"/>
          <w:marTop w:val="0"/>
          <w:marBottom w:val="0"/>
          <w:divBdr>
            <w:top w:val="none" w:sz="0" w:space="0" w:color="auto"/>
            <w:left w:val="none" w:sz="0" w:space="0" w:color="auto"/>
            <w:bottom w:val="none" w:sz="0" w:space="0" w:color="auto"/>
            <w:right w:val="none" w:sz="0" w:space="0" w:color="auto"/>
          </w:divBdr>
        </w:div>
        <w:div w:id="1843624833">
          <w:marLeft w:val="0"/>
          <w:marRight w:val="0"/>
          <w:marTop w:val="0"/>
          <w:marBottom w:val="0"/>
          <w:divBdr>
            <w:top w:val="none" w:sz="0" w:space="0" w:color="auto"/>
            <w:left w:val="none" w:sz="0" w:space="0" w:color="auto"/>
            <w:bottom w:val="none" w:sz="0" w:space="0" w:color="auto"/>
            <w:right w:val="none" w:sz="0" w:space="0" w:color="auto"/>
          </w:divBdr>
        </w:div>
        <w:div w:id="1023869459">
          <w:marLeft w:val="0"/>
          <w:marRight w:val="0"/>
          <w:marTop w:val="0"/>
          <w:marBottom w:val="0"/>
          <w:divBdr>
            <w:top w:val="none" w:sz="0" w:space="0" w:color="auto"/>
            <w:left w:val="none" w:sz="0" w:space="0" w:color="auto"/>
            <w:bottom w:val="none" w:sz="0" w:space="0" w:color="auto"/>
            <w:right w:val="none" w:sz="0" w:space="0" w:color="auto"/>
          </w:divBdr>
        </w:div>
        <w:div w:id="376973580">
          <w:marLeft w:val="0"/>
          <w:marRight w:val="0"/>
          <w:marTop w:val="0"/>
          <w:marBottom w:val="0"/>
          <w:divBdr>
            <w:top w:val="none" w:sz="0" w:space="0" w:color="auto"/>
            <w:left w:val="none" w:sz="0" w:space="0" w:color="auto"/>
            <w:bottom w:val="none" w:sz="0" w:space="0" w:color="auto"/>
            <w:right w:val="none" w:sz="0" w:space="0" w:color="auto"/>
          </w:divBdr>
        </w:div>
        <w:div w:id="1012881102">
          <w:marLeft w:val="0"/>
          <w:marRight w:val="0"/>
          <w:marTop w:val="0"/>
          <w:marBottom w:val="0"/>
          <w:divBdr>
            <w:top w:val="none" w:sz="0" w:space="0" w:color="auto"/>
            <w:left w:val="none" w:sz="0" w:space="0" w:color="auto"/>
            <w:bottom w:val="none" w:sz="0" w:space="0" w:color="auto"/>
            <w:right w:val="none" w:sz="0" w:space="0" w:color="auto"/>
          </w:divBdr>
        </w:div>
        <w:div w:id="1094745527">
          <w:marLeft w:val="0"/>
          <w:marRight w:val="0"/>
          <w:marTop w:val="0"/>
          <w:marBottom w:val="0"/>
          <w:divBdr>
            <w:top w:val="none" w:sz="0" w:space="0" w:color="auto"/>
            <w:left w:val="none" w:sz="0" w:space="0" w:color="auto"/>
            <w:bottom w:val="none" w:sz="0" w:space="0" w:color="auto"/>
            <w:right w:val="none" w:sz="0" w:space="0" w:color="auto"/>
          </w:divBdr>
        </w:div>
        <w:div w:id="1929001293">
          <w:marLeft w:val="0"/>
          <w:marRight w:val="0"/>
          <w:marTop w:val="0"/>
          <w:marBottom w:val="0"/>
          <w:divBdr>
            <w:top w:val="none" w:sz="0" w:space="0" w:color="auto"/>
            <w:left w:val="none" w:sz="0" w:space="0" w:color="auto"/>
            <w:bottom w:val="none" w:sz="0" w:space="0" w:color="auto"/>
            <w:right w:val="none" w:sz="0" w:space="0" w:color="auto"/>
          </w:divBdr>
        </w:div>
        <w:div w:id="1430732663">
          <w:marLeft w:val="0"/>
          <w:marRight w:val="0"/>
          <w:marTop w:val="0"/>
          <w:marBottom w:val="0"/>
          <w:divBdr>
            <w:top w:val="none" w:sz="0" w:space="0" w:color="auto"/>
            <w:left w:val="none" w:sz="0" w:space="0" w:color="auto"/>
            <w:bottom w:val="none" w:sz="0" w:space="0" w:color="auto"/>
            <w:right w:val="none" w:sz="0" w:space="0" w:color="auto"/>
          </w:divBdr>
        </w:div>
        <w:div w:id="1252084577">
          <w:marLeft w:val="0"/>
          <w:marRight w:val="0"/>
          <w:marTop w:val="0"/>
          <w:marBottom w:val="0"/>
          <w:divBdr>
            <w:top w:val="none" w:sz="0" w:space="0" w:color="auto"/>
            <w:left w:val="none" w:sz="0" w:space="0" w:color="auto"/>
            <w:bottom w:val="none" w:sz="0" w:space="0" w:color="auto"/>
            <w:right w:val="none" w:sz="0" w:space="0" w:color="auto"/>
          </w:divBdr>
        </w:div>
        <w:div w:id="1219321962">
          <w:marLeft w:val="0"/>
          <w:marRight w:val="0"/>
          <w:marTop w:val="0"/>
          <w:marBottom w:val="0"/>
          <w:divBdr>
            <w:top w:val="none" w:sz="0" w:space="0" w:color="auto"/>
            <w:left w:val="none" w:sz="0" w:space="0" w:color="auto"/>
            <w:bottom w:val="none" w:sz="0" w:space="0" w:color="auto"/>
            <w:right w:val="none" w:sz="0" w:space="0" w:color="auto"/>
          </w:divBdr>
        </w:div>
        <w:div w:id="1776288802">
          <w:marLeft w:val="0"/>
          <w:marRight w:val="0"/>
          <w:marTop w:val="0"/>
          <w:marBottom w:val="0"/>
          <w:divBdr>
            <w:top w:val="none" w:sz="0" w:space="0" w:color="auto"/>
            <w:left w:val="none" w:sz="0" w:space="0" w:color="auto"/>
            <w:bottom w:val="none" w:sz="0" w:space="0" w:color="auto"/>
            <w:right w:val="none" w:sz="0" w:space="0" w:color="auto"/>
          </w:divBdr>
        </w:div>
        <w:div w:id="351103442">
          <w:marLeft w:val="0"/>
          <w:marRight w:val="0"/>
          <w:marTop w:val="0"/>
          <w:marBottom w:val="0"/>
          <w:divBdr>
            <w:top w:val="none" w:sz="0" w:space="0" w:color="auto"/>
            <w:left w:val="none" w:sz="0" w:space="0" w:color="auto"/>
            <w:bottom w:val="none" w:sz="0" w:space="0" w:color="auto"/>
            <w:right w:val="none" w:sz="0" w:space="0" w:color="auto"/>
          </w:divBdr>
        </w:div>
        <w:div w:id="1119297308">
          <w:marLeft w:val="0"/>
          <w:marRight w:val="0"/>
          <w:marTop w:val="0"/>
          <w:marBottom w:val="0"/>
          <w:divBdr>
            <w:top w:val="none" w:sz="0" w:space="0" w:color="auto"/>
            <w:left w:val="none" w:sz="0" w:space="0" w:color="auto"/>
            <w:bottom w:val="none" w:sz="0" w:space="0" w:color="auto"/>
            <w:right w:val="none" w:sz="0" w:space="0" w:color="auto"/>
          </w:divBdr>
        </w:div>
        <w:div w:id="136142859">
          <w:marLeft w:val="0"/>
          <w:marRight w:val="0"/>
          <w:marTop w:val="0"/>
          <w:marBottom w:val="0"/>
          <w:divBdr>
            <w:top w:val="none" w:sz="0" w:space="0" w:color="auto"/>
            <w:left w:val="none" w:sz="0" w:space="0" w:color="auto"/>
            <w:bottom w:val="none" w:sz="0" w:space="0" w:color="auto"/>
            <w:right w:val="none" w:sz="0" w:space="0" w:color="auto"/>
          </w:divBdr>
        </w:div>
        <w:div w:id="604970529">
          <w:marLeft w:val="0"/>
          <w:marRight w:val="0"/>
          <w:marTop w:val="0"/>
          <w:marBottom w:val="0"/>
          <w:divBdr>
            <w:top w:val="none" w:sz="0" w:space="0" w:color="auto"/>
            <w:left w:val="none" w:sz="0" w:space="0" w:color="auto"/>
            <w:bottom w:val="none" w:sz="0" w:space="0" w:color="auto"/>
            <w:right w:val="none" w:sz="0" w:space="0" w:color="auto"/>
          </w:divBdr>
        </w:div>
        <w:div w:id="1915583391">
          <w:marLeft w:val="0"/>
          <w:marRight w:val="0"/>
          <w:marTop w:val="0"/>
          <w:marBottom w:val="0"/>
          <w:divBdr>
            <w:top w:val="none" w:sz="0" w:space="0" w:color="auto"/>
            <w:left w:val="none" w:sz="0" w:space="0" w:color="auto"/>
            <w:bottom w:val="none" w:sz="0" w:space="0" w:color="auto"/>
            <w:right w:val="none" w:sz="0" w:space="0" w:color="auto"/>
          </w:divBdr>
        </w:div>
        <w:div w:id="840124220">
          <w:marLeft w:val="0"/>
          <w:marRight w:val="0"/>
          <w:marTop w:val="0"/>
          <w:marBottom w:val="0"/>
          <w:divBdr>
            <w:top w:val="none" w:sz="0" w:space="0" w:color="auto"/>
            <w:left w:val="none" w:sz="0" w:space="0" w:color="auto"/>
            <w:bottom w:val="none" w:sz="0" w:space="0" w:color="auto"/>
            <w:right w:val="none" w:sz="0" w:space="0" w:color="auto"/>
          </w:divBdr>
        </w:div>
        <w:div w:id="2008555164">
          <w:marLeft w:val="0"/>
          <w:marRight w:val="0"/>
          <w:marTop w:val="0"/>
          <w:marBottom w:val="0"/>
          <w:divBdr>
            <w:top w:val="none" w:sz="0" w:space="0" w:color="auto"/>
            <w:left w:val="none" w:sz="0" w:space="0" w:color="auto"/>
            <w:bottom w:val="none" w:sz="0" w:space="0" w:color="auto"/>
            <w:right w:val="none" w:sz="0" w:space="0" w:color="auto"/>
          </w:divBdr>
        </w:div>
        <w:div w:id="431630134">
          <w:marLeft w:val="0"/>
          <w:marRight w:val="0"/>
          <w:marTop w:val="0"/>
          <w:marBottom w:val="0"/>
          <w:divBdr>
            <w:top w:val="none" w:sz="0" w:space="0" w:color="auto"/>
            <w:left w:val="none" w:sz="0" w:space="0" w:color="auto"/>
            <w:bottom w:val="none" w:sz="0" w:space="0" w:color="auto"/>
            <w:right w:val="none" w:sz="0" w:space="0" w:color="auto"/>
          </w:divBdr>
        </w:div>
        <w:div w:id="1382708713">
          <w:marLeft w:val="0"/>
          <w:marRight w:val="0"/>
          <w:marTop w:val="0"/>
          <w:marBottom w:val="0"/>
          <w:divBdr>
            <w:top w:val="none" w:sz="0" w:space="0" w:color="auto"/>
            <w:left w:val="none" w:sz="0" w:space="0" w:color="auto"/>
            <w:bottom w:val="none" w:sz="0" w:space="0" w:color="auto"/>
            <w:right w:val="none" w:sz="0" w:space="0" w:color="auto"/>
          </w:divBdr>
        </w:div>
      </w:divsChild>
    </w:div>
    <w:div w:id="732310284">
      <w:bodyDiv w:val="1"/>
      <w:marLeft w:val="0"/>
      <w:marRight w:val="0"/>
      <w:marTop w:val="0"/>
      <w:marBottom w:val="0"/>
      <w:divBdr>
        <w:top w:val="none" w:sz="0" w:space="0" w:color="auto"/>
        <w:left w:val="none" w:sz="0" w:space="0" w:color="auto"/>
        <w:bottom w:val="none" w:sz="0" w:space="0" w:color="auto"/>
        <w:right w:val="none" w:sz="0" w:space="0" w:color="auto"/>
      </w:divBdr>
      <w:divsChild>
        <w:div w:id="309554470">
          <w:marLeft w:val="0"/>
          <w:marRight w:val="0"/>
          <w:marTop w:val="0"/>
          <w:marBottom w:val="0"/>
          <w:divBdr>
            <w:top w:val="none" w:sz="0" w:space="0" w:color="auto"/>
            <w:left w:val="none" w:sz="0" w:space="0" w:color="auto"/>
            <w:bottom w:val="none" w:sz="0" w:space="0" w:color="auto"/>
            <w:right w:val="none" w:sz="0" w:space="0" w:color="auto"/>
          </w:divBdr>
        </w:div>
        <w:div w:id="1680961052">
          <w:marLeft w:val="0"/>
          <w:marRight w:val="0"/>
          <w:marTop w:val="0"/>
          <w:marBottom w:val="0"/>
          <w:divBdr>
            <w:top w:val="none" w:sz="0" w:space="0" w:color="auto"/>
            <w:left w:val="none" w:sz="0" w:space="0" w:color="auto"/>
            <w:bottom w:val="none" w:sz="0" w:space="0" w:color="auto"/>
            <w:right w:val="none" w:sz="0" w:space="0" w:color="auto"/>
          </w:divBdr>
        </w:div>
        <w:div w:id="381565191">
          <w:marLeft w:val="0"/>
          <w:marRight w:val="0"/>
          <w:marTop w:val="0"/>
          <w:marBottom w:val="0"/>
          <w:divBdr>
            <w:top w:val="none" w:sz="0" w:space="0" w:color="auto"/>
            <w:left w:val="none" w:sz="0" w:space="0" w:color="auto"/>
            <w:bottom w:val="none" w:sz="0" w:space="0" w:color="auto"/>
            <w:right w:val="none" w:sz="0" w:space="0" w:color="auto"/>
          </w:divBdr>
        </w:div>
        <w:div w:id="1312320953">
          <w:marLeft w:val="0"/>
          <w:marRight w:val="0"/>
          <w:marTop w:val="0"/>
          <w:marBottom w:val="0"/>
          <w:divBdr>
            <w:top w:val="none" w:sz="0" w:space="0" w:color="auto"/>
            <w:left w:val="none" w:sz="0" w:space="0" w:color="auto"/>
            <w:bottom w:val="none" w:sz="0" w:space="0" w:color="auto"/>
            <w:right w:val="none" w:sz="0" w:space="0" w:color="auto"/>
          </w:divBdr>
        </w:div>
        <w:div w:id="204294027">
          <w:marLeft w:val="0"/>
          <w:marRight w:val="0"/>
          <w:marTop w:val="0"/>
          <w:marBottom w:val="0"/>
          <w:divBdr>
            <w:top w:val="none" w:sz="0" w:space="0" w:color="auto"/>
            <w:left w:val="none" w:sz="0" w:space="0" w:color="auto"/>
            <w:bottom w:val="none" w:sz="0" w:space="0" w:color="auto"/>
            <w:right w:val="none" w:sz="0" w:space="0" w:color="auto"/>
          </w:divBdr>
        </w:div>
        <w:div w:id="929852375">
          <w:marLeft w:val="0"/>
          <w:marRight w:val="0"/>
          <w:marTop w:val="0"/>
          <w:marBottom w:val="0"/>
          <w:divBdr>
            <w:top w:val="none" w:sz="0" w:space="0" w:color="auto"/>
            <w:left w:val="none" w:sz="0" w:space="0" w:color="auto"/>
            <w:bottom w:val="none" w:sz="0" w:space="0" w:color="auto"/>
            <w:right w:val="none" w:sz="0" w:space="0" w:color="auto"/>
          </w:divBdr>
        </w:div>
        <w:div w:id="1355957818">
          <w:marLeft w:val="0"/>
          <w:marRight w:val="0"/>
          <w:marTop w:val="0"/>
          <w:marBottom w:val="0"/>
          <w:divBdr>
            <w:top w:val="none" w:sz="0" w:space="0" w:color="auto"/>
            <w:left w:val="none" w:sz="0" w:space="0" w:color="auto"/>
            <w:bottom w:val="none" w:sz="0" w:space="0" w:color="auto"/>
            <w:right w:val="none" w:sz="0" w:space="0" w:color="auto"/>
          </w:divBdr>
        </w:div>
        <w:div w:id="881791826">
          <w:marLeft w:val="0"/>
          <w:marRight w:val="0"/>
          <w:marTop w:val="0"/>
          <w:marBottom w:val="0"/>
          <w:divBdr>
            <w:top w:val="none" w:sz="0" w:space="0" w:color="auto"/>
            <w:left w:val="none" w:sz="0" w:space="0" w:color="auto"/>
            <w:bottom w:val="none" w:sz="0" w:space="0" w:color="auto"/>
            <w:right w:val="none" w:sz="0" w:space="0" w:color="auto"/>
          </w:divBdr>
        </w:div>
        <w:div w:id="1200243032">
          <w:marLeft w:val="0"/>
          <w:marRight w:val="0"/>
          <w:marTop w:val="0"/>
          <w:marBottom w:val="0"/>
          <w:divBdr>
            <w:top w:val="none" w:sz="0" w:space="0" w:color="auto"/>
            <w:left w:val="none" w:sz="0" w:space="0" w:color="auto"/>
            <w:bottom w:val="none" w:sz="0" w:space="0" w:color="auto"/>
            <w:right w:val="none" w:sz="0" w:space="0" w:color="auto"/>
          </w:divBdr>
        </w:div>
        <w:div w:id="1581981107">
          <w:marLeft w:val="0"/>
          <w:marRight w:val="0"/>
          <w:marTop w:val="0"/>
          <w:marBottom w:val="0"/>
          <w:divBdr>
            <w:top w:val="none" w:sz="0" w:space="0" w:color="auto"/>
            <w:left w:val="none" w:sz="0" w:space="0" w:color="auto"/>
            <w:bottom w:val="none" w:sz="0" w:space="0" w:color="auto"/>
            <w:right w:val="none" w:sz="0" w:space="0" w:color="auto"/>
          </w:divBdr>
        </w:div>
        <w:div w:id="1710371034">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25235331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 w:id="1881817131">
      <w:bodyDiv w:val="1"/>
      <w:marLeft w:val="0"/>
      <w:marRight w:val="0"/>
      <w:marTop w:val="0"/>
      <w:marBottom w:val="0"/>
      <w:divBdr>
        <w:top w:val="none" w:sz="0" w:space="0" w:color="auto"/>
        <w:left w:val="none" w:sz="0" w:space="0" w:color="auto"/>
        <w:bottom w:val="none" w:sz="0" w:space="0" w:color="auto"/>
        <w:right w:val="none" w:sz="0" w:space="0" w:color="auto"/>
      </w:divBdr>
      <w:divsChild>
        <w:div w:id="1424105912">
          <w:marLeft w:val="0"/>
          <w:marRight w:val="0"/>
          <w:marTop w:val="0"/>
          <w:marBottom w:val="0"/>
          <w:divBdr>
            <w:top w:val="none" w:sz="0" w:space="0" w:color="auto"/>
            <w:left w:val="none" w:sz="0" w:space="0" w:color="auto"/>
            <w:bottom w:val="none" w:sz="0" w:space="0" w:color="auto"/>
            <w:right w:val="none" w:sz="0" w:space="0" w:color="auto"/>
          </w:divBdr>
        </w:div>
        <w:div w:id="379940623">
          <w:marLeft w:val="0"/>
          <w:marRight w:val="0"/>
          <w:marTop w:val="0"/>
          <w:marBottom w:val="0"/>
          <w:divBdr>
            <w:top w:val="none" w:sz="0" w:space="0" w:color="auto"/>
            <w:left w:val="none" w:sz="0" w:space="0" w:color="auto"/>
            <w:bottom w:val="none" w:sz="0" w:space="0" w:color="auto"/>
            <w:right w:val="none" w:sz="0" w:space="0" w:color="auto"/>
          </w:divBdr>
        </w:div>
        <w:div w:id="1268388780">
          <w:marLeft w:val="0"/>
          <w:marRight w:val="0"/>
          <w:marTop w:val="0"/>
          <w:marBottom w:val="0"/>
          <w:divBdr>
            <w:top w:val="none" w:sz="0" w:space="0" w:color="auto"/>
            <w:left w:val="none" w:sz="0" w:space="0" w:color="auto"/>
            <w:bottom w:val="none" w:sz="0" w:space="0" w:color="auto"/>
            <w:right w:val="none" w:sz="0" w:space="0" w:color="auto"/>
          </w:divBdr>
        </w:div>
        <w:div w:id="1232036579">
          <w:marLeft w:val="0"/>
          <w:marRight w:val="0"/>
          <w:marTop w:val="0"/>
          <w:marBottom w:val="0"/>
          <w:divBdr>
            <w:top w:val="none" w:sz="0" w:space="0" w:color="auto"/>
            <w:left w:val="none" w:sz="0" w:space="0" w:color="auto"/>
            <w:bottom w:val="none" w:sz="0" w:space="0" w:color="auto"/>
            <w:right w:val="none" w:sz="0" w:space="0" w:color="auto"/>
          </w:divBdr>
        </w:div>
        <w:div w:id="1155531436">
          <w:marLeft w:val="0"/>
          <w:marRight w:val="0"/>
          <w:marTop w:val="0"/>
          <w:marBottom w:val="0"/>
          <w:divBdr>
            <w:top w:val="none" w:sz="0" w:space="0" w:color="auto"/>
            <w:left w:val="none" w:sz="0" w:space="0" w:color="auto"/>
            <w:bottom w:val="none" w:sz="0" w:space="0" w:color="auto"/>
            <w:right w:val="none" w:sz="0" w:space="0" w:color="auto"/>
          </w:divBdr>
        </w:div>
        <w:div w:id="302850286">
          <w:marLeft w:val="0"/>
          <w:marRight w:val="0"/>
          <w:marTop w:val="0"/>
          <w:marBottom w:val="0"/>
          <w:divBdr>
            <w:top w:val="none" w:sz="0" w:space="0" w:color="auto"/>
            <w:left w:val="none" w:sz="0" w:space="0" w:color="auto"/>
            <w:bottom w:val="none" w:sz="0" w:space="0" w:color="auto"/>
            <w:right w:val="none" w:sz="0" w:space="0" w:color="auto"/>
          </w:divBdr>
        </w:div>
        <w:div w:id="1408653648">
          <w:marLeft w:val="0"/>
          <w:marRight w:val="0"/>
          <w:marTop w:val="0"/>
          <w:marBottom w:val="0"/>
          <w:divBdr>
            <w:top w:val="none" w:sz="0" w:space="0" w:color="auto"/>
            <w:left w:val="none" w:sz="0" w:space="0" w:color="auto"/>
            <w:bottom w:val="none" w:sz="0" w:space="0" w:color="auto"/>
            <w:right w:val="none" w:sz="0" w:space="0" w:color="auto"/>
          </w:divBdr>
        </w:div>
        <w:div w:id="1769501264">
          <w:marLeft w:val="0"/>
          <w:marRight w:val="0"/>
          <w:marTop w:val="0"/>
          <w:marBottom w:val="0"/>
          <w:divBdr>
            <w:top w:val="none" w:sz="0" w:space="0" w:color="auto"/>
            <w:left w:val="none" w:sz="0" w:space="0" w:color="auto"/>
            <w:bottom w:val="none" w:sz="0" w:space="0" w:color="auto"/>
            <w:right w:val="none" w:sz="0" w:space="0" w:color="auto"/>
          </w:divBdr>
        </w:div>
        <w:div w:id="200822106">
          <w:marLeft w:val="0"/>
          <w:marRight w:val="0"/>
          <w:marTop w:val="0"/>
          <w:marBottom w:val="0"/>
          <w:divBdr>
            <w:top w:val="none" w:sz="0" w:space="0" w:color="auto"/>
            <w:left w:val="none" w:sz="0" w:space="0" w:color="auto"/>
            <w:bottom w:val="none" w:sz="0" w:space="0" w:color="auto"/>
            <w:right w:val="none" w:sz="0" w:space="0" w:color="auto"/>
          </w:divBdr>
        </w:div>
        <w:div w:id="289166837">
          <w:marLeft w:val="0"/>
          <w:marRight w:val="0"/>
          <w:marTop w:val="0"/>
          <w:marBottom w:val="0"/>
          <w:divBdr>
            <w:top w:val="none" w:sz="0" w:space="0" w:color="auto"/>
            <w:left w:val="none" w:sz="0" w:space="0" w:color="auto"/>
            <w:bottom w:val="none" w:sz="0" w:space="0" w:color="auto"/>
            <w:right w:val="none" w:sz="0" w:space="0" w:color="auto"/>
          </w:divBdr>
        </w:div>
        <w:div w:id="704448345">
          <w:marLeft w:val="0"/>
          <w:marRight w:val="0"/>
          <w:marTop w:val="0"/>
          <w:marBottom w:val="0"/>
          <w:divBdr>
            <w:top w:val="none" w:sz="0" w:space="0" w:color="auto"/>
            <w:left w:val="none" w:sz="0" w:space="0" w:color="auto"/>
            <w:bottom w:val="none" w:sz="0" w:space="0" w:color="auto"/>
            <w:right w:val="none" w:sz="0" w:space="0" w:color="auto"/>
          </w:divBdr>
        </w:div>
        <w:div w:id="1894265959">
          <w:marLeft w:val="0"/>
          <w:marRight w:val="0"/>
          <w:marTop w:val="0"/>
          <w:marBottom w:val="0"/>
          <w:divBdr>
            <w:top w:val="none" w:sz="0" w:space="0" w:color="auto"/>
            <w:left w:val="none" w:sz="0" w:space="0" w:color="auto"/>
            <w:bottom w:val="none" w:sz="0" w:space="0" w:color="auto"/>
            <w:right w:val="none" w:sz="0" w:space="0" w:color="auto"/>
          </w:divBdr>
        </w:div>
      </w:divsChild>
    </w:div>
    <w:div w:id="196742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5A2E0-0A55-4246-9ADF-F13F219D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5612</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Baris Göktepe</cp:lastModifiedBy>
  <cp:revision>3</cp:revision>
  <dcterms:created xsi:type="dcterms:W3CDTF">2019-11-08T13:10:00Z</dcterms:created>
  <dcterms:modified xsi:type="dcterms:W3CDTF">2019-11-08T13:11:00Z</dcterms:modified>
</cp:coreProperties>
</file>