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0D24BB2" w:rsidR="009C0564" w:rsidRPr="002F271F" w:rsidRDefault="00E50A11" w:rsidP="003E0282">
      <w:pPr>
        <w:tabs>
          <w:tab w:val="right" w:pos="9216"/>
        </w:tabs>
        <w:spacing w:after="0"/>
        <w:jc w:val="left"/>
        <w:rPr>
          <w:b/>
          <w:kern w:val="2"/>
          <w:lang w:eastAsia="zh-CN"/>
        </w:rPr>
      </w:pPr>
      <w:r w:rsidRPr="002F271F">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2F271F">
        <w:rPr>
          <w:b/>
          <w:kern w:val="2"/>
          <w:lang w:eastAsia="zh-CN"/>
        </w:rPr>
        <w:t xml:space="preserve">3GPP TSG RAN WG1 </w:t>
      </w:r>
      <w:r w:rsidR="00167C3C" w:rsidRPr="002F271F">
        <w:rPr>
          <w:b/>
          <w:kern w:val="2"/>
          <w:lang w:eastAsia="zh-CN"/>
        </w:rPr>
        <w:t>Meeting #9</w:t>
      </w:r>
      <w:r w:rsidR="00F53D12" w:rsidRPr="002F271F">
        <w:rPr>
          <w:b/>
          <w:kern w:val="2"/>
          <w:lang w:eastAsia="zh-CN"/>
        </w:rPr>
        <w:t>9</w:t>
      </w:r>
      <w:r w:rsidR="00972929" w:rsidRPr="002F271F">
        <w:rPr>
          <w:b/>
          <w:kern w:val="2"/>
          <w:lang w:eastAsia="zh-CN"/>
        </w:rPr>
        <w:tab/>
      </w:r>
      <w:r w:rsidR="006A6807" w:rsidRPr="002F271F">
        <w:rPr>
          <w:b/>
          <w:kern w:val="2"/>
          <w:lang w:eastAsia="zh-CN"/>
        </w:rPr>
        <w:t>R1-191</w:t>
      </w:r>
      <w:r w:rsidR="006F11F0">
        <w:rPr>
          <w:b/>
          <w:kern w:val="2"/>
          <w:lang w:eastAsia="zh-CN"/>
        </w:rPr>
        <w:t>2423</w:t>
      </w:r>
      <w:r w:rsidR="006A6807" w:rsidRPr="002F271F" w:rsidDel="006A6807">
        <w:rPr>
          <w:b/>
          <w:kern w:val="2"/>
          <w:lang w:eastAsia="zh-CN"/>
        </w:rPr>
        <w:t xml:space="preserve"> </w:t>
      </w:r>
    </w:p>
    <w:p w14:paraId="2A9D85E6" w14:textId="78A3712A" w:rsidR="009C0564" w:rsidRPr="002F271F" w:rsidRDefault="00F53D12" w:rsidP="00DA0712">
      <w:pPr>
        <w:jc w:val="left"/>
        <w:rPr>
          <w:b/>
          <w:kern w:val="2"/>
          <w:lang w:eastAsia="zh-CN"/>
        </w:rPr>
      </w:pPr>
      <w:r w:rsidRPr="002F271F">
        <w:rPr>
          <w:b/>
          <w:kern w:val="2"/>
          <w:lang w:eastAsia="zh-CN"/>
        </w:rPr>
        <w:t>Reno, USA</w:t>
      </w:r>
      <w:r w:rsidR="00753191" w:rsidRPr="002F271F">
        <w:rPr>
          <w:b/>
          <w:kern w:val="2"/>
          <w:lang w:eastAsia="zh-CN"/>
        </w:rPr>
        <w:t xml:space="preserve">, </w:t>
      </w:r>
      <w:r w:rsidRPr="002F271F">
        <w:rPr>
          <w:b/>
          <w:kern w:val="2"/>
          <w:lang w:eastAsia="zh-CN"/>
        </w:rPr>
        <w:t>November 18-22</w:t>
      </w:r>
      <w:r w:rsidR="00E07679" w:rsidRPr="002F271F">
        <w:rPr>
          <w:b/>
          <w:kern w:val="2"/>
          <w:lang w:eastAsia="zh-CN"/>
        </w:rPr>
        <w:t>, 2019</w:t>
      </w:r>
    </w:p>
    <w:p w14:paraId="7826937B" w14:textId="08ACB388" w:rsidR="009C0564" w:rsidRPr="002F271F" w:rsidRDefault="009C0564" w:rsidP="003E0282">
      <w:pPr>
        <w:spacing w:after="60"/>
        <w:ind w:left="1555" w:hanging="1555"/>
        <w:jc w:val="left"/>
        <w:rPr>
          <w:b/>
          <w:lang w:eastAsia="zh-CN"/>
        </w:rPr>
      </w:pPr>
      <w:r w:rsidRPr="002F271F">
        <w:rPr>
          <w:b/>
          <w:lang w:eastAsia="zh-CN"/>
        </w:rPr>
        <w:t>Agenda Item:</w:t>
      </w:r>
      <w:r w:rsidR="00F31B49" w:rsidRPr="002F271F">
        <w:rPr>
          <w:b/>
          <w:lang w:eastAsia="zh-CN"/>
        </w:rPr>
        <w:tab/>
      </w:r>
      <w:r w:rsidR="00F245A3" w:rsidRPr="002F271F">
        <w:rPr>
          <w:b/>
          <w:lang w:eastAsia="zh-CN"/>
        </w:rPr>
        <w:t>7.2.</w:t>
      </w:r>
      <w:r w:rsidR="000A6A65" w:rsidRPr="002F271F">
        <w:rPr>
          <w:b/>
          <w:lang w:eastAsia="zh-CN"/>
        </w:rPr>
        <w:t>10.3</w:t>
      </w:r>
    </w:p>
    <w:p w14:paraId="7AF4C819" w14:textId="3B205E3B" w:rsidR="00BC1C3C" w:rsidRPr="002F271F" w:rsidRDefault="00305FF9" w:rsidP="003E0282">
      <w:pPr>
        <w:spacing w:after="60"/>
        <w:ind w:left="1555" w:hanging="1555"/>
        <w:jc w:val="left"/>
        <w:rPr>
          <w:b/>
          <w:kern w:val="2"/>
          <w:lang w:eastAsia="zh-CN"/>
        </w:rPr>
      </w:pPr>
      <w:r w:rsidRPr="002F271F">
        <w:rPr>
          <w:b/>
          <w:kern w:val="2"/>
          <w:lang w:eastAsia="zh-CN"/>
        </w:rPr>
        <w:t>Source:</w:t>
      </w:r>
      <w:r w:rsidRPr="002F271F">
        <w:rPr>
          <w:b/>
          <w:kern w:val="2"/>
          <w:lang w:eastAsia="zh-CN"/>
        </w:rPr>
        <w:tab/>
      </w:r>
      <w:r w:rsidR="00D74B92" w:rsidRPr="002F271F">
        <w:rPr>
          <w:b/>
          <w:bCs/>
          <w:caps/>
          <w:sz w:val="24"/>
          <w:szCs w:val="24"/>
          <w:shd w:val="clear" w:color="auto" w:fill="FFFFFF"/>
        </w:rPr>
        <w:t>F</w:t>
      </w:r>
      <w:r w:rsidR="00D74B92" w:rsidRPr="002F271F">
        <w:rPr>
          <w:b/>
          <w:bCs/>
          <w:smallCaps/>
          <w:sz w:val="24"/>
          <w:szCs w:val="24"/>
          <w:shd w:val="clear" w:color="auto" w:fill="FFFFFF"/>
        </w:rPr>
        <w:t>uturewei</w:t>
      </w:r>
    </w:p>
    <w:p w14:paraId="592199C5" w14:textId="67578FB8" w:rsidR="00804DA1" w:rsidRPr="002F271F" w:rsidRDefault="009C0564" w:rsidP="003E0282">
      <w:pPr>
        <w:spacing w:after="60"/>
        <w:ind w:left="1555" w:hanging="1555"/>
        <w:jc w:val="left"/>
        <w:rPr>
          <w:b/>
          <w:lang w:eastAsia="zh-CN"/>
        </w:rPr>
      </w:pPr>
      <w:r w:rsidRPr="002F271F">
        <w:rPr>
          <w:b/>
          <w:lang w:eastAsia="zh-CN"/>
        </w:rPr>
        <w:t>Title:</w:t>
      </w:r>
      <w:r w:rsidRPr="002F271F">
        <w:rPr>
          <w:b/>
          <w:lang w:eastAsia="zh-CN"/>
        </w:rPr>
        <w:tab/>
      </w:r>
      <w:r w:rsidR="00884CC4" w:rsidRPr="00884CC4">
        <w:rPr>
          <w:b/>
          <w:lang w:eastAsia="zh-CN"/>
        </w:rPr>
        <w:t>Remaining Issues for NR Positioning Measurements</w:t>
      </w:r>
      <w:bookmarkStart w:id="0" w:name="_GoBack"/>
      <w:bookmarkEnd w:id="0"/>
    </w:p>
    <w:p w14:paraId="62BCD72B" w14:textId="77777777" w:rsidR="009C0564" w:rsidRPr="002F271F" w:rsidRDefault="009C0564" w:rsidP="003E0282">
      <w:pPr>
        <w:spacing w:after="60"/>
        <w:ind w:left="1555" w:hanging="1555"/>
        <w:jc w:val="left"/>
        <w:rPr>
          <w:b/>
          <w:kern w:val="2"/>
          <w:lang w:eastAsia="zh-CN"/>
        </w:rPr>
      </w:pPr>
      <w:r w:rsidRPr="002F271F">
        <w:rPr>
          <w:b/>
          <w:kern w:val="2"/>
          <w:lang w:eastAsia="zh-CN"/>
        </w:rPr>
        <w:t>Document for:</w:t>
      </w:r>
      <w:r w:rsidRPr="002F271F">
        <w:rPr>
          <w:b/>
          <w:kern w:val="2"/>
          <w:lang w:eastAsia="zh-CN"/>
        </w:rPr>
        <w:tab/>
      </w:r>
      <w:r w:rsidR="001F7121" w:rsidRPr="002F271F">
        <w:rPr>
          <w:b/>
          <w:kern w:val="2"/>
          <w:lang w:eastAsia="zh-CN"/>
        </w:rPr>
        <w:t>Discussion and decision</w:t>
      </w:r>
      <w:r w:rsidR="002D0439" w:rsidRPr="002F271F">
        <w:rPr>
          <w:b/>
          <w:kern w:val="2"/>
          <w:lang w:eastAsia="zh-CN"/>
        </w:rPr>
        <w:t xml:space="preserve"> </w:t>
      </w:r>
    </w:p>
    <w:p w14:paraId="0197657D" w14:textId="77777777" w:rsidR="009C0564" w:rsidRPr="002F271F" w:rsidRDefault="009C0564" w:rsidP="007F5EC6"/>
    <w:p w14:paraId="281D3039" w14:textId="77777777" w:rsidR="009C0564" w:rsidRPr="002F271F" w:rsidRDefault="009C0564">
      <w:pPr>
        <w:pStyle w:val="Heading1"/>
        <w:rPr>
          <w:rFonts w:ascii="Times New Roman" w:hAnsi="Times New Roman"/>
        </w:rPr>
      </w:pPr>
      <w:bookmarkStart w:id="1" w:name="_Ref124589705"/>
      <w:bookmarkStart w:id="2" w:name="_Ref129681862"/>
      <w:r w:rsidRPr="002F271F">
        <w:rPr>
          <w:rFonts w:ascii="Times New Roman" w:hAnsi="Times New Roman"/>
        </w:rPr>
        <w:t>Introduction</w:t>
      </w:r>
      <w:bookmarkEnd w:id="1"/>
      <w:bookmarkEnd w:id="2"/>
    </w:p>
    <w:p w14:paraId="0AC5F634" w14:textId="6DBF4A34" w:rsidR="000A6A65" w:rsidRPr="002F271F" w:rsidRDefault="000A6A65" w:rsidP="0074366E">
      <w:pPr>
        <w:rPr>
          <w:i/>
        </w:rPr>
      </w:pPr>
      <w:r w:rsidRPr="002F271F">
        <w:t xml:space="preserve">In this contribution, </w:t>
      </w:r>
      <w:r w:rsidR="00A9151E">
        <w:t xml:space="preserve">some </w:t>
      </w:r>
      <w:r w:rsidRPr="002F271F">
        <w:t xml:space="preserve">remaining issues on the finalization of UE and gNB measurements to support DL and UL reference signals for NR Positioning are discussed. </w:t>
      </w:r>
    </w:p>
    <w:p w14:paraId="7EA95162" w14:textId="77777777" w:rsidR="00B87EC9" w:rsidRPr="002F271F" w:rsidRDefault="00B87EC9" w:rsidP="007F5EC6">
      <w:bookmarkStart w:id="3" w:name="_Hlk19889884"/>
    </w:p>
    <w:p w14:paraId="35954F20" w14:textId="06518142" w:rsidR="00816E9B" w:rsidRPr="002F271F" w:rsidRDefault="00221940" w:rsidP="00493C77">
      <w:pPr>
        <w:pStyle w:val="Heading1"/>
        <w:rPr>
          <w:rFonts w:ascii="Times New Roman" w:hAnsi="Times New Roman"/>
        </w:rPr>
      </w:pPr>
      <w:r w:rsidRPr="002F271F">
        <w:rPr>
          <w:rFonts w:ascii="Times New Roman" w:hAnsi="Times New Roman"/>
        </w:rPr>
        <w:t xml:space="preserve">Discussion  </w:t>
      </w:r>
      <w:r w:rsidR="00142709" w:rsidRPr="002F271F">
        <w:rPr>
          <w:rFonts w:ascii="Times New Roman" w:hAnsi="Times New Roman"/>
        </w:rPr>
        <w:t xml:space="preserve"> </w:t>
      </w:r>
      <w:r w:rsidR="00786B58" w:rsidRPr="002F271F">
        <w:rPr>
          <w:rFonts w:ascii="Times New Roman" w:hAnsi="Times New Roman"/>
        </w:rPr>
        <w:t xml:space="preserve">  </w:t>
      </w:r>
      <w:r w:rsidR="000A6A65" w:rsidRPr="002F271F">
        <w:rPr>
          <w:rFonts w:ascii="Times New Roman" w:hAnsi="Times New Roman"/>
        </w:rPr>
        <w:t xml:space="preserve"> </w:t>
      </w:r>
    </w:p>
    <w:bookmarkEnd w:id="3"/>
    <w:p w14:paraId="1DCFA3EC" w14:textId="5005C9AF" w:rsidR="000A6A65" w:rsidRPr="002F271F" w:rsidRDefault="000A6A65" w:rsidP="000A6A65">
      <w:r w:rsidRPr="002F271F">
        <w:t>In RAN1#9</w:t>
      </w:r>
      <w:r w:rsidR="00142709" w:rsidRPr="002F271F">
        <w:t>8bis</w:t>
      </w:r>
      <w:r w:rsidRPr="002F271F">
        <w:t xml:space="preserve">, the following </w:t>
      </w:r>
      <w:r w:rsidR="00221940" w:rsidRPr="002F271F">
        <w:t>issues remain from [1]</w:t>
      </w:r>
      <w:r w:rsidRPr="002F271F">
        <w:t>:</w:t>
      </w:r>
    </w:p>
    <w:p w14:paraId="5EFFAB80" w14:textId="77777777" w:rsidR="00376261" w:rsidRPr="002F271F" w:rsidRDefault="00221940" w:rsidP="00376261">
      <w:pPr>
        <w:pStyle w:val="ListParagraph"/>
        <w:numPr>
          <w:ilvl w:val="0"/>
          <w:numId w:val="31"/>
        </w:numPr>
        <w:rPr>
          <w:rFonts w:ascii="Times New Roman" w:hAnsi="Times New Roman"/>
        </w:rPr>
      </w:pPr>
      <w:r w:rsidRPr="002F271F">
        <w:rPr>
          <w:rFonts w:ascii="Times New Roman" w:hAnsi="Times New Roman"/>
        </w:rPr>
        <w:t>UE Measurements:</w:t>
      </w:r>
    </w:p>
    <w:p w14:paraId="6288E708" w14:textId="5FD9A951" w:rsidR="00376261" w:rsidRPr="004A562B" w:rsidRDefault="00376261" w:rsidP="004A562B">
      <w:pPr>
        <w:rPr>
          <w:rFonts w:eastAsia="DengXian"/>
          <w:lang w:val="en-GB"/>
        </w:rPr>
      </w:pPr>
      <w:r w:rsidRPr="004A562B">
        <w:t xml:space="preserve">Issue 1:  </w:t>
      </w:r>
      <w:r w:rsidR="00CA5F2A" w:rsidRPr="004A562B">
        <w:t xml:space="preserve">Support of </w:t>
      </w:r>
      <w:r w:rsidRPr="004A562B">
        <w:t>2 ports DL PRS. If it is decided to support 2 ports, the number of ports for DL PRS-RSRP measurement needs to be decided.</w:t>
      </w:r>
    </w:p>
    <w:p w14:paraId="58B2178D" w14:textId="687D071B" w:rsidR="00376261" w:rsidRPr="004A562B" w:rsidRDefault="002A34DE" w:rsidP="004A562B">
      <w:pPr>
        <w:spacing w:after="0"/>
      </w:pPr>
      <w:r w:rsidRPr="004A562B">
        <w:t>Current 38.215 supports receive diversity for its SS-RSRP and CSI-RSRP for both frequency 1 and 2 for improved received signal. The reported</w:t>
      </w:r>
      <w:r w:rsidRPr="004A562B">
        <w:rPr>
          <w:szCs w:val="18"/>
        </w:rPr>
        <w:t xml:space="preserve"> value shall not be lower than the corresponding value of any of the individual receiver branches. Adapting the same approach for DL PRS, the </w:t>
      </w:r>
      <w:r w:rsidR="00376261" w:rsidRPr="004A562B">
        <w:t>UE may measure PRS-RSRP from the 2 ports and report one PRS-RSRP with larger measured value.</w:t>
      </w:r>
    </w:p>
    <w:p w14:paraId="1F8673F2" w14:textId="7149EF40" w:rsidR="00C97AB7" w:rsidRDefault="00C97AB7" w:rsidP="00C97AB7">
      <w:pPr>
        <w:spacing w:after="0"/>
        <w:ind w:left="1440"/>
      </w:pPr>
    </w:p>
    <w:p w14:paraId="3C6C5DB7" w14:textId="33DC19FA" w:rsidR="00C97AB7" w:rsidRPr="00930BF4" w:rsidRDefault="00C97AB7" w:rsidP="004A562B">
      <w:pPr>
        <w:spacing w:after="0"/>
        <w:rPr>
          <w:i/>
        </w:rPr>
      </w:pPr>
      <w:r w:rsidRPr="00111AB8">
        <w:rPr>
          <w:b/>
          <w:i/>
        </w:rPr>
        <w:t xml:space="preserve">Observation 1: </w:t>
      </w:r>
      <w:r w:rsidR="00111AB8" w:rsidRPr="00930BF4">
        <w:rPr>
          <w:i/>
        </w:rPr>
        <w:t>2 ports DL PRS measurements is supported with reported value being the larger of the two measured RSRP</w:t>
      </w:r>
      <w:r w:rsidR="00930BF4" w:rsidRPr="00930BF4">
        <w:rPr>
          <w:i/>
        </w:rPr>
        <w:t>s</w:t>
      </w:r>
      <w:r w:rsidR="00111AB8" w:rsidRPr="00930BF4">
        <w:rPr>
          <w:i/>
        </w:rPr>
        <w:t>.</w:t>
      </w:r>
    </w:p>
    <w:p w14:paraId="47585469" w14:textId="77777777" w:rsidR="00C97AB7" w:rsidRPr="00C97AB7" w:rsidRDefault="00C97AB7" w:rsidP="00C97AB7">
      <w:pPr>
        <w:spacing w:after="0"/>
        <w:ind w:left="1440"/>
      </w:pPr>
    </w:p>
    <w:p w14:paraId="1014EE07" w14:textId="3A457AA6" w:rsidR="00376261" w:rsidRPr="004A562B" w:rsidRDefault="00376261" w:rsidP="004A562B">
      <w:pPr>
        <w:spacing w:after="0"/>
        <w:rPr>
          <w:rFonts w:eastAsia="MS Mincho"/>
          <w:szCs w:val="20"/>
          <w:lang w:val="en-GB"/>
        </w:rPr>
      </w:pPr>
      <w:r w:rsidRPr="004A562B">
        <w:rPr>
          <w:szCs w:val="20"/>
        </w:rPr>
        <w:t>Issue 2: Use of additional UE measurements</w:t>
      </w:r>
      <w:r w:rsidRPr="004A562B">
        <w:rPr>
          <w:rFonts w:eastAsia="MS Mincho"/>
          <w:szCs w:val="20"/>
        </w:rPr>
        <w:t xml:space="preserve"> e.g. </w:t>
      </w:r>
      <w:r w:rsidRPr="004A562B">
        <w:rPr>
          <w:rFonts w:eastAsia="MS Mincho"/>
          <w:szCs w:val="20"/>
          <w:lang w:val="en-GB"/>
        </w:rPr>
        <w:t>DL PRS SINR</w:t>
      </w:r>
      <w:r w:rsidRPr="004A562B">
        <w:rPr>
          <w:rFonts w:eastAsia="MS Mincho"/>
          <w:szCs w:val="20"/>
        </w:rPr>
        <w:t xml:space="preserve">, </w:t>
      </w:r>
      <w:r w:rsidRPr="004A562B">
        <w:rPr>
          <w:szCs w:val="20"/>
        </w:rPr>
        <w:t>RSRP</w:t>
      </w:r>
      <w:r w:rsidRPr="004A562B">
        <w:rPr>
          <w:szCs w:val="20"/>
          <w:vertAlign w:val="subscript"/>
        </w:rPr>
        <w:t xml:space="preserve">FAP, </w:t>
      </w:r>
      <w:r w:rsidRPr="004A562B">
        <w:rPr>
          <w:szCs w:val="20"/>
        </w:rPr>
        <w:t>TOA, SNR</w:t>
      </w:r>
    </w:p>
    <w:p w14:paraId="3420E52E" w14:textId="44E459B8" w:rsidR="00C97AB7" w:rsidRDefault="00C97AB7" w:rsidP="004A562B">
      <w:pPr>
        <w:pStyle w:val="3GPPAgreements"/>
        <w:numPr>
          <w:ilvl w:val="0"/>
          <w:numId w:val="0"/>
        </w:numPr>
      </w:pPr>
      <w:r w:rsidRPr="002F271F">
        <w:t>For NR positioning in R16, it has already been agreed that a new DL PRS is to be defined. To support RSTD, DL PRS-RSRP, defined as the linear average over the power contributions (in [W]) of the resource elements of the antenna port that carry a DL PRS resource, is the default RS for the RSTD measurements.</w:t>
      </w:r>
    </w:p>
    <w:p w14:paraId="745B6E88" w14:textId="77777777" w:rsidR="00C97AB7" w:rsidRDefault="00C97AB7" w:rsidP="004A562B">
      <w:pPr>
        <w:pStyle w:val="3GPPAgreements"/>
        <w:numPr>
          <w:ilvl w:val="0"/>
          <w:numId w:val="0"/>
        </w:numPr>
      </w:pPr>
      <w:r>
        <w:t>The introduction of new measurements that are enhancements to the agreed PRS-RSRP can be for further study in future releases.</w:t>
      </w:r>
    </w:p>
    <w:p w14:paraId="2FEE35FD" w14:textId="77777777" w:rsidR="002B6AF5" w:rsidRDefault="002B6AF5" w:rsidP="004A562B">
      <w:pPr>
        <w:pStyle w:val="3GPPAgreements"/>
        <w:numPr>
          <w:ilvl w:val="0"/>
          <w:numId w:val="0"/>
        </w:numPr>
        <w:ind w:left="284" w:hanging="284"/>
        <w:rPr>
          <w:b/>
          <w:i/>
        </w:rPr>
      </w:pPr>
    </w:p>
    <w:p w14:paraId="6D04DB04" w14:textId="70C2C0E6" w:rsidR="00C97AB7" w:rsidRPr="00111AB8" w:rsidRDefault="00C97AB7" w:rsidP="004A562B">
      <w:pPr>
        <w:pStyle w:val="3GPPAgreements"/>
        <w:numPr>
          <w:ilvl w:val="0"/>
          <w:numId w:val="0"/>
        </w:numPr>
        <w:ind w:left="284" w:hanging="284"/>
        <w:rPr>
          <w:b/>
          <w:i/>
        </w:rPr>
      </w:pPr>
      <w:r w:rsidRPr="00111AB8">
        <w:rPr>
          <w:b/>
          <w:i/>
        </w:rPr>
        <w:t>Observation 2:</w:t>
      </w:r>
      <w:r w:rsidR="00111AB8" w:rsidRPr="00111AB8">
        <w:rPr>
          <w:b/>
          <w:i/>
        </w:rPr>
        <w:t xml:space="preserve"> </w:t>
      </w:r>
      <w:r w:rsidR="00111AB8" w:rsidRPr="00930BF4">
        <w:rPr>
          <w:i/>
        </w:rPr>
        <w:t>No additional DL PRS measurements beyon</w:t>
      </w:r>
      <w:r w:rsidR="002B6AF5" w:rsidRPr="00930BF4">
        <w:rPr>
          <w:i/>
        </w:rPr>
        <w:t>d</w:t>
      </w:r>
      <w:r w:rsidR="00111AB8" w:rsidRPr="00930BF4">
        <w:rPr>
          <w:i/>
        </w:rPr>
        <w:t xml:space="preserve"> DL PRS-RSRP in Rel 16.</w:t>
      </w:r>
    </w:p>
    <w:p w14:paraId="0E5EAA71" w14:textId="77777777" w:rsidR="00C97AB7" w:rsidRPr="00C97AB7" w:rsidRDefault="00C97AB7" w:rsidP="00C97AB7">
      <w:pPr>
        <w:pStyle w:val="3GPPAgreements"/>
        <w:numPr>
          <w:ilvl w:val="0"/>
          <w:numId w:val="0"/>
        </w:numPr>
        <w:ind w:left="1429" w:firstLine="11"/>
        <w:rPr>
          <w:b/>
        </w:rPr>
      </w:pPr>
    </w:p>
    <w:p w14:paraId="46C69647" w14:textId="750B8C2F" w:rsidR="00376261" w:rsidRPr="002F271F" w:rsidRDefault="00376261" w:rsidP="00EE5A4B">
      <w:pPr>
        <w:pStyle w:val="ListParagraph"/>
        <w:numPr>
          <w:ilvl w:val="0"/>
          <w:numId w:val="16"/>
        </w:numPr>
        <w:rPr>
          <w:rFonts w:ascii="Times New Roman" w:hAnsi="Times New Roman"/>
        </w:rPr>
      </w:pPr>
      <w:r w:rsidRPr="002F271F">
        <w:rPr>
          <w:rFonts w:ascii="Times New Roman" w:hAnsi="Times New Roman"/>
        </w:rPr>
        <w:t>gNB Measurements</w:t>
      </w:r>
      <w:r w:rsidR="004A562B">
        <w:rPr>
          <w:rFonts w:ascii="Times New Roman" w:hAnsi="Times New Roman"/>
        </w:rPr>
        <w:t>:</w:t>
      </w:r>
    </w:p>
    <w:p w14:paraId="5D77EF98" w14:textId="6430A0D7" w:rsidR="00221940" w:rsidRPr="004A562B" w:rsidRDefault="00376261" w:rsidP="004A562B">
      <w:r w:rsidRPr="004A562B">
        <w:t xml:space="preserve">Issue 1: </w:t>
      </w:r>
      <w:r w:rsidR="00221940" w:rsidRPr="004A562B">
        <w:t>Reference points for UL RTOA measurements in FR2</w:t>
      </w:r>
      <w:r w:rsidR="004A562B">
        <w:t>.</w:t>
      </w:r>
    </w:p>
    <w:p w14:paraId="1283D231" w14:textId="77777777" w:rsidR="00C97AB7" w:rsidRPr="000A6A65" w:rsidRDefault="00C97AB7" w:rsidP="00C97AB7">
      <w:r w:rsidRPr="000A6A65">
        <w:t>In RAN1#97, the reference point for RSTD measurements for FR1 is at the antenna connector at the UE and for FR2 the decision is left up to RAN4 in the following RAN1 agreement:</w:t>
      </w:r>
    </w:p>
    <w:p w14:paraId="66236FE0" w14:textId="77777777" w:rsidR="00C97AB7" w:rsidRPr="00B9675C" w:rsidRDefault="00C97AB7" w:rsidP="002B6AF5">
      <w:pPr>
        <w:rPr>
          <w:i/>
          <w:sz w:val="20"/>
        </w:rPr>
      </w:pPr>
      <w:r w:rsidRPr="00B9675C">
        <w:rPr>
          <w:i/>
          <w:sz w:val="20"/>
        </w:rPr>
        <w:t>Agreement:</w:t>
      </w:r>
    </w:p>
    <w:p w14:paraId="7887C88D" w14:textId="77777777" w:rsidR="00C97AB7" w:rsidRPr="00B9675C" w:rsidRDefault="00C97AB7" w:rsidP="002B6AF5">
      <w:pPr>
        <w:numPr>
          <w:ilvl w:val="0"/>
          <w:numId w:val="6"/>
        </w:numPr>
        <w:autoSpaceDE/>
        <w:autoSpaceDN/>
        <w:adjustRightInd/>
        <w:snapToGrid/>
        <w:spacing w:after="0"/>
        <w:ind w:left="721"/>
        <w:jc w:val="left"/>
        <w:rPr>
          <w:i/>
          <w:sz w:val="20"/>
        </w:rPr>
      </w:pPr>
      <w:r w:rsidRPr="00B9675C">
        <w:rPr>
          <w:i/>
          <w:sz w:val="20"/>
        </w:rPr>
        <w:t>For FR1, the reference point of the RSTD measurement is the Rx antenna connector of the UE</w:t>
      </w:r>
    </w:p>
    <w:p w14:paraId="0C25C3CF" w14:textId="77777777" w:rsidR="00C97AB7" w:rsidRPr="00B9675C" w:rsidRDefault="00C97AB7" w:rsidP="002B6AF5">
      <w:pPr>
        <w:numPr>
          <w:ilvl w:val="0"/>
          <w:numId w:val="6"/>
        </w:numPr>
        <w:autoSpaceDE/>
        <w:autoSpaceDN/>
        <w:adjustRightInd/>
        <w:snapToGrid/>
        <w:spacing w:after="0"/>
        <w:ind w:left="721"/>
        <w:jc w:val="left"/>
        <w:rPr>
          <w:i/>
          <w:sz w:val="20"/>
        </w:rPr>
      </w:pPr>
      <w:r w:rsidRPr="00B9675C">
        <w:rPr>
          <w:i/>
          <w:sz w:val="20"/>
        </w:rPr>
        <w:t xml:space="preserve">For FR2, RAN1 has considered the following options as the reference point of the RSTD measurement. The final decision is up to RAN4 on how to define the reference point of the RSTD measurement. </w:t>
      </w:r>
    </w:p>
    <w:p w14:paraId="1FD595F9" w14:textId="77777777" w:rsidR="00C97AB7" w:rsidRPr="00B9675C" w:rsidRDefault="00C97AB7" w:rsidP="002B6AF5">
      <w:pPr>
        <w:numPr>
          <w:ilvl w:val="1"/>
          <w:numId w:val="6"/>
        </w:numPr>
        <w:autoSpaceDE/>
        <w:autoSpaceDN/>
        <w:adjustRightInd/>
        <w:snapToGrid/>
        <w:spacing w:after="0"/>
        <w:jc w:val="left"/>
        <w:rPr>
          <w:i/>
          <w:sz w:val="20"/>
        </w:rPr>
      </w:pPr>
      <w:r w:rsidRPr="00B9675C">
        <w:rPr>
          <w:i/>
          <w:sz w:val="20"/>
        </w:rPr>
        <w:t>Option 1: the combined signal from antenna elements corresponding to a given receiver</w:t>
      </w:r>
    </w:p>
    <w:p w14:paraId="5FE726A8" w14:textId="77777777" w:rsidR="00C97AB7" w:rsidRPr="00B9675C" w:rsidRDefault="00C97AB7" w:rsidP="002B6AF5">
      <w:pPr>
        <w:numPr>
          <w:ilvl w:val="1"/>
          <w:numId w:val="6"/>
        </w:numPr>
        <w:autoSpaceDE/>
        <w:autoSpaceDN/>
        <w:adjustRightInd/>
        <w:snapToGrid/>
        <w:spacing w:after="0"/>
        <w:jc w:val="left"/>
        <w:rPr>
          <w:i/>
          <w:sz w:val="20"/>
        </w:rPr>
      </w:pPr>
      <w:r w:rsidRPr="00B9675C">
        <w:rPr>
          <w:i/>
          <w:sz w:val="20"/>
        </w:rPr>
        <w:t>Option 2: the Rx antenna of the UE</w:t>
      </w:r>
    </w:p>
    <w:p w14:paraId="41C2D386" w14:textId="4EB30053" w:rsidR="00C97AB7" w:rsidRDefault="004A562B" w:rsidP="00C97AB7">
      <w:r>
        <w:lastRenderedPageBreak/>
        <w:t>The agreements i</w:t>
      </w:r>
      <w:r w:rsidR="00C97AB7">
        <w:t>n RAN1#98</w:t>
      </w:r>
      <w:r>
        <w:t xml:space="preserve"> further </w:t>
      </w:r>
      <w:r w:rsidR="00C97AB7">
        <w:t xml:space="preserve">reaffirm the necessary support of </w:t>
      </w:r>
      <w:r w:rsidR="00C97AB7" w:rsidRPr="000A6A65">
        <w:t>beamforming, alignment and/or beam sweeping operations</w:t>
      </w:r>
      <w:r w:rsidR="00C97AB7">
        <w:t xml:space="preserve"> for NR positioning. </w:t>
      </w:r>
      <w:r w:rsidR="00C97AB7" w:rsidRPr="000A6A65">
        <w:t>The Resource and Resource Set are introduced so that each Resource in a Resource Set is associated with a single beam transmitted from a single TRP</w:t>
      </w:r>
      <w:r w:rsidR="00C97AB7">
        <w:t>.</w:t>
      </w:r>
    </w:p>
    <w:p w14:paraId="44204280" w14:textId="48BE733E" w:rsidR="004A562B" w:rsidRDefault="004A562B" w:rsidP="00C97AB7">
      <w:r>
        <w:t xml:space="preserve">Given that RAN1 has taken the above decision, </w:t>
      </w:r>
      <w:r w:rsidRPr="000A6A65">
        <w:t xml:space="preserve">RAN4 </w:t>
      </w:r>
      <w:r>
        <w:t xml:space="preserve">should be informed to ensure alignment such that </w:t>
      </w:r>
      <w:r w:rsidRPr="000A6A65">
        <w:t xml:space="preserve">the measurement reference point </w:t>
      </w:r>
      <w:r>
        <w:t>would take</w:t>
      </w:r>
      <w:r w:rsidRPr="000A6A65">
        <w:t xml:space="preserve"> into consideration the differentiation of beams through its antenna elements at the receiver</w:t>
      </w:r>
      <w:r>
        <w:t xml:space="preserve"> and </w:t>
      </w:r>
      <w:r w:rsidRPr="000A6A65">
        <w:t xml:space="preserve">the transmitter, </w:t>
      </w:r>
      <w:r>
        <w:t>for FR2. At the least, RAN1 should wait for RAN4 input.</w:t>
      </w:r>
    </w:p>
    <w:p w14:paraId="235D891D" w14:textId="0285DB09" w:rsidR="004A562B" w:rsidRPr="00930BF4" w:rsidRDefault="004A562B" w:rsidP="004A562B">
      <w:pPr>
        <w:pStyle w:val="3GPPAgreements"/>
        <w:numPr>
          <w:ilvl w:val="0"/>
          <w:numId w:val="0"/>
        </w:numPr>
        <w:ind w:left="284" w:hanging="284"/>
      </w:pPr>
      <w:r w:rsidRPr="004A562B">
        <w:rPr>
          <w:b/>
          <w:i/>
        </w:rPr>
        <w:t xml:space="preserve">Observation </w:t>
      </w:r>
      <w:r>
        <w:rPr>
          <w:b/>
          <w:i/>
        </w:rPr>
        <w:t>3</w:t>
      </w:r>
      <w:r w:rsidRPr="00C97AB7">
        <w:rPr>
          <w:b/>
        </w:rPr>
        <w:t>:</w:t>
      </w:r>
      <w:r>
        <w:rPr>
          <w:b/>
        </w:rPr>
        <w:t xml:space="preserve"> </w:t>
      </w:r>
      <w:r w:rsidRPr="00930BF4">
        <w:rPr>
          <w:i/>
        </w:rPr>
        <w:t>The reference point for UL RTOA measurements should be confirmed by RAN4.</w:t>
      </w:r>
    </w:p>
    <w:p w14:paraId="4D57F2A1" w14:textId="4203F3EA" w:rsidR="004A562B" w:rsidRDefault="004A562B" w:rsidP="00C97AB7"/>
    <w:p w14:paraId="6035E198" w14:textId="77777777" w:rsidR="004A562B" w:rsidRPr="002F271F" w:rsidRDefault="00221940" w:rsidP="004A562B">
      <w:pPr>
        <w:pStyle w:val="3GPPAgreements"/>
        <w:numPr>
          <w:ilvl w:val="0"/>
          <w:numId w:val="0"/>
        </w:numPr>
        <w:ind w:left="284" w:hanging="284"/>
        <w:rPr>
          <w:sz w:val="20"/>
        </w:rPr>
      </w:pPr>
      <w:r w:rsidRPr="002B6AF5">
        <w:t xml:space="preserve">Issue </w:t>
      </w:r>
      <w:r w:rsidR="00376261" w:rsidRPr="002B6AF5">
        <w:t>2</w:t>
      </w:r>
      <w:r w:rsidRPr="002B6AF5">
        <w:t>:</w:t>
      </w:r>
      <w:r w:rsidRPr="002F271F">
        <w:t xml:space="preserve"> Additional gNB me</w:t>
      </w:r>
      <w:r w:rsidR="00376261" w:rsidRPr="002F271F">
        <w:t>a</w:t>
      </w:r>
      <w:r w:rsidRPr="002F271F">
        <w:t>surements</w:t>
      </w:r>
      <w:r w:rsidR="004A562B">
        <w:t xml:space="preserve"> e.g. </w:t>
      </w:r>
      <w:r w:rsidR="004A562B" w:rsidRPr="002F271F">
        <w:rPr>
          <w:sz w:val="20"/>
        </w:rPr>
        <w:t>UL SRS (PRS) SINR</w:t>
      </w:r>
      <w:r w:rsidR="004A562B">
        <w:rPr>
          <w:sz w:val="20"/>
        </w:rPr>
        <w:t xml:space="preserve">, </w:t>
      </w:r>
      <w:r w:rsidR="004A562B" w:rsidRPr="002F271F">
        <w:rPr>
          <w:sz w:val="20"/>
        </w:rPr>
        <w:t>UL SRS (PRS) RSRP</w:t>
      </w:r>
      <w:r w:rsidR="004A562B" w:rsidRPr="002F271F">
        <w:rPr>
          <w:sz w:val="20"/>
          <w:vertAlign w:val="subscript"/>
        </w:rPr>
        <w:t>FAP</w:t>
      </w:r>
    </w:p>
    <w:p w14:paraId="10BF9F7B" w14:textId="73AB952D" w:rsidR="004A562B" w:rsidRPr="00930BF4" w:rsidRDefault="004A562B" w:rsidP="004A562B">
      <w:pPr>
        <w:rPr>
          <w:i/>
          <w:lang w:val="en-GB"/>
        </w:rPr>
      </w:pPr>
      <w:r w:rsidRPr="00111AB8">
        <w:rPr>
          <w:b/>
          <w:i/>
          <w:lang w:val="en-GB"/>
        </w:rPr>
        <w:t xml:space="preserve">Observation 4: </w:t>
      </w:r>
      <w:r w:rsidRPr="00930BF4">
        <w:rPr>
          <w:i/>
          <w:lang w:val="en-GB"/>
        </w:rPr>
        <w:t xml:space="preserve">Unless the essential functionality is not being provided by the existing agreed UL SRS RSRP, further measurements enhancements </w:t>
      </w:r>
      <w:r w:rsidR="00111AB8" w:rsidRPr="00930BF4">
        <w:rPr>
          <w:i/>
          <w:lang w:val="en-GB"/>
        </w:rPr>
        <w:t>can be considered beyond</w:t>
      </w:r>
      <w:r w:rsidRPr="00930BF4">
        <w:rPr>
          <w:i/>
          <w:lang w:val="en-GB"/>
        </w:rPr>
        <w:t xml:space="preserve"> Rel16.</w:t>
      </w:r>
    </w:p>
    <w:p w14:paraId="7C1019ED" w14:textId="47436E9C" w:rsidR="00221940" w:rsidRDefault="00221940" w:rsidP="00221940">
      <w:pPr>
        <w:pStyle w:val="ListParagraph"/>
        <w:ind w:left="568"/>
        <w:rPr>
          <w:rFonts w:ascii="Times New Roman" w:hAnsi="Times New Roman"/>
          <w:sz w:val="16"/>
          <w:szCs w:val="16"/>
        </w:rPr>
      </w:pPr>
    </w:p>
    <w:p w14:paraId="00F72FB1" w14:textId="77777777" w:rsidR="004A562B" w:rsidRPr="002F271F" w:rsidRDefault="004A562B" w:rsidP="00221940">
      <w:pPr>
        <w:pStyle w:val="ListParagraph"/>
        <w:ind w:left="568"/>
        <w:rPr>
          <w:rFonts w:ascii="Times New Roman" w:hAnsi="Times New Roman"/>
          <w:sz w:val="16"/>
          <w:szCs w:val="16"/>
        </w:rPr>
      </w:pPr>
    </w:p>
    <w:p w14:paraId="18B94AA5" w14:textId="4F262795" w:rsidR="00157FC3" w:rsidRPr="002F271F" w:rsidRDefault="00747F48" w:rsidP="00493C77">
      <w:pPr>
        <w:pStyle w:val="Heading1"/>
        <w:rPr>
          <w:rFonts w:ascii="Times New Roman" w:hAnsi="Times New Roman"/>
        </w:rPr>
      </w:pPr>
      <w:bookmarkStart w:id="4" w:name="_Ref129681832"/>
      <w:r w:rsidRPr="002F271F">
        <w:rPr>
          <w:rFonts w:ascii="Times New Roman" w:hAnsi="Times New Roman"/>
        </w:rPr>
        <w:t>Conclusion</w:t>
      </w:r>
      <w:r w:rsidR="006B1FD5" w:rsidRPr="002F271F">
        <w:rPr>
          <w:rFonts w:ascii="Times New Roman" w:hAnsi="Times New Roman"/>
        </w:rPr>
        <w:t>s</w:t>
      </w:r>
    </w:p>
    <w:p w14:paraId="220DB76F" w14:textId="77777777" w:rsidR="000A6A65" w:rsidRPr="002F271F" w:rsidRDefault="000A6A65" w:rsidP="000A6A65">
      <w:pPr>
        <w:rPr>
          <w:lang w:val="en-GB" w:eastAsia="zh-CN"/>
        </w:rPr>
      </w:pPr>
      <w:r w:rsidRPr="002F271F">
        <w:rPr>
          <w:lang w:val="en-GB" w:eastAsia="zh-CN"/>
        </w:rPr>
        <w:t>In this contribution, the following have been proposed:</w:t>
      </w:r>
    </w:p>
    <w:p w14:paraId="695044C8" w14:textId="4141DB69" w:rsidR="002B6AF5" w:rsidRPr="00930BF4" w:rsidRDefault="002B6AF5" w:rsidP="002B6AF5">
      <w:pPr>
        <w:spacing w:after="0"/>
        <w:rPr>
          <w:i/>
        </w:rPr>
      </w:pPr>
      <w:r w:rsidRPr="00111AB8">
        <w:rPr>
          <w:b/>
          <w:i/>
        </w:rPr>
        <w:t xml:space="preserve">Observation 1: </w:t>
      </w:r>
      <w:r w:rsidRPr="00930BF4">
        <w:rPr>
          <w:i/>
        </w:rPr>
        <w:t>2 ports DL PRS measurements is supported with reported value being the larger of the two measured RSRP</w:t>
      </w:r>
      <w:r w:rsidR="00930BF4" w:rsidRPr="00930BF4">
        <w:rPr>
          <w:i/>
        </w:rPr>
        <w:t>s</w:t>
      </w:r>
      <w:r w:rsidRPr="00930BF4">
        <w:rPr>
          <w:i/>
        </w:rPr>
        <w:t>.</w:t>
      </w:r>
    </w:p>
    <w:p w14:paraId="0D876484" w14:textId="681839DC" w:rsidR="002B6AF5" w:rsidRPr="00111AB8" w:rsidRDefault="002B6AF5" w:rsidP="002B6AF5">
      <w:pPr>
        <w:pStyle w:val="3GPPAgreements"/>
        <w:numPr>
          <w:ilvl w:val="0"/>
          <w:numId w:val="0"/>
        </w:numPr>
        <w:ind w:left="284" w:hanging="284"/>
        <w:rPr>
          <w:b/>
          <w:i/>
        </w:rPr>
      </w:pPr>
      <w:r w:rsidRPr="00111AB8">
        <w:rPr>
          <w:b/>
          <w:i/>
        </w:rPr>
        <w:t xml:space="preserve">Observation 2: </w:t>
      </w:r>
      <w:r w:rsidRPr="00930BF4">
        <w:rPr>
          <w:i/>
        </w:rPr>
        <w:t>No additional DL PRS measurements beyond DL PRS-RSRP in Rel 16.</w:t>
      </w:r>
    </w:p>
    <w:p w14:paraId="045458E1" w14:textId="69AF41FE" w:rsidR="002B6AF5" w:rsidRPr="00930BF4" w:rsidRDefault="002B6AF5" w:rsidP="002B6AF5">
      <w:pPr>
        <w:pStyle w:val="3GPPAgreements"/>
        <w:numPr>
          <w:ilvl w:val="0"/>
          <w:numId w:val="0"/>
        </w:numPr>
        <w:ind w:left="284" w:hanging="284"/>
      </w:pPr>
      <w:r w:rsidRPr="004A562B">
        <w:rPr>
          <w:b/>
          <w:i/>
        </w:rPr>
        <w:t xml:space="preserve">Observation </w:t>
      </w:r>
      <w:r>
        <w:rPr>
          <w:b/>
          <w:i/>
        </w:rPr>
        <w:t>3</w:t>
      </w:r>
      <w:r w:rsidRPr="00C97AB7">
        <w:rPr>
          <w:b/>
        </w:rPr>
        <w:t>:</w:t>
      </w:r>
      <w:r>
        <w:rPr>
          <w:b/>
        </w:rPr>
        <w:t xml:space="preserve"> </w:t>
      </w:r>
      <w:r w:rsidRPr="00930BF4">
        <w:rPr>
          <w:i/>
        </w:rPr>
        <w:t>The reference point for UL RTOA measurements should be confirmed by RAN4.</w:t>
      </w:r>
    </w:p>
    <w:p w14:paraId="160D176D" w14:textId="77777777" w:rsidR="002B6AF5" w:rsidRPr="00930BF4" w:rsidRDefault="002B6AF5" w:rsidP="002B6AF5">
      <w:pPr>
        <w:rPr>
          <w:i/>
          <w:lang w:val="en-GB"/>
        </w:rPr>
      </w:pPr>
      <w:r w:rsidRPr="00111AB8">
        <w:rPr>
          <w:b/>
          <w:i/>
          <w:lang w:val="en-GB"/>
        </w:rPr>
        <w:t>Observation 4</w:t>
      </w:r>
      <w:r w:rsidRPr="00930BF4">
        <w:rPr>
          <w:b/>
          <w:i/>
          <w:lang w:val="en-GB"/>
        </w:rPr>
        <w:t>:</w:t>
      </w:r>
      <w:r w:rsidRPr="00930BF4">
        <w:rPr>
          <w:i/>
          <w:lang w:val="en-GB"/>
        </w:rPr>
        <w:t xml:space="preserve"> Unless the essential functionality is not being provided by the existing agreed UL SRS RSRP, further measurements enhancements can be considered beyond Rel16.</w:t>
      </w:r>
    </w:p>
    <w:p w14:paraId="305EC903" w14:textId="77777777" w:rsidR="00940AE3" w:rsidRPr="002F271F" w:rsidRDefault="00940AE3" w:rsidP="00504A1B">
      <w:pPr>
        <w:rPr>
          <w:i/>
          <w:lang w:eastAsia="zh-CN"/>
        </w:rPr>
      </w:pPr>
    </w:p>
    <w:p w14:paraId="317C4076" w14:textId="15B475B9" w:rsidR="0021120F" w:rsidRPr="002F271F" w:rsidRDefault="0021120F" w:rsidP="00C32217">
      <w:pPr>
        <w:rPr>
          <w:lang w:val="en-GB" w:eastAsia="zh-CN"/>
        </w:rPr>
      </w:pPr>
    </w:p>
    <w:p w14:paraId="410E44E3" w14:textId="77777777" w:rsidR="001D780E" w:rsidRPr="002F271F"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2F271F">
        <w:rPr>
          <w:rFonts w:ascii="Times New Roman" w:hAnsi="Times New Roman"/>
        </w:rPr>
        <w:t>References</w:t>
      </w:r>
    </w:p>
    <w:bookmarkEnd w:id="4"/>
    <w:bookmarkEnd w:id="5"/>
    <w:bookmarkEnd w:id="6"/>
    <w:bookmarkEnd w:id="7"/>
    <w:p w14:paraId="1FC9BC0A" w14:textId="7D8B2070" w:rsidR="000A6A65" w:rsidRPr="002F271F" w:rsidRDefault="000A6A65" w:rsidP="000A6A65">
      <w:pPr>
        <w:rPr>
          <w:lang w:val="en-GB" w:eastAsia="zh-CN"/>
        </w:rPr>
      </w:pPr>
      <w:r w:rsidRPr="002F271F">
        <w:rPr>
          <w:lang w:eastAsia="zh-CN"/>
        </w:rPr>
        <w:t>[1]</w:t>
      </w:r>
      <w:r w:rsidRPr="002F271F">
        <w:rPr>
          <w:lang w:eastAsia="zh-CN"/>
        </w:rPr>
        <w:tab/>
        <w:t>R1-19</w:t>
      </w:r>
      <w:r w:rsidR="00142709" w:rsidRPr="002F271F">
        <w:rPr>
          <w:lang w:eastAsia="zh-CN"/>
        </w:rPr>
        <w:t>11531</w:t>
      </w:r>
      <w:r w:rsidRPr="002F271F">
        <w:rPr>
          <w:lang w:eastAsia="zh-CN"/>
        </w:rPr>
        <w:t>, “</w:t>
      </w:r>
      <w:r w:rsidRPr="002F271F">
        <w:t>Summary #2 of UE and gNB measurements for NR Positioning</w:t>
      </w:r>
      <w:r w:rsidRPr="002F271F">
        <w:rPr>
          <w:lang w:val="en-GB" w:eastAsia="zh-CN"/>
        </w:rPr>
        <w:t>,” CATT.</w:t>
      </w:r>
    </w:p>
    <w:p w14:paraId="367CF0F0" w14:textId="5F24BF3F" w:rsidR="00F62478" w:rsidRPr="002F271F" w:rsidRDefault="00F62478" w:rsidP="000A6A65">
      <w:pPr>
        <w:pStyle w:val="References"/>
        <w:numPr>
          <w:ilvl w:val="0"/>
          <w:numId w:val="0"/>
        </w:numPr>
        <w:ind w:left="360"/>
      </w:pPr>
    </w:p>
    <w:sectPr w:rsidR="00F62478" w:rsidRPr="002F27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2F2A7" w14:textId="77777777" w:rsidR="00B01F7A" w:rsidRDefault="00B01F7A">
      <w:r>
        <w:separator/>
      </w:r>
    </w:p>
  </w:endnote>
  <w:endnote w:type="continuationSeparator" w:id="0">
    <w:p w14:paraId="1CEF211F" w14:textId="77777777" w:rsidR="00B01F7A" w:rsidRDefault="00B0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82F00" w14:textId="77777777" w:rsidR="00B01F7A" w:rsidRDefault="00B01F7A">
      <w:r>
        <w:separator/>
      </w:r>
    </w:p>
  </w:footnote>
  <w:footnote w:type="continuationSeparator" w:id="0">
    <w:p w14:paraId="1068DDB1" w14:textId="77777777" w:rsidR="00B01F7A" w:rsidRDefault="00B0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BE5D71"/>
    <w:multiLevelType w:val="multilevel"/>
    <w:tmpl w:val="66F07834"/>
    <w:lvl w:ilvl="0">
      <w:start w:val="1"/>
      <w:numFmt w:val="lowerLetter"/>
      <w:lvlText w:val="%1."/>
      <w:lvlJc w:val="left"/>
      <w:pPr>
        <w:ind w:left="360" w:firstLine="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2F5449"/>
    <w:multiLevelType w:val="hybridMultilevel"/>
    <w:tmpl w:val="DC02E2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67D35E2C"/>
    <w:multiLevelType w:val="hybridMultilevel"/>
    <w:tmpl w:val="099C19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FB3317"/>
    <w:multiLevelType w:val="hybridMultilevel"/>
    <w:tmpl w:val="57E44E12"/>
    <w:lvl w:ilvl="0" w:tplc="0409000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B74FD"/>
    <w:multiLevelType w:val="multilevel"/>
    <w:tmpl w:val="6F0CBE3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B97A81"/>
    <w:multiLevelType w:val="hybridMultilevel"/>
    <w:tmpl w:val="A9362D34"/>
    <w:lvl w:ilvl="0" w:tplc="04090005">
      <w:start w:val="1"/>
      <w:numFmt w:val="bullet"/>
      <w:lvlText w:val=""/>
      <w:lvlJc w:val="left"/>
      <w:pPr>
        <w:ind w:left="2060" w:hanging="360"/>
      </w:pPr>
      <w:rPr>
        <w:rFonts w:ascii="Wingdings" w:hAnsi="Wingdings" w:hint="default"/>
      </w:rPr>
    </w:lvl>
    <w:lvl w:ilvl="1" w:tplc="04090003">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1"/>
  </w:num>
  <w:num w:numId="4">
    <w:abstractNumId w:val="22"/>
  </w:num>
  <w:num w:numId="5">
    <w:abstractNumId w:val="29"/>
  </w:num>
  <w:num w:numId="6">
    <w:abstractNumId w:val="0"/>
  </w:num>
  <w:num w:numId="7">
    <w:abstractNumId w:val="7"/>
  </w:num>
  <w:num w:numId="8">
    <w:abstractNumId w:val="1"/>
  </w:num>
  <w:num w:numId="9">
    <w:abstractNumId w:val="12"/>
  </w:num>
  <w:num w:numId="10">
    <w:abstractNumId w:val="5"/>
  </w:num>
  <w:num w:numId="11">
    <w:abstractNumId w:val="8"/>
  </w:num>
  <w:num w:numId="12">
    <w:abstractNumId w:val="14"/>
  </w:num>
  <w:num w:numId="13">
    <w:abstractNumId w:val="13"/>
  </w:num>
  <w:num w:numId="14">
    <w:abstractNumId w:val="19"/>
  </w:num>
  <w:num w:numId="15">
    <w:abstractNumId w:val="28"/>
  </w:num>
  <w:num w:numId="16">
    <w:abstractNumId w:val="26"/>
  </w:num>
  <w:num w:numId="17">
    <w:abstractNumId w:val="10"/>
  </w:num>
  <w:num w:numId="18">
    <w:abstractNumId w:val="4"/>
  </w:num>
  <w:num w:numId="19">
    <w:abstractNumId w:val="25"/>
  </w:num>
  <w:num w:numId="20">
    <w:abstractNumId w:val="27"/>
  </w:num>
  <w:num w:numId="21">
    <w:abstractNumId w:val="15"/>
  </w:num>
  <w:num w:numId="22">
    <w:abstractNumId w:val="23"/>
  </w:num>
  <w:num w:numId="23">
    <w:abstractNumId w:val="18"/>
  </w:num>
  <w:num w:numId="24">
    <w:abstractNumId w:val="17"/>
  </w:num>
  <w:num w:numId="25">
    <w:abstractNumId w:val="20"/>
  </w:num>
  <w:num w:numId="26">
    <w:abstractNumId w:val="3"/>
  </w:num>
  <w:num w:numId="27">
    <w:abstractNumId w:val="16"/>
  </w:num>
  <w:num w:numId="28">
    <w:abstractNumId w:val="31"/>
  </w:num>
  <w:num w:numId="29">
    <w:abstractNumId w:val="2"/>
  </w:num>
  <w:num w:numId="30">
    <w:abstractNumId w:val="24"/>
  </w:num>
  <w:num w:numId="31">
    <w:abstractNumId w:val="6"/>
  </w:num>
  <w:num w:numId="3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17"/>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85"/>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82"/>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B5B"/>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1AB8"/>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2709"/>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1D10"/>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0BB"/>
    <w:rsid w:val="00206808"/>
    <w:rsid w:val="00206E77"/>
    <w:rsid w:val="00207118"/>
    <w:rsid w:val="00210860"/>
    <w:rsid w:val="00210B6A"/>
    <w:rsid w:val="0021120F"/>
    <w:rsid w:val="00211C40"/>
    <w:rsid w:val="00211DAC"/>
    <w:rsid w:val="00211EB3"/>
    <w:rsid w:val="00212CB6"/>
    <w:rsid w:val="00212E37"/>
    <w:rsid w:val="00213B5D"/>
    <w:rsid w:val="002140FF"/>
    <w:rsid w:val="002164D8"/>
    <w:rsid w:val="00220894"/>
    <w:rsid w:val="0022095C"/>
    <w:rsid w:val="00221772"/>
    <w:rsid w:val="00221940"/>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DE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4D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AF5"/>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71F"/>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2D4"/>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261"/>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11C"/>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52D"/>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C6E"/>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2B"/>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439"/>
    <w:rsid w:val="004C6C17"/>
    <w:rsid w:val="004C7098"/>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0B3F"/>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09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79A"/>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8F1"/>
    <w:rsid w:val="00580E48"/>
    <w:rsid w:val="00580F0A"/>
    <w:rsid w:val="00581246"/>
    <w:rsid w:val="00582C3A"/>
    <w:rsid w:val="00582E1A"/>
    <w:rsid w:val="00583147"/>
    <w:rsid w:val="00583887"/>
    <w:rsid w:val="0058436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332"/>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DB9"/>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48"/>
    <w:rsid w:val="00634ACF"/>
    <w:rsid w:val="00635035"/>
    <w:rsid w:val="0063580D"/>
    <w:rsid w:val="00635CAE"/>
    <w:rsid w:val="00637240"/>
    <w:rsid w:val="00643607"/>
    <w:rsid w:val="00643660"/>
    <w:rsid w:val="006447DC"/>
    <w:rsid w:val="00644C95"/>
    <w:rsid w:val="00645361"/>
    <w:rsid w:val="00645817"/>
    <w:rsid w:val="00646711"/>
    <w:rsid w:val="006475AB"/>
    <w:rsid w:val="00647C6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41E"/>
    <w:rsid w:val="0065565F"/>
    <w:rsid w:val="0065589D"/>
    <w:rsid w:val="00655B63"/>
    <w:rsid w:val="006571F6"/>
    <w:rsid w:val="006613F4"/>
    <w:rsid w:val="006618CC"/>
    <w:rsid w:val="00661ACB"/>
    <w:rsid w:val="00661E09"/>
    <w:rsid w:val="00662111"/>
    <w:rsid w:val="00662118"/>
    <w:rsid w:val="00662E2F"/>
    <w:rsid w:val="006638AD"/>
    <w:rsid w:val="0066732C"/>
    <w:rsid w:val="006675B9"/>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807"/>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1F0"/>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4BB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66E"/>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B58"/>
    <w:rsid w:val="00786E71"/>
    <w:rsid w:val="007908F8"/>
    <w:rsid w:val="0079162F"/>
    <w:rsid w:val="00794924"/>
    <w:rsid w:val="0079506E"/>
    <w:rsid w:val="007A0BC2"/>
    <w:rsid w:val="007A1F44"/>
    <w:rsid w:val="007A23FF"/>
    <w:rsid w:val="007A25D6"/>
    <w:rsid w:val="007A2934"/>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CC4"/>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76"/>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0BF4"/>
    <w:rsid w:val="009312BE"/>
    <w:rsid w:val="009328C7"/>
    <w:rsid w:val="009336EC"/>
    <w:rsid w:val="00933F56"/>
    <w:rsid w:val="00934C13"/>
    <w:rsid w:val="0093515C"/>
    <w:rsid w:val="00935228"/>
    <w:rsid w:val="009355A2"/>
    <w:rsid w:val="00935F9E"/>
    <w:rsid w:val="00936D98"/>
    <w:rsid w:val="00940324"/>
    <w:rsid w:val="00940AE3"/>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D3A"/>
    <w:rsid w:val="009F3FB5"/>
    <w:rsid w:val="009F4129"/>
    <w:rsid w:val="009F521F"/>
    <w:rsid w:val="009F5356"/>
    <w:rsid w:val="009F550F"/>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F80"/>
    <w:rsid w:val="00A3611D"/>
    <w:rsid w:val="00A36339"/>
    <w:rsid w:val="00A366E4"/>
    <w:rsid w:val="00A41278"/>
    <w:rsid w:val="00A428FB"/>
    <w:rsid w:val="00A4376F"/>
    <w:rsid w:val="00A43FD0"/>
    <w:rsid w:val="00A44919"/>
    <w:rsid w:val="00A452E4"/>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085A"/>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51E"/>
    <w:rsid w:val="00A92286"/>
    <w:rsid w:val="00A922A2"/>
    <w:rsid w:val="00A93050"/>
    <w:rsid w:val="00A931F9"/>
    <w:rsid w:val="00A9327B"/>
    <w:rsid w:val="00A9361B"/>
    <w:rsid w:val="00A93AF7"/>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16E"/>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BA1"/>
    <w:rsid w:val="00AF0B68"/>
    <w:rsid w:val="00AF25D5"/>
    <w:rsid w:val="00AF3DBB"/>
    <w:rsid w:val="00AF4B8D"/>
    <w:rsid w:val="00AF5021"/>
    <w:rsid w:val="00AF5194"/>
    <w:rsid w:val="00AF53EF"/>
    <w:rsid w:val="00AF73C3"/>
    <w:rsid w:val="00AF795C"/>
    <w:rsid w:val="00B00752"/>
    <w:rsid w:val="00B0193D"/>
    <w:rsid w:val="00B01F7A"/>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75C"/>
    <w:rsid w:val="00B96BEF"/>
    <w:rsid w:val="00B96FC0"/>
    <w:rsid w:val="00B97260"/>
    <w:rsid w:val="00B974E0"/>
    <w:rsid w:val="00B97A69"/>
    <w:rsid w:val="00BA029E"/>
    <w:rsid w:val="00BA0375"/>
    <w:rsid w:val="00BA0632"/>
    <w:rsid w:val="00BA0AAA"/>
    <w:rsid w:val="00BA0DFB"/>
    <w:rsid w:val="00BA25F2"/>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34"/>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687"/>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5FD6"/>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97AB7"/>
    <w:rsid w:val="00CA0532"/>
    <w:rsid w:val="00CA17DE"/>
    <w:rsid w:val="00CA221D"/>
    <w:rsid w:val="00CA2241"/>
    <w:rsid w:val="00CA3CDD"/>
    <w:rsid w:val="00CA403B"/>
    <w:rsid w:val="00CA46C8"/>
    <w:rsid w:val="00CA505A"/>
    <w:rsid w:val="00CA59DD"/>
    <w:rsid w:val="00CA5F2A"/>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85F"/>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461B"/>
    <w:rsid w:val="00D55072"/>
    <w:rsid w:val="00D551B5"/>
    <w:rsid w:val="00D569FB"/>
    <w:rsid w:val="00D56AF5"/>
    <w:rsid w:val="00D56DB2"/>
    <w:rsid w:val="00D5747F"/>
    <w:rsid w:val="00D57495"/>
    <w:rsid w:val="00D574FA"/>
    <w:rsid w:val="00D57A0E"/>
    <w:rsid w:val="00D57AB5"/>
    <w:rsid w:val="00D60C8D"/>
    <w:rsid w:val="00D61033"/>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28"/>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A5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2890"/>
    <w:rsid w:val="00EA3B5A"/>
    <w:rsid w:val="00EA3F62"/>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72B"/>
    <w:rsid w:val="00F470D6"/>
    <w:rsid w:val="00F47498"/>
    <w:rsid w:val="00F512B2"/>
    <w:rsid w:val="00F5283D"/>
    <w:rsid w:val="00F52ABA"/>
    <w:rsid w:val="00F52BC7"/>
    <w:rsid w:val="00F53BF4"/>
    <w:rsid w:val="00F53D12"/>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964"/>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2BC"/>
    <w:rsid w:val="00FB1527"/>
    <w:rsid w:val="00FB1E67"/>
    <w:rsid w:val="00FB2537"/>
    <w:rsid w:val="00FB31BD"/>
    <w:rsid w:val="00FB338E"/>
    <w:rsid w:val="00FB33DC"/>
    <w:rsid w:val="00FB4338"/>
    <w:rsid w:val="00FB477E"/>
    <w:rsid w:val="00FB494F"/>
    <w:rsid w:val="00FB4C2A"/>
    <w:rsid w:val="00FB4C9C"/>
    <w:rsid w:val="00FB5148"/>
    <w:rsid w:val="00FB570B"/>
    <w:rsid w:val="00FB5A54"/>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18"/>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 w:type="paragraph" w:styleId="Subtitle">
    <w:name w:val="Subtitle"/>
    <w:basedOn w:val="Normal"/>
    <w:next w:val="Normal"/>
    <w:link w:val="SubtitleChar"/>
    <w:qFormat/>
    <w:rsid w:val="00786B58"/>
    <w:pPr>
      <w:autoSpaceDE/>
      <w:autoSpaceDN/>
      <w:adjustRightInd/>
      <w:snapToGrid/>
      <w:spacing w:after="180" w:line="276"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86B5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Heading1"/>
    <w:rsid w:val="00786B58"/>
    <w:pPr>
      <w:numPr>
        <w:numId w:val="15"/>
      </w:numPr>
      <w:pBdr>
        <w:top w:val="none" w:sz="0" w:space="0" w:color="auto"/>
      </w:pBdr>
      <w:tabs>
        <w:tab w:val="left" w:pos="972"/>
      </w:tabs>
      <w:autoSpaceDE/>
      <w:autoSpaceDN/>
      <w:adjustRightInd/>
      <w:snapToGrid/>
      <w:spacing w:before="240" w:after="60" w:line="276" w:lineRule="auto"/>
      <w:jc w:val="left"/>
    </w:pPr>
    <w:rPr>
      <w:rFonts w:eastAsia="Batang" w:cs="Arial"/>
      <w:kern w:val="32"/>
      <w:szCs w:val="32"/>
      <w:lang w:val="en-GB"/>
    </w:rPr>
  </w:style>
  <w:style w:type="paragraph" w:customStyle="1" w:styleId="3GPPText">
    <w:name w:val="3GPP Text"/>
    <w:basedOn w:val="Normal"/>
    <w:link w:val="3GPPTextChar"/>
    <w:qFormat/>
    <w:rsid w:val="00245DE5"/>
    <w:pPr>
      <w:overflowPunct w:val="0"/>
      <w:snapToGrid/>
      <w:spacing w:before="120"/>
      <w:textAlignment w:val="baseline"/>
    </w:pPr>
    <w:rPr>
      <w:szCs w:val="20"/>
    </w:rPr>
  </w:style>
  <w:style w:type="character" w:customStyle="1" w:styleId="3GPPTextChar">
    <w:name w:val="3GPP Text Char"/>
    <w:link w:val="3GPPText"/>
    <w:rsid w:val="00245DE5"/>
    <w:rPr>
      <w:sz w:val="22"/>
    </w:rPr>
  </w:style>
  <w:style w:type="numbering" w:customStyle="1" w:styleId="StyleBulletedSymbolsymbolLeft025Hanging0251">
    <w:name w:val="Style Bulleted Symbol (symbol) Left:  0.25&quot; Hanging:  0.25&quot;1"/>
    <w:basedOn w:val="NoList"/>
    <w:rsid w:val="00221940"/>
    <w:pPr>
      <w:numPr>
        <w:numId w:val="28"/>
      </w:numPr>
    </w:pPr>
  </w:style>
  <w:style w:type="paragraph" w:customStyle="1" w:styleId="000proposal">
    <w:name w:val="000_proposal"/>
    <w:basedOn w:val="Normal"/>
    <w:link w:val="000proposalChar"/>
    <w:qFormat/>
    <w:rsid w:val="00221940"/>
    <w:pPr>
      <w:autoSpaceDE/>
      <w:autoSpaceDN/>
      <w:adjustRightInd/>
      <w:snapToGrid/>
      <w:spacing w:line="264" w:lineRule="auto"/>
    </w:pPr>
    <w:rPr>
      <w:b/>
      <w:bCs/>
      <w:i/>
      <w:iCs/>
      <w:sz w:val="20"/>
      <w:szCs w:val="24"/>
      <w:lang w:eastAsia="zh-CN"/>
    </w:rPr>
  </w:style>
  <w:style w:type="character" w:customStyle="1" w:styleId="000proposalChar">
    <w:name w:val="000_proposal Char"/>
    <w:basedOn w:val="DefaultParagraphFont"/>
    <w:link w:val="000proposal"/>
    <w:rsid w:val="00221940"/>
    <w:rPr>
      <w:b/>
      <w:bCs/>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03A2D-3750-4384-B30C-720A4839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vt:lpstr>
      <vt:lpstr>Conclusions</vt:lpstr>
      <vt:lpstr>References</vt:lpstr>
    </vt:vector>
  </TitlesOfParts>
  <Company>Futurewei</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2019-11-08T16:22:00Z</dcterms:created>
  <dcterms:modified xsi:type="dcterms:W3CDTF">2019-11-08T16:22:00Z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(3)1niCD9MaSsG9Yr9NEfLMhCwxAUblEk3RUx/UStuIqo8bpJPeAqMUWl4GDfqur5FI1tps5z0+
zIK64tl+dHBe38mQUwOQWZEmAeBVZiii/AS4EkcDKM9Ml2/naTxZGlJz9h5sEYhDeLAmC0AK
VFspzZslF+Rq4SiWEjB9FJgtzbMSK0aoDWut5l3Ohydl0OdW9eDlYa8aNwSub+LBa+FE1khO
IpT/BjZK/Um77SpYMA</vt:lpwstr>
  </property>
  <property fmtid="{D5CDD505-2E9C-101B-9397-08002B2CF9AE}" pid="13" name="_2015_ms_pID_725343_00">
    <vt:lpwstr>_2015_ms_pID_725343</vt:lpwstr>
  </property>
  <property fmtid="{D5CDD505-2E9C-101B-9397-08002B2CF9AE}" pid="14" name="_2015_ms_pID_7253431">
    <vt:lpwstr>P6W19ZNNat8iQ9vHhCvKeaHBrbZ0LZSl5RhnxgDH9YHfejoWZ7luQC
bpolhNk4wepkryVMLJgSiT+E2E+7wwoEo7POMk0yZwe0qnNhnC0VR1z37+fU3ac713EdqosA
0mFDi5fWsr3KDYVJM/c3LCt+x5MTT3uKPgwUI9mLbTVxwazqFt+w96jqFZXdRJGu53ZwO3Xv
9JLSLcMJEjJ5TjdmtJl3d3PoPb9poW7FmfiJ</vt:lpwstr>
  </property>
  <property fmtid="{D5CDD505-2E9C-101B-9397-08002B2CF9AE}" pid="15" name="_2015_ms_pID_7253431_00">
    <vt:lpwstr>_2015_ms_pID_7253431</vt:lpwstr>
  </property>
  <property fmtid="{D5CDD505-2E9C-101B-9397-08002B2CF9AE}" pid="16" name="_2015_ms_pID_7253432">
    <vt:lpwstr>XvvsQsumxfvkh3W+yQ/sNZaZaAMHS+xk9znI
HJMaUhzCYXKbUDHta/qOzunpZKuDrQ==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