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53D49527" w:rsidR="00E90E49" w:rsidRPr="00CE0424" w:rsidRDefault="00AE2834" w:rsidP="00E35559">
      <w:pPr>
        <w:pStyle w:val="3GPPHeader"/>
        <w:spacing w:after="60"/>
        <w:rPr>
          <w:sz w:val="32"/>
          <w:szCs w:val="32"/>
          <w:highlight w:val="yellow"/>
        </w:rPr>
      </w:pPr>
      <w:r w:rsidRPr="000A1D33">
        <w:rPr>
          <w:lang w:val="en-US"/>
        </w:rPr>
        <w:t>3GPP TSG-RAN WG1 Meeting #</w:t>
      </w:r>
      <w:r w:rsidR="0013558E">
        <w:rPr>
          <w:lang w:val="en-US"/>
        </w:rPr>
        <w:t>9</w:t>
      </w:r>
      <w:r w:rsidR="00037893">
        <w:rPr>
          <w:lang w:val="en-US"/>
        </w:rPr>
        <w:t>9</w:t>
      </w:r>
      <w:r w:rsidR="00E90E49" w:rsidRPr="00CE0424">
        <w:tab/>
      </w:r>
      <w:r w:rsidR="00CC23E1" w:rsidRPr="00CC23E1">
        <w:rPr>
          <w:sz w:val="32"/>
          <w:szCs w:val="32"/>
        </w:rPr>
        <w:t>R1-19</w:t>
      </w:r>
      <w:r w:rsidR="006E6990">
        <w:rPr>
          <w:sz w:val="32"/>
          <w:szCs w:val="32"/>
        </w:rPr>
        <w:t>12133</w:t>
      </w:r>
    </w:p>
    <w:p w14:paraId="51C3CE46" w14:textId="432AC007" w:rsidR="00E90E49" w:rsidRPr="00CE0424" w:rsidRDefault="00C923F9" w:rsidP="00311702">
      <w:pPr>
        <w:pStyle w:val="3GPPHeader"/>
      </w:pPr>
      <w:r>
        <w:rPr>
          <w:lang w:val="en-US"/>
        </w:rPr>
        <w:t>Reno</w:t>
      </w:r>
      <w:r w:rsidR="00E44CDE" w:rsidRPr="00F471F1">
        <w:rPr>
          <w:lang w:val="en-US"/>
        </w:rPr>
        <w:t xml:space="preserve">, </w:t>
      </w:r>
      <w:r>
        <w:rPr>
          <w:lang w:val="en-US"/>
        </w:rPr>
        <w:t>U.S.</w:t>
      </w:r>
      <w:r w:rsidR="00E44CDE" w:rsidRPr="00F471F1">
        <w:rPr>
          <w:lang w:val="en-US"/>
        </w:rPr>
        <w:t xml:space="preserve">, </w:t>
      </w:r>
      <w:r w:rsidR="00037EAC">
        <w:rPr>
          <w:lang w:val="en-US"/>
        </w:rPr>
        <w:t>November</w:t>
      </w:r>
      <w:r w:rsidR="00E44CDE" w:rsidRPr="00F471F1">
        <w:rPr>
          <w:lang w:val="en-US"/>
        </w:rPr>
        <w:t xml:space="preserve"> </w:t>
      </w:r>
      <w:r w:rsidR="009321B5">
        <w:rPr>
          <w:lang w:val="en-US"/>
        </w:rPr>
        <w:t>1</w:t>
      </w:r>
      <w:r w:rsidR="00037EAC">
        <w:rPr>
          <w:lang w:val="en-US"/>
        </w:rPr>
        <w:t>8</w:t>
      </w:r>
      <w:r w:rsidR="00E44CDE" w:rsidRPr="00F471F1">
        <w:rPr>
          <w:vertAlign w:val="superscript"/>
          <w:lang w:val="en-US"/>
        </w:rPr>
        <w:t>th</w:t>
      </w:r>
      <w:r w:rsidR="00E44CDE" w:rsidRPr="00F471F1">
        <w:rPr>
          <w:lang w:val="en-US"/>
        </w:rPr>
        <w:t xml:space="preserve"> – </w:t>
      </w:r>
      <w:r w:rsidR="00472A8F">
        <w:rPr>
          <w:lang w:val="en-US"/>
        </w:rPr>
        <w:t>2</w:t>
      </w:r>
      <w:r w:rsidR="00037EAC">
        <w:rPr>
          <w:lang w:val="en-US"/>
        </w:rPr>
        <w:t>2</w:t>
      </w:r>
      <w:r w:rsidR="00E44CDE" w:rsidRPr="00F471F1">
        <w:rPr>
          <w:vertAlign w:val="superscript"/>
          <w:lang w:val="en-US"/>
        </w:rPr>
        <w:t>th</w:t>
      </w:r>
      <w:r w:rsidR="00E44CDE" w:rsidRPr="00F471F1">
        <w:rPr>
          <w:lang w:val="en-US"/>
        </w:rPr>
        <w:t>, 2019</w:t>
      </w:r>
    </w:p>
    <w:p w14:paraId="5FCD4219" w14:textId="77777777" w:rsidR="00E90E49" w:rsidRPr="00CE0424" w:rsidRDefault="00E90E49" w:rsidP="00357380">
      <w:pPr>
        <w:pStyle w:val="3GPPHeader"/>
      </w:pPr>
    </w:p>
    <w:p w14:paraId="606D9DC9" w14:textId="2866F742" w:rsidR="00E90E49" w:rsidRPr="00B97AB9" w:rsidRDefault="00E90E49" w:rsidP="00311702">
      <w:pPr>
        <w:pStyle w:val="3GPPHeader"/>
        <w:rPr>
          <w:sz w:val="22"/>
          <w:szCs w:val="22"/>
          <w:lang w:val="en-US"/>
        </w:rPr>
      </w:pPr>
      <w:r w:rsidRPr="00B97AB9">
        <w:rPr>
          <w:sz w:val="22"/>
          <w:szCs w:val="22"/>
          <w:lang w:val="en-US"/>
        </w:rPr>
        <w:t>Agenda Item:</w:t>
      </w:r>
      <w:r w:rsidRPr="00B97AB9">
        <w:rPr>
          <w:sz w:val="22"/>
          <w:szCs w:val="22"/>
          <w:lang w:val="en-US"/>
        </w:rPr>
        <w:tab/>
      </w:r>
      <w:r w:rsidR="0013558E" w:rsidRPr="00B97AB9">
        <w:rPr>
          <w:sz w:val="22"/>
          <w:szCs w:val="22"/>
          <w:lang w:val="en-US"/>
        </w:rPr>
        <w:t>7.2.3.</w:t>
      </w:r>
      <w:r w:rsidR="006E6990">
        <w:rPr>
          <w:sz w:val="22"/>
          <w:szCs w:val="22"/>
          <w:lang w:val="en-US"/>
        </w:rPr>
        <w:t>1</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00C077C3"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5D6F8F">
        <w:rPr>
          <w:sz w:val="22"/>
          <w:szCs w:val="22"/>
        </w:rPr>
        <w:t xml:space="preserve">Remaining issues on </w:t>
      </w:r>
      <w:r w:rsidR="00897EE5">
        <w:rPr>
          <w:sz w:val="22"/>
          <w:szCs w:val="22"/>
        </w:rPr>
        <w:t>IAB resource configuration and multiplexing</w:t>
      </w:r>
    </w:p>
    <w:p w14:paraId="59D6E79C" w14:textId="7735E5CC"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A4D8A" w:rsidRPr="000A4D8A">
        <w:rPr>
          <w:sz w:val="22"/>
          <w:szCs w:val="22"/>
        </w:rPr>
        <w:t>Discussion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0D36AF5A" w14:textId="432347F7" w:rsidR="000A4D8A" w:rsidRPr="003F5094" w:rsidRDefault="00DE2203" w:rsidP="000A4D8A">
      <w:pPr>
        <w:pStyle w:val="BodyText"/>
        <w:rPr>
          <w:rFonts w:cs="Arial"/>
        </w:rPr>
      </w:pPr>
      <w:r w:rsidRPr="005B4CA0">
        <w:rPr>
          <w:rFonts w:cs="Arial"/>
          <w:lang w:val="en-US"/>
        </w:rPr>
        <w:t>In RAN1#9</w:t>
      </w:r>
      <w:r w:rsidR="008E6E53">
        <w:rPr>
          <w:rFonts w:cs="Arial"/>
          <w:lang w:val="en-US"/>
        </w:rPr>
        <w:t>8</w:t>
      </w:r>
      <w:r w:rsidR="005B1016">
        <w:rPr>
          <w:rFonts w:cs="Arial"/>
          <w:lang w:val="en-US"/>
        </w:rPr>
        <w:t>bis</w:t>
      </w:r>
      <w:r w:rsidRPr="005B4CA0">
        <w:rPr>
          <w:rFonts w:cs="Arial"/>
          <w:lang w:val="en-US"/>
        </w:rPr>
        <w:t xml:space="preserve">, the following agreements on IAB resource multiplexing were </w:t>
      </w:r>
      <w:proofErr w:type="gramStart"/>
      <w:r w:rsidRPr="005B4CA0">
        <w:rPr>
          <w:rFonts w:cs="Arial"/>
          <w:lang w:val="en-US"/>
        </w:rPr>
        <w:t>reached</w:t>
      </w:r>
      <w:r w:rsidR="000A4D8A">
        <w:rPr>
          <w:rFonts w:cs="Arial"/>
        </w:rPr>
        <w:t xml:space="preserve"> </w:t>
      </w:r>
      <w:r w:rsidR="000A4D8A" w:rsidRPr="003F5094">
        <w:rPr>
          <w:rFonts w:cs="Arial"/>
        </w:rPr>
        <w:t>:</w:t>
      </w:r>
      <w:proofErr w:type="gramEnd"/>
    </w:p>
    <w:tbl>
      <w:tblPr>
        <w:tblStyle w:val="TableGrid"/>
        <w:tblW w:w="0" w:type="auto"/>
        <w:tblLook w:val="04A0" w:firstRow="1" w:lastRow="0" w:firstColumn="1" w:lastColumn="0" w:noHBand="0" w:noVBand="1"/>
      </w:tblPr>
      <w:tblGrid>
        <w:gridCol w:w="9629"/>
      </w:tblGrid>
      <w:tr w:rsidR="00793E8A" w14:paraId="7E665F98" w14:textId="77777777" w:rsidTr="00793E8A">
        <w:tc>
          <w:tcPr>
            <w:tcW w:w="9629" w:type="dxa"/>
          </w:tcPr>
          <w:p w14:paraId="42D79E51" w14:textId="77777777" w:rsidR="002C5E52" w:rsidRDefault="002C5E52" w:rsidP="002C5E52">
            <w:pPr>
              <w:rPr>
                <w:rFonts w:ascii="Times" w:hAnsi="Times"/>
                <w:lang w:val="en-US" w:eastAsia="x-none"/>
              </w:rPr>
            </w:pPr>
            <w:r w:rsidRPr="008967FA">
              <w:rPr>
                <w:b/>
                <w:highlight w:val="green"/>
                <w:u w:val="single"/>
                <w:lang w:val="en-US" w:eastAsia="x-none"/>
              </w:rPr>
              <w:t>Agreements</w:t>
            </w:r>
            <w:r>
              <w:rPr>
                <w:lang w:val="en-US" w:eastAsia="x-none"/>
              </w:rPr>
              <w:t>:</w:t>
            </w:r>
          </w:p>
          <w:p w14:paraId="64E16DC1" w14:textId="77777777" w:rsidR="002C5E52" w:rsidRDefault="002C5E52" w:rsidP="002C5E52">
            <w:pPr>
              <w:rPr>
                <w:lang w:val="en-US"/>
              </w:rPr>
            </w:pPr>
            <w:r>
              <w:t>Dynamic indication of UL-Flexible-DL (intended to dynamically update the flexible symbols) is supported for IAB-node MTs</w:t>
            </w:r>
          </w:p>
          <w:p w14:paraId="1B0F61DD" w14:textId="7E723A00" w:rsidR="002C5E52" w:rsidRDefault="002C5E52" w:rsidP="00A35D72">
            <w:pPr>
              <w:pStyle w:val="ListParagraph"/>
              <w:numPr>
                <w:ilvl w:val="0"/>
                <w:numId w:val="12"/>
              </w:numPr>
            </w:pPr>
            <w:r>
              <w:t>The dynamic indication of slot formats of UL-Flexible-DL should use DCI format 2_0 and reserved entries</w:t>
            </w:r>
            <w:r w:rsidR="008846EB">
              <w:t xml:space="preserve"> </w:t>
            </w:r>
            <w:r>
              <w:t>in Table 11.1.1-1 in 38.213.</w:t>
            </w:r>
          </w:p>
          <w:p w14:paraId="1C0216C6" w14:textId="77777777" w:rsidR="0040241A" w:rsidRDefault="0040241A" w:rsidP="0040241A">
            <w:pPr>
              <w:pStyle w:val="maintext"/>
              <w:ind w:firstLineChars="0" w:firstLine="0"/>
              <w:jc w:val="left"/>
              <w:rPr>
                <w:rFonts w:ascii="Arial" w:eastAsia="Times New Roman" w:hAnsi="Arial"/>
                <w:lang w:val="en-US" w:eastAsia="en-US"/>
              </w:rPr>
            </w:pPr>
            <w:r w:rsidRPr="008967FA">
              <w:rPr>
                <w:rFonts w:ascii="Arial" w:eastAsia="Times New Roman" w:hAnsi="Arial"/>
                <w:b/>
                <w:highlight w:val="green"/>
                <w:u w:val="single"/>
                <w:lang w:val="en-US" w:eastAsia="en-US"/>
              </w:rPr>
              <w:t>Agreements</w:t>
            </w:r>
            <w:r>
              <w:rPr>
                <w:rFonts w:ascii="Arial" w:eastAsia="Times New Roman" w:hAnsi="Arial"/>
                <w:lang w:val="en-US" w:eastAsia="en-US"/>
              </w:rPr>
              <w:t>:</w:t>
            </w:r>
          </w:p>
          <w:p w14:paraId="1FCA1D0F" w14:textId="77777777" w:rsidR="00793E8A" w:rsidRPr="0040241A" w:rsidRDefault="0040241A" w:rsidP="00A35D72">
            <w:pPr>
              <w:pStyle w:val="ListParagraph"/>
              <w:numPr>
                <w:ilvl w:val="0"/>
                <w:numId w:val="10"/>
              </w:numPr>
              <w:overflowPunct/>
              <w:autoSpaceDE/>
              <w:autoSpaceDN/>
              <w:adjustRightInd/>
              <w:spacing w:before="60" w:after="240"/>
              <w:textAlignment w:val="auto"/>
              <w:rPr>
                <w:rFonts w:cs="Arial"/>
              </w:rPr>
            </w:pPr>
            <w:r>
              <w:rPr>
                <w:rFonts w:eastAsia="Times New Roman"/>
                <w:lang w:val="en-US"/>
              </w:rPr>
              <w:t xml:space="preserve">H/S/NA attributes for the per-cell DU resource configuration </w:t>
            </w:r>
            <w:proofErr w:type="gramStart"/>
            <w:r>
              <w:rPr>
                <w:rFonts w:eastAsia="Times New Roman"/>
                <w:lang w:val="en-US"/>
              </w:rPr>
              <w:t>are</w:t>
            </w:r>
            <w:proofErr w:type="gramEnd"/>
            <w:r>
              <w:rPr>
                <w:rFonts w:eastAsia="Times New Roman"/>
                <w:lang w:val="en-US"/>
              </w:rPr>
              <w:t xml:space="preserve"> explicitly indicated per-resource type (D/U/F) in each slot.</w:t>
            </w:r>
          </w:p>
          <w:p w14:paraId="5515A176" w14:textId="77777777" w:rsidR="00EA7EA3" w:rsidRDefault="00EA7EA3" w:rsidP="00EA7EA3">
            <w:pPr>
              <w:pStyle w:val="maintext"/>
              <w:ind w:firstLineChars="0" w:firstLine="0"/>
              <w:jc w:val="left"/>
              <w:rPr>
                <w:rFonts w:ascii="Arial" w:eastAsia="Times New Roman" w:hAnsi="Arial"/>
                <w:b/>
                <w:bCs/>
                <w:lang w:val="en-US" w:eastAsia="en-US"/>
              </w:rPr>
            </w:pPr>
            <w:r w:rsidRPr="008967FA">
              <w:rPr>
                <w:rFonts w:ascii="Arial" w:eastAsia="Times New Roman" w:hAnsi="Arial"/>
                <w:b/>
                <w:highlight w:val="green"/>
                <w:u w:val="single"/>
                <w:lang w:val="en-US" w:eastAsia="en-US"/>
              </w:rPr>
              <w:t>Agreements</w:t>
            </w:r>
            <w:r>
              <w:rPr>
                <w:rFonts w:ascii="Arial" w:eastAsia="Times New Roman" w:hAnsi="Arial"/>
                <w:b/>
                <w:bCs/>
                <w:lang w:val="en-US" w:eastAsia="en-US"/>
              </w:rPr>
              <w:t>:</w:t>
            </w:r>
          </w:p>
          <w:p w14:paraId="39E00901" w14:textId="77777777" w:rsidR="00EA7EA3" w:rsidRDefault="00EA7EA3" w:rsidP="00EA7EA3">
            <w:pPr>
              <w:pStyle w:val="maintext"/>
              <w:ind w:firstLineChars="0" w:firstLine="0"/>
              <w:jc w:val="left"/>
              <w:rPr>
                <w:rFonts w:ascii="Arial" w:eastAsia="Times New Roman" w:hAnsi="Arial"/>
                <w:lang w:val="en-US" w:eastAsia="en-US"/>
              </w:rPr>
            </w:pPr>
            <w:r>
              <w:rPr>
                <w:rFonts w:ascii="Arial" w:eastAsia="Times New Roman" w:hAnsi="Arial"/>
                <w:lang w:val="en-US" w:eastAsia="en-US"/>
              </w:rPr>
              <w:t>The donor CU and the parent node can be made aware of the multiplexing capability between MT and DU (TDM required, TDM not required) of an IAB node to for any {MT CC, DU cell} pair.</w:t>
            </w:r>
          </w:p>
          <w:p w14:paraId="62C63CBC" w14:textId="77777777" w:rsidR="00EA7EA3" w:rsidRDefault="00EA7EA3" w:rsidP="00A35D72">
            <w:pPr>
              <w:pStyle w:val="maintext"/>
              <w:numPr>
                <w:ilvl w:val="0"/>
                <w:numId w:val="13"/>
              </w:numPr>
              <w:spacing w:after="240"/>
              <w:ind w:firstLineChars="0"/>
              <w:jc w:val="left"/>
              <w:rPr>
                <w:rFonts w:ascii="Arial" w:eastAsia="Times New Roman" w:hAnsi="Arial"/>
                <w:lang w:val="en-US" w:eastAsia="en-US"/>
              </w:rPr>
            </w:pPr>
            <w:r>
              <w:rPr>
                <w:rFonts w:ascii="Arial" w:eastAsia="Times New Roman" w:hAnsi="Arial"/>
                <w:lang w:val="en-US" w:eastAsia="en-US"/>
              </w:rPr>
              <w:t>Signaling details up to RAN2/RAN3.</w:t>
            </w:r>
          </w:p>
          <w:p w14:paraId="6A14DC2D" w14:textId="77777777" w:rsidR="00EA7EA3" w:rsidRDefault="00EA7EA3" w:rsidP="00EA7EA3">
            <w:pPr>
              <w:pStyle w:val="maintext"/>
              <w:ind w:firstLineChars="0" w:firstLine="0"/>
              <w:jc w:val="left"/>
              <w:rPr>
                <w:rFonts w:ascii="Arial" w:eastAsia="Times New Roman" w:hAnsi="Arial"/>
                <w:lang w:eastAsia="en-US"/>
              </w:rPr>
            </w:pPr>
            <w:r w:rsidRPr="008967FA">
              <w:rPr>
                <w:rFonts w:ascii="Arial" w:eastAsia="Times New Roman" w:hAnsi="Arial"/>
                <w:b/>
                <w:highlight w:val="green"/>
                <w:u w:val="single"/>
                <w:lang w:eastAsia="en-US"/>
              </w:rPr>
              <w:t>Agreements</w:t>
            </w:r>
            <w:r>
              <w:rPr>
                <w:rFonts w:ascii="Arial" w:eastAsia="Times New Roman" w:hAnsi="Arial"/>
                <w:lang w:eastAsia="en-US"/>
              </w:rPr>
              <w:t>:</w:t>
            </w:r>
          </w:p>
          <w:p w14:paraId="101FADA9" w14:textId="77777777" w:rsidR="0040241A" w:rsidRDefault="00EA7EA3" w:rsidP="00EA7EA3">
            <w:pPr>
              <w:overflowPunct/>
              <w:autoSpaceDE/>
              <w:autoSpaceDN/>
              <w:adjustRightInd/>
              <w:spacing w:before="60" w:after="240"/>
              <w:textAlignment w:val="auto"/>
              <w:rPr>
                <w:rFonts w:eastAsia="Calibri"/>
              </w:rPr>
            </w:pPr>
            <w:r>
              <w:rPr>
                <w:rFonts w:eastAsia="Calibri"/>
              </w:rPr>
              <w:t xml:space="preserve">The </w:t>
            </w:r>
            <w:proofErr w:type="spellStart"/>
            <w:r>
              <w:rPr>
                <w:rFonts w:eastAsia="Calibri"/>
              </w:rPr>
              <w:t>behavior</w:t>
            </w:r>
            <w:proofErr w:type="spellEnd"/>
            <w:r>
              <w:rPr>
                <w:rFonts w:eastAsia="Calibri"/>
              </w:rPr>
              <w:t xml:space="preserve"> for conflict resolution as defined in RAN1 #96bis applies in general and it is not an exception for when the MT is configured with cell specific signals/channels.</w:t>
            </w:r>
          </w:p>
          <w:p w14:paraId="6668849E" w14:textId="77777777" w:rsidR="003C61FA" w:rsidRDefault="003C61FA" w:rsidP="003C61FA">
            <w:pPr>
              <w:rPr>
                <w:rFonts w:ascii="Times" w:hAnsi="Times"/>
                <w:b/>
                <w:bCs/>
              </w:rPr>
            </w:pPr>
            <w:r w:rsidRPr="008967FA">
              <w:rPr>
                <w:b/>
                <w:highlight w:val="green"/>
                <w:u w:val="single"/>
              </w:rPr>
              <w:t>Agreements</w:t>
            </w:r>
            <w:r>
              <w:rPr>
                <w:b/>
                <w:bCs/>
              </w:rPr>
              <w:t>:</w:t>
            </w:r>
          </w:p>
          <w:p w14:paraId="52B486ED" w14:textId="77777777" w:rsidR="003C61FA" w:rsidRDefault="003C61FA" w:rsidP="003C61FA">
            <w:pPr>
              <w:pStyle w:val="maintext"/>
              <w:ind w:firstLineChars="0" w:firstLine="0"/>
              <w:jc w:val="left"/>
              <w:rPr>
                <w:rFonts w:ascii="Arial" w:eastAsia="Times New Roman" w:hAnsi="Arial"/>
                <w:lang w:val="en-US" w:eastAsia="en-US"/>
              </w:rPr>
            </w:pPr>
            <w:r>
              <w:rPr>
                <w:rFonts w:ascii="Arial" w:eastAsia="Times New Roman" w:hAnsi="Arial"/>
                <w:lang w:val="en-US" w:eastAsia="en-US"/>
              </w:rPr>
              <w:t xml:space="preserve">A parent IAB node can be made aware of the number of symbols Ng the child IAB node would like the parent IAB node not to use at the edge (beginning or end) of a slot when there is a transition between child MT and child DU. </w:t>
            </w:r>
            <w:bookmarkStart w:id="0" w:name="_Hlk22168000"/>
            <w:r>
              <w:rPr>
                <w:rFonts w:ascii="Arial" w:eastAsia="Times New Roman" w:hAnsi="Arial"/>
                <w:lang w:val="en-US" w:eastAsia="en-US"/>
              </w:rPr>
              <w:t>Separately or additionally, the child IAB node can be made aware of the number of guard symbols that the parent IAB node will provide.</w:t>
            </w:r>
            <w:bookmarkEnd w:id="0"/>
          </w:p>
          <w:p w14:paraId="72A910A8" w14:textId="77777777" w:rsidR="003C61FA" w:rsidRDefault="003C61FA" w:rsidP="00A35D72">
            <w:pPr>
              <w:pStyle w:val="maintext"/>
              <w:numPr>
                <w:ilvl w:val="0"/>
                <w:numId w:val="14"/>
              </w:numPr>
              <w:ind w:firstLineChars="0"/>
              <w:jc w:val="left"/>
              <w:rPr>
                <w:rFonts w:ascii="Arial" w:eastAsia="Times New Roman" w:hAnsi="Arial"/>
                <w:lang w:val="en-US" w:eastAsia="en-US"/>
              </w:rPr>
            </w:pPr>
            <w:r>
              <w:rPr>
                <w:rFonts w:ascii="Arial" w:eastAsia="Times New Roman" w:hAnsi="Arial"/>
                <w:lang w:val="en-US" w:eastAsia="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3C61FA" w:rsidRPr="005D4397" w14:paraId="460007C6" w14:textId="77777777" w:rsidTr="003C61FA">
              <w:tc>
                <w:tcPr>
                  <w:tcW w:w="1435" w:type="dxa"/>
                  <w:tcBorders>
                    <w:top w:val="single" w:sz="12" w:space="0" w:color="auto"/>
                    <w:left w:val="single" w:sz="12" w:space="0" w:color="auto"/>
                    <w:bottom w:val="single" w:sz="4" w:space="0" w:color="auto"/>
                    <w:right w:val="single" w:sz="4" w:space="0" w:color="auto"/>
                  </w:tcBorders>
                  <w:hideMark/>
                </w:tcPr>
                <w:p w14:paraId="5AF0DFB6" w14:textId="77777777" w:rsidR="003C61FA" w:rsidRPr="005D4397" w:rsidRDefault="003C61FA" w:rsidP="003C61FA">
                  <w:pPr>
                    <w:pStyle w:val="maintext"/>
                    <w:ind w:firstLineChars="0" w:firstLine="0"/>
                    <w:jc w:val="center"/>
                    <w:rPr>
                      <w:rFonts w:ascii="Arial" w:eastAsia="Times New Roman" w:hAnsi="Arial" w:cs="Arial"/>
                      <w:lang w:val="en-US" w:eastAsia="en-US"/>
                    </w:rPr>
                  </w:pPr>
                  <w:r w:rsidRPr="005D4397">
                    <w:rPr>
                      <w:rFonts w:ascii="Arial" w:hAnsi="Arial" w:cs="Arial"/>
                    </w:rPr>
                    <w:t>MT to DU</w:t>
                  </w:r>
                </w:p>
              </w:tc>
              <w:tc>
                <w:tcPr>
                  <w:tcW w:w="990" w:type="dxa"/>
                  <w:tcBorders>
                    <w:top w:val="single" w:sz="12" w:space="0" w:color="auto"/>
                    <w:left w:val="single" w:sz="4" w:space="0" w:color="auto"/>
                    <w:bottom w:val="single" w:sz="4" w:space="0" w:color="auto"/>
                    <w:right w:val="single" w:sz="4" w:space="0" w:color="auto"/>
                  </w:tcBorders>
                  <w:hideMark/>
                </w:tcPr>
                <w:p w14:paraId="65C32B7F" w14:textId="77777777" w:rsidR="003C61FA" w:rsidRPr="005D4397" w:rsidRDefault="003C61FA" w:rsidP="003C61FA">
                  <w:pPr>
                    <w:pStyle w:val="maintext"/>
                    <w:ind w:firstLineChars="0" w:firstLine="0"/>
                    <w:jc w:val="center"/>
                    <w:rPr>
                      <w:rFonts w:ascii="Arial" w:eastAsia="Times New Roman" w:hAnsi="Arial" w:cs="Arial"/>
                      <w:lang w:val="en-US" w:eastAsia="en-US"/>
                    </w:rPr>
                  </w:pPr>
                  <w:r w:rsidRPr="005D4397">
                    <w:rPr>
                      <w:rFonts w:ascii="Arial" w:hAnsi="Arial" w:cs="Arial"/>
                    </w:rPr>
                    <w:t>DL Tx</w:t>
                  </w:r>
                </w:p>
              </w:tc>
              <w:tc>
                <w:tcPr>
                  <w:tcW w:w="970" w:type="dxa"/>
                  <w:tcBorders>
                    <w:top w:val="single" w:sz="12" w:space="0" w:color="auto"/>
                    <w:left w:val="single" w:sz="4" w:space="0" w:color="auto"/>
                    <w:bottom w:val="single" w:sz="4" w:space="0" w:color="auto"/>
                    <w:right w:val="single" w:sz="12" w:space="0" w:color="auto"/>
                  </w:tcBorders>
                  <w:hideMark/>
                </w:tcPr>
                <w:p w14:paraId="0B6893F0" w14:textId="77777777" w:rsidR="003C61FA" w:rsidRPr="005D4397" w:rsidRDefault="003C61FA" w:rsidP="003C61FA">
                  <w:pPr>
                    <w:pStyle w:val="maintext"/>
                    <w:ind w:firstLineChars="0" w:firstLine="0"/>
                    <w:jc w:val="center"/>
                    <w:rPr>
                      <w:rFonts w:ascii="Arial" w:eastAsia="Times New Roman" w:hAnsi="Arial" w:cs="Arial"/>
                      <w:lang w:val="en-US" w:eastAsia="en-US"/>
                    </w:rPr>
                  </w:pPr>
                  <w:r w:rsidRPr="005D4397">
                    <w:rPr>
                      <w:rFonts w:ascii="Arial" w:hAnsi="Arial" w:cs="Arial"/>
                    </w:rPr>
                    <w:t>UL Rx</w:t>
                  </w:r>
                </w:p>
              </w:tc>
            </w:tr>
            <w:tr w:rsidR="003C61FA" w:rsidRPr="005D4397" w14:paraId="5CCF13C7" w14:textId="77777777" w:rsidTr="003C61FA">
              <w:tc>
                <w:tcPr>
                  <w:tcW w:w="1435" w:type="dxa"/>
                  <w:tcBorders>
                    <w:top w:val="single" w:sz="4" w:space="0" w:color="auto"/>
                    <w:left w:val="single" w:sz="12" w:space="0" w:color="auto"/>
                    <w:bottom w:val="single" w:sz="4" w:space="0" w:color="auto"/>
                    <w:right w:val="single" w:sz="4" w:space="0" w:color="auto"/>
                  </w:tcBorders>
                  <w:hideMark/>
                </w:tcPr>
                <w:p w14:paraId="0A370981" w14:textId="77777777" w:rsidR="003C61FA" w:rsidRPr="005D4397" w:rsidRDefault="003C61FA" w:rsidP="003C61FA">
                  <w:pPr>
                    <w:pStyle w:val="maintext"/>
                    <w:ind w:firstLineChars="0" w:firstLine="0"/>
                    <w:jc w:val="center"/>
                    <w:rPr>
                      <w:rFonts w:ascii="Arial" w:eastAsia="Times New Roman" w:hAnsi="Arial" w:cs="Arial"/>
                      <w:lang w:val="en-US" w:eastAsia="en-US"/>
                    </w:rPr>
                  </w:pPr>
                  <w:r w:rsidRPr="005D4397">
                    <w:rPr>
                      <w:rFonts w:ascii="Arial" w:hAnsi="Arial" w:cs="Arial"/>
                    </w:rPr>
                    <w:t>DL Rx</w:t>
                  </w:r>
                </w:p>
              </w:tc>
              <w:tc>
                <w:tcPr>
                  <w:tcW w:w="990" w:type="dxa"/>
                  <w:tcBorders>
                    <w:top w:val="single" w:sz="4" w:space="0" w:color="auto"/>
                    <w:left w:val="single" w:sz="4" w:space="0" w:color="auto"/>
                    <w:bottom w:val="single" w:sz="4" w:space="0" w:color="auto"/>
                    <w:right w:val="single" w:sz="4" w:space="0" w:color="auto"/>
                  </w:tcBorders>
                </w:tcPr>
                <w:p w14:paraId="7C7453C8" w14:textId="77777777" w:rsidR="003C61FA" w:rsidRPr="005D4397" w:rsidRDefault="003C61FA" w:rsidP="003C61FA">
                  <w:pPr>
                    <w:pStyle w:val="maintext"/>
                    <w:ind w:firstLineChars="0" w:firstLine="0"/>
                    <w:jc w:val="center"/>
                    <w:rPr>
                      <w:rFonts w:ascii="Arial" w:eastAsia="Times New Roman" w:hAnsi="Arial" w:cs="Arial"/>
                      <w:lang w:val="en-US" w:eastAsia="en-US"/>
                    </w:rPr>
                  </w:pPr>
                </w:p>
              </w:tc>
              <w:tc>
                <w:tcPr>
                  <w:tcW w:w="970" w:type="dxa"/>
                  <w:tcBorders>
                    <w:top w:val="single" w:sz="4" w:space="0" w:color="auto"/>
                    <w:left w:val="single" w:sz="4" w:space="0" w:color="auto"/>
                    <w:bottom w:val="single" w:sz="4" w:space="0" w:color="auto"/>
                    <w:right w:val="single" w:sz="12" w:space="0" w:color="auto"/>
                  </w:tcBorders>
                </w:tcPr>
                <w:p w14:paraId="15BF0928" w14:textId="77777777" w:rsidR="003C61FA" w:rsidRPr="005D4397" w:rsidRDefault="003C61FA" w:rsidP="003C61FA">
                  <w:pPr>
                    <w:pStyle w:val="maintext"/>
                    <w:ind w:firstLineChars="0" w:firstLine="0"/>
                    <w:jc w:val="center"/>
                    <w:rPr>
                      <w:rFonts w:ascii="Arial" w:eastAsia="Times New Roman" w:hAnsi="Arial" w:cs="Arial"/>
                      <w:lang w:val="en-US" w:eastAsia="en-US"/>
                    </w:rPr>
                  </w:pPr>
                </w:p>
              </w:tc>
            </w:tr>
            <w:tr w:rsidR="003C61FA" w:rsidRPr="005D4397" w14:paraId="2D30D307" w14:textId="77777777" w:rsidTr="003C61FA">
              <w:tc>
                <w:tcPr>
                  <w:tcW w:w="1435" w:type="dxa"/>
                  <w:tcBorders>
                    <w:top w:val="single" w:sz="4" w:space="0" w:color="auto"/>
                    <w:left w:val="single" w:sz="12" w:space="0" w:color="auto"/>
                    <w:bottom w:val="single" w:sz="12" w:space="0" w:color="auto"/>
                    <w:right w:val="single" w:sz="4" w:space="0" w:color="auto"/>
                  </w:tcBorders>
                  <w:hideMark/>
                </w:tcPr>
                <w:p w14:paraId="0F36A7BE" w14:textId="77777777" w:rsidR="003C61FA" w:rsidRPr="005D4397" w:rsidRDefault="003C61FA" w:rsidP="003C61FA">
                  <w:pPr>
                    <w:pStyle w:val="maintext"/>
                    <w:ind w:firstLineChars="0" w:firstLine="0"/>
                    <w:jc w:val="center"/>
                    <w:rPr>
                      <w:rFonts w:ascii="Arial" w:eastAsia="Times New Roman" w:hAnsi="Arial" w:cs="Arial"/>
                      <w:lang w:val="en-US" w:eastAsia="en-US"/>
                    </w:rPr>
                  </w:pPr>
                  <w:r w:rsidRPr="005D4397">
                    <w:rPr>
                      <w:rFonts w:ascii="Arial" w:hAnsi="Arial" w:cs="Arial"/>
                    </w:rPr>
                    <w:t>UL Tx</w:t>
                  </w:r>
                </w:p>
              </w:tc>
              <w:tc>
                <w:tcPr>
                  <w:tcW w:w="990" w:type="dxa"/>
                  <w:tcBorders>
                    <w:top w:val="single" w:sz="4" w:space="0" w:color="auto"/>
                    <w:left w:val="single" w:sz="4" w:space="0" w:color="auto"/>
                    <w:bottom w:val="single" w:sz="12" w:space="0" w:color="auto"/>
                    <w:right w:val="single" w:sz="4" w:space="0" w:color="auto"/>
                  </w:tcBorders>
                </w:tcPr>
                <w:p w14:paraId="3ECDCD76" w14:textId="77777777" w:rsidR="003C61FA" w:rsidRPr="005D4397" w:rsidRDefault="003C61FA" w:rsidP="003C61FA">
                  <w:pPr>
                    <w:pStyle w:val="maintext"/>
                    <w:ind w:firstLineChars="0" w:firstLine="0"/>
                    <w:jc w:val="center"/>
                    <w:rPr>
                      <w:rFonts w:ascii="Arial" w:eastAsia="Times New Roman" w:hAnsi="Arial" w:cs="Arial"/>
                      <w:lang w:val="en-US" w:eastAsia="en-US"/>
                    </w:rPr>
                  </w:pPr>
                </w:p>
              </w:tc>
              <w:tc>
                <w:tcPr>
                  <w:tcW w:w="970" w:type="dxa"/>
                  <w:tcBorders>
                    <w:top w:val="single" w:sz="4" w:space="0" w:color="auto"/>
                    <w:left w:val="single" w:sz="4" w:space="0" w:color="auto"/>
                    <w:bottom w:val="single" w:sz="12" w:space="0" w:color="auto"/>
                    <w:right w:val="single" w:sz="12" w:space="0" w:color="auto"/>
                  </w:tcBorders>
                </w:tcPr>
                <w:p w14:paraId="784FEC80" w14:textId="77777777" w:rsidR="003C61FA" w:rsidRPr="005D4397" w:rsidRDefault="003C61FA" w:rsidP="003C61FA">
                  <w:pPr>
                    <w:pStyle w:val="maintext"/>
                    <w:ind w:firstLineChars="0" w:firstLine="0"/>
                    <w:jc w:val="center"/>
                    <w:rPr>
                      <w:rFonts w:ascii="Arial" w:eastAsia="Times New Roman" w:hAnsi="Arial" w:cs="Arial"/>
                      <w:lang w:val="en-US" w:eastAsia="en-US"/>
                    </w:rPr>
                  </w:pPr>
                </w:p>
              </w:tc>
            </w:tr>
            <w:tr w:rsidR="003C61FA" w:rsidRPr="005D4397" w14:paraId="18F4CF54" w14:textId="77777777" w:rsidTr="003C61FA">
              <w:tc>
                <w:tcPr>
                  <w:tcW w:w="1435" w:type="dxa"/>
                  <w:tcBorders>
                    <w:top w:val="single" w:sz="12" w:space="0" w:color="auto"/>
                    <w:left w:val="single" w:sz="12" w:space="0" w:color="auto"/>
                    <w:bottom w:val="single" w:sz="4" w:space="0" w:color="auto"/>
                    <w:right w:val="single" w:sz="4" w:space="0" w:color="auto"/>
                  </w:tcBorders>
                  <w:hideMark/>
                </w:tcPr>
                <w:p w14:paraId="451C7601" w14:textId="77777777" w:rsidR="003C61FA" w:rsidRPr="005D4397" w:rsidRDefault="003C61FA" w:rsidP="003C61FA">
                  <w:pPr>
                    <w:pStyle w:val="maintext"/>
                    <w:ind w:firstLineChars="0" w:firstLine="0"/>
                    <w:jc w:val="center"/>
                    <w:rPr>
                      <w:rFonts w:ascii="Arial" w:eastAsia="Times New Roman" w:hAnsi="Arial" w:cs="Arial"/>
                      <w:lang w:val="en-US" w:eastAsia="en-US"/>
                    </w:rPr>
                  </w:pPr>
                  <w:r w:rsidRPr="005D4397">
                    <w:rPr>
                      <w:rFonts w:ascii="Arial" w:hAnsi="Arial" w:cs="Arial"/>
                    </w:rPr>
                    <w:t>DU to MT</w:t>
                  </w:r>
                </w:p>
              </w:tc>
              <w:tc>
                <w:tcPr>
                  <w:tcW w:w="990" w:type="dxa"/>
                  <w:tcBorders>
                    <w:top w:val="single" w:sz="12" w:space="0" w:color="auto"/>
                    <w:left w:val="single" w:sz="4" w:space="0" w:color="auto"/>
                    <w:bottom w:val="single" w:sz="4" w:space="0" w:color="auto"/>
                    <w:right w:val="single" w:sz="4" w:space="0" w:color="auto"/>
                  </w:tcBorders>
                  <w:hideMark/>
                </w:tcPr>
                <w:p w14:paraId="6FE7E29F" w14:textId="77777777" w:rsidR="003C61FA" w:rsidRPr="005D4397" w:rsidRDefault="003C61FA" w:rsidP="003C61FA">
                  <w:pPr>
                    <w:pStyle w:val="maintext"/>
                    <w:ind w:firstLineChars="0" w:firstLine="0"/>
                    <w:jc w:val="center"/>
                    <w:rPr>
                      <w:rFonts w:ascii="Arial" w:eastAsia="Times New Roman" w:hAnsi="Arial" w:cs="Arial"/>
                      <w:lang w:val="en-US" w:eastAsia="en-US"/>
                    </w:rPr>
                  </w:pPr>
                  <w:r w:rsidRPr="005D4397">
                    <w:rPr>
                      <w:rFonts w:ascii="Arial" w:hAnsi="Arial" w:cs="Arial"/>
                    </w:rPr>
                    <w:t>DL Rx</w:t>
                  </w:r>
                </w:p>
              </w:tc>
              <w:tc>
                <w:tcPr>
                  <w:tcW w:w="970" w:type="dxa"/>
                  <w:tcBorders>
                    <w:top w:val="single" w:sz="12" w:space="0" w:color="auto"/>
                    <w:left w:val="single" w:sz="4" w:space="0" w:color="auto"/>
                    <w:bottom w:val="single" w:sz="4" w:space="0" w:color="auto"/>
                    <w:right w:val="single" w:sz="12" w:space="0" w:color="auto"/>
                  </w:tcBorders>
                  <w:hideMark/>
                </w:tcPr>
                <w:p w14:paraId="2DEDDAEF" w14:textId="77777777" w:rsidR="003C61FA" w:rsidRPr="005D4397" w:rsidRDefault="003C61FA" w:rsidP="003C61FA">
                  <w:pPr>
                    <w:pStyle w:val="maintext"/>
                    <w:ind w:firstLineChars="0" w:firstLine="0"/>
                    <w:jc w:val="center"/>
                    <w:rPr>
                      <w:rFonts w:ascii="Arial" w:eastAsia="Times New Roman" w:hAnsi="Arial" w:cs="Arial"/>
                      <w:lang w:val="en-US" w:eastAsia="en-US"/>
                    </w:rPr>
                  </w:pPr>
                  <w:r w:rsidRPr="005D4397">
                    <w:rPr>
                      <w:rFonts w:ascii="Arial" w:hAnsi="Arial" w:cs="Arial"/>
                    </w:rPr>
                    <w:t>UL Tx</w:t>
                  </w:r>
                </w:p>
              </w:tc>
            </w:tr>
            <w:tr w:rsidR="003C61FA" w:rsidRPr="005D4397" w14:paraId="436F32E2" w14:textId="77777777" w:rsidTr="003C61FA">
              <w:tc>
                <w:tcPr>
                  <w:tcW w:w="1435" w:type="dxa"/>
                  <w:tcBorders>
                    <w:top w:val="single" w:sz="4" w:space="0" w:color="auto"/>
                    <w:left w:val="single" w:sz="12" w:space="0" w:color="auto"/>
                    <w:bottom w:val="single" w:sz="4" w:space="0" w:color="auto"/>
                    <w:right w:val="single" w:sz="4" w:space="0" w:color="auto"/>
                  </w:tcBorders>
                  <w:hideMark/>
                </w:tcPr>
                <w:p w14:paraId="02C28E74" w14:textId="77777777" w:rsidR="003C61FA" w:rsidRPr="005D4397" w:rsidRDefault="003C61FA" w:rsidP="003C61FA">
                  <w:pPr>
                    <w:pStyle w:val="maintext"/>
                    <w:ind w:firstLineChars="0" w:firstLine="0"/>
                    <w:jc w:val="center"/>
                    <w:rPr>
                      <w:rFonts w:ascii="Arial" w:eastAsia="Times New Roman" w:hAnsi="Arial" w:cs="Arial"/>
                      <w:lang w:val="en-US" w:eastAsia="en-US"/>
                    </w:rPr>
                  </w:pPr>
                  <w:r w:rsidRPr="005D4397">
                    <w:rPr>
                      <w:rFonts w:ascii="Arial" w:hAnsi="Arial" w:cs="Arial"/>
                    </w:rPr>
                    <w:lastRenderedPageBreak/>
                    <w:t>DL Tx</w:t>
                  </w:r>
                </w:p>
              </w:tc>
              <w:tc>
                <w:tcPr>
                  <w:tcW w:w="990" w:type="dxa"/>
                  <w:tcBorders>
                    <w:top w:val="single" w:sz="4" w:space="0" w:color="auto"/>
                    <w:left w:val="single" w:sz="4" w:space="0" w:color="auto"/>
                    <w:bottom w:val="single" w:sz="4" w:space="0" w:color="auto"/>
                    <w:right w:val="single" w:sz="4" w:space="0" w:color="auto"/>
                  </w:tcBorders>
                </w:tcPr>
                <w:p w14:paraId="7CDFAFCF" w14:textId="77777777" w:rsidR="003C61FA" w:rsidRPr="005D4397" w:rsidRDefault="003C61FA" w:rsidP="003C61FA">
                  <w:pPr>
                    <w:pStyle w:val="maintext"/>
                    <w:ind w:firstLineChars="0" w:firstLine="0"/>
                    <w:jc w:val="center"/>
                    <w:rPr>
                      <w:rFonts w:ascii="Arial" w:eastAsia="Times New Roman" w:hAnsi="Arial" w:cs="Arial"/>
                      <w:lang w:val="en-US" w:eastAsia="en-US"/>
                    </w:rPr>
                  </w:pPr>
                </w:p>
              </w:tc>
              <w:tc>
                <w:tcPr>
                  <w:tcW w:w="970" w:type="dxa"/>
                  <w:tcBorders>
                    <w:top w:val="single" w:sz="4" w:space="0" w:color="auto"/>
                    <w:left w:val="single" w:sz="4" w:space="0" w:color="auto"/>
                    <w:bottom w:val="single" w:sz="4" w:space="0" w:color="auto"/>
                    <w:right w:val="single" w:sz="12" w:space="0" w:color="auto"/>
                  </w:tcBorders>
                </w:tcPr>
                <w:p w14:paraId="2C6896D5" w14:textId="77777777" w:rsidR="003C61FA" w:rsidRPr="005D4397" w:rsidRDefault="003C61FA" w:rsidP="003C61FA">
                  <w:pPr>
                    <w:pStyle w:val="maintext"/>
                    <w:ind w:firstLineChars="0" w:firstLine="0"/>
                    <w:jc w:val="center"/>
                    <w:rPr>
                      <w:rFonts w:ascii="Arial" w:eastAsia="Times New Roman" w:hAnsi="Arial" w:cs="Arial"/>
                      <w:lang w:val="en-US" w:eastAsia="en-US"/>
                    </w:rPr>
                  </w:pPr>
                </w:p>
              </w:tc>
            </w:tr>
            <w:tr w:rsidR="003C61FA" w:rsidRPr="005D4397" w14:paraId="103E50FB" w14:textId="77777777" w:rsidTr="003C61FA">
              <w:tc>
                <w:tcPr>
                  <w:tcW w:w="1435" w:type="dxa"/>
                  <w:tcBorders>
                    <w:top w:val="single" w:sz="4" w:space="0" w:color="auto"/>
                    <w:left w:val="single" w:sz="12" w:space="0" w:color="auto"/>
                    <w:bottom w:val="single" w:sz="12" w:space="0" w:color="auto"/>
                    <w:right w:val="single" w:sz="4" w:space="0" w:color="auto"/>
                  </w:tcBorders>
                  <w:hideMark/>
                </w:tcPr>
                <w:p w14:paraId="1BFFE936" w14:textId="77777777" w:rsidR="003C61FA" w:rsidRPr="005D4397" w:rsidRDefault="003C61FA" w:rsidP="003C61FA">
                  <w:pPr>
                    <w:pStyle w:val="maintext"/>
                    <w:ind w:firstLineChars="0" w:firstLine="0"/>
                    <w:jc w:val="center"/>
                    <w:rPr>
                      <w:rFonts w:ascii="Arial" w:eastAsia="Times New Roman" w:hAnsi="Arial" w:cs="Arial"/>
                      <w:lang w:val="en-US" w:eastAsia="en-US"/>
                    </w:rPr>
                  </w:pPr>
                  <w:r w:rsidRPr="005D4397">
                    <w:rPr>
                      <w:rFonts w:ascii="Arial" w:hAnsi="Arial" w:cs="Arial"/>
                    </w:rPr>
                    <w:t>UL Rx</w:t>
                  </w:r>
                </w:p>
              </w:tc>
              <w:tc>
                <w:tcPr>
                  <w:tcW w:w="990" w:type="dxa"/>
                  <w:tcBorders>
                    <w:top w:val="single" w:sz="4" w:space="0" w:color="auto"/>
                    <w:left w:val="single" w:sz="4" w:space="0" w:color="auto"/>
                    <w:bottom w:val="single" w:sz="12" w:space="0" w:color="auto"/>
                    <w:right w:val="single" w:sz="4" w:space="0" w:color="auto"/>
                  </w:tcBorders>
                </w:tcPr>
                <w:p w14:paraId="43A27FAE" w14:textId="77777777" w:rsidR="003C61FA" w:rsidRPr="005D4397" w:rsidRDefault="003C61FA" w:rsidP="003C61FA">
                  <w:pPr>
                    <w:pStyle w:val="maintext"/>
                    <w:ind w:firstLineChars="0" w:firstLine="0"/>
                    <w:jc w:val="center"/>
                    <w:rPr>
                      <w:rFonts w:ascii="Arial" w:eastAsia="Times New Roman" w:hAnsi="Arial" w:cs="Arial"/>
                      <w:lang w:val="en-US" w:eastAsia="en-US"/>
                    </w:rPr>
                  </w:pPr>
                </w:p>
              </w:tc>
              <w:tc>
                <w:tcPr>
                  <w:tcW w:w="970" w:type="dxa"/>
                  <w:tcBorders>
                    <w:top w:val="single" w:sz="4" w:space="0" w:color="auto"/>
                    <w:left w:val="single" w:sz="4" w:space="0" w:color="auto"/>
                    <w:bottom w:val="single" w:sz="12" w:space="0" w:color="auto"/>
                    <w:right w:val="single" w:sz="12" w:space="0" w:color="auto"/>
                  </w:tcBorders>
                </w:tcPr>
                <w:p w14:paraId="4C08FF7E" w14:textId="77777777" w:rsidR="003C61FA" w:rsidRPr="005D4397" w:rsidRDefault="003C61FA" w:rsidP="003C61FA">
                  <w:pPr>
                    <w:pStyle w:val="maintext"/>
                    <w:ind w:firstLineChars="0" w:firstLine="0"/>
                    <w:jc w:val="center"/>
                    <w:rPr>
                      <w:rFonts w:ascii="Arial" w:eastAsia="Times New Roman" w:hAnsi="Arial" w:cs="Arial"/>
                      <w:lang w:val="en-US" w:eastAsia="en-US"/>
                    </w:rPr>
                  </w:pPr>
                </w:p>
              </w:tc>
            </w:tr>
          </w:tbl>
          <w:p w14:paraId="41B5563F" w14:textId="77777777" w:rsidR="003C61FA" w:rsidRDefault="003C61FA" w:rsidP="00A35D72">
            <w:pPr>
              <w:pStyle w:val="maintext"/>
              <w:numPr>
                <w:ilvl w:val="0"/>
                <w:numId w:val="14"/>
              </w:numPr>
              <w:ind w:firstLineChars="0"/>
              <w:jc w:val="left"/>
              <w:rPr>
                <w:rFonts w:ascii="Arial" w:eastAsia="Times New Roman" w:hAnsi="Arial"/>
                <w:lang w:val="en-US" w:eastAsia="en-US"/>
              </w:rPr>
            </w:pPr>
            <w:r>
              <w:rPr>
                <w:rFonts w:ascii="Arial" w:eastAsia="Times New Roman" w:hAnsi="Arial"/>
                <w:lang w:val="en-US" w:eastAsia="en-US"/>
              </w:rPr>
              <w:t>If Ng is not provided it is assumed to be 0</w:t>
            </w:r>
          </w:p>
          <w:p w14:paraId="45C9DF45" w14:textId="77777777" w:rsidR="003C61FA" w:rsidRDefault="003C61FA" w:rsidP="003C61FA">
            <w:pPr>
              <w:overflowPunct/>
              <w:autoSpaceDE/>
              <w:autoSpaceDN/>
              <w:adjustRightInd/>
              <w:spacing w:before="60" w:after="240"/>
              <w:textAlignment w:val="auto"/>
              <w:rPr>
                <w:rFonts w:eastAsia="Times New Roman"/>
                <w:lang w:val="en-US"/>
              </w:rPr>
            </w:pPr>
            <w:r>
              <w:rPr>
                <w:rFonts w:eastAsia="Times New Roman"/>
                <w:lang w:val="en-US"/>
              </w:rPr>
              <w:t>NOTE: this agreement does not introduce any performance requirement on IAB nodes.</w:t>
            </w:r>
          </w:p>
          <w:p w14:paraId="7BFBC77F" w14:textId="77777777" w:rsidR="008E3437" w:rsidRDefault="008E3437" w:rsidP="008E3437">
            <w:pPr>
              <w:rPr>
                <w:rFonts w:ascii="Times" w:hAnsi="Times"/>
                <w:b/>
                <w:bCs/>
                <w:lang w:val="en-US"/>
              </w:rPr>
            </w:pPr>
            <w:r w:rsidRPr="00DA7412">
              <w:rPr>
                <w:b/>
                <w:highlight w:val="green"/>
                <w:u w:val="single"/>
                <w:lang w:val="en-US"/>
              </w:rPr>
              <w:t>Agreements</w:t>
            </w:r>
            <w:r>
              <w:rPr>
                <w:b/>
                <w:bCs/>
                <w:lang w:val="en-US"/>
              </w:rPr>
              <w:t>:</w:t>
            </w:r>
          </w:p>
          <w:p w14:paraId="6BD47359" w14:textId="5C5B5F73" w:rsidR="008E3437" w:rsidRPr="0045534C" w:rsidRDefault="008E3437" w:rsidP="0045534C">
            <w:pPr>
              <w:spacing w:after="240"/>
              <w:rPr>
                <w:rFonts w:ascii="Calibri" w:hAnsi="Calibri" w:cs="Calibri"/>
              </w:rPr>
            </w:pPr>
            <w:r>
              <w:t>The minimum granularity of explicit indication of DU-IA for IAB DU is per resource type (D/U/F) in a slot.</w:t>
            </w:r>
          </w:p>
          <w:p w14:paraId="505A125F" w14:textId="77777777" w:rsidR="008E3437" w:rsidRDefault="008E3437" w:rsidP="008E3437">
            <w:pPr>
              <w:rPr>
                <w:b/>
                <w:bCs/>
              </w:rPr>
            </w:pPr>
            <w:r w:rsidRPr="00DA7412">
              <w:rPr>
                <w:b/>
                <w:highlight w:val="green"/>
                <w:u w:val="single"/>
              </w:rPr>
              <w:t>Agreements</w:t>
            </w:r>
            <w:r>
              <w:rPr>
                <w:b/>
                <w:bCs/>
              </w:rPr>
              <w:t>:</w:t>
            </w:r>
          </w:p>
          <w:p w14:paraId="2A7F95DD" w14:textId="77777777" w:rsidR="008E3437" w:rsidRDefault="008E3437" w:rsidP="008E3437">
            <w:pPr>
              <w:rPr>
                <w:rFonts w:eastAsia="Calibri"/>
              </w:rPr>
            </w:pPr>
            <w:r>
              <w:rPr>
                <w:rFonts w:eastAsia="Calibri"/>
              </w:rPr>
              <w:t>The explicit indication of DU-IA is provided using the DCI Format 2_0 framework.</w:t>
            </w:r>
          </w:p>
          <w:p w14:paraId="7BA50078" w14:textId="77777777" w:rsidR="008E3437" w:rsidRDefault="008E3437" w:rsidP="00A35D72">
            <w:pPr>
              <w:pStyle w:val="ListParagraph"/>
              <w:numPr>
                <w:ilvl w:val="0"/>
                <w:numId w:val="15"/>
              </w:numPr>
              <w:overflowPunct/>
              <w:autoSpaceDE/>
              <w:autoSpaceDN/>
              <w:adjustRightInd/>
              <w:spacing w:before="60"/>
              <w:textAlignment w:val="auto"/>
              <w:rPr>
                <w:rFonts w:eastAsia="Calibri"/>
              </w:rPr>
            </w:pPr>
            <w:r>
              <w:rPr>
                <w:rFonts w:eastAsia="Calibri"/>
              </w:rPr>
              <w:t xml:space="preserve">FFS the following alternatives (to be down-selected): </w:t>
            </w:r>
          </w:p>
          <w:p w14:paraId="040FFCD9" w14:textId="0B97082A" w:rsidR="008E3437" w:rsidRDefault="008E3437" w:rsidP="00A35D72">
            <w:pPr>
              <w:pStyle w:val="ListParagraph"/>
              <w:numPr>
                <w:ilvl w:val="1"/>
                <w:numId w:val="15"/>
              </w:numPr>
              <w:overflowPunct/>
              <w:autoSpaceDE/>
              <w:autoSpaceDN/>
              <w:adjustRightInd/>
              <w:spacing w:before="60"/>
              <w:textAlignment w:val="auto"/>
              <w:rPr>
                <w:rFonts w:eastAsia="Calibri"/>
              </w:rPr>
            </w:pPr>
            <w:r>
              <w:rPr>
                <w:rFonts w:eastAsia="Calibri"/>
              </w:rPr>
              <w:t>Alt 1:</w:t>
            </w:r>
            <w:r w:rsidR="00DA7412">
              <w:rPr>
                <w:rFonts w:eastAsia="Calibri"/>
              </w:rPr>
              <w:t xml:space="preserve"> </w:t>
            </w:r>
            <w:r>
              <w:rPr>
                <w:rFonts w:eastAsia="Calibri"/>
              </w:rPr>
              <w:t>Reuse existing DCI Format 2_0, select/reinterpret current and, possibly, some reserved entries in Table 11.1.1-1 in 38.213 to indicate DU-IA.</w:t>
            </w:r>
          </w:p>
          <w:p w14:paraId="0A1E13DD" w14:textId="3C20ECBA" w:rsidR="008E3437" w:rsidRDefault="008E3437" w:rsidP="00A35D72">
            <w:pPr>
              <w:pStyle w:val="ListParagraph"/>
              <w:numPr>
                <w:ilvl w:val="1"/>
                <w:numId w:val="15"/>
              </w:numPr>
              <w:overflowPunct/>
              <w:autoSpaceDE/>
              <w:autoSpaceDN/>
              <w:adjustRightInd/>
              <w:spacing w:before="60"/>
              <w:textAlignment w:val="auto"/>
              <w:rPr>
                <w:rFonts w:eastAsia="Calibri"/>
              </w:rPr>
            </w:pPr>
            <w:r>
              <w:rPr>
                <w:rFonts w:eastAsia="Calibri"/>
              </w:rPr>
              <w:t>Alt 2: Reuse existing DCI Format 2_0, select reserved entries of Table 11.1.1-1 in 38.213 to indicate DU-IA.</w:t>
            </w:r>
          </w:p>
          <w:p w14:paraId="1CDD3DF6" w14:textId="5626819F" w:rsidR="008E3437" w:rsidRDefault="008E3437" w:rsidP="00A35D72">
            <w:pPr>
              <w:pStyle w:val="ListParagraph"/>
              <w:numPr>
                <w:ilvl w:val="1"/>
                <w:numId w:val="15"/>
              </w:numPr>
              <w:overflowPunct/>
              <w:autoSpaceDE/>
              <w:autoSpaceDN/>
              <w:adjustRightInd/>
              <w:spacing w:before="60" w:after="240"/>
              <w:textAlignment w:val="auto"/>
              <w:rPr>
                <w:rFonts w:eastAsia="Calibri"/>
              </w:rPr>
            </w:pPr>
            <w:r w:rsidRPr="008E3437">
              <w:rPr>
                <w:rFonts w:eastAsia="Calibri"/>
              </w:rPr>
              <w:t>Alt 3: New DCI Format.</w:t>
            </w:r>
          </w:p>
          <w:p w14:paraId="5F0E32CB" w14:textId="77777777" w:rsidR="005D4397" w:rsidRDefault="005D4397" w:rsidP="005D4397">
            <w:pPr>
              <w:rPr>
                <w:rFonts w:ascii="Times" w:hAnsi="Times"/>
                <w:b/>
                <w:bCs/>
              </w:rPr>
            </w:pPr>
            <w:r w:rsidRPr="002B3A32">
              <w:rPr>
                <w:b/>
                <w:highlight w:val="green"/>
                <w:u w:val="single"/>
              </w:rPr>
              <w:t>Agreements</w:t>
            </w:r>
            <w:r>
              <w:rPr>
                <w:b/>
                <w:bCs/>
              </w:rPr>
              <w:t>:</w:t>
            </w:r>
          </w:p>
          <w:p w14:paraId="3EBF8E4E" w14:textId="77777777" w:rsidR="005D4397" w:rsidRDefault="005D4397" w:rsidP="005D4397">
            <w:pPr>
              <w:rPr>
                <w:rFonts w:eastAsia="Calibri"/>
              </w:rPr>
            </w:pPr>
            <w:r>
              <w:rPr>
                <w:rFonts w:eastAsia="Calibri"/>
              </w:rPr>
              <w:t>A DCI following the DCI Format 2_0 structure is used to indicate DU-IA to an IAB node using a new IA-RNTI different from SFI-RNTI.</w:t>
            </w:r>
          </w:p>
          <w:p w14:paraId="55C32A24" w14:textId="77777777" w:rsidR="005D4397" w:rsidRDefault="005D4397" w:rsidP="005D4397">
            <w:pPr>
              <w:rPr>
                <w:rFonts w:eastAsia="Calibri"/>
              </w:rPr>
            </w:pPr>
            <w:r>
              <w:rPr>
                <w:rFonts w:eastAsia="Calibri"/>
              </w:rPr>
              <w:t xml:space="preserve">This DCI contains one or multiple fields (similar to SFI-index fields in DCI Format 2_0), each field value is used as the index in </w:t>
            </w:r>
            <w:proofErr w:type="gramStart"/>
            <w:r>
              <w:rPr>
                <w:rFonts w:eastAsia="Calibri"/>
              </w:rPr>
              <w:t>a</w:t>
            </w:r>
            <w:proofErr w:type="gramEnd"/>
            <w:r>
              <w:rPr>
                <w:rFonts w:eastAsia="Calibri"/>
              </w:rPr>
              <w:t xml:space="preserve"> RRC configured AI (Availability Indicator) </w:t>
            </w:r>
            <w:proofErr w:type="spellStart"/>
            <w:r>
              <w:rPr>
                <w:rFonts w:eastAsia="Calibri"/>
              </w:rPr>
              <w:t>AvailabilityCombination</w:t>
            </w:r>
            <w:proofErr w:type="spellEnd"/>
            <w:r>
              <w:rPr>
                <w:rFonts w:eastAsia="Calibri"/>
              </w:rPr>
              <w:t xml:space="preserve"> table (similar to the SFI </w:t>
            </w:r>
            <w:proofErr w:type="spellStart"/>
            <w:r>
              <w:rPr>
                <w:rFonts w:eastAsia="Calibri"/>
              </w:rPr>
              <w:t>SlotFormatCombination</w:t>
            </w:r>
            <w:proofErr w:type="spellEnd"/>
            <w:r>
              <w:rPr>
                <w:rFonts w:eastAsia="Calibri"/>
              </w:rPr>
              <w:t xml:space="preserve"> table).</w:t>
            </w:r>
          </w:p>
          <w:p w14:paraId="3B347ED2" w14:textId="77777777" w:rsidR="005D4397" w:rsidRDefault="005D4397" w:rsidP="005D4397">
            <w:pPr>
              <w:rPr>
                <w:rFonts w:eastAsia="Calibri"/>
              </w:rPr>
            </w:pPr>
            <w:r>
              <w:rPr>
                <w:rFonts w:eastAsia="Calibri"/>
              </w:rPr>
              <w:t xml:space="preserve">Each entry in the AI </w:t>
            </w:r>
            <w:proofErr w:type="spellStart"/>
            <w:r>
              <w:rPr>
                <w:rFonts w:eastAsia="Calibri"/>
              </w:rPr>
              <w:t>AvailabilityCombination</w:t>
            </w:r>
            <w:proofErr w:type="spellEnd"/>
            <w:r>
              <w:rPr>
                <w:rFonts w:eastAsia="Calibri"/>
              </w:rPr>
              <w:t xml:space="preserve"> table indicates the resource availability for a set of consecutive slots.</w:t>
            </w:r>
          </w:p>
          <w:p w14:paraId="67F20CA9" w14:textId="77777777" w:rsidR="005D4397" w:rsidRDefault="005D4397" w:rsidP="005D4397">
            <w:pPr>
              <w:rPr>
                <w:rFonts w:eastAsia="Calibri"/>
              </w:rPr>
            </w:pPr>
            <w:r>
              <w:rPr>
                <w:rFonts w:eastAsia="Calibri"/>
              </w:rPr>
              <w:t xml:space="preserve">Each element of each entry in the AI </w:t>
            </w:r>
            <w:proofErr w:type="spellStart"/>
            <w:r>
              <w:rPr>
                <w:rFonts w:eastAsia="Calibri"/>
              </w:rPr>
              <w:t>AvailabilityCombination</w:t>
            </w:r>
            <w:proofErr w:type="spellEnd"/>
            <w:r>
              <w:rPr>
                <w:rFonts w:eastAsia="Calibri"/>
              </w:rPr>
              <w:t xml:space="preserve"> table indicates the resource availability in a slot.</w:t>
            </w:r>
          </w:p>
          <w:p w14:paraId="4BDCAF72" w14:textId="77777777" w:rsidR="005D4397" w:rsidRDefault="005D4397" w:rsidP="005D4397">
            <w:pPr>
              <w:rPr>
                <w:rFonts w:eastAsia="Calibri"/>
              </w:rPr>
            </w:pPr>
            <w:r>
              <w:rPr>
                <w:rFonts w:eastAsia="Calibri"/>
              </w:rPr>
              <w:t>The resource availability can take 8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2880"/>
            </w:tblGrid>
            <w:tr w:rsidR="005D4397" w14:paraId="1B2E9143" w14:textId="77777777" w:rsidTr="005D4397">
              <w:tc>
                <w:tcPr>
                  <w:tcW w:w="1075" w:type="dxa"/>
                  <w:tcBorders>
                    <w:top w:val="single" w:sz="8" w:space="0" w:color="auto"/>
                    <w:left w:val="single" w:sz="8" w:space="0" w:color="auto"/>
                    <w:bottom w:val="single" w:sz="8" w:space="0" w:color="auto"/>
                    <w:right w:val="single" w:sz="8" w:space="0" w:color="auto"/>
                  </w:tcBorders>
                  <w:hideMark/>
                </w:tcPr>
                <w:p w14:paraId="6C439283" w14:textId="77777777" w:rsidR="005D4397" w:rsidRDefault="005D4397" w:rsidP="005D4397">
                  <w:pPr>
                    <w:jc w:val="center"/>
                    <w:rPr>
                      <w:rFonts w:eastAsia="Calibri"/>
                      <w:b/>
                    </w:rPr>
                  </w:pPr>
                  <w:r>
                    <w:rPr>
                      <w:rFonts w:eastAsia="Calibri"/>
                      <w:b/>
                    </w:rPr>
                    <w:t>Value</w:t>
                  </w:r>
                </w:p>
              </w:tc>
              <w:tc>
                <w:tcPr>
                  <w:tcW w:w="2880" w:type="dxa"/>
                  <w:tcBorders>
                    <w:top w:val="single" w:sz="8" w:space="0" w:color="auto"/>
                    <w:left w:val="single" w:sz="8" w:space="0" w:color="auto"/>
                    <w:bottom w:val="single" w:sz="8" w:space="0" w:color="auto"/>
                    <w:right w:val="single" w:sz="8" w:space="0" w:color="auto"/>
                  </w:tcBorders>
                  <w:hideMark/>
                </w:tcPr>
                <w:p w14:paraId="77588D38" w14:textId="77777777" w:rsidR="005D4397" w:rsidRDefault="005D4397" w:rsidP="005D4397">
                  <w:pPr>
                    <w:jc w:val="center"/>
                    <w:rPr>
                      <w:rFonts w:eastAsia="Calibri"/>
                      <w:b/>
                    </w:rPr>
                  </w:pPr>
                  <w:r>
                    <w:rPr>
                      <w:rFonts w:eastAsia="Calibri"/>
                      <w:b/>
                    </w:rPr>
                    <w:t>Meaning</w:t>
                  </w:r>
                </w:p>
              </w:tc>
            </w:tr>
            <w:tr w:rsidR="005D4397" w14:paraId="04F2B7FA" w14:textId="77777777" w:rsidTr="005D4397">
              <w:tc>
                <w:tcPr>
                  <w:tcW w:w="1075" w:type="dxa"/>
                  <w:tcBorders>
                    <w:top w:val="single" w:sz="8" w:space="0" w:color="auto"/>
                    <w:left w:val="single" w:sz="8" w:space="0" w:color="auto"/>
                    <w:bottom w:val="single" w:sz="8" w:space="0" w:color="auto"/>
                    <w:right w:val="single" w:sz="8" w:space="0" w:color="auto"/>
                  </w:tcBorders>
                  <w:hideMark/>
                </w:tcPr>
                <w:p w14:paraId="64876AD0" w14:textId="77777777" w:rsidR="005D4397" w:rsidRDefault="005D4397" w:rsidP="005D4397">
                  <w:pPr>
                    <w:jc w:val="center"/>
                    <w:rPr>
                      <w:rFonts w:eastAsia="Calibri"/>
                    </w:rPr>
                  </w:pPr>
                  <w:r>
                    <w:rPr>
                      <w:rFonts w:eastAsia="Calibri"/>
                    </w:rPr>
                    <w:t>0</w:t>
                  </w:r>
                </w:p>
              </w:tc>
              <w:tc>
                <w:tcPr>
                  <w:tcW w:w="2880" w:type="dxa"/>
                  <w:tcBorders>
                    <w:top w:val="single" w:sz="8" w:space="0" w:color="auto"/>
                    <w:left w:val="single" w:sz="8" w:space="0" w:color="auto"/>
                    <w:bottom w:val="single" w:sz="8" w:space="0" w:color="auto"/>
                    <w:right w:val="single" w:sz="8" w:space="0" w:color="auto"/>
                  </w:tcBorders>
                  <w:hideMark/>
                </w:tcPr>
                <w:p w14:paraId="3A19A599" w14:textId="77777777" w:rsidR="005D4397" w:rsidRDefault="005D4397" w:rsidP="005D4397">
                  <w:pPr>
                    <w:rPr>
                      <w:rFonts w:eastAsia="Calibri"/>
                    </w:rPr>
                  </w:pPr>
                  <w:r>
                    <w:rPr>
                      <w:rFonts w:eastAsia="Calibri"/>
                    </w:rPr>
                    <w:t>No resources available</w:t>
                  </w:r>
                </w:p>
              </w:tc>
            </w:tr>
            <w:tr w:rsidR="005D4397" w14:paraId="0C395492" w14:textId="77777777" w:rsidTr="005D4397">
              <w:tc>
                <w:tcPr>
                  <w:tcW w:w="1075" w:type="dxa"/>
                  <w:tcBorders>
                    <w:top w:val="single" w:sz="8" w:space="0" w:color="auto"/>
                    <w:left w:val="single" w:sz="8" w:space="0" w:color="auto"/>
                    <w:bottom w:val="single" w:sz="8" w:space="0" w:color="auto"/>
                    <w:right w:val="single" w:sz="8" w:space="0" w:color="auto"/>
                  </w:tcBorders>
                  <w:hideMark/>
                </w:tcPr>
                <w:p w14:paraId="6E8899AE" w14:textId="77777777" w:rsidR="005D4397" w:rsidRDefault="005D4397" w:rsidP="005D4397">
                  <w:pPr>
                    <w:jc w:val="center"/>
                    <w:rPr>
                      <w:rFonts w:eastAsia="Calibri"/>
                    </w:rPr>
                  </w:pPr>
                  <w:r>
                    <w:rPr>
                      <w:rFonts w:eastAsia="Calibri"/>
                    </w:rPr>
                    <w:t>1</w:t>
                  </w:r>
                </w:p>
              </w:tc>
              <w:tc>
                <w:tcPr>
                  <w:tcW w:w="2880" w:type="dxa"/>
                  <w:tcBorders>
                    <w:top w:val="single" w:sz="8" w:space="0" w:color="auto"/>
                    <w:left w:val="single" w:sz="8" w:space="0" w:color="auto"/>
                    <w:bottom w:val="single" w:sz="8" w:space="0" w:color="auto"/>
                    <w:right w:val="single" w:sz="8" w:space="0" w:color="auto"/>
                  </w:tcBorders>
                  <w:hideMark/>
                </w:tcPr>
                <w:p w14:paraId="097C9A55" w14:textId="77777777" w:rsidR="005D4397" w:rsidRDefault="005D4397" w:rsidP="005D4397">
                  <w:pPr>
                    <w:rPr>
                      <w:rFonts w:eastAsia="Calibri"/>
                    </w:rPr>
                  </w:pPr>
                  <w:r>
                    <w:rPr>
                      <w:rFonts w:eastAsia="Calibri"/>
                    </w:rPr>
                    <w:t>D resources available</w:t>
                  </w:r>
                </w:p>
              </w:tc>
            </w:tr>
            <w:tr w:rsidR="005D4397" w14:paraId="5E4A9A11" w14:textId="77777777" w:rsidTr="005D4397">
              <w:tc>
                <w:tcPr>
                  <w:tcW w:w="1075" w:type="dxa"/>
                  <w:tcBorders>
                    <w:top w:val="single" w:sz="8" w:space="0" w:color="auto"/>
                    <w:left w:val="single" w:sz="8" w:space="0" w:color="auto"/>
                    <w:bottom w:val="single" w:sz="8" w:space="0" w:color="auto"/>
                    <w:right w:val="single" w:sz="8" w:space="0" w:color="auto"/>
                  </w:tcBorders>
                  <w:hideMark/>
                </w:tcPr>
                <w:p w14:paraId="0E6E2688" w14:textId="77777777" w:rsidR="005D4397" w:rsidRDefault="005D4397" w:rsidP="005D4397">
                  <w:pPr>
                    <w:jc w:val="center"/>
                    <w:rPr>
                      <w:rFonts w:eastAsia="Calibri"/>
                    </w:rPr>
                  </w:pPr>
                  <w:r>
                    <w:rPr>
                      <w:rFonts w:eastAsia="Calibri"/>
                    </w:rPr>
                    <w:t>2</w:t>
                  </w:r>
                </w:p>
              </w:tc>
              <w:tc>
                <w:tcPr>
                  <w:tcW w:w="2880" w:type="dxa"/>
                  <w:tcBorders>
                    <w:top w:val="single" w:sz="8" w:space="0" w:color="auto"/>
                    <w:left w:val="single" w:sz="8" w:space="0" w:color="auto"/>
                    <w:bottom w:val="single" w:sz="8" w:space="0" w:color="auto"/>
                    <w:right w:val="single" w:sz="8" w:space="0" w:color="auto"/>
                  </w:tcBorders>
                  <w:hideMark/>
                </w:tcPr>
                <w:p w14:paraId="32C8D971" w14:textId="77777777" w:rsidR="005D4397" w:rsidRDefault="005D4397" w:rsidP="005D4397">
                  <w:pPr>
                    <w:rPr>
                      <w:rFonts w:eastAsia="Calibri"/>
                    </w:rPr>
                  </w:pPr>
                  <w:r>
                    <w:rPr>
                      <w:rFonts w:eastAsia="Calibri"/>
                    </w:rPr>
                    <w:t>U resources available</w:t>
                  </w:r>
                </w:p>
              </w:tc>
            </w:tr>
            <w:tr w:rsidR="005D4397" w:rsidRPr="005D4397" w14:paraId="23B476DD" w14:textId="77777777" w:rsidTr="005D4397">
              <w:tc>
                <w:tcPr>
                  <w:tcW w:w="1075" w:type="dxa"/>
                  <w:tcBorders>
                    <w:top w:val="single" w:sz="8" w:space="0" w:color="auto"/>
                    <w:left w:val="single" w:sz="8" w:space="0" w:color="auto"/>
                    <w:bottom w:val="single" w:sz="8" w:space="0" w:color="auto"/>
                    <w:right w:val="single" w:sz="8" w:space="0" w:color="auto"/>
                  </w:tcBorders>
                  <w:hideMark/>
                </w:tcPr>
                <w:p w14:paraId="6F056C18" w14:textId="77777777" w:rsidR="005D4397" w:rsidRDefault="005D4397" w:rsidP="005D4397">
                  <w:pPr>
                    <w:jc w:val="center"/>
                    <w:rPr>
                      <w:rFonts w:eastAsia="Calibri"/>
                    </w:rPr>
                  </w:pPr>
                  <w:r>
                    <w:rPr>
                      <w:rFonts w:eastAsia="Calibri"/>
                    </w:rPr>
                    <w:t>3</w:t>
                  </w:r>
                </w:p>
              </w:tc>
              <w:tc>
                <w:tcPr>
                  <w:tcW w:w="2880" w:type="dxa"/>
                  <w:tcBorders>
                    <w:top w:val="single" w:sz="8" w:space="0" w:color="auto"/>
                    <w:left w:val="single" w:sz="8" w:space="0" w:color="auto"/>
                    <w:bottom w:val="single" w:sz="8" w:space="0" w:color="auto"/>
                    <w:right w:val="single" w:sz="8" w:space="0" w:color="auto"/>
                  </w:tcBorders>
                  <w:hideMark/>
                </w:tcPr>
                <w:p w14:paraId="3E10C077" w14:textId="77777777" w:rsidR="005D4397" w:rsidRDefault="005D4397" w:rsidP="005D4397">
                  <w:pPr>
                    <w:rPr>
                      <w:rFonts w:eastAsia="Calibri"/>
                    </w:rPr>
                  </w:pPr>
                  <w:r>
                    <w:rPr>
                      <w:rFonts w:eastAsia="Calibri"/>
                    </w:rPr>
                    <w:t>D and U resources available</w:t>
                  </w:r>
                </w:p>
              </w:tc>
            </w:tr>
            <w:tr w:rsidR="005D4397" w14:paraId="3A500C0A" w14:textId="77777777" w:rsidTr="005D4397">
              <w:tc>
                <w:tcPr>
                  <w:tcW w:w="1075" w:type="dxa"/>
                  <w:tcBorders>
                    <w:top w:val="single" w:sz="8" w:space="0" w:color="auto"/>
                    <w:left w:val="single" w:sz="8" w:space="0" w:color="auto"/>
                    <w:bottom w:val="single" w:sz="8" w:space="0" w:color="auto"/>
                    <w:right w:val="single" w:sz="8" w:space="0" w:color="auto"/>
                  </w:tcBorders>
                  <w:hideMark/>
                </w:tcPr>
                <w:p w14:paraId="5D40C9C2" w14:textId="77777777" w:rsidR="005D4397" w:rsidRDefault="005D4397" w:rsidP="005D4397">
                  <w:pPr>
                    <w:jc w:val="center"/>
                    <w:rPr>
                      <w:rFonts w:eastAsia="Calibri"/>
                    </w:rPr>
                  </w:pPr>
                  <w:r>
                    <w:rPr>
                      <w:rFonts w:eastAsia="Calibri"/>
                    </w:rPr>
                    <w:t>4</w:t>
                  </w:r>
                </w:p>
              </w:tc>
              <w:tc>
                <w:tcPr>
                  <w:tcW w:w="2880" w:type="dxa"/>
                  <w:tcBorders>
                    <w:top w:val="single" w:sz="8" w:space="0" w:color="auto"/>
                    <w:left w:val="single" w:sz="8" w:space="0" w:color="auto"/>
                    <w:bottom w:val="single" w:sz="8" w:space="0" w:color="auto"/>
                    <w:right w:val="single" w:sz="8" w:space="0" w:color="auto"/>
                  </w:tcBorders>
                  <w:hideMark/>
                </w:tcPr>
                <w:p w14:paraId="198910A3" w14:textId="77777777" w:rsidR="005D4397" w:rsidRDefault="005D4397" w:rsidP="005D4397">
                  <w:pPr>
                    <w:rPr>
                      <w:rFonts w:eastAsia="Calibri"/>
                    </w:rPr>
                  </w:pPr>
                  <w:r>
                    <w:rPr>
                      <w:rFonts w:eastAsia="Calibri"/>
                    </w:rPr>
                    <w:t>F resources available</w:t>
                  </w:r>
                </w:p>
              </w:tc>
            </w:tr>
            <w:tr w:rsidR="005D4397" w:rsidRPr="005D4397" w14:paraId="4F789111" w14:textId="77777777" w:rsidTr="005D4397">
              <w:tc>
                <w:tcPr>
                  <w:tcW w:w="1075" w:type="dxa"/>
                  <w:tcBorders>
                    <w:top w:val="single" w:sz="8" w:space="0" w:color="auto"/>
                    <w:left w:val="single" w:sz="8" w:space="0" w:color="auto"/>
                    <w:bottom w:val="single" w:sz="8" w:space="0" w:color="auto"/>
                    <w:right w:val="single" w:sz="8" w:space="0" w:color="auto"/>
                  </w:tcBorders>
                  <w:hideMark/>
                </w:tcPr>
                <w:p w14:paraId="2BEAB8C5" w14:textId="77777777" w:rsidR="005D4397" w:rsidRDefault="005D4397" w:rsidP="005D4397">
                  <w:pPr>
                    <w:jc w:val="center"/>
                    <w:rPr>
                      <w:rFonts w:eastAsia="Calibri"/>
                    </w:rPr>
                  </w:pPr>
                  <w:r>
                    <w:rPr>
                      <w:rFonts w:eastAsia="Calibri"/>
                    </w:rPr>
                    <w:t>5</w:t>
                  </w:r>
                </w:p>
              </w:tc>
              <w:tc>
                <w:tcPr>
                  <w:tcW w:w="2880" w:type="dxa"/>
                  <w:tcBorders>
                    <w:top w:val="single" w:sz="8" w:space="0" w:color="auto"/>
                    <w:left w:val="single" w:sz="8" w:space="0" w:color="auto"/>
                    <w:bottom w:val="single" w:sz="8" w:space="0" w:color="auto"/>
                    <w:right w:val="single" w:sz="8" w:space="0" w:color="auto"/>
                  </w:tcBorders>
                  <w:hideMark/>
                </w:tcPr>
                <w:p w14:paraId="66BF2EF0" w14:textId="77777777" w:rsidR="005D4397" w:rsidRDefault="005D4397" w:rsidP="005D4397">
                  <w:pPr>
                    <w:rPr>
                      <w:rFonts w:eastAsia="Calibri"/>
                    </w:rPr>
                  </w:pPr>
                  <w:r>
                    <w:rPr>
                      <w:rFonts w:eastAsia="Calibri"/>
                    </w:rPr>
                    <w:t>D and F resources available</w:t>
                  </w:r>
                </w:p>
              </w:tc>
            </w:tr>
            <w:tr w:rsidR="005D4397" w:rsidRPr="005D4397" w14:paraId="65BC51E8" w14:textId="77777777" w:rsidTr="005D4397">
              <w:tc>
                <w:tcPr>
                  <w:tcW w:w="1075" w:type="dxa"/>
                  <w:tcBorders>
                    <w:top w:val="single" w:sz="8" w:space="0" w:color="auto"/>
                    <w:left w:val="single" w:sz="8" w:space="0" w:color="auto"/>
                    <w:bottom w:val="single" w:sz="8" w:space="0" w:color="auto"/>
                    <w:right w:val="single" w:sz="8" w:space="0" w:color="auto"/>
                  </w:tcBorders>
                  <w:hideMark/>
                </w:tcPr>
                <w:p w14:paraId="5F6217E2" w14:textId="77777777" w:rsidR="005D4397" w:rsidRDefault="005D4397" w:rsidP="005D4397">
                  <w:pPr>
                    <w:jc w:val="center"/>
                    <w:rPr>
                      <w:rFonts w:eastAsia="Calibri"/>
                    </w:rPr>
                  </w:pPr>
                  <w:r>
                    <w:rPr>
                      <w:rFonts w:eastAsia="Calibri"/>
                    </w:rPr>
                    <w:t>6</w:t>
                  </w:r>
                </w:p>
              </w:tc>
              <w:tc>
                <w:tcPr>
                  <w:tcW w:w="2880" w:type="dxa"/>
                  <w:tcBorders>
                    <w:top w:val="single" w:sz="8" w:space="0" w:color="auto"/>
                    <w:left w:val="single" w:sz="8" w:space="0" w:color="auto"/>
                    <w:bottom w:val="single" w:sz="8" w:space="0" w:color="auto"/>
                    <w:right w:val="single" w:sz="8" w:space="0" w:color="auto"/>
                  </w:tcBorders>
                  <w:hideMark/>
                </w:tcPr>
                <w:p w14:paraId="513B29B8" w14:textId="77777777" w:rsidR="005D4397" w:rsidRDefault="005D4397" w:rsidP="005D4397">
                  <w:pPr>
                    <w:rPr>
                      <w:rFonts w:eastAsia="Calibri"/>
                    </w:rPr>
                  </w:pPr>
                  <w:r>
                    <w:rPr>
                      <w:rFonts w:eastAsia="Calibri"/>
                    </w:rPr>
                    <w:t>U and F resources available</w:t>
                  </w:r>
                </w:p>
              </w:tc>
            </w:tr>
            <w:tr w:rsidR="005D4397" w:rsidRPr="005D4397" w14:paraId="03CD7CA1" w14:textId="77777777" w:rsidTr="005D4397">
              <w:tc>
                <w:tcPr>
                  <w:tcW w:w="1075" w:type="dxa"/>
                  <w:tcBorders>
                    <w:top w:val="single" w:sz="8" w:space="0" w:color="auto"/>
                    <w:left w:val="single" w:sz="8" w:space="0" w:color="auto"/>
                    <w:bottom w:val="single" w:sz="8" w:space="0" w:color="auto"/>
                    <w:right w:val="single" w:sz="8" w:space="0" w:color="auto"/>
                  </w:tcBorders>
                  <w:hideMark/>
                </w:tcPr>
                <w:p w14:paraId="049F17DD" w14:textId="77777777" w:rsidR="005D4397" w:rsidRDefault="005D4397" w:rsidP="005D4397">
                  <w:pPr>
                    <w:jc w:val="center"/>
                    <w:rPr>
                      <w:rFonts w:eastAsia="Calibri"/>
                    </w:rPr>
                  </w:pPr>
                  <w:r>
                    <w:rPr>
                      <w:rFonts w:eastAsia="Calibri"/>
                    </w:rPr>
                    <w:t>7</w:t>
                  </w:r>
                </w:p>
              </w:tc>
              <w:tc>
                <w:tcPr>
                  <w:tcW w:w="2880" w:type="dxa"/>
                  <w:tcBorders>
                    <w:top w:val="single" w:sz="8" w:space="0" w:color="auto"/>
                    <w:left w:val="single" w:sz="8" w:space="0" w:color="auto"/>
                    <w:bottom w:val="single" w:sz="8" w:space="0" w:color="auto"/>
                    <w:right w:val="single" w:sz="8" w:space="0" w:color="auto"/>
                  </w:tcBorders>
                  <w:hideMark/>
                </w:tcPr>
                <w:p w14:paraId="66631FF2" w14:textId="77777777" w:rsidR="005D4397" w:rsidRDefault="005D4397" w:rsidP="005D4397">
                  <w:pPr>
                    <w:rPr>
                      <w:rFonts w:eastAsia="Calibri"/>
                    </w:rPr>
                  </w:pPr>
                  <w:r>
                    <w:rPr>
                      <w:rFonts w:eastAsia="Calibri"/>
                    </w:rPr>
                    <w:t>All resources available</w:t>
                  </w:r>
                </w:p>
              </w:tc>
            </w:tr>
          </w:tbl>
          <w:p w14:paraId="6D5203BD" w14:textId="25D4E0BD" w:rsidR="008E3437" w:rsidRPr="008E3437" w:rsidRDefault="005D4397" w:rsidP="005D4397">
            <w:pPr>
              <w:overflowPunct/>
              <w:autoSpaceDE/>
              <w:autoSpaceDN/>
              <w:adjustRightInd/>
              <w:spacing w:before="60"/>
              <w:textAlignment w:val="auto"/>
              <w:rPr>
                <w:rFonts w:eastAsia="Calibri"/>
              </w:rPr>
            </w:pPr>
            <w:r>
              <w:rPr>
                <w:rFonts w:eastAsia="Calibri"/>
              </w:rPr>
              <w:t xml:space="preserve">The maximum number of entries in the AI </w:t>
            </w:r>
            <w:proofErr w:type="spellStart"/>
            <w:r>
              <w:rPr>
                <w:rFonts w:eastAsia="Calibri"/>
              </w:rPr>
              <w:t>AvailabilityCombination</w:t>
            </w:r>
            <w:proofErr w:type="spellEnd"/>
            <w:r>
              <w:rPr>
                <w:rFonts w:eastAsia="Calibri"/>
              </w:rPr>
              <w:t xml:space="preserve"> table is 512.</w:t>
            </w:r>
          </w:p>
        </w:tc>
      </w:tr>
    </w:tbl>
    <w:p w14:paraId="05F1B743" w14:textId="2DDE7B60" w:rsidR="000A4D8A" w:rsidRPr="003F5094" w:rsidRDefault="000A4D8A" w:rsidP="000A4D8A">
      <w:pPr>
        <w:pStyle w:val="BodyText"/>
        <w:rPr>
          <w:rFonts w:cs="Arial"/>
        </w:rPr>
      </w:pPr>
    </w:p>
    <w:p w14:paraId="4297A2FF" w14:textId="452B795E" w:rsidR="003742AC" w:rsidRDefault="00987FBB" w:rsidP="00B91965">
      <w:pPr>
        <w:pStyle w:val="BodyText"/>
        <w:rPr>
          <w:rFonts w:cs="Arial"/>
        </w:rPr>
      </w:pPr>
      <w:r w:rsidRPr="005B4CA0">
        <w:rPr>
          <w:rFonts w:cs="Arial"/>
          <w:lang w:val="en-US"/>
        </w:rPr>
        <w:t xml:space="preserve">In this contribution, we </w:t>
      </w:r>
      <w:r w:rsidRPr="00605343">
        <w:rPr>
          <w:rFonts w:cs="Arial"/>
          <w:lang w:val="en-US"/>
        </w:rPr>
        <w:t xml:space="preserve">discuss </w:t>
      </w:r>
      <w:r w:rsidR="00CF27B6">
        <w:rPr>
          <w:rFonts w:cs="Arial"/>
          <w:lang w:val="en-US"/>
        </w:rPr>
        <w:t>the</w:t>
      </w:r>
      <w:r w:rsidR="00067269">
        <w:rPr>
          <w:rFonts w:cs="Arial"/>
          <w:lang w:val="en-US"/>
        </w:rPr>
        <w:t xml:space="preserve"> remaining</w:t>
      </w:r>
      <w:r w:rsidR="00BE16FF">
        <w:rPr>
          <w:rFonts w:cs="Arial"/>
          <w:lang w:val="en-US"/>
        </w:rPr>
        <w:t xml:space="preserve"> details about </w:t>
      </w:r>
      <w:r w:rsidR="00921DD7">
        <w:rPr>
          <w:rFonts w:cs="Arial"/>
          <w:lang w:val="en-US"/>
        </w:rPr>
        <w:t xml:space="preserve">the </w:t>
      </w:r>
      <w:r w:rsidR="002A6730">
        <w:rPr>
          <w:rFonts w:cs="Arial"/>
          <w:lang w:val="en-US" w:eastAsia="en-US"/>
        </w:rPr>
        <w:t>semi-static DU resource configuration</w:t>
      </w:r>
      <w:r w:rsidRPr="005B4CA0">
        <w:rPr>
          <w:rFonts w:cs="Arial"/>
          <w:lang w:val="en-US"/>
        </w:rPr>
        <w:t xml:space="preserve">, </w:t>
      </w:r>
      <w:r w:rsidR="00BE16FF">
        <w:rPr>
          <w:rFonts w:cs="Arial"/>
          <w:lang w:val="en-US"/>
        </w:rPr>
        <w:t>and</w:t>
      </w:r>
      <w:r>
        <w:rPr>
          <w:rFonts w:cs="Arial"/>
          <w:lang w:val="en-US"/>
        </w:rPr>
        <w:t xml:space="preserve"> the</w:t>
      </w:r>
      <w:r w:rsidR="00BE16FF">
        <w:rPr>
          <w:rFonts w:cs="Arial"/>
          <w:lang w:val="en-US"/>
        </w:rPr>
        <w:t xml:space="preserve"> L1 dynamic</w:t>
      </w:r>
      <w:r>
        <w:rPr>
          <w:rFonts w:cs="Arial"/>
          <w:lang w:val="en-US"/>
        </w:rPr>
        <w:t xml:space="preserve"> indication of the availability of soft </w:t>
      </w:r>
      <w:r w:rsidR="00EB77E3">
        <w:rPr>
          <w:rFonts w:cs="Arial"/>
          <w:lang w:val="en-US"/>
        </w:rPr>
        <w:t xml:space="preserve">DU </w:t>
      </w:r>
      <w:r>
        <w:rPr>
          <w:rFonts w:cs="Arial"/>
          <w:lang w:val="en-US"/>
        </w:rPr>
        <w:t>resources</w:t>
      </w:r>
      <w:r w:rsidR="003275CD">
        <w:rPr>
          <w:rFonts w:cs="Arial"/>
          <w:lang w:val="en-US"/>
        </w:rPr>
        <w:t>.</w:t>
      </w:r>
      <w:r w:rsidR="00B91965">
        <w:rPr>
          <w:rFonts w:cs="Arial"/>
        </w:rPr>
        <w:t xml:space="preserve"> </w:t>
      </w:r>
    </w:p>
    <w:p w14:paraId="0F95ACE0" w14:textId="1E68B7C8" w:rsidR="00E37EC2" w:rsidRDefault="00E37EC2" w:rsidP="006C3C1B">
      <w:pPr>
        <w:pStyle w:val="Heading1"/>
      </w:pPr>
      <w:r>
        <w:lastRenderedPageBreak/>
        <w:t>Semi-static DU resource configuration</w:t>
      </w:r>
    </w:p>
    <w:p w14:paraId="0009B97C" w14:textId="44EBB7A5" w:rsidR="00D63329" w:rsidRDefault="00D63329" w:rsidP="00D63329">
      <w:pPr>
        <w:pStyle w:val="Heading2"/>
      </w:pPr>
      <w:r>
        <w:t>DU configuration regarding multiple carrier frequencies</w:t>
      </w:r>
    </w:p>
    <w:p w14:paraId="3292B56E" w14:textId="24C8A65D" w:rsidR="006A25E7" w:rsidRDefault="00EE5684" w:rsidP="00C80871">
      <w:r w:rsidRPr="000E13CA">
        <w:t xml:space="preserve">A DU may correspond to multiple cells, including cells operating on different carrier frequencies. Similarly, an MT may correspond to multiple carrier frequencies. If configuring a hard DU resource means the </w:t>
      </w:r>
      <w:r w:rsidR="00C01891" w:rsidRPr="000E13CA">
        <w:t xml:space="preserve">corresponding </w:t>
      </w:r>
      <w:r w:rsidRPr="000E13CA">
        <w:t xml:space="preserve">MT resource being unavailable to the parent node on all MT carrier frequencies, it </w:t>
      </w:r>
      <w:r w:rsidR="00631FCC" w:rsidRPr="000E13CA">
        <w:t>becomes</w:t>
      </w:r>
      <w:r w:rsidRPr="000E13CA">
        <w:t xml:space="preserve"> inefficient from the resource utilization perspective. Therefore, </w:t>
      </w:r>
      <w:r w:rsidR="005B55AE" w:rsidRPr="000E13CA">
        <w:t>it has been agreed</w:t>
      </w:r>
      <w:r w:rsidR="00FB05FA">
        <w:t xml:space="preserve"> </w:t>
      </w:r>
      <w:r w:rsidR="00A86328">
        <w:fldChar w:fldCharType="begin"/>
      </w:r>
      <w:r w:rsidR="00A86328">
        <w:instrText xml:space="preserve"> REF _Ref22634755 \r \h </w:instrText>
      </w:r>
      <w:r w:rsidR="00A86328">
        <w:fldChar w:fldCharType="separate"/>
      </w:r>
      <w:r w:rsidR="006D1DFC">
        <w:t>[2]</w:t>
      </w:r>
      <w:r w:rsidR="00A86328">
        <w:fldChar w:fldCharType="end"/>
      </w:r>
      <w:r w:rsidR="005B55AE" w:rsidRPr="000E13CA">
        <w:t xml:space="preserve"> that the H/S/NA attributes for the per-cell DU resource configuration should </w:t>
      </w:r>
      <w:proofErr w:type="gramStart"/>
      <w:r w:rsidR="005B55AE" w:rsidRPr="000E13CA">
        <w:t>take into account</w:t>
      </w:r>
      <w:proofErr w:type="gramEnd"/>
      <w:r w:rsidR="005B55AE" w:rsidRPr="000E13CA">
        <w:t xml:space="preserve"> the associated MT carrier frequency(</w:t>
      </w:r>
      <w:proofErr w:type="spellStart"/>
      <w:r w:rsidR="005B55AE" w:rsidRPr="000E13CA">
        <w:t>ies</w:t>
      </w:r>
      <w:proofErr w:type="spellEnd"/>
      <w:r w:rsidR="005B55AE" w:rsidRPr="000E13CA">
        <w:t>).</w:t>
      </w:r>
      <w:r w:rsidRPr="000E13CA">
        <w:t xml:space="preserve"> </w:t>
      </w:r>
      <w:r w:rsidR="00A377B4">
        <w:t xml:space="preserve">To facilitate such </w:t>
      </w:r>
      <w:r w:rsidR="001D7DC0">
        <w:t>configuration</w:t>
      </w:r>
      <w:r w:rsidR="00E75F30">
        <w:t xml:space="preserve">, </w:t>
      </w:r>
      <w:r w:rsidR="00C80871">
        <w:t xml:space="preserve">it has also been agreed </w:t>
      </w:r>
      <w:r w:rsidR="00C80871">
        <w:fldChar w:fldCharType="begin"/>
      </w:r>
      <w:r w:rsidR="00C80871">
        <w:instrText xml:space="preserve"> REF _Ref476919366 \r \h </w:instrText>
      </w:r>
      <w:r w:rsidR="00C80871">
        <w:fldChar w:fldCharType="separate"/>
      </w:r>
      <w:r w:rsidR="006D1DFC">
        <w:t>[1]</w:t>
      </w:r>
      <w:r w:rsidR="00C80871">
        <w:fldChar w:fldCharType="end"/>
      </w:r>
      <w:r w:rsidR="00C80871">
        <w:t xml:space="preserve"> that </w:t>
      </w:r>
      <w:r w:rsidR="00943892">
        <w:t>t</w:t>
      </w:r>
      <w:r w:rsidR="00943892" w:rsidRPr="00943892">
        <w:t>he donor CU and the parent node can be made aware of the multiplexing capability between MT and DU (TDM required, TDM not required) of an IAB node for any {MT CC, DU cell} pair.</w:t>
      </w:r>
      <w:r w:rsidR="008B3ABA">
        <w:t xml:space="preserve"> However, </w:t>
      </w:r>
      <w:proofErr w:type="gramStart"/>
      <w:r w:rsidR="006A25E7">
        <w:t>it is clear that an</w:t>
      </w:r>
      <w:proofErr w:type="gramEnd"/>
      <w:r w:rsidR="006A25E7">
        <w:t xml:space="preserve"> IAB-node ability for simultaneous operation of </w:t>
      </w:r>
      <w:r w:rsidR="00A9295E">
        <w:t>a</w:t>
      </w:r>
      <w:r w:rsidR="006A25E7">
        <w:t xml:space="preserve"> DU and MT depends on the instantaneous transmission direction of the </w:t>
      </w:r>
      <w:r w:rsidR="00A9295E">
        <w:t>DU</w:t>
      </w:r>
      <w:r w:rsidR="006A25E7">
        <w:t xml:space="preserve"> and the</w:t>
      </w:r>
      <w:r w:rsidR="00A9295E">
        <w:t xml:space="preserve"> MT</w:t>
      </w:r>
      <w:r w:rsidR="006A25E7">
        <w:t>. As an example, it may be possible for the IAB node to receive simultaneously on the DU and MT but not transmit simultaneously on the DU and MT. Thus, we propose to extend the TD/no-TDM capability signalling to separately indicate the TDM/non-TDM capability for each DU/MT TX/RX combination</w:t>
      </w:r>
    </w:p>
    <w:p w14:paraId="44998718" w14:textId="5B878025" w:rsidR="006A25E7" w:rsidRDefault="00A9295E" w:rsidP="001F4727">
      <w:pPr>
        <w:pStyle w:val="ListParagraph"/>
        <w:numPr>
          <w:ilvl w:val="0"/>
          <w:numId w:val="21"/>
        </w:numPr>
        <w:ind w:left="1077" w:hanging="357"/>
        <w:contextualSpacing w:val="0"/>
      </w:pPr>
      <w:r>
        <w:t xml:space="preserve">TDM/no-TDM for the </w:t>
      </w:r>
      <w:r w:rsidR="006A25E7">
        <w:t>DU-TX/MT-TX</w:t>
      </w:r>
      <w:r>
        <w:t xml:space="preserve"> combination</w:t>
      </w:r>
    </w:p>
    <w:p w14:paraId="17320676" w14:textId="0B359E67" w:rsidR="006A25E7" w:rsidRDefault="00E42AEB" w:rsidP="001F4727">
      <w:pPr>
        <w:pStyle w:val="ListParagraph"/>
        <w:numPr>
          <w:ilvl w:val="0"/>
          <w:numId w:val="21"/>
        </w:numPr>
        <w:ind w:left="1077" w:hanging="357"/>
        <w:contextualSpacing w:val="0"/>
      </w:pPr>
      <w:r>
        <w:t xml:space="preserve">TDM/no-TDM for the </w:t>
      </w:r>
      <w:r w:rsidR="006A25E7">
        <w:t>DU-RX/MT-TX</w:t>
      </w:r>
      <w:r w:rsidRPr="00E42AEB">
        <w:t xml:space="preserve"> </w:t>
      </w:r>
      <w:r>
        <w:t>combination</w:t>
      </w:r>
    </w:p>
    <w:p w14:paraId="37DE9346" w14:textId="66BF6486" w:rsidR="001F4727" w:rsidRPr="00E42AEB" w:rsidRDefault="00E42AEB" w:rsidP="001F4727">
      <w:pPr>
        <w:pStyle w:val="ListParagraph"/>
        <w:numPr>
          <w:ilvl w:val="0"/>
          <w:numId w:val="21"/>
        </w:numPr>
        <w:ind w:left="1077" w:hanging="357"/>
        <w:contextualSpacing w:val="0"/>
        <w:rPr>
          <w:lang w:val="en-US"/>
        </w:rPr>
      </w:pPr>
      <w:r>
        <w:t>TDM/no-TDM</w:t>
      </w:r>
      <w:r w:rsidRPr="00E42AEB">
        <w:rPr>
          <w:lang w:val="en-US"/>
        </w:rPr>
        <w:t xml:space="preserve"> for the </w:t>
      </w:r>
      <w:r w:rsidR="006A25E7" w:rsidRPr="00E42AEB">
        <w:rPr>
          <w:lang w:val="en-US"/>
        </w:rPr>
        <w:t>DU-TX/MT-R</w:t>
      </w:r>
      <w:r w:rsidR="001F4727" w:rsidRPr="00E42AEB">
        <w:rPr>
          <w:lang w:val="en-US"/>
        </w:rPr>
        <w:t>X</w:t>
      </w:r>
      <w:r w:rsidRPr="00E42AEB">
        <w:t xml:space="preserve"> </w:t>
      </w:r>
      <w:r>
        <w:t>combination</w:t>
      </w:r>
    </w:p>
    <w:p w14:paraId="2C266013" w14:textId="72AF2A01" w:rsidR="006A25E7" w:rsidRPr="00E42AEB" w:rsidRDefault="00E42AEB" w:rsidP="001F4727">
      <w:pPr>
        <w:pStyle w:val="ListParagraph"/>
        <w:numPr>
          <w:ilvl w:val="0"/>
          <w:numId w:val="21"/>
        </w:numPr>
        <w:ind w:left="1077" w:hanging="357"/>
        <w:contextualSpacing w:val="0"/>
        <w:rPr>
          <w:lang w:val="en-US"/>
        </w:rPr>
      </w:pPr>
      <w:r>
        <w:t>TDM/no-TDM</w:t>
      </w:r>
      <w:r w:rsidRPr="00E42AEB">
        <w:rPr>
          <w:lang w:val="en-US"/>
        </w:rPr>
        <w:t xml:space="preserve"> for the </w:t>
      </w:r>
      <w:r w:rsidR="006A25E7" w:rsidRPr="00E42AEB">
        <w:rPr>
          <w:lang w:val="en-US"/>
        </w:rPr>
        <w:t>DU-RX/MT-RX</w:t>
      </w:r>
      <w:r w:rsidRPr="00E42AEB">
        <w:t xml:space="preserve"> </w:t>
      </w:r>
      <w:r>
        <w:t>combination</w:t>
      </w:r>
    </w:p>
    <w:p w14:paraId="03022156" w14:textId="354B8E6C" w:rsidR="00E32B50" w:rsidRDefault="006A25E7" w:rsidP="00140060">
      <w:r>
        <w:t xml:space="preserve">It should be noted the possibility for such extended </w:t>
      </w:r>
      <w:r w:rsidR="00140060">
        <w:t xml:space="preserve">TDM (or rather non-TDM) capability </w:t>
      </w:r>
      <w:r w:rsidR="00E42AEB">
        <w:t xml:space="preserve">signalling </w:t>
      </w:r>
      <w:r w:rsidR="00140060">
        <w:t xml:space="preserve">does not mandate any additional complexity of the IAB node. An </w:t>
      </w:r>
      <w:r w:rsidR="00E42AEB">
        <w:t>I</w:t>
      </w:r>
      <w:r w:rsidR="00140060">
        <w:t xml:space="preserve">AB node requiring TDM for any of the above four combinations, can, if it wants to, simply indicate TDM for each of the combinations, </w:t>
      </w:r>
      <w:r w:rsidR="00E42AEB">
        <w:t xml:space="preserve">implying </w:t>
      </w:r>
      <w:proofErr w:type="gramStart"/>
      <w:r w:rsidR="00140060">
        <w:t>exactly the same</w:t>
      </w:r>
      <w:proofErr w:type="gramEnd"/>
      <w:r w:rsidR="00140060">
        <w:t xml:space="preserve"> IAB-node behaviour as with a single overall TDM/n</w:t>
      </w:r>
      <w:r w:rsidR="001F4727">
        <w:t>o</w:t>
      </w:r>
      <w:r w:rsidR="00140060">
        <w:t>-TDM indicator.</w:t>
      </w:r>
    </w:p>
    <w:p w14:paraId="2EA3982E" w14:textId="77777777" w:rsidR="00D9360A" w:rsidRDefault="00D9360A" w:rsidP="00140060"/>
    <w:p w14:paraId="56806603" w14:textId="68D76D01" w:rsidR="00D9360A" w:rsidRPr="00373D3D" w:rsidRDefault="00D9360A" w:rsidP="00D9360A">
      <w:pPr>
        <w:pStyle w:val="Proposal"/>
        <w:numPr>
          <w:ilvl w:val="0"/>
          <w:numId w:val="0"/>
        </w:numPr>
        <w:tabs>
          <w:tab w:val="clear" w:pos="1701"/>
          <w:tab w:val="left" w:pos="1276"/>
        </w:tabs>
        <w:ind w:left="1272" w:hanging="1272"/>
      </w:pPr>
      <w:r>
        <w:t xml:space="preserve">Proposal 1: </w:t>
      </w:r>
      <w:r>
        <w:tab/>
        <w:t>The i</w:t>
      </w:r>
      <w:r w:rsidRPr="000D4AA6">
        <w:t>ndicat</w:t>
      </w:r>
      <w:r>
        <w:t>ion of</w:t>
      </w:r>
      <w:r w:rsidRPr="000D4AA6">
        <w:t xml:space="preserve"> the multiplexing capability between IAB</w:t>
      </w:r>
      <w:r>
        <w:t xml:space="preserve"> </w:t>
      </w:r>
      <w:r w:rsidRPr="000D4AA6">
        <w:t>MT and IAB</w:t>
      </w:r>
      <w:r>
        <w:t xml:space="preserve"> </w:t>
      </w:r>
      <w:r w:rsidRPr="000D4AA6">
        <w:t xml:space="preserve">DU </w:t>
      </w:r>
      <w:r>
        <w:t xml:space="preserve">is with respect to each transmission-direction combination, i.e., TDM/no-TDM for MT-TX/DU-TX, </w:t>
      </w:r>
      <w:r>
        <w:br/>
        <w:t>MT-TX/DU-RX, MT-RX/DU-TX, and MT-RX/DU-RX.</w:t>
      </w:r>
    </w:p>
    <w:p w14:paraId="34B5ECCA" w14:textId="099B55C7" w:rsidR="0026693A" w:rsidRDefault="00DE162A" w:rsidP="00FE1AB3">
      <w:pPr>
        <w:pStyle w:val="Heading1"/>
      </w:pPr>
      <w:r>
        <w:t>Explicit i</w:t>
      </w:r>
      <w:r w:rsidR="00FE1AB3">
        <w:t>ndication of the soft resource</w:t>
      </w:r>
    </w:p>
    <w:p w14:paraId="3B300FF9" w14:textId="6CFE6F29" w:rsidR="00D14A91" w:rsidRDefault="00D14A91" w:rsidP="00D14A91">
      <w:r>
        <w:t xml:space="preserve">It has been agreed that the availability of a soft DU resource can </w:t>
      </w:r>
      <w:r w:rsidR="00E42AEB">
        <w:t xml:space="preserve">explicitly and dynamically </w:t>
      </w:r>
      <w:proofErr w:type="gramStart"/>
      <w:r>
        <w:t>indicated</w:t>
      </w:r>
      <w:proofErr w:type="gramEnd"/>
      <w:r>
        <w:t xml:space="preserve"> based on DCI. More </w:t>
      </w:r>
      <w:r w:rsidR="00E42AEB">
        <w:t>specifically</w:t>
      </w:r>
      <w:r>
        <w:t xml:space="preserve"> the DCI indicates a</w:t>
      </w:r>
      <w:r w:rsidR="00FC3D16">
        <w:t>n</w:t>
      </w:r>
      <w:r>
        <w:t xml:space="preserve"> entry in an </w:t>
      </w:r>
      <w:proofErr w:type="spellStart"/>
      <w:r>
        <w:t>AvailabilityCombination</w:t>
      </w:r>
      <w:proofErr w:type="spellEnd"/>
      <w:r>
        <w:t xml:space="preserve"> table which, in turn, indicates the availability of soft resources within a slot. </w:t>
      </w:r>
      <w:r w:rsidR="001F4727">
        <w:t xml:space="preserve">It has also been agreed that a soft resource could, alternatively, be implicitly indicated as available. </w:t>
      </w:r>
      <w:r>
        <w:t>However, RAN1 ema</w:t>
      </w:r>
      <w:r w:rsidR="003055FA">
        <w:t xml:space="preserve">il discussions </w:t>
      </w:r>
      <w:r w:rsidR="000C1E55">
        <w:t xml:space="preserve">on the </w:t>
      </w:r>
      <w:r w:rsidR="003055FA">
        <w:t>draft CR for TS 38.213 related to IAB have highlighted that there is a need to clarify the exact IAB node behaviour with regards to soft DU resources</w:t>
      </w:r>
      <w:r w:rsidR="000C1E55">
        <w:t xml:space="preserve">. Currently the draft TR only states that the IAB node can use a soft resource if it is “determined to be available” but it is not clarified how such a decision can be made by the IAB node. </w:t>
      </w:r>
    </w:p>
    <w:p w14:paraId="14EBC9D2" w14:textId="68B6E1F2" w:rsidR="00D14A91" w:rsidRDefault="008D11FF" w:rsidP="00D14A91">
      <w:r>
        <w:t>The IAB node behaviour with respect to a soft DU resource has typically been expressed such</w:t>
      </w:r>
      <w:r w:rsidR="00D14A91">
        <w:t xml:space="preserve"> that the IAB node can assume that it can use a soft DU resource if an only if this can be done without impacting the MTs ability to transmit and/or receive according to its configuration and scheduling. One way to align this with the explicit indication </w:t>
      </w:r>
      <w:r w:rsidR="000C1E55">
        <w:t xml:space="preserve">of </w:t>
      </w:r>
      <w:r w:rsidR="003055FA">
        <w:t xml:space="preserve">availability </w:t>
      </w:r>
      <w:r w:rsidR="00D14A91">
        <w:t xml:space="preserve">would be to </w:t>
      </w:r>
      <w:proofErr w:type="spellStart"/>
      <w:r w:rsidR="000C1E55">
        <w:t>specificy</w:t>
      </w:r>
      <w:proofErr w:type="spellEnd"/>
      <w:r w:rsidR="00D14A91">
        <w:t xml:space="preserve"> the </w:t>
      </w:r>
      <w:r w:rsidR="001F4727">
        <w:t xml:space="preserve">IAB node behaviour with respect to the </w:t>
      </w:r>
      <w:r w:rsidR="00D14A91">
        <w:t xml:space="preserve">explicit indication of availability as follows: </w:t>
      </w:r>
    </w:p>
    <w:p w14:paraId="4D7C328B" w14:textId="6235B1DA" w:rsidR="00D14A91" w:rsidRPr="00D14A91" w:rsidRDefault="00D14A91" w:rsidP="00D14A91">
      <w:pPr>
        <w:rPr>
          <w:i/>
        </w:rPr>
      </w:pPr>
      <w:r w:rsidRPr="00FC3D16">
        <w:rPr>
          <w:i/>
          <w:color w:val="0070C0"/>
        </w:rPr>
        <w:t>The IAB node can assume that it can use a resource indicated as available without impacting the MTs ability to transmit/receive according to its configuration and scheduling</w:t>
      </w:r>
      <w:r w:rsidRPr="00D14A91">
        <w:rPr>
          <w:i/>
        </w:rPr>
        <w:t>.</w:t>
      </w:r>
    </w:p>
    <w:p w14:paraId="40F4E345" w14:textId="2EB00D0A" w:rsidR="00D14A91" w:rsidRDefault="00D14A91" w:rsidP="00D14A91">
      <w:r>
        <w:t xml:space="preserve">Together with a </w:t>
      </w:r>
      <w:r w:rsidR="000C1E55">
        <w:t>specification</w:t>
      </w:r>
      <w:r w:rsidR="001F4727">
        <w:t xml:space="preserve"> of the overall IAB behaviour with regards to </w:t>
      </w:r>
      <w:r>
        <w:t>a soft DU resource a</w:t>
      </w:r>
      <w:r w:rsidR="001F4727">
        <w:t xml:space="preserve">ccording to </w:t>
      </w:r>
    </w:p>
    <w:p w14:paraId="31D20470" w14:textId="0B0C7BCE" w:rsidR="00D14A91" w:rsidRPr="00FC3D16" w:rsidRDefault="00D14A91" w:rsidP="00D14A91">
      <w:pPr>
        <w:rPr>
          <w:i/>
          <w:color w:val="0070C0"/>
        </w:rPr>
      </w:pPr>
      <w:r w:rsidRPr="00FC3D16">
        <w:rPr>
          <w:i/>
          <w:color w:val="0070C0"/>
        </w:rPr>
        <w:t>The IAB node can assume that it can use a soft DU resource if an only if this can be done</w:t>
      </w:r>
      <w:r w:rsidR="0068427C" w:rsidRPr="00FC3D16">
        <w:rPr>
          <w:i/>
          <w:color w:val="0070C0"/>
        </w:rPr>
        <w:t xml:space="preserve"> without impacting the MTs ability to transmit and/or receive according to its configuration and scheduling</w:t>
      </w:r>
    </w:p>
    <w:p w14:paraId="2780ADFA" w14:textId="4CC50AD4" w:rsidR="00D14A91" w:rsidRDefault="00FC3D16" w:rsidP="00D14A91">
      <w:r>
        <w:t>t</w:t>
      </w:r>
      <w:r w:rsidR="00D14A91">
        <w:t xml:space="preserve">his would </w:t>
      </w:r>
      <w:r>
        <w:t>lead to the</w:t>
      </w:r>
      <w:r w:rsidR="00D14A91">
        <w:t xml:space="preserve"> proper </w:t>
      </w:r>
      <w:r>
        <w:t>IA</w:t>
      </w:r>
      <w:r w:rsidR="001F4727">
        <w:t>B</w:t>
      </w:r>
      <w:r>
        <w:t xml:space="preserve"> node behaviour with regards to </w:t>
      </w:r>
      <w:r w:rsidR="003055FA">
        <w:t xml:space="preserve">both implicit and </w:t>
      </w:r>
      <w:r>
        <w:t>explicit indication of availability</w:t>
      </w:r>
      <w:r w:rsidR="001F4727">
        <w:t xml:space="preserve"> of a soft DU resourc</w:t>
      </w:r>
      <w:r w:rsidR="00215368">
        <w:t xml:space="preserve">e. </w:t>
      </w:r>
      <w:r w:rsidR="0068427C">
        <w:t xml:space="preserve"> </w:t>
      </w:r>
    </w:p>
    <w:p w14:paraId="520F5AFB" w14:textId="4DDE7DBB" w:rsidR="0068427C" w:rsidRDefault="0068427C" w:rsidP="00D14A91">
      <w:r>
        <w:lastRenderedPageBreak/>
        <w:t>However, the</w:t>
      </w:r>
      <w:r w:rsidR="003055FA">
        <w:t xml:space="preserve"> wording </w:t>
      </w:r>
      <w:r>
        <w:t>“without impacting the MTs ability to transmit and/or receive according to its configuration and scheduling.”</w:t>
      </w:r>
      <w:r w:rsidR="003055FA">
        <w:t xml:space="preserve"> may lack the stringency needed for a technical specification.</w:t>
      </w:r>
    </w:p>
    <w:p w14:paraId="799A8D6B" w14:textId="2B7914C4" w:rsidR="0068427C" w:rsidRDefault="0068427C" w:rsidP="00D14A91">
      <w:r>
        <w:t xml:space="preserve">In practice, the relevant thing is that, </w:t>
      </w:r>
      <w:r w:rsidR="001F4727">
        <w:t>with regards to</w:t>
      </w:r>
      <w:r>
        <w:t xml:space="preserve"> a soft DU resource, the parent node should be able to assume that the MTs behaviour and capabilities would be the same as if the </w:t>
      </w:r>
      <w:r w:rsidR="001F4727">
        <w:t xml:space="preserve">soft </w:t>
      </w:r>
      <w:r>
        <w:t xml:space="preserve">DU resource was not used, </w:t>
      </w:r>
      <w:r w:rsidR="001F4727">
        <w:t>which in turn implies that</w:t>
      </w:r>
      <w:r>
        <w:t xml:space="preserve"> </w:t>
      </w:r>
      <w:r w:rsidR="001F4727">
        <w:t>t</w:t>
      </w:r>
      <w:r>
        <w:t>he MTs behaviour and capabilities would be the same as if the DU resource was</w:t>
      </w:r>
      <w:r w:rsidR="001F4727">
        <w:t xml:space="preserve"> instead</w:t>
      </w:r>
      <w:r>
        <w:t xml:space="preserve"> configured as not available. </w:t>
      </w:r>
    </w:p>
    <w:p w14:paraId="14ED7631" w14:textId="1CD725E5" w:rsidR="0068427C" w:rsidRDefault="006E6990" w:rsidP="00D14A91">
      <w:r>
        <w:t>T</w:t>
      </w:r>
      <w:r w:rsidR="0068427C">
        <w:t xml:space="preserve">his leads us to conclude that the following would be an appropriate </w:t>
      </w:r>
      <w:r w:rsidR="000C1E55">
        <w:t>specification</w:t>
      </w:r>
      <w:r w:rsidR="0068427C">
        <w:t xml:space="preserve"> of IAB node behaviour with regards to </w:t>
      </w:r>
      <w:r w:rsidR="000C1E55">
        <w:t xml:space="preserve">soft </w:t>
      </w:r>
      <w:r w:rsidR="0068427C">
        <w:t>DU resou</w:t>
      </w:r>
      <w:r w:rsidR="00FC3D16">
        <w:t>r</w:t>
      </w:r>
      <w:r w:rsidR="0068427C">
        <w:t xml:space="preserve">ces configured: </w:t>
      </w:r>
    </w:p>
    <w:p w14:paraId="08D9CE20" w14:textId="542B3B1C" w:rsidR="00167FD9" w:rsidRPr="00000544" w:rsidRDefault="00167FD9" w:rsidP="00167FD9">
      <w:pPr>
        <w:ind w:left="51"/>
        <w:rPr>
          <w:i/>
          <w:color w:val="0070C0"/>
          <w:lang w:val="en-US"/>
        </w:rPr>
      </w:pPr>
      <w:r w:rsidRPr="00000544">
        <w:rPr>
          <w:i/>
          <w:color w:val="0070C0"/>
          <w:lang w:val="en-US"/>
        </w:rPr>
        <w:t>The IAB node can use a soft DU resource for transmission and/or reception in line with D/U/F configuration of the resource</w:t>
      </w:r>
      <w:r w:rsidR="00000544" w:rsidRPr="00000544">
        <w:rPr>
          <w:i/>
          <w:color w:val="0070C0"/>
          <w:lang w:val="en-US"/>
        </w:rPr>
        <w:t>, if</w:t>
      </w:r>
      <w:r w:rsidR="00215368">
        <w:rPr>
          <w:i/>
          <w:color w:val="0070C0"/>
          <w:lang w:val="en-US"/>
        </w:rPr>
        <w:t xml:space="preserve"> and only if</w:t>
      </w:r>
    </w:p>
    <w:p w14:paraId="26C562E4" w14:textId="50D5F808" w:rsidR="00167FD9" w:rsidRPr="00000544" w:rsidRDefault="00167FD9" w:rsidP="00167FD9">
      <w:pPr>
        <w:pStyle w:val="ListParagraph"/>
        <w:numPr>
          <w:ilvl w:val="0"/>
          <w:numId w:val="18"/>
        </w:numPr>
        <w:overflowPunct/>
        <w:autoSpaceDE/>
        <w:autoSpaceDN/>
        <w:adjustRightInd/>
        <w:spacing w:after="160" w:line="259" w:lineRule="auto"/>
        <w:jc w:val="left"/>
        <w:textAlignment w:val="auto"/>
        <w:rPr>
          <w:i/>
          <w:color w:val="0070C0"/>
          <w:lang w:val="en-US"/>
        </w:rPr>
      </w:pPr>
      <w:r w:rsidRPr="00000544">
        <w:rPr>
          <w:i/>
          <w:color w:val="0070C0"/>
          <w:lang w:val="en-US"/>
        </w:rPr>
        <w:t>the use of the resource does not change the IAB</w:t>
      </w:r>
      <w:r w:rsidR="00000544" w:rsidRPr="00000544">
        <w:rPr>
          <w:i/>
          <w:color w:val="0070C0"/>
          <w:lang w:val="en-US"/>
        </w:rPr>
        <w:t xml:space="preserve"> node </w:t>
      </w:r>
      <w:r w:rsidRPr="00000544">
        <w:rPr>
          <w:i/>
          <w:color w:val="0070C0"/>
          <w:lang w:val="en-US"/>
        </w:rPr>
        <w:t xml:space="preserve">MT behavior relative to the behavior if the resource was instead configured as </w:t>
      </w:r>
      <w:r w:rsidR="00000544" w:rsidRPr="00000544">
        <w:rPr>
          <w:i/>
          <w:color w:val="0070C0"/>
          <w:lang w:val="en-US"/>
        </w:rPr>
        <w:t>N</w:t>
      </w:r>
      <w:r w:rsidRPr="00000544">
        <w:rPr>
          <w:i/>
          <w:color w:val="0070C0"/>
          <w:lang w:val="en-US"/>
        </w:rPr>
        <w:t xml:space="preserve">ot </w:t>
      </w:r>
      <w:r w:rsidR="00000544" w:rsidRPr="00000544">
        <w:rPr>
          <w:i/>
          <w:color w:val="0070C0"/>
          <w:lang w:val="en-US"/>
        </w:rPr>
        <w:t>A</w:t>
      </w:r>
      <w:r w:rsidRPr="00000544">
        <w:rPr>
          <w:i/>
          <w:color w:val="0070C0"/>
          <w:lang w:val="en-US"/>
        </w:rPr>
        <w:t>vailable</w:t>
      </w:r>
    </w:p>
    <w:p w14:paraId="7D6F8051" w14:textId="77777777" w:rsidR="00167FD9" w:rsidRPr="00000544" w:rsidRDefault="00167FD9" w:rsidP="00167FD9">
      <w:pPr>
        <w:rPr>
          <w:i/>
          <w:color w:val="0070C0"/>
          <w:lang w:val="en-US"/>
        </w:rPr>
      </w:pPr>
      <w:r w:rsidRPr="00000544">
        <w:rPr>
          <w:i/>
          <w:color w:val="0070C0"/>
          <w:lang w:val="en-US"/>
        </w:rPr>
        <w:t>or</w:t>
      </w:r>
    </w:p>
    <w:p w14:paraId="408F53F5" w14:textId="08257AFF" w:rsidR="00D9360A" w:rsidRDefault="00167FD9" w:rsidP="00215368">
      <w:pPr>
        <w:pStyle w:val="ListParagraph"/>
        <w:numPr>
          <w:ilvl w:val="0"/>
          <w:numId w:val="18"/>
        </w:numPr>
        <w:overflowPunct/>
        <w:autoSpaceDE/>
        <w:autoSpaceDN/>
        <w:adjustRightInd/>
        <w:spacing w:after="160" w:line="259" w:lineRule="auto"/>
        <w:jc w:val="left"/>
        <w:textAlignment w:val="auto"/>
        <w:rPr>
          <w:i/>
          <w:color w:val="0070C0"/>
          <w:lang w:val="en-US"/>
        </w:rPr>
      </w:pPr>
      <w:r w:rsidRPr="00000544">
        <w:rPr>
          <w:i/>
          <w:color w:val="0070C0"/>
          <w:lang w:val="en-US"/>
        </w:rPr>
        <w:t xml:space="preserve">the IAB node </w:t>
      </w:r>
      <w:r w:rsidR="00000544" w:rsidRPr="00000544">
        <w:rPr>
          <w:i/>
          <w:color w:val="0070C0"/>
          <w:lang w:val="en-US"/>
        </w:rPr>
        <w:t>has received a</w:t>
      </w:r>
      <w:r w:rsidR="00215368">
        <w:rPr>
          <w:i/>
          <w:color w:val="0070C0"/>
          <w:lang w:val="en-US"/>
        </w:rPr>
        <w:t xml:space="preserve"> DCI</w:t>
      </w:r>
      <w:r w:rsidR="00000544" w:rsidRPr="00000544">
        <w:rPr>
          <w:i/>
          <w:color w:val="0070C0"/>
          <w:lang w:val="en-US"/>
        </w:rPr>
        <w:t xml:space="preserve"> </w:t>
      </w:r>
      <w:r w:rsidR="00215368">
        <w:rPr>
          <w:i/>
          <w:color w:val="0070C0"/>
          <w:lang w:val="en-US"/>
        </w:rPr>
        <w:t xml:space="preserve">with DCI format 4_0 </w:t>
      </w:r>
      <w:r w:rsidR="00000544" w:rsidRPr="00000544">
        <w:rPr>
          <w:i/>
          <w:color w:val="0070C0"/>
          <w:lang w:val="en-US"/>
        </w:rPr>
        <w:t xml:space="preserve">indicating that </w:t>
      </w:r>
      <w:r w:rsidRPr="00000544">
        <w:rPr>
          <w:i/>
          <w:color w:val="0070C0"/>
          <w:lang w:val="en-US"/>
        </w:rPr>
        <w:t>the resource is available</w:t>
      </w:r>
    </w:p>
    <w:p w14:paraId="20EC46AE" w14:textId="36696A9B" w:rsidR="003055FA" w:rsidRPr="006E6990" w:rsidRDefault="006E6990" w:rsidP="006E6990">
      <w:pPr>
        <w:overflowPunct/>
        <w:autoSpaceDE/>
        <w:autoSpaceDN/>
        <w:adjustRightInd/>
        <w:spacing w:after="160" w:line="259" w:lineRule="auto"/>
        <w:jc w:val="left"/>
        <w:textAlignment w:val="auto"/>
        <w:rPr>
          <w:lang w:val="en-US"/>
        </w:rPr>
      </w:pPr>
      <w:r>
        <w:rPr>
          <w:lang w:val="en-US"/>
        </w:rPr>
        <w:t xml:space="preserve">where the “in line with the D/U/F configuration of the resource” clarifies that the </w:t>
      </w:r>
      <w:proofErr w:type="spellStart"/>
      <w:r w:rsidR="000C1E55">
        <w:rPr>
          <w:lang w:val="en-US"/>
        </w:rPr>
        <w:t>availabiltiy</w:t>
      </w:r>
      <w:proofErr w:type="spellEnd"/>
      <w:r>
        <w:rPr>
          <w:lang w:val="en-US"/>
        </w:rPr>
        <w:t xml:space="preserve"> of the resource is still constrained by the D/U/F configuration. </w:t>
      </w:r>
    </w:p>
    <w:p w14:paraId="70B1294A" w14:textId="05664C72" w:rsidR="00215368" w:rsidRDefault="00215368" w:rsidP="00215368">
      <w:pPr>
        <w:overflowPunct/>
        <w:autoSpaceDE/>
        <w:autoSpaceDN/>
        <w:adjustRightInd/>
        <w:spacing w:after="160" w:line="259" w:lineRule="auto"/>
        <w:jc w:val="left"/>
        <w:textAlignment w:val="auto"/>
        <w:rPr>
          <w:b/>
        </w:rPr>
      </w:pPr>
      <w:r w:rsidRPr="00215368">
        <w:rPr>
          <w:b/>
          <w:lang w:val="en-US"/>
        </w:rPr>
        <w:t xml:space="preserve">Proposal 2: </w:t>
      </w:r>
      <w:r w:rsidRPr="00215368">
        <w:rPr>
          <w:b/>
        </w:rPr>
        <w:t>Adopt the following regarding the IAB behaviour as it relates to soft DU resources</w:t>
      </w:r>
    </w:p>
    <w:p w14:paraId="58080F41" w14:textId="77777777" w:rsidR="00D9360A" w:rsidRPr="00D9360A" w:rsidRDefault="00D9360A" w:rsidP="00D9360A">
      <w:pPr>
        <w:ind w:left="51"/>
        <w:rPr>
          <w:b/>
          <w:i/>
          <w:lang w:val="en-US"/>
        </w:rPr>
      </w:pPr>
      <w:r w:rsidRPr="00D9360A">
        <w:rPr>
          <w:b/>
          <w:i/>
          <w:lang w:val="en-US"/>
        </w:rPr>
        <w:t>The IAB node can use a soft DU resource for transmission and/or reception in line with D/U/F configuration of the resource, if and only if</w:t>
      </w:r>
    </w:p>
    <w:p w14:paraId="483E2726" w14:textId="77777777" w:rsidR="00D9360A" w:rsidRPr="00D9360A" w:rsidRDefault="00D9360A" w:rsidP="00D9360A">
      <w:pPr>
        <w:pStyle w:val="ListParagraph"/>
        <w:numPr>
          <w:ilvl w:val="0"/>
          <w:numId w:val="18"/>
        </w:numPr>
        <w:overflowPunct/>
        <w:autoSpaceDE/>
        <w:autoSpaceDN/>
        <w:adjustRightInd/>
        <w:spacing w:after="160" w:line="259" w:lineRule="auto"/>
        <w:jc w:val="left"/>
        <w:textAlignment w:val="auto"/>
        <w:rPr>
          <w:b/>
          <w:i/>
          <w:lang w:val="en-US"/>
        </w:rPr>
      </w:pPr>
      <w:r w:rsidRPr="00D9360A">
        <w:rPr>
          <w:b/>
          <w:i/>
          <w:lang w:val="en-US"/>
        </w:rPr>
        <w:t>the use of the resource does not change the IAB node MT behavior relative to the behavior if the resource was instead configured as Not Available</w:t>
      </w:r>
    </w:p>
    <w:p w14:paraId="1370C449" w14:textId="77777777" w:rsidR="00D9360A" w:rsidRPr="00D9360A" w:rsidRDefault="00D9360A" w:rsidP="00D9360A">
      <w:pPr>
        <w:rPr>
          <w:b/>
          <w:i/>
          <w:lang w:val="en-US"/>
        </w:rPr>
      </w:pPr>
      <w:r w:rsidRPr="00D9360A">
        <w:rPr>
          <w:b/>
          <w:i/>
          <w:lang w:val="en-US"/>
        </w:rPr>
        <w:t>or</w:t>
      </w:r>
    </w:p>
    <w:p w14:paraId="701CA712" w14:textId="28B3D9C5" w:rsidR="00167FD9" w:rsidRPr="00D9360A" w:rsidRDefault="00D9360A" w:rsidP="00D9360A">
      <w:pPr>
        <w:pStyle w:val="ListParagraph"/>
        <w:numPr>
          <w:ilvl w:val="0"/>
          <w:numId w:val="18"/>
        </w:numPr>
        <w:overflowPunct/>
        <w:autoSpaceDE/>
        <w:autoSpaceDN/>
        <w:adjustRightInd/>
        <w:spacing w:after="160" w:line="259" w:lineRule="auto"/>
        <w:jc w:val="left"/>
        <w:textAlignment w:val="auto"/>
        <w:rPr>
          <w:i/>
          <w:color w:val="0070C0"/>
          <w:lang w:val="en-US"/>
        </w:rPr>
      </w:pPr>
      <w:r w:rsidRPr="00D9360A">
        <w:rPr>
          <w:b/>
          <w:i/>
          <w:lang w:val="en-US"/>
        </w:rPr>
        <w:t>the IAB node has received a DCI with DCI format 4_0 indicating that the resource is available</w:t>
      </w:r>
      <w:r w:rsidR="00167FD9">
        <w:br/>
        <w:t xml:space="preserve"> </w:t>
      </w:r>
    </w:p>
    <w:p w14:paraId="0D42F4B1" w14:textId="5605F3FD" w:rsidR="00A30BA3" w:rsidRDefault="00D55BA5" w:rsidP="00D55BA5">
      <w:r>
        <w:t xml:space="preserve">Since the design of DCI Format </w:t>
      </w:r>
      <w:r w:rsidR="003C39B8">
        <w:t>4_0</w:t>
      </w:r>
      <w:r>
        <w:t xml:space="preserve"> follows the DCI Format 2_0 framework, </w:t>
      </w:r>
      <w:r w:rsidR="00120012">
        <w:t xml:space="preserve">the number of slots </w:t>
      </w:r>
      <w:r w:rsidR="008A2A65">
        <w:t>represen</w:t>
      </w:r>
      <w:r w:rsidR="003055FA">
        <w:t xml:space="preserve">ted </w:t>
      </w:r>
      <w:r w:rsidR="008A2A65">
        <w:t>by</w:t>
      </w:r>
      <w:r w:rsidR="00BE173F">
        <w:t xml:space="preserve"> a</w:t>
      </w:r>
      <w:r w:rsidR="00DD3F41">
        <w:t xml:space="preserve">n AI-index field of a DCI Format </w:t>
      </w:r>
      <w:r w:rsidR="003C39B8">
        <w:t>4_0</w:t>
      </w:r>
      <w:r w:rsidR="003055FA">
        <w:t xml:space="preserve"> </w:t>
      </w:r>
      <w:r w:rsidR="00DD3F41">
        <w:t xml:space="preserve">is equal to or larger than a PDCCH monitoring periodicity </w:t>
      </w:r>
      <w:r w:rsidR="008B1221">
        <w:t xml:space="preserve">for DCI Format </w:t>
      </w:r>
      <w:r w:rsidR="003C39B8">
        <w:t>4_0</w:t>
      </w:r>
      <w:r w:rsidR="008B1221">
        <w:t xml:space="preserve">. </w:t>
      </w:r>
      <w:r w:rsidR="00B06777">
        <w:t xml:space="preserve">If </w:t>
      </w:r>
      <w:r w:rsidR="005F172A">
        <w:t xml:space="preserve">a PDCCH monitoring periodicity is smaller than the duration of </w:t>
      </w:r>
      <w:r w:rsidR="003F693C">
        <w:t>an</w:t>
      </w:r>
      <w:r w:rsidR="00FB29CF" w:rsidRPr="00FB29CF">
        <w:t xml:space="preserve"> </w:t>
      </w:r>
      <w:r w:rsidR="000422EC">
        <w:t xml:space="preserve">RRC-configured </w:t>
      </w:r>
      <w:proofErr w:type="spellStart"/>
      <w:r w:rsidR="00FB29CF" w:rsidRPr="00FB29CF">
        <w:t>AvailabilityCombination</w:t>
      </w:r>
      <w:proofErr w:type="spellEnd"/>
      <w:r w:rsidR="00F72D7B">
        <w:t xml:space="preserve">, </w:t>
      </w:r>
      <w:r w:rsidR="00F72D7B" w:rsidRPr="00F72D7B">
        <w:t xml:space="preserve">the IAB MT detects more than one DCI Format </w:t>
      </w:r>
      <w:r w:rsidR="00D9360A">
        <w:t>4</w:t>
      </w:r>
      <w:r w:rsidR="00F72D7B" w:rsidRPr="00F72D7B">
        <w:t>_</w:t>
      </w:r>
      <w:r w:rsidR="00D9360A">
        <w:t>0</w:t>
      </w:r>
      <w:r w:rsidR="00F72D7B" w:rsidRPr="00F72D7B">
        <w:t xml:space="preserve"> indicating resource availability for </w:t>
      </w:r>
      <w:r w:rsidR="0046454C">
        <w:t>the same</w:t>
      </w:r>
      <w:r w:rsidR="00F72D7B" w:rsidRPr="00F72D7B">
        <w:t xml:space="preserve"> slot</w:t>
      </w:r>
      <w:r w:rsidR="0046454C">
        <w:t>.</w:t>
      </w:r>
      <w:r w:rsidR="00B30B0C">
        <w:t xml:space="preserve"> </w:t>
      </w:r>
      <w:r w:rsidR="00A7540B">
        <w:t>In this case, t</w:t>
      </w:r>
      <w:r w:rsidR="00B30B0C">
        <w:t xml:space="preserve">he network should guarantee that </w:t>
      </w:r>
      <w:r w:rsidR="00A7540B">
        <w:t>the AI is the same for this slot.</w:t>
      </w:r>
    </w:p>
    <w:p w14:paraId="3AA85A0F" w14:textId="6793CF08" w:rsidR="003C39B8" w:rsidRDefault="003C39B8" w:rsidP="00D55BA5"/>
    <w:p w14:paraId="4B5224F7" w14:textId="747C6C8C" w:rsidR="003C39B8" w:rsidRPr="003C39B8" w:rsidRDefault="003C39B8" w:rsidP="003C39B8">
      <w:pPr>
        <w:tabs>
          <w:tab w:val="left" w:pos="1276"/>
        </w:tabs>
        <w:ind w:left="1272" w:hanging="1272"/>
        <w:rPr>
          <w:b/>
        </w:rPr>
      </w:pPr>
      <w:r w:rsidRPr="003C39B8">
        <w:rPr>
          <w:b/>
        </w:rPr>
        <w:t xml:space="preserve">Proposal 3: </w:t>
      </w:r>
      <w:r>
        <w:rPr>
          <w:b/>
        </w:rPr>
        <w:tab/>
      </w:r>
      <w:r w:rsidRPr="003C39B8">
        <w:rPr>
          <w:b/>
        </w:rPr>
        <w:t xml:space="preserve">If the IAB MT detects more than one DCI Format 4_0 indicating resource availability for </w:t>
      </w:r>
      <w:r>
        <w:rPr>
          <w:b/>
        </w:rPr>
        <w:br/>
        <w:t>the</w:t>
      </w:r>
      <w:r w:rsidRPr="003C39B8">
        <w:rPr>
          <w:b/>
        </w:rPr>
        <w:t xml:space="preserve"> same slot, the IAB MT expects each of the more than one DCI Format </w:t>
      </w:r>
      <w:r>
        <w:rPr>
          <w:b/>
        </w:rPr>
        <w:t>4</w:t>
      </w:r>
      <w:r w:rsidRPr="003C39B8">
        <w:rPr>
          <w:b/>
        </w:rPr>
        <w:t>_</w:t>
      </w:r>
      <w:r>
        <w:rPr>
          <w:b/>
        </w:rPr>
        <w:t>0</w:t>
      </w:r>
      <w:r w:rsidRPr="003C39B8">
        <w:rPr>
          <w:b/>
        </w:rPr>
        <w:t xml:space="preserve"> to indicate the same AI value for the slot.</w:t>
      </w:r>
    </w:p>
    <w:p w14:paraId="2C1B6BD4" w14:textId="61C29262" w:rsidR="00C01F33" w:rsidRDefault="00D9360A" w:rsidP="00CE0424">
      <w:pPr>
        <w:pStyle w:val="Heading1"/>
      </w:pPr>
      <w:r>
        <w:t>Proposals</w:t>
      </w:r>
    </w:p>
    <w:p w14:paraId="7601DECC" w14:textId="77777777" w:rsidR="003C39B8" w:rsidRDefault="00D9360A" w:rsidP="00D9360A">
      <w:pPr>
        <w:pStyle w:val="Proposal"/>
        <w:numPr>
          <w:ilvl w:val="0"/>
          <w:numId w:val="0"/>
        </w:numPr>
        <w:tabs>
          <w:tab w:val="clear" w:pos="1701"/>
          <w:tab w:val="left" w:pos="1276"/>
        </w:tabs>
        <w:ind w:left="1272" w:hanging="1272"/>
      </w:pPr>
      <w:r>
        <w:t xml:space="preserve">Proposal 1: </w:t>
      </w:r>
      <w:r>
        <w:tab/>
      </w:r>
    </w:p>
    <w:p w14:paraId="6108BBF4" w14:textId="38642C3C" w:rsidR="00D9360A" w:rsidRDefault="00D9360A" w:rsidP="003C39B8">
      <w:pPr>
        <w:pStyle w:val="Proposal"/>
        <w:numPr>
          <w:ilvl w:val="0"/>
          <w:numId w:val="0"/>
        </w:numPr>
        <w:tabs>
          <w:tab w:val="clear" w:pos="1701"/>
          <w:tab w:val="left" w:pos="0"/>
        </w:tabs>
      </w:pPr>
      <w:r>
        <w:t>The i</w:t>
      </w:r>
      <w:r w:rsidRPr="000D4AA6">
        <w:t>ndicat</w:t>
      </w:r>
      <w:r>
        <w:t>ion of</w:t>
      </w:r>
      <w:r w:rsidRPr="000D4AA6">
        <w:t xml:space="preserve"> the multiplexing capability between IAB</w:t>
      </w:r>
      <w:r>
        <w:t xml:space="preserve"> </w:t>
      </w:r>
      <w:r w:rsidRPr="000D4AA6">
        <w:t>MT and IAB</w:t>
      </w:r>
      <w:r>
        <w:t xml:space="preserve"> </w:t>
      </w:r>
      <w:r w:rsidRPr="000D4AA6">
        <w:t xml:space="preserve">DU </w:t>
      </w:r>
      <w:r>
        <w:t xml:space="preserve">is with respect to each transmission-direction combination, i.e., TDM/no-TDM for MT-TX/DU-TX, </w:t>
      </w:r>
      <w:r>
        <w:br/>
        <w:t>MT-TX/DU-RX, MT-RX/DU-TX, and MT-RX/DU-RX.</w:t>
      </w:r>
    </w:p>
    <w:p w14:paraId="00769A43" w14:textId="699751CE" w:rsidR="00D9360A" w:rsidRDefault="00D9360A" w:rsidP="00D9360A">
      <w:pPr>
        <w:tabs>
          <w:tab w:val="left" w:pos="0"/>
        </w:tabs>
        <w:rPr>
          <w:b/>
          <w:lang w:val="en-US"/>
        </w:rPr>
      </w:pPr>
    </w:p>
    <w:p w14:paraId="6D2A3795" w14:textId="07A3309D" w:rsidR="00D9360A" w:rsidRDefault="00D9360A" w:rsidP="00D9360A">
      <w:pPr>
        <w:tabs>
          <w:tab w:val="left" w:pos="0"/>
        </w:tabs>
        <w:rPr>
          <w:b/>
          <w:lang w:val="en-US"/>
        </w:rPr>
      </w:pPr>
    </w:p>
    <w:p w14:paraId="7BAC8AEE" w14:textId="77777777" w:rsidR="003C39B8" w:rsidRDefault="00D9360A" w:rsidP="00D9360A">
      <w:pPr>
        <w:tabs>
          <w:tab w:val="left" w:pos="1276"/>
        </w:tabs>
        <w:overflowPunct/>
        <w:autoSpaceDE/>
        <w:autoSpaceDN/>
        <w:adjustRightInd/>
        <w:spacing w:after="160" w:line="259" w:lineRule="auto"/>
        <w:jc w:val="left"/>
        <w:textAlignment w:val="auto"/>
        <w:rPr>
          <w:b/>
          <w:lang w:val="en-US"/>
        </w:rPr>
      </w:pPr>
      <w:r w:rsidRPr="00215368">
        <w:rPr>
          <w:b/>
          <w:lang w:val="en-US"/>
        </w:rPr>
        <w:t xml:space="preserve">Proposal 2: </w:t>
      </w:r>
      <w:r>
        <w:rPr>
          <w:b/>
          <w:lang w:val="en-US"/>
        </w:rPr>
        <w:tab/>
      </w:r>
    </w:p>
    <w:p w14:paraId="2347E050" w14:textId="5EEB15B4" w:rsidR="00D9360A" w:rsidRDefault="00D9360A" w:rsidP="00D9360A">
      <w:pPr>
        <w:tabs>
          <w:tab w:val="left" w:pos="1276"/>
        </w:tabs>
        <w:overflowPunct/>
        <w:autoSpaceDE/>
        <w:autoSpaceDN/>
        <w:adjustRightInd/>
        <w:spacing w:after="160" w:line="259" w:lineRule="auto"/>
        <w:jc w:val="left"/>
        <w:textAlignment w:val="auto"/>
        <w:rPr>
          <w:b/>
        </w:rPr>
      </w:pPr>
      <w:r w:rsidRPr="00215368">
        <w:rPr>
          <w:b/>
        </w:rPr>
        <w:t>Adopt the following regarding the IAB behaviour as it relates to soft DU resources</w:t>
      </w:r>
      <w:r>
        <w:rPr>
          <w:b/>
        </w:rPr>
        <w:t>:</w:t>
      </w:r>
    </w:p>
    <w:p w14:paraId="17752705" w14:textId="77777777" w:rsidR="00D9360A" w:rsidRPr="00D9360A" w:rsidRDefault="00D9360A" w:rsidP="00D9360A">
      <w:pPr>
        <w:ind w:left="51"/>
        <w:rPr>
          <w:b/>
          <w:i/>
          <w:lang w:val="en-US"/>
        </w:rPr>
      </w:pPr>
      <w:r w:rsidRPr="00D9360A">
        <w:rPr>
          <w:b/>
          <w:i/>
          <w:lang w:val="en-US"/>
        </w:rPr>
        <w:t>The IAB node can use a soft DU resource for transmission and/or reception in line with D/U/F configuration of the resource, if and only if</w:t>
      </w:r>
    </w:p>
    <w:p w14:paraId="0466A903" w14:textId="77777777" w:rsidR="00D9360A" w:rsidRPr="00D9360A" w:rsidRDefault="00D9360A" w:rsidP="00D9360A">
      <w:pPr>
        <w:pStyle w:val="ListParagraph"/>
        <w:numPr>
          <w:ilvl w:val="0"/>
          <w:numId w:val="18"/>
        </w:numPr>
        <w:overflowPunct/>
        <w:autoSpaceDE/>
        <w:autoSpaceDN/>
        <w:adjustRightInd/>
        <w:spacing w:after="160" w:line="259" w:lineRule="auto"/>
        <w:jc w:val="left"/>
        <w:textAlignment w:val="auto"/>
        <w:rPr>
          <w:b/>
          <w:i/>
          <w:lang w:val="en-US"/>
        </w:rPr>
      </w:pPr>
      <w:r w:rsidRPr="00D9360A">
        <w:rPr>
          <w:b/>
          <w:i/>
          <w:lang w:val="en-US"/>
        </w:rPr>
        <w:lastRenderedPageBreak/>
        <w:t>the use of the resource does not change the IAB node MT behavior relative to the behavior if the resource was instead configured as Not Available</w:t>
      </w:r>
    </w:p>
    <w:p w14:paraId="716E826C" w14:textId="77777777" w:rsidR="00D9360A" w:rsidRPr="00D9360A" w:rsidRDefault="00D9360A" w:rsidP="00D9360A">
      <w:pPr>
        <w:rPr>
          <w:b/>
          <w:i/>
          <w:lang w:val="en-US"/>
        </w:rPr>
      </w:pPr>
      <w:r w:rsidRPr="00D9360A">
        <w:rPr>
          <w:b/>
          <w:i/>
          <w:lang w:val="en-US"/>
        </w:rPr>
        <w:t>or</w:t>
      </w:r>
    </w:p>
    <w:p w14:paraId="6F2F035D" w14:textId="77777777" w:rsidR="003C39B8" w:rsidRPr="003C39B8" w:rsidRDefault="00D9360A" w:rsidP="00D9360A">
      <w:pPr>
        <w:pStyle w:val="ListParagraph"/>
        <w:numPr>
          <w:ilvl w:val="0"/>
          <w:numId w:val="18"/>
        </w:numPr>
        <w:tabs>
          <w:tab w:val="left" w:pos="0"/>
        </w:tabs>
      </w:pPr>
      <w:r w:rsidRPr="00D9360A">
        <w:rPr>
          <w:b/>
          <w:i/>
          <w:lang w:val="en-US"/>
        </w:rPr>
        <w:t>the IAB node has received a DCI with DCI format 4_0 indicating that the resource is available</w:t>
      </w:r>
    </w:p>
    <w:p w14:paraId="5165EA30" w14:textId="77777777" w:rsidR="003C39B8" w:rsidRDefault="003C39B8" w:rsidP="003C39B8">
      <w:pPr>
        <w:tabs>
          <w:tab w:val="left" w:pos="0"/>
        </w:tabs>
      </w:pPr>
    </w:p>
    <w:p w14:paraId="2667B325" w14:textId="77777777" w:rsidR="003C39B8" w:rsidRDefault="003C39B8" w:rsidP="003C39B8">
      <w:pPr>
        <w:tabs>
          <w:tab w:val="left" w:pos="1276"/>
        </w:tabs>
        <w:ind w:left="1272" w:hanging="1272"/>
        <w:rPr>
          <w:b/>
        </w:rPr>
      </w:pPr>
      <w:r w:rsidRPr="003C39B8">
        <w:rPr>
          <w:b/>
        </w:rPr>
        <w:t xml:space="preserve">Proposal 3: </w:t>
      </w:r>
    </w:p>
    <w:p w14:paraId="4DD603C3" w14:textId="1321140E" w:rsidR="003C39B8" w:rsidRPr="003C39B8" w:rsidRDefault="003C39B8" w:rsidP="003C39B8">
      <w:pPr>
        <w:rPr>
          <w:b/>
        </w:rPr>
      </w:pPr>
      <w:r w:rsidRPr="003C39B8">
        <w:rPr>
          <w:b/>
        </w:rPr>
        <w:t xml:space="preserve">If the IAB MT detects more than one DCI Format 4_0 indicating resource availability </w:t>
      </w:r>
      <w:bookmarkStart w:id="1" w:name="_GoBack"/>
      <w:bookmarkEnd w:id="1"/>
      <w:r w:rsidRPr="003C39B8">
        <w:rPr>
          <w:b/>
        </w:rPr>
        <w:t xml:space="preserve">for </w:t>
      </w:r>
      <w:r>
        <w:rPr>
          <w:b/>
        </w:rPr>
        <w:br/>
        <w:t>the</w:t>
      </w:r>
      <w:r w:rsidRPr="003C39B8">
        <w:rPr>
          <w:b/>
        </w:rPr>
        <w:t xml:space="preserve"> same slot, the IAB MT expects each of the more than one DCI Format </w:t>
      </w:r>
      <w:r>
        <w:rPr>
          <w:b/>
        </w:rPr>
        <w:t>4</w:t>
      </w:r>
      <w:r w:rsidRPr="003C39B8">
        <w:rPr>
          <w:b/>
        </w:rPr>
        <w:t>_</w:t>
      </w:r>
      <w:r>
        <w:rPr>
          <w:b/>
        </w:rPr>
        <w:t>0</w:t>
      </w:r>
      <w:r w:rsidRPr="003C39B8">
        <w:rPr>
          <w:b/>
        </w:rPr>
        <w:t xml:space="preserve"> to indicate the same AI value for the slot.</w:t>
      </w:r>
    </w:p>
    <w:p w14:paraId="1A8CB6A7" w14:textId="269F8960" w:rsidR="00D9360A" w:rsidRPr="00D9360A" w:rsidRDefault="00D9360A" w:rsidP="003C39B8">
      <w:pPr>
        <w:tabs>
          <w:tab w:val="left" w:pos="0"/>
        </w:tabs>
      </w:pPr>
      <w:r>
        <w:br/>
      </w:r>
    </w:p>
    <w:p w14:paraId="385D293C" w14:textId="1266B5F2" w:rsidR="006A25E7" w:rsidRDefault="008E065E" w:rsidP="008E065E">
      <w:pPr>
        <w:pStyle w:val="BodyText"/>
        <w:rPr>
          <w:noProof/>
        </w:rPr>
      </w:pPr>
      <w:r w:rsidRPr="00CE0424">
        <w:t>:</w:t>
      </w:r>
      <w:r>
        <w:rPr>
          <w:b/>
          <w:bCs/>
        </w:rPr>
        <w:fldChar w:fldCharType="begin"/>
      </w:r>
      <w:r>
        <w:rPr>
          <w:b/>
          <w:bCs/>
        </w:rPr>
        <w:instrText xml:space="preserve"> TOC \f \n \p " " \t "Proposal;1" </w:instrText>
      </w:r>
      <w:r>
        <w:rPr>
          <w:b/>
          <w:bCs/>
        </w:rPr>
        <w:fldChar w:fldCharType="separate"/>
      </w:r>
    </w:p>
    <w:p w14:paraId="70967945" w14:textId="4390D9F9" w:rsidR="00C01F33" w:rsidRPr="0080122F" w:rsidRDefault="008E065E" w:rsidP="006E062C">
      <w:pPr>
        <w:rPr>
          <w:b/>
          <w:bCs/>
        </w:rPr>
      </w:pPr>
      <w:r>
        <w:rPr>
          <w:b/>
          <w:bCs/>
        </w:rPr>
        <w:fldChar w:fldCharType="end"/>
      </w:r>
    </w:p>
    <w:p w14:paraId="57B73A36" w14:textId="77777777" w:rsidR="00F507D1" w:rsidRPr="00CE0424" w:rsidRDefault="00F507D1" w:rsidP="00CE0424">
      <w:pPr>
        <w:pStyle w:val="Heading1"/>
      </w:pPr>
      <w:bookmarkStart w:id="2" w:name="_In-sequence_SDU_delivery"/>
      <w:bookmarkEnd w:id="2"/>
      <w:r w:rsidRPr="00CE0424">
        <w:t>References</w:t>
      </w:r>
    </w:p>
    <w:p w14:paraId="1547B5C3" w14:textId="16B741BF" w:rsidR="00320A3A" w:rsidRDefault="000A4D8A" w:rsidP="00405205">
      <w:pPr>
        <w:pStyle w:val="Reference"/>
      </w:pPr>
      <w:bookmarkStart w:id="3" w:name="_Ref476919366"/>
      <w:bookmarkStart w:id="4" w:name="_Ref454459437"/>
      <w:bookmarkStart w:id="5" w:name="_Ref174151459"/>
      <w:bookmarkStart w:id="6" w:name="_Ref189809556"/>
      <w:r>
        <w:rPr>
          <w:rFonts w:cs="Arial"/>
        </w:rPr>
        <w:t xml:space="preserve">RAN1, Chairman’s Notes, </w:t>
      </w:r>
      <w:r w:rsidRPr="00344662">
        <w:rPr>
          <w:rFonts w:cs="Arial"/>
        </w:rPr>
        <w:t>3GPP TSG RAN WG1 Meeting #</w:t>
      </w:r>
      <w:r w:rsidR="00D715EE">
        <w:rPr>
          <w:rFonts w:cs="Arial"/>
        </w:rPr>
        <w:t>9</w:t>
      </w:r>
      <w:r w:rsidR="008E6E53">
        <w:rPr>
          <w:rFonts w:cs="Arial"/>
        </w:rPr>
        <w:t>8</w:t>
      </w:r>
      <w:r w:rsidR="005B1016">
        <w:rPr>
          <w:rFonts w:cs="Arial"/>
        </w:rPr>
        <w:t>bis</w:t>
      </w:r>
      <w:r>
        <w:rPr>
          <w:rFonts w:cs="Arial"/>
        </w:rPr>
        <w:t xml:space="preserve">, </w:t>
      </w:r>
      <w:r w:rsidR="005B1016">
        <w:rPr>
          <w:rFonts w:cs="Arial"/>
        </w:rPr>
        <w:t>October</w:t>
      </w:r>
      <w:r>
        <w:rPr>
          <w:rFonts w:cs="Arial"/>
        </w:rPr>
        <w:t xml:space="preserve"> 201</w:t>
      </w:r>
      <w:r w:rsidR="00D715EE">
        <w:rPr>
          <w:rFonts w:cs="Arial"/>
        </w:rPr>
        <w:t>9</w:t>
      </w:r>
      <w:r>
        <w:rPr>
          <w:rFonts w:cs="Arial"/>
        </w:rPr>
        <w:t>.</w:t>
      </w:r>
      <w:bookmarkEnd w:id="3"/>
      <w:bookmarkEnd w:id="4"/>
      <w:bookmarkEnd w:id="5"/>
      <w:bookmarkEnd w:id="6"/>
      <w:r w:rsidR="00D14718" w:rsidRPr="00CE0424">
        <w:t xml:space="preserve"> </w:t>
      </w:r>
    </w:p>
    <w:p w14:paraId="0F620BAA" w14:textId="36F3C62D" w:rsidR="00E82490" w:rsidRPr="0098431E" w:rsidRDefault="00E82490" w:rsidP="00405205">
      <w:pPr>
        <w:pStyle w:val="Reference"/>
      </w:pPr>
      <w:bookmarkStart w:id="7" w:name="_Ref22634755"/>
      <w:r w:rsidRPr="7C019B43">
        <w:rPr>
          <w:rFonts w:cs="Arial"/>
        </w:rPr>
        <w:t>RAN1, Chairman’s Notes, 3GPP TSG RAN WG1 Meeting #98, August 2019.</w:t>
      </w:r>
      <w:bookmarkEnd w:id="7"/>
    </w:p>
    <w:p w14:paraId="4FFD2272" w14:textId="3B8C94DD" w:rsidR="00796780" w:rsidRDefault="00796780" w:rsidP="003055FA">
      <w:pPr>
        <w:pStyle w:val="Reference"/>
        <w:numPr>
          <w:ilvl w:val="0"/>
          <w:numId w:val="0"/>
        </w:numPr>
      </w:pPr>
    </w:p>
    <w:sectPr w:rsidR="00796780">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77F8C" w14:textId="77777777" w:rsidR="007E7CA6" w:rsidRDefault="007E7CA6">
      <w:r>
        <w:separator/>
      </w:r>
    </w:p>
  </w:endnote>
  <w:endnote w:type="continuationSeparator" w:id="0">
    <w:p w14:paraId="0474881C" w14:textId="77777777" w:rsidR="007E7CA6" w:rsidRDefault="007E7CA6">
      <w:r>
        <w:continuationSeparator/>
      </w:r>
    </w:p>
  </w:endnote>
  <w:endnote w:type="continuationNotice" w:id="1">
    <w:p w14:paraId="72029869" w14:textId="77777777" w:rsidR="007E7CA6" w:rsidRDefault="007E7C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4D8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4D8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764F8" w14:textId="77777777" w:rsidR="007E7CA6" w:rsidRDefault="007E7CA6">
      <w:r>
        <w:separator/>
      </w:r>
    </w:p>
  </w:footnote>
  <w:footnote w:type="continuationSeparator" w:id="0">
    <w:p w14:paraId="0628C991" w14:textId="77777777" w:rsidR="007E7CA6" w:rsidRDefault="007E7CA6">
      <w:r>
        <w:continuationSeparator/>
      </w:r>
    </w:p>
  </w:footnote>
  <w:footnote w:type="continuationNotice" w:id="1">
    <w:p w14:paraId="7DE2FEDC" w14:textId="77777777" w:rsidR="007E7CA6" w:rsidRDefault="007E7C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F404788"/>
    <w:multiLevelType w:val="hybridMultilevel"/>
    <w:tmpl w:val="C8587B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FCD3EA1"/>
    <w:multiLevelType w:val="hybridMultilevel"/>
    <w:tmpl w:val="A0A2E4C6"/>
    <w:lvl w:ilvl="0" w:tplc="F16ECC3C">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005"/>
        </w:tabs>
        <w:ind w:left="3005"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FFFFFFFF">
      <w:start w:val="1"/>
      <w:numFmt w:val="decimal"/>
      <w:pStyle w:val="Reference"/>
      <w:lvlText w:val="[%1]"/>
      <w:lvlJc w:val="left"/>
      <w:pPr>
        <w:tabs>
          <w:tab w:val="num" w:pos="567"/>
        </w:tabs>
        <w:ind w:left="567"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741C86"/>
    <w:multiLevelType w:val="hybridMultilevel"/>
    <w:tmpl w:val="D6A28EEA"/>
    <w:lvl w:ilvl="0" w:tplc="F16ECC3C">
      <w:start w:val="1"/>
      <w:numFmt w:val="bullet"/>
      <w:lvlText w:val="-"/>
      <w:lvlJc w:val="left"/>
      <w:pPr>
        <w:ind w:left="1080" w:hanging="360"/>
      </w:pPr>
      <w:rPr>
        <w:rFonts w:ascii="Arial" w:eastAsia="SimSu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5101505E"/>
    <w:multiLevelType w:val="hybridMultilevel"/>
    <w:tmpl w:val="5BB245B2"/>
    <w:lvl w:ilvl="0" w:tplc="09FA04C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6C4029"/>
    <w:multiLevelType w:val="hybridMultilevel"/>
    <w:tmpl w:val="7A04714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B777C69"/>
    <w:multiLevelType w:val="hybridMultilevel"/>
    <w:tmpl w:val="22FEB3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B9B7ABA"/>
    <w:multiLevelType w:val="hybridMultilevel"/>
    <w:tmpl w:val="5FA0EF5E"/>
    <w:lvl w:ilvl="0" w:tplc="24E26230">
      <w:start w:val="3"/>
      <w:numFmt w:val="bullet"/>
      <w:lvlText w:val="-"/>
      <w:lvlJc w:val="left"/>
      <w:pPr>
        <w:ind w:left="411" w:hanging="360"/>
      </w:pPr>
      <w:rPr>
        <w:rFonts w:ascii="Calibri" w:eastAsiaTheme="minorHAnsi" w:hAnsi="Calibri" w:cs="Calibri"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19" w15:restartNumberingAfterBreak="0">
    <w:nsid w:val="70C34317"/>
    <w:multiLevelType w:val="hybridMultilevel"/>
    <w:tmpl w:val="26A02E2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750135A"/>
    <w:multiLevelType w:val="hybridMultilevel"/>
    <w:tmpl w:val="2AC2CBEC"/>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5"/>
  </w:num>
  <w:num w:numId="8">
    <w:abstractNumId w:val="6"/>
  </w:num>
  <w:num w:numId="9">
    <w:abstractNumId w:val="12"/>
  </w:num>
  <w:num w:numId="10">
    <w:abstractNumId w:val="17"/>
  </w:num>
  <w:num w:numId="11">
    <w:abstractNumId w:val="2"/>
  </w:num>
  <w:num w:numId="12">
    <w:abstractNumId w:val="20"/>
  </w:num>
  <w:num w:numId="13">
    <w:abstractNumId w:val="14"/>
  </w:num>
  <w:num w:numId="14">
    <w:abstractNumId w:val="13"/>
  </w:num>
  <w:num w:numId="15">
    <w:abstractNumId w:val="4"/>
  </w:num>
  <w:num w:numId="16">
    <w:abstractNumId w:val="16"/>
  </w:num>
  <w:num w:numId="17">
    <w:abstractNumId w:val="1"/>
  </w:num>
  <w:num w:numId="18">
    <w:abstractNumId w:val="18"/>
  </w:num>
  <w:num w:numId="19">
    <w:abstractNumId w:val="3"/>
  </w:num>
  <w:num w:numId="20">
    <w:abstractNumId w:val="19"/>
  </w:num>
  <w:num w:numId="2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43A"/>
    <w:rsid w:val="00000544"/>
    <w:rsid w:val="000006E1"/>
    <w:rsid w:val="00001497"/>
    <w:rsid w:val="000016D1"/>
    <w:rsid w:val="000024F9"/>
    <w:rsid w:val="00002A37"/>
    <w:rsid w:val="00002F31"/>
    <w:rsid w:val="000033BA"/>
    <w:rsid w:val="000044E6"/>
    <w:rsid w:val="000044FD"/>
    <w:rsid w:val="00004C34"/>
    <w:rsid w:val="00006060"/>
    <w:rsid w:val="00006446"/>
    <w:rsid w:val="0000660F"/>
    <w:rsid w:val="00006896"/>
    <w:rsid w:val="0000721C"/>
    <w:rsid w:val="00007606"/>
    <w:rsid w:val="00007811"/>
    <w:rsid w:val="00007CDC"/>
    <w:rsid w:val="000100F0"/>
    <w:rsid w:val="0001126F"/>
    <w:rsid w:val="000112EA"/>
    <w:rsid w:val="0001149F"/>
    <w:rsid w:val="00011B28"/>
    <w:rsid w:val="000121EA"/>
    <w:rsid w:val="0001314F"/>
    <w:rsid w:val="000133FF"/>
    <w:rsid w:val="0001387F"/>
    <w:rsid w:val="000147C1"/>
    <w:rsid w:val="00014E6F"/>
    <w:rsid w:val="00015665"/>
    <w:rsid w:val="00015D15"/>
    <w:rsid w:val="00016DD5"/>
    <w:rsid w:val="00017017"/>
    <w:rsid w:val="00020B44"/>
    <w:rsid w:val="00021083"/>
    <w:rsid w:val="000218F2"/>
    <w:rsid w:val="00023840"/>
    <w:rsid w:val="00024453"/>
    <w:rsid w:val="0002531D"/>
    <w:rsid w:val="000253EF"/>
    <w:rsid w:val="0002564D"/>
    <w:rsid w:val="00025B47"/>
    <w:rsid w:val="00025ECA"/>
    <w:rsid w:val="000301A5"/>
    <w:rsid w:val="00030743"/>
    <w:rsid w:val="00030F1E"/>
    <w:rsid w:val="00031281"/>
    <w:rsid w:val="000312C3"/>
    <w:rsid w:val="000323B1"/>
    <w:rsid w:val="00032440"/>
    <w:rsid w:val="000325B8"/>
    <w:rsid w:val="000332DF"/>
    <w:rsid w:val="0003371D"/>
    <w:rsid w:val="00033BD1"/>
    <w:rsid w:val="00034C15"/>
    <w:rsid w:val="0003564A"/>
    <w:rsid w:val="000359A5"/>
    <w:rsid w:val="00035FF5"/>
    <w:rsid w:val="00036371"/>
    <w:rsid w:val="000363C8"/>
    <w:rsid w:val="00036BA1"/>
    <w:rsid w:val="000373C2"/>
    <w:rsid w:val="00037893"/>
    <w:rsid w:val="00037ACE"/>
    <w:rsid w:val="00037EAC"/>
    <w:rsid w:val="00037F51"/>
    <w:rsid w:val="00040943"/>
    <w:rsid w:val="000422E2"/>
    <w:rsid w:val="000422EC"/>
    <w:rsid w:val="0004295E"/>
    <w:rsid w:val="00042D1F"/>
    <w:rsid w:val="00042EDE"/>
    <w:rsid w:val="00042F22"/>
    <w:rsid w:val="000444EF"/>
    <w:rsid w:val="00046569"/>
    <w:rsid w:val="00047DC6"/>
    <w:rsid w:val="000508D5"/>
    <w:rsid w:val="00052044"/>
    <w:rsid w:val="00052A07"/>
    <w:rsid w:val="00052F7B"/>
    <w:rsid w:val="00052FDD"/>
    <w:rsid w:val="000534E3"/>
    <w:rsid w:val="00053B86"/>
    <w:rsid w:val="00053E89"/>
    <w:rsid w:val="00054D3B"/>
    <w:rsid w:val="00055146"/>
    <w:rsid w:val="0005550C"/>
    <w:rsid w:val="0005606A"/>
    <w:rsid w:val="00057117"/>
    <w:rsid w:val="00057607"/>
    <w:rsid w:val="00057835"/>
    <w:rsid w:val="0005788C"/>
    <w:rsid w:val="000610BD"/>
    <w:rsid w:val="000616E7"/>
    <w:rsid w:val="00063B3C"/>
    <w:rsid w:val="0006400E"/>
    <w:rsid w:val="0006448C"/>
    <w:rsid w:val="0006487E"/>
    <w:rsid w:val="000652AE"/>
    <w:rsid w:val="00065DA6"/>
    <w:rsid w:val="00065E1A"/>
    <w:rsid w:val="000665F1"/>
    <w:rsid w:val="00067269"/>
    <w:rsid w:val="00067A1F"/>
    <w:rsid w:val="00070B87"/>
    <w:rsid w:val="00070D1C"/>
    <w:rsid w:val="00070FE3"/>
    <w:rsid w:val="000714FB"/>
    <w:rsid w:val="000723A7"/>
    <w:rsid w:val="000727BE"/>
    <w:rsid w:val="000733E3"/>
    <w:rsid w:val="0007340D"/>
    <w:rsid w:val="000744DE"/>
    <w:rsid w:val="00075E5E"/>
    <w:rsid w:val="000768CB"/>
    <w:rsid w:val="00077E5F"/>
    <w:rsid w:val="0008036A"/>
    <w:rsid w:val="0008043A"/>
    <w:rsid w:val="00081AE6"/>
    <w:rsid w:val="00082E01"/>
    <w:rsid w:val="000855EB"/>
    <w:rsid w:val="00085B52"/>
    <w:rsid w:val="000866F2"/>
    <w:rsid w:val="000872A8"/>
    <w:rsid w:val="0008793E"/>
    <w:rsid w:val="00090075"/>
    <w:rsid w:val="0009009F"/>
    <w:rsid w:val="00090AF9"/>
    <w:rsid w:val="000910BD"/>
    <w:rsid w:val="00091557"/>
    <w:rsid w:val="000924C1"/>
    <w:rsid w:val="000924F0"/>
    <w:rsid w:val="00093474"/>
    <w:rsid w:val="0009360A"/>
    <w:rsid w:val="000938E4"/>
    <w:rsid w:val="00093AA7"/>
    <w:rsid w:val="0009510F"/>
    <w:rsid w:val="0009524F"/>
    <w:rsid w:val="00096AF8"/>
    <w:rsid w:val="00097C53"/>
    <w:rsid w:val="000A08FF"/>
    <w:rsid w:val="000A1B7B"/>
    <w:rsid w:val="000A317C"/>
    <w:rsid w:val="000A4C90"/>
    <w:rsid w:val="000A4D8A"/>
    <w:rsid w:val="000A50C8"/>
    <w:rsid w:val="000A56F2"/>
    <w:rsid w:val="000A686D"/>
    <w:rsid w:val="000A7843"/>
    <w:rsid w:val="000B13E4"/>
    <w:rsid w:val="000B1DBD"/>
    <w:rsid w:val="000B1F40"/>
    <w:rsid w:val="000B2609"/>
    <w:rsid w:val="000B2719"/>
    <w:rsid w:val="000B3A8F"/>
    <w:rsid w:val="000B413E"/>
    <w:rsid w:val="000B464F"/>
    <w:rsid w:val="000B4AB9"/>
    <w:rsid w:val="000B5161"/>
    <w:rsid w:val="000B5869"/>
    <w:rsid w:val="000B58C3"/>
    <w:rsid w:val="000B5A8D"/>
    <w:rsid w:val="000B61E9"/>
    <w:rsid w:val="000B754A"/>
    <w:rsid w:val="000B7D5C"/>
    <w:rsid w:val="000B7ECE"/>
    <w:rsid w:val="000C0790"/>
    <w:rsid w:val="000C0D60"/>
    <w:rsid w:val="000C165A"/>
    <w:rsid w:val="000C1E55"/>
    <w:rsid w:val="000C2E19"/>
    <w:rsid w:val="000C428D"/>
    <w:rsid w:val="000C4452"/>
    <w:rsid w:val="000C4765"/>
    <w:rsid w:val="000C680E"/>
    <w:rsid w:val="000C6DC7"/>
    <w:rsid w:val="000C76FA"/>
    <w:rsid w:val="000D0BF6"/>
    <w:rsid w:val="000D0D07"/>
    <w:rsid w:val="000D163F"/>
    <w:rsid w:val="000D1685"/>
    <w:rsid w:val="000D2099"/>
    <w:rsid w:val="000D22C2"/>
    <w:rsid w:val="000D25FA"/>
    <w:rsid w:val="000D31CD"/>
    <w:rsid w:val="000D4101"/>
    <w:rsid w:val="000D4797"/>
    <w:rsid w:val="000D4AA6"/>
    <w:rsid w:val="000D5057"/>
    <w:rsid w:val="000D56A5"/>
    <w:rsid w:val="000D6A62"/>
    <w:rsid w:val="000D7655"/>
    <w:rsid w:val="000D7EB0"/>
    <w:rsid w:val="000E034A"/>
    <w:rsid w:val="000E0527"/>
    <w:rsid w:val="000E13CA"/>
    <w:rsid w:val="000E1503"/>
    <w:rsid w:val="000E18B2"/>
    <w:rsid w:val="000E1908"/>
    <w:rsid w:val="000E1B6D"/>
    <w:rsid w:val="000E1E92"/>
    <w:rsid w:val="000E6001"/>
    <w:rsid w:val="000E6818"/>
    <w:rsid w:val="000E7C6A"/>
    <w:rsid w:val="000F06D6"/>
    <w:rsid w:val="000F0EB1"/>
    <w:rsid w:val="000F1106"/>
    <w:rsid w:val="000F3BE9"/>
    <w:rsid w:val="000F3F6C"/>
    <w:rsid w:val="000F46B5"/>
    <w:rsid w:val="000F5693"/>
    <w:rsid w:val="000F5A64"/>
    <w:rsid w:val="000F5C54"/>
    <w:rsid w:val="000F6DF3"/>
    <w:rsid w:val="000F7136"/>
    <w:rsid w:val="000F7AE2"/>
    <w:rsid w:val="000F7F4C"/>
    <w:rsid w:val="001005FF"/>
    <w:rsid w:val="001022DD"/>
    <w:rsid w:val="001024C6"/>
    <w:rsid w:val="001034D6"/>
    <w:rsid w:val="001041D4"/>
    <w:rsid w:val="00104B48"/>
    <w:rsid w:val="00104B84"/>
    <w:rsid w:val="001062FB"/>
    <w:rsid w:val="001063E6"/>
    <w:rsid w:val="00107C20"/>
    <w:rsid w:val="00111727"/>
    <w:rsid w:val="00111C4B"/>
    <w:rsid w:val="00111C86"/>
    <w:rsid w:val="0011204D"/>
    <w:rsid w:val="001129B7"/>
    <w:rsid w:val="00113CF4"/>
    <w:rsid w:val="00113E21"/>
    <w:rsid w:val="001144D7"/>
    <w:rsid w:val="00114DF9"/>
    <w:rsid w:val="001153EA"/>
    <w:rsid w:val="00115643"/>
    <w:rsid w:val="001158A7"/>
    <w:rsid w:val="001158B9"/>
    <w:rsid w:val="00115C6C"/>
    <w:rsid w:val="00116765"/>
    <w:rsid w:val="00116C6F"/>
    <w:rsid w:val="00120001"/>
    <w:rsid w:val="00120012"/>
    <w:rsid w:val="00120EC8"/>
    <w:rsid w:val="00121007"/>
    <w:rsid w:val="001219F5"/>
    <w:rsid w:val="00121A20"/>
    <w:rsid w:val="00121E6E"/>
    <w:rsid w:val="0012206B"/>
    <w:rsid w:val="001229DE"/>
    <w:rsid w:val="0012377F"/>
    <w:rsid w:val="00124314"/>
    <w:rsid w:val="001257D2"/>
    <w:rsid w:val="00125E29"/>
    <w:rsid w:val="001261B9"/>
    <w:rsid w:val="001264F5"/>
    <w:rsid w:val="00126B4A"/>
    <w:rsid w:val="00127553"/>
    <w:rsid w:val="001301C2"/>
    <w:rsid w:val="00130F1C"/>
    <w:rsid w:val="0013145D"/>
    <w:rsid w:val="00131B0E"/>
    <w:rsid w:val="00131D2B"/>
    <w:rsid w:val="00132C6D"/>
    <w:rsid w:val="00132F4B"/>
    <w:rsid w:val="00132FD0"/>
    <w:rsid w:val="0013352C"/>
    <w:rsid w:val="001344C0"/>
    <w:rsid w:val="00134545"/>
    <w:rsid w:val="001346FA"/>
    <w:rsid w:val="00134F18"/>
    <w:rsid w:val="0013519A"/>
    <w:rsid w:val="00135252"/>
    <w:rsid w:val="0013558E"/>
    <w:rsid w:val="001371FB"/>
    <w:rsid w:val="00137AB5"/>
    <w:rsid w:val="00137B98"/>
    <w:rsid w:val="00137F0B"/>
    <w:rsid w:val="00140060"/>
    <w:rsid w:val="00140499"/>
    <w:rsid w:val="001409C8"/>
    <w:rsid w:val="00140CBB"/>
    <w:rsid w:val="001416CD"/>
    <w:rsid w:val="00147989"/>
    <w:rsid w:val="0015031E"/>
    <w:rsid w:val="001506A8"/>
    <w:rsid w:val="00151E23"/>
    <w:rsid w:val="001521A7"/>
    <w:rsid w:val="001526E0"/>
    <w:rsid w:val="0015375A"/>
    <w:rsid w:val="001538E6"/>
    <w:rsid w:val="00154028"/>
    <w:rsid w:val="00154D9D"/>
    <w:rsid w:val="00154DBC"/>
    <w:rsid w:val="001551B5"/>
    <w:rsid w:val="00155446"/>
    <w:rsid w:val="001564AB"/>
    <w:rsid w:val="001570D9"/>
    <w:rsid w:val="00157B41"/>
    <w:rsid w:val="00163C41"/>
    <w:rsid w:val="00164B66"/>
    <w:rsid w:val="00164E79"/>
    <w:rsid w:val="001659C1"/>
    <w:rsid w:val="00166DF1"/>
    <w:rsid w:val="00167061"/>
    <w:rsid w:val="0016767A"/>
    <w:rsid w:val="0016785F"/>
    <w:rsid w:val="00167FD9"/>
    <w:rsid w:val="00170487"/>
    <w:rsid w:val="00171CDD"/>
    <w:rsid w:val="00172410"/>
    <w:rsid w:val="00173331"/>
    <w:rsid w:val="001733EB"/>
    <w:rsid w:val="00173A8E"/>
    <w:rsid w:val="001741D5"/>
    <w:rsid w:val="001744C8"/>
    <w:rsid w:val="00175FD8"/>
    <w:rsid w:val="0017695D"/>
    <w:rsid w:val="00176C59"/>
    <w:rsid w:val="0017708F"/>
    <w:rsid w:val="00177795"/>
    <w:rsid w:val="00180C6E"/>
    <w:rsid w:val="0018143F"/>
    <w:rsid w:val="0018187B"/>
    <w:rsid w:val="00181DE6"/>
    <w:rsid w:val="001826AC"/>
    <w:rsid w:val="00182FEB"/>
    <w:rsid w:val="0018351F"/>
    <w:rsid w:val="00183AC8"/>
    <w:rsid w:val="00184586"/>
    <w:rsid w:val="001856BF"/>
    <w:rsid w:val="00185981"/>
    <w:rsid w:val="0018621F"/>
    <w:rsid w:val="00186768"/>
    <w:rsid w:val="00187DFB"/>
    <w:rsid w:val="00190AC1"/>
    <w:rsid w:val="00190CEA"/>
    <w:rsid w:val="00191ABC"/>
    <w:rsid w:val="001928CF"/>
    <w:rsid w:val="0019341A"/>
    <w:rsid w:val="00197DF9"/>
    <w:rsid w:val="00197ECE"/>
    <w:rsid w:val="001A089F"/>
    <w:rsid w:val="001A0C6F"/>
    <w:rsid w:val="001A13AF"/>
    <w:rsid w:val="001A1987"/>
    <w:rsid w:val="001A1D9A"/>
    <w:rsid w:val="001A22B1"/>
    <w:rsid w:val="001A2564"/>
    <w:rsid w:val="001A295F"/>
    <w:rsid w:val="001A312F"/>
    <w:rsid w:val="001A3B5D"/>
    <w:rsid w:val="001A465C"/>
    <w:rsid w:val="001A5A6A"/>
    <w:rsid w:val="001A5F8E"/>
    <w:rsid w:val="001A6173"/>
    <w:rsid w:val="001A68B9"/>
    <w:rsid w:val="001A6CBA"/>
    <w:rsid w:val="001B0D97"/>
    <w:rsid w:val="001B235B"/>
    <w:rsid w:val="001B28EF"/>
    <w:rsid w:val="001B3C10"/>
    <w:rsid w:val="001B4C17"/>
    <w:rsid w:val="001B57B8"/>
    <w:rsid w:val="001B5A5D"/>
    <w:rsid w:val="001B7A65"/>
    <w:rsid w:val="001B7DF3"/>
    <w:rsid w:val="001C0230"/>
    <w:rsid w:val="001C02E6"/>
    <w:rsid w:val="001C03BB"/>
    <w:rsid w:val="001C0441"/>
    <w:rsid w:val="001C07AD"/>
    <w:rsid w:val="001C1CE5"/>
    <w:rsid w:val="001C20FB"/>
    <w:rsid w:val="001C2BB4"/>
    <w:rsid w:val="001C2F7F"/>
    <w:rsid w:val="001C363A"/>
    <w:rsid w:val="001C37A9"/>
    <w:rsid w:val="001C3D2A"/>
    <w:rsid w:val="001D05D0"/>
    <w:rsid w:val="001D18C7"/>
    <w:rsid w:val="001D20B2"/>
    <w:rsid w:val="001D2F66"/>
    <w:rsid w:val="001D403B"/>
    <w:rsid w:val="001D48A7"/>
    <w:rsid w:val="001D51BA"/>
    <w:rsid w:val="001D6342"/>
    <w:rsid w:val="001D69B3"/>
    <w:rsid w:val="001D6D53"/>
    <w:rsid w:val="001D7586"/>
    <w:rsid w:val="001D7DC0"/>
    <w:rsid w:val="001E0FCB"/>
    <w:rsid w:val="001E11F4"/>
    <w:rsid w:val="001E167D"/>
    <w:rsid w:val="001E2CD1"/>
    <w:rsid w:val="001E38D4"/>
    <w:rsid w:val="001E3B32"/>
    <w:rsid w:val="001E58E2"/>
    <w:rsid w:val="001E6203"/>
    <w:rsid w:val="001E7AED"/>
    <w:rsid w:val="001E7C07"/>
    <w:rsid w:val="001F020B"/>
    <w:rsid w:val="001F0BF5"/>
    <w:rsid w:val="001F0C44"/>
    <w:rsid w:val="001F21FC"/>
    <w:rsid w:val="001F2871"/>
    <w:rsid w:val="001F3800"/>
    <w:rsid w:val="001F3916"/>
    <w:rsid w:val="001F4727"/>
    <w:rsid w:val="001F484C"/>
    <w:rsid w:val="001F4D8A"/>
    <w:rsid w:val="001F4FEF"/>
    <w:rsid w:val="001F50B6"/>
    <w:rsid w:val="001F54B2"/>
    <w:rsid w:val="001F54C5"/>
    <w:rsid w:val="001F63AB"/>
    <w:rsid w:val="001F662C"/>
    <w:rsid w:val="001F7074"/>
    <w:rsid w:val="001F7EAD"/>
    <w:rsid w:val="00200490"/>
    <w:rsid w:val="0020120B"/>
    <w:rsid w:val="0020177A"/>
    <w:rsid w:val="00201F3A"/>
    <w:rsid w:val="00202039"/>
    <w:rsid w:val="002027F3"/>
    <w:rsid w:val="00202BD4"/>
    <w:rsid w:val="00202DF0"/>
    <w:rsid w:val="00202E52"/>
    <w:rsid w:val="00203F96"/>
    <w:rsid w:val="00204061"/>
    <w:rsid w:val="00204E9B"/>
    <w:rsid w:val="002053E4"/>
    <w:rsid w:val="002063B5"/>
    <w:rsid w:val="002069B2"/>
    <w:rsid w:val="00207FA3"/>
    <w:rsid w:val="0021061C"/>
    <w:rsid w:val="002135D4"/>
    <w:rsid w:val="00213BA2"/>
    <w:rsid w:val="0021491D"/>
    <w:rsid w:val="00214A30"/>
    <w:rsid w:val="00214DA8"/>
    <w:rsid w:val="00214E08"/>
    <w:rsid w:val="00215368"/>
    <w:rsid w:val="00215423"/>
    <w:rsid w:val="002158FA"/>
    <w:rsid w:val="00215DC2"/>
    <w:rsid w:val="00217D2C"/>
    <w:rsid w:val="00217E15"/>
    <w:rsid w:val="00220600"/>
    <w:rsid w:val="00221329"/>
    <w:rsid w:val="002224DB"/>
    <w:rsid w:val="0022323C"/>
    <w:rsid w:val="00223710"/>
    <w:rsid w:val="00223FCB"/>
    <w:rsid w:val="002252C3"/>
    <w:rsid w:val="00225A8A"/>
    <w:rsid w:val="00225C54"/>
    <w:rsid w:val="002268BA"/>
    <w:rsid w:val="00227F1D"/>
    <w:rsid w:val="00230115"/>
    <w:rsid w:val="00230765"/>
    <w:rsid w:val="0023135B"/>
    <w:rsid w:val="002319E4"/>
    <w:rsid w:val="00233062"/>
    <w:rsid w:val="00234D9C"/>
    <w:rsid w:val="0023514F"/>
    <w:rsid w:val="00235632"/>
    <w:rsid w:val="00235872"/>
    <w:rsid w:val="00235B81"/>
    <w:rsid w:val="00236CF7"/>
    <w:rsid w:val="002374FA"/>
    <w:rsid w:val="00240E87"/>
    <w:rsid w:val="00241507"/>
    <w:rsid w:val="00241559"/>
    <w:rsid w:val="00242F16"/>
    <w:rsid w:val="002435B3"/>
    <w:rsid w:val="00243F6B"/>
    <w:rsid w:val="002458EB"/>
    <w:rsid w:val="0024609D"/>
    <w:rsid w:val="00246D61"/>
    <w:rsid w:val="00247DC5"/>
    <w:rsid w:val="002500C8"/>
    <w:rsid w:val="00250F1A"/>
    <w:rsid w:val="002510FD"/>
    <w:rsid w:val="00251BD6"/>
    <w:rsid w:val="00251C43"/>
    <w:rsid w:val="00252F20"/>
    <w:rsid w:val="002544FF"/>
    <w:rsid w:val="00255E65"/>
    <w:rsid w:val="00256CD4"/>
    <w:rsid w:val="00257543"/>
    <w:rsid w:val="0025795E"/>
    <w:rsid w:val="00261180"/>
    <w:rsid w:val="002617E7"/>
    <w:rsid w:val="00262DC6"/>
    <w:rsid w:val="00264228"/>
    <w:rsid w:val="00264334"/>
    <w:rsid w:val="0026473E"/>
    <w:rsid w:val="002654EE"/>
    <w:rsid w:val="0026599E"/>
    <w:rsid w:val="00266214"/>
    <w:rsid w:val="002664ED"/>
    <w:rsid w:val="0026693A"/>
    <w:rsid w:val="00266BBD"/>
    <w:rsid w:val="00266E78"/>
    <w:rsid w:val="0026716F"/>
    <w:rsid w:val="00267C83"/>
    <w:rsid w:val="00267CE2"/>
    <w:rsid w:val="00271373"/>
    <w:rsid w:val="0027144F"/>
    <w:rsid w:val="00271800"/>
    <w:rsid w:val="00271BED"/>
    <w:rsid w:val="00271E8E"/>
    <w:rsid w:val="00271F3A"/>
    <w:rsid w:val="00273278"/>
    <w:rsid w:val="00273506"/>
    <w:rsid w:val="00273693"/>
    <w:rsid w:val="002737F4"/>
    <w:rsid w:val="00274305"/>
    <w:rsid w:val="00274309"/>
    <w:rsid w:val="00274922"/>
    <w:rsid w:val="00274CAB"/>
    <w:rsid w:val="002753F4"/>
    <w:rsid w:val="002760E6"/>
    <w:rsid w:val="002767D9"/>
    <w:rsid w:val="002771E6"/>
    <w:rsid w:val="002778FD"/>
    <w:rsid w:val="00277F3E"/>
    <w:rsid w:val="002805F5"/>
    <w:rsid w:val="00280751"/>
    <w:rsid w:val="002817E4"/>
    <w:rsid w:val="002820AC"/>
    <w:rsid w:val="00282776"/>
    <w:rsid w:val="0028280A"/>
    <w:rsid w:val="00284A2A"/>
    <w:rsid w:val="002854C5"/>
    <w:rsid w:val="002867CB"/>
    <w:rsid w:val="00286ACD"/>
    <w:rsid w:val="00286EFF"/>
    <w:rsid w:val="002873E6"/>
    <w:rsid w:val="00287838"/>
    <w:rsid w:val="00287971"/>
    <w:rsid w:val="002900F9"/>
    <w:rsid w:val="002907B5"/>
    <w:rsid w:val="002910E0"/>
    <w:rsid w:val="0029206A"/>
    <w:rsid w:val="002928AD"/>
    <w:rsid w:val="00292DEB"/>
    <w:rsid w:val="00292EB7"/>
    <w:rsid w:val="00292ED4"/>
    <w:rsid w:val="00293507"/>
    <w:rsid w:val="00293AB4"/>
    <w:rsid w:val="00293B5D"/>
    <w:rsid w:val="00293E63"/>
    <w:rsid w:val="00294786"/>
    <w:rsid w:val="00295CD5"/>
    <w:rsid w:val="00296227"/>
    <w:rsid w:val="0029667C"/>
    <w:rsid w:val="00296D71"/>
    <w:rsid w:val="00296F44"/>
    <w:rsid w:val="0029743D"/>
    <w:rsid w:val="0029777D"/>
    <w:rsid w:val="002A055E"/>
    <w:rsid w:val="002A0807"/>
    <w:rsid w:val="002A1D4E"/>
    <w:rsid w:val="002A1DC7"/>
    <w:rsid w:val="002A26A2"/>
    <w:rsid w:val="002A2869"/>
    <w:rsid w:val="002A2D7B"/>
    <w:rsid w:val="002A3DE5"/>
    <w:rsid w:val="002A6614"/>
    <w:rsid w:val="002A6730"/>
    <w:rsid w:val="002A7C5F"/>
    <w:rsid w:val="002A7C7F"/>
    <w:rsid w:val="002B02F2"/>
    <w:rsid w:val="002B0DF5"/>
    <w:rsid w:val="002B1BE4"/>
    <w:rsid w:val="002B1FAC"/>
    <w:rsid w:val="002B24D6"/>
    <w:rsid w:val="002B2793"/>
    <w:rsid w:val="002B3028"/>
    <w:rsid w:val="002B3A32"/>
    <w:rsid w:val="002B70CB"/>
    <w:rsid w:val="002C0B71"/>
    <w:rsid w:val="002C0D68"/>
    <w:rsid w:val="002C12B6"/>
    <w:rsid w:val="002C232A"/>
    <w:rsid w:val="002C2333"/>
    <w:rsid w:val="002C234A"/>
    <w:rsid w:val="002C31FF"/>
    <w:rsid w:val="002C41E6"/>
    <w:rsid w:val="002C5BA4"/>
    <w:rsid w:val="002C5E15"/>
    <w:rsid w:val="002C5E52"/>
    <w:rsid w:val="002C69D6"/>
    <w:rsid w:val="002C72B5"/>
    <w:rsid w:val="002D071A"/>
    <w:rsid w:val="002D0B98"/>
    <w:rsid w:val="002D1A4B"/>
    <w:rsid w:val="002D2FB6"/>
    <w:rsid w:val="002D31EB"/>
    <w:rsid w:val="002D3262"/>
    <w:rsid w:val="002D34B2"/>
    <w:rsid w:val="002D38C5"/>
    <w:rsid w:val="002D5315"/>
    <w:rsid w:val="002D7637"/>
    <w:rsid w:val="002D78D9"/>
    <w:rsid w:val="002D7E6B"/>
    <w:rsid w:val="002E03C7"/>
    <w:rsid w:val="002E07B0"/>
    <w:rsid w:val="002E17F2"/>
    <w:rsid w:val="002E1ECA"/>
    <w:rsid w:val="002E2A67"/>
    <w:rsid w:val="002E3830"/>
    <w:rsid w:val="002E4650"/>
    <w:rsid w:val="002E4FB1"/>
    <w:rsid w:val="002E53EC"/>
    <w:rsid w:val="002E5562"/>
    <w:rsid w:val="002E5596"/>
    <w:rsid w:val="002E5D19"/>
    <w:rsid w:val="002E6804"/>
    <w:rsid w:val="002E6DD4"/>
    <w:rsid w:val="002E7859"/>
    <w:rsid w:val="002E7CAE"/>
    <w:rsid w:val="002E7CC7"/>
    <w:rsid w:val="002F2276"/>
    <w:rsid w:val="002F2580"/>
    <w:rsid w:val="002F2771"/>
    <w:rsid w:val="002F311E"/>
    <w:rsid w:val="002F3639"/>
    <w:rsid w:val="002F37A9"/>
    <w:rsid w:val="002F4179"/>
    <w:rsid w:val="002F734F"/>
    <w:rsid w:val="0030025F"/>
    <w:rsid w:val="0030067A"/>
    <w:rsid w:val="00300913"/>
    <w:rsid w:val="003014A4"/>
    <w:rsid w:val="00301CE6"/>
    <w:rsid w:val="00302170"/>
    <w:rsid w:val="0030256B"/>
    <w:rsid w:val="003037B8"/>
    <w:rsid w:val="00303BF2"/>
    <w:rsid w:val="003042B2"/>
    <w:rsid w:val="00304BD5"/>
    <w:rsid w:val="0030501F"/>
    <w:rsid w:val="003055FA"/>
    <w:rsid w:val="00305E07"/>
    <w:rsid w:val="0030610E"/>
    <w:rsid w:val="00306426"/>
    <w:rsid w:val="00307BA1"/>
    <w:rsid w:val="0031077B"/>
    <w:rsid w:val="00310B05"/>
    <w:rsid w:val="00311267"/>
    <w:rsid w:val="0031131B"/>
    <w:rsid w:val="00311702"/>
    <w:rsid w:val="003117F7"/>
    <w:rsid w:val="00311822"/>
    <w:rsid w:val="00311E82"/>
    <w:rsid w:val="00312389"/>
    <w:rsid w:val="0031328D"/>
    <w:rsid w:val="00313FD6"/>
    <w:rsid w:val="0031406B"/>
    <w:rsid w:val="003141C5"/>
    <w:rsid w:val="003143BD"/>
    <w:rsid w:val="00317772"/>
    <w:rsid w:val="00317B40"/>
    <w:rsid w:val="00317D4C"/>
    <w:rsid w:val="003203ED"/>
    <w:rsid w:val="00320A3A"/>
    <w:rsid w:val="00321688"/>
    <w:rsid w:val="0032192A"/>
    <w:rsid w:val="003229E1"/>
    <w:rsid w:val="00322C9F"/>
    <w:rsid w:val="003234E3"/>
    <w:rsid w:val="00323A10"/>
    <w:rsid w:val="00324D23"/>
    <w:rsid w:val="0032556F"/>
    <w:rsid w:val="003256FF"/>
    <w:rsid w:val="00326116"/>
    <w:rsid w:val="0032619E"/>
    <w:rsid w:val="00326DC0"/>
    <w:rsid w:val="00326E2E"/>
    <w:rsid w:val="003275CD"/>
    <w:rsid w:val="003310E2"/>
    <w:rsid w:val="00331751"/>
    <w:rsid w:val="003337D3"/>
    <w:rsid w:val="00334579"/>
    <w:rsid w:val="003350C8"/>
    <w:rsid w:val="00335858"/>
    <w:rsid w:val="00336230"/>
    <w:rsid w:val="0033676E"/>
    <w:rsid w:val="00336BDA"/>
    <w:rsid w:val="0033702D"/>
    <w:rsid w:val="00340335"/>
    <w:rsid w:val="0034062B"/>
    <w:rsid w:val="0034124A"/>
    <w:rsid w:val="00341F62"/>
    <w:rsid w:val="00342420"/>
    <w:rsid w:val="00342BD7"/>
    <w:rsid w:val="00343A07"/>
    <w:rsid w:val="00344F21"/>
    <w:rsid w:val="00345322"/>
    <w:rsid w:val="003467C5"/>
    <w:rsid w:val="003469DA"/>
    <w:rsid w:val="00346DB5"/>
    <w:rsid w:val="00347331"/>
    <w:rsid w:val="003477B1"/>
    <w:rsid w:val="00351BDC"/>
    <w:rsid w:val="003521BD"/>
    <w:rsid w:val="00352897"/>
    <w:rsid w:val="003531ED"/>
    <w:rsid w:val="003534BC"/>
    <w:rsid w:val="00356C6F"/>
    <w:rsid w:val="003572A5"/>
    <w:rsid w:val="00357380"/>
    <w:rsid w:val="00357979"/>
    <w:rsid w:val="003602D9"/>
    <w:rsid w:val="003604CE"/>
    <w:rsid w:val="00360B5C"/>
    <w:rsid w:val="00362844"/>
    <w:rsid w:val="00363407"/>
    <w:rsid w:val="00363ABA"/>
    <w:rsid w:val="00364242"/>
    <w:rsid w:val="00366180"/>
    <w:rsid w:val="00367A76"/>
    <w:rsid w:val="00367BF6"/>
    <w:rsid w:val="00370E47"/>
    <w:rsid w:val="00371375"/>
    <w:rsid w:val="00371E24"/>
    <w:rsid w:val="003723FE"/>
    <w:rsid w:val="00372F5D"/>
    <w:rsid w:val="003734BB"/>
    <w:rsid w:val="00373508"/>
    <w:rsid w:val="00373D3D"/>
    <w:rsid w:val="003742AC"/>
    <w:rsid w:val="00375510"/>
    <w:rsid w:val="00375760"/>
    <w:rsid w:val="0037640E"/>
    <w:rsid w:val="00376A8D"/>
    <w:rsid w:val="00377069"/>
    <w:rsid w:val="00377210"/>
    <w:rsid w:val="00377237"/>
    <w:rsid w:val="00377CE1"/>
    <w:rsid w:val="003817C3"/>
    <w:rsid w:val="00381867"/>
    <w:rsid w:val="003823C9"/>
    <w:rsid w:val="003825F4"/>
    <w:rsid w:val="00383C8D"/>
    <w:rsid w:val="00384496"/>
    <w:rsid w:val="003855C4"/>
    <w:rsid w:val="003856B8"/>
    <w:rsid w:val="00385BF0"/>
    <w:rsid w:val="00386E7F"/>
    <w:rsid w:val="003876A3"/>
    <w:rsid w:val="00387B9B"/>
    <w:rsid w:val="00390E57"/>
    <w:rsid w:val="00393517"/>
    <w:rsid w:val="003939FF"/>
    <w:rsid w:val="003948BF"/>
    <w:rsid w:val="00394C82"/>
    <w:rsid w:val="00394CB8"/>
    <w:rsid w:val="00395D97"/>
    <w:rsid w:val="00396077"/>
    <w:rsid w:val="0039762E"/>
    <w:rsid w:val="00397D89"/>
    <w:rsid w:val="003A0C10"/>
    <w:rsid w:val="003A1128"/>
    <w:rsid w:val="003A1476"/>
    <w:rsid w:val="003A1A10"/>
    <w:rsid w:val="003A1AA5"/>
    <w:rsid w:val="003A2223"/>
    <w:rsid w:val="003A225B"/>
    <w:rsid w:val="003A2A0F"/>
    <w:rsid w:val="003A2DD2"/>
    <w:rsid w:val="003A45A1"/>
    <w:rsid w:val="003A5AED"/>
    <w:rsid w:val="003A5B0A"/>
    <w:rsid w:val="003A6437"/>
    <w:rsid w:val="003A695F"/>
    <w:rsid w:val="003A6BAC"/>
    <w:rsid w:val="003A7EF3"/>
    <w:rsid w:val="003B01DA"/>
    <w:rsid w:val="003B06AE"/>
    <w:rsid w:val="003B159C"/>
    <w:rsid w:val="003B2426"/>
    <w:rsid w:val="003B3232"/>
    <w:rsid w:val="003B369F"/>
    <w:rsid w:val="003B36A3"/>
    <w:rsid w:val="003B3CD4"/>
    <w:rsid w:val="003B3D13"/>
    <w:rsid w:val="003B3FCB"/>
    <w:rsid w:val="003B5235"/>
    <w:rsid w:val="003B527F"/>
    <w:rsid w:val="003B5B89"/>
    <w:rsid w:val="003B6B85"/>
    <w:rsid w:val="003B6F6B"/>
    <w:rsid w:val="003B7917"/>
    <w:rsid w:val="003B7FE5"/>
    <w:rsid w:val="003C0B53"/>
    <w:rsid w:val="003C11C8"/>
    <w:rsid w:val="003C2702"/>
    <w:rsid w:val="003C3336"/>
    <w:rsid w:val="003C3352"/>
    <w:rsid w:val="003C39B8"/>
    <w:rsid w:val="003C3C52"/>
    <w:rsid w:val="003C4EDC"/>
    <w:rsid w:val="003C4F52"/>
    <w:rsid w:val="003C5035"/>
    <w:rsid w:val="003C61FA"/>
    <w:rsid w:val="003C7209"/>
    <w:rsid w:val="003C741B"/>
    <w:rsid w:val="003C7806"/>
    <w:rsid w:val="003D109F"/>
    <w:rsid w:val="003D1677"/>
    <w:rsid w:val="003D17B0"/>
    <w:rsid w:val="003D1B50"/>
    <w:rsid w:val="003D1D63"/>
    <w:rsid w:val="003D2478"/>
    <w:rsid w:val="003D316A"/>
    <w:rsid w:val="003D3231"/>
    <w:rsid w:val="003D385A"/>
    <w:rsid w:val="003D3B11"/>
    <w:rsid w:val="003D3C45"/>
    <w:rsid w:val="003D4209"/>
    <w:rsid w:val="003D44DE"/>
    <w:rsid w:val="003D5072"/>
    <w:rsid w:val="003D5672"/>
    <w:rsid w:val="003D5B1F"/>
    <w:rsid w:val="003D5B44"/>
    <w:rsid w:val="003D60FF"/>
    <w:rsid w:val="003D7C8C"/>
    <w:rsid w:val="003E0FFE"/>
    <w:rsid w:val="003E1235"/>
    <w:rsid w:val="003E15FA"/>
    <w:rsid w:val="003E4235"/>
    <w:rsid w:val="003E4EB5"/>
    <w:rsid w:val="003E55E4"/>
    <w:rsid w:val="003E565D"/>
    <w:rsid w:val="003E605B"/>
    <w:rsid w:val="003E720F"/>
    <w:rsid w:val="003E74E3"/>
    <w:rsid w:val="003E7AE2"/>
    <w:rsid w:val="003F05C7"/>
    <w:rsid w:val="003F1073"/>
    <w:rsid w:val="003F116C"/>
    <w:rsid w:val="003F12FF"/>
    <w:rsid w:val="003F131F"/>
    <w:rsid w:val="003F1704"/>
    <w:rsid w:val="003F233A"/>
    <w:rsid w:val="003F2977"/>
    <w:rsid w:val="003F2CD4"/>
    <w:rsid w:val="003F366A"/>
    <w:rsid w:val="003F3BE8"/>
    <w:rsid w:val="003F4886"/>
    <w:rsid w:val="003F4DB2"/>
    <w:rsid w:val="003F5051"/>
    <w:rsid w:val="003F53D8"/>
    <w:rsid w:val="003F63F6"/>
    <w:rsid w:val="003F693C"/>
    <w:rsid w:val="003F6B4D"/>
    <w:rsid w:val="003F6BBE"/>
    <w:rsid w:val="004000E8"/>
    <w:rsid w:val="00400C4F"/>
    <w:rsid w:val="0040145C"/>
    <w:rsid w:val="00401474"/>
    <w:rsid w:val="0040241A"/>
    <w:rsid w:val="00402E2B"/>
    <w:rsid w:val="004050FB"/>
    <w:rsid w:val="0040512B"/>
    <w:rsid w:val="00405205"/>
    <w:rsid w:val="004057E2"/>
    <w:rsid w:val="00405CA5"/>
    <w:rsid w:val="004068A0"/>
    <w:rsid w:val="004073C3"/>
    <w:rsid w:val="00407CD3"/>
    <w:rsid w:val="00407EC0"/>
    <w:rsid w:val="00410134"/>
    <w:rsid w:val="00410B72"/>
    <w:rsid w:val="00410F18"/>
    <w:rsid w:val="0041120A"/>
    <w:rsid w:val="00411C4A"/>
    <w:rsid w:val="0041263E"/>
    <w:rsid w:val="00413A2B"/>
    <w:rsid w:val="00413AAC"/>
    <w:rsid w:val="00413DD4"/>
    <w:rsid w:val="00414085"/>
    <w:rsid w:val="00414261"/>
    <w:rsid w:val="0041583D"/>
    <w:rsid w:val="00415F87"/>
    <w:rsid w:val="00416237"/>
    <w:rsid w:val="004166C1"/>
    <w:rsid w:val="004167DE"/>
    <w:rsid w:val="004167F4"/>
    <w:rsid w:val="0041728E"/>
    <w:rsid w:val="004177EE"/>
    <w:rsid w:val="004178F9"/>
    <w:rsid w:val="00420A72"/>
    <w:rsid w:val="004210CE"/>
    <w:rsid w:val="00421105"/>
    <w:rsid w:val="00422152"/>
    <w:rsid w:val="00422F7B"/>
    <w:rsid w:val="00423ADD"/>
    <w:rsid w:val="004242F4"/>
    <w:rsid w:val="004254F4"/>
    <w:rsid w:val="004257A4"/>
    <w:rsid w:val="00427248"/>
    <w:rsid w:val="00427509"/>
    <w:rsid w:val="004278CF"/>
    <w:rsid w:val="00430087"/>
    <w:rsid w:val="004317A7"/>
    <w:rsid w:val="0043184C"/>
    <w:rsid w:val="004322AC"/>
    <w:rsid w:val="00433520"/>
    <w:rsid w:val="0043384E"/>
    <w:rsid w:val="00434401"/>
    <w:rsid w:val="00434863"/>
    <w:rsid w:val="00437447"/>
    <w:rsid w:val="0043755C"/>
    <w:rsid w:val="00437B2A"/>
    <w:rsid w:val="00437DB3"/>
    <w:rsid w:val="00441072"/>
    <w:rsid w:val="00441A92"/>
    <w:rsid w:val="00441CFF"/>
    <w:rsid w:val="00442197"/>
    <w:rsid w:val="00442B3A"/>
    <w:rsid w:val="004430B6"/>
    <w:rsid w:val="00443A66"/>
    <w:rsid w:val="00443D85"/>
    <w:rsid w:val="00444720"/>
    <w:rsid w:val="00444D16"/>
    <w:rsid w:val="00444F56"/>
    <w:rsid w:val="0044535B"/>
    <w:rsid w:val="00445530"/>
    <w:rsid w:val="00445CA9"/>
    <w:rsid w:val="00446488"/>
    <w:rsid w:val="00446C09"/>
    <w:rsid w:val="00446DAC"/>
    <w:rsid w:val="00447AC2"/>
    <w:rsid w:val="004508B0"/>
    <w:rsid w:val="00451723"/>
    <w:rsid w:val="004517AA"/>
    <w:rsid w:val="004517E9"/>
    <w:rsid w:val="00452317"/>
    <w:rsid w:val="00452CAC"/>
    <w:rsid w:val="00453780"/>
    <w:rsid w:val="004548E6"/>
    <w:rsid w:val="0045534C"/>
    <w:rsid w:val="004556FF"/>
    <w:rsid w:val="00455CA6"/>
    <w:rsid w:val="004564C7"/>
    <w:rsid w:val="00457565"/>
    <w:rsid w:val="00457736"/>
    <w:rsid w:val="00457B71"/>
    <w:rsid w:val="004601EC"/>
    <w:rsid w:val="0046194B"/>
    <w:rsid w:val="00461EDE"/>
    <w:rsid w:val="00462014"/>
    <w:rsid w:val="00462959"/>
    <w:rsid w:val="00462DB8"/>
    <w:rsid w:val="00462E16"/>
    <w:rsid w:val="004636EF"/>
    <w:rsid w:val="00463A72"/>
    <w:rsid w:val="00464355"/>
    <w:rsid w:val="0046450A"/>
    <w:rsid w:val="0046454C"/>
    <w:rsid w:val="004648E8"/>
    <w:rsid w:val="004669E2"/>
    <w:rsid w:val="00467FEA"/>
    <w:rsid w:val="00470B3A"/>
    <w:rsid w:val="00470C31"/>
    <w:rsid w:val="00470DEF"/>
    <w:rsid w:val="004712F7"/>
    <w:rsid w:val="00471569"/>
    <w:rsid w:val="004717A8"/>
    <w:rsid w:val="004717C1"/>
    <w:rsid w:val="00471838"/>
    <w:rsid w:val="00472788"/>
    <w:rsid w:val="00472985"/>
    <w:rsid w:val="00472A8F"/>
    <w:rsid w:val="004734D0"/>
    <w:rsid w:val="00473E95"/>
    <w:rsid w:val="0047459D"/>
    <w:rsid w:val="00474BBE"/>
    <w:rsid w:val="00474C7D"/>
    <w:rsid w:val="0047556B"/>
    <w:rsid w:val="00475845"/>
    <w:rsid w:val="00476333"/>
    <w:rsid w:val="00476844"/>
    <w:rsid w:val="00476D56"/>
    <w:rsid w:val="004770B0"/>
    <w:rsid w:val="0047742B"/>
    <w:rsid w:val="00477768"/>
    <w:rsid w:val="00477DBC"/>
    <w:rsid w:val="00480234"/>
    <w:rsid w:val="0048026B"/>
    <w:rsid w:val="00480A7F"/>
    <w:rsid w:val="004811DC"/>
    <w:rsid w:val="00481347"/>
    <w:rsid w:val="00483408"/>
    <w:rsid w:val="0048477E"/>
    <w:rsid w:val="00484A54"/>
    <w:rsid w:val="004850C4"/>
    <w:rsid w:val="00485227"/>
    <w:rsid w:val="00485714"/>
    <w:rsid w:val="0048609B"/>
    <w:rsid w:val="004879B4"/>
    <w:rsid w:val="00487B12"/>
    <w:rsid w:val="00490D70"/>
    <w:rsid w:val="0049201F"/>
    <w:rsid w:val="00492BC5"/>
    <w:rsid w:val="00494422"/>
    <w:rsid w:val="00494E2C"/>
    <w:rsid w:val="004964F1"/>
    <w:rsid w:val="00497B84"/>
    <w:rsid w:val="004A094D"/>
    <w:rsid w:val="004A10C6"/>
    <w:rsid w:val="004A1128"/>
    <w:rsid w:val="004A16BC"/>
    <w:rsid w:val="004A189B"/>
    <w:rsid w:val="004A2A6D"/>
    <w:rsid w:val="004A2B94"/>
    <w:rsid w:val="004A300F"/>
    <w:rsid w:val="004A34DE"/>
    <w:rsid w:val="004A500E"/>
    <w:rsid w:val="004A5A05"/>
    <w:rsid w:val="004A5EFC"/>
    <w:rsid w:val="004B017C"/>
    <w:rsid w:val="004B033E"/>
    <w:rsid w:val="004B0823"/>
    <w:rsid w:val="004B097E"/>
    <w:rsid w:val="004B1035"/>
    <w:rsid w:val="004B139F"/>
    <w:rsid w:val="004B1FC7"/>
    <w:rsid w:val="004B42CA"/>
    <w:rsid w:val="004B480F"/>
    <w:rsid w:val="004B4DDB"/>
    <w:rsid w:val="004B5B8B"/>
    <w:rsid w:val="004B63B1"/>
    <w:rsid w:val="004B7C0C"/>
    <w:rsid w:val="004C09A8"/>
    <w:rsid w:val="004C14FB"/>
    <w:rsid w:val="004C1A3B"/>
    <w:rsid w:val="004C1C41"/>
    <w:rsid w:val="004C1D95"/>
    <w:rsid w:val="004C229F"/>
    <w:rsid w:val="004C28A1"/>
    <w:rsid w:val="004C2949"/>
    <w:rsid w:val="004C2A03"/>
    <w:rsid w:val="004C2F63"/>
    <w:rsid w:val="004C3898"/>
    <w:rsid w:val="004C3D04"/>
    <w:rsid w:val="004C3E1B"/>
    <w:rsid w:val="004C4905"/>
    <w:rsid w:val="004C51D2"/>
    <w:rsid w:val="004C5466"/>
    <w:rsid w:val="004C63E8"/>
    <w:rsid w:val="004C732D"/>
    <w:rsid w:val="004C73D4"/>
    <w:rsid w:val="004C7960"/>
    <w:rsid w:val="004D06E6"/>
    <w:rsid w:val="004D124C"/>
    <w:rsid w:val="004D147E"/>
    <w:rsid w:val="004D36B1"/>
    <w:rsid w:val="004D3C1E"/>
    <w:rsid w:val="004D3DF5"/>
    <w:rsid w:val="004D4337"/>
    <w:rsid w:val="004D7EBD"/>
    <w:rsid w:val="004E0CE6"/>
    <w:rsid w:val="004E1024"/>
    <w:rsid w:val="004E165C"/>
    <w:rsid w:val="004E2680"/>
    <w:rsid w:val="004E2742"/>
    <w:rsid w:val="004E28F9"/>
    <w:rsid w:val="004E4287"/>
    <w:rsid w:val="004E4340"/>
    <w:rsid w:val="004E462E"/>
    <w:rsid w:val="004E4944"/>
    <w:rsid w:val="004E56DC"/>
    <w:rsid w:val="004E599E"/>
    <w:rsid w:val="004E609B"/>
    <w:rsid w:val="004E6D2B"/>
    <w:rsid w:val="004E6F3C"/>
    <w:rsid w:val="004E76F4"/>
    <w:rsid w:val="004E7D68"/>
    <w:rsid w:val="004F0617"/>
    <w:rsid w:val="004F0B4E"/>
    <w:rsid w:val="004F0B6C"/>
    <w:rsid w:val="004F2078"/>
    <w:rsid w:val="004F273C"/>
    <w:rsid w:val="004F38F4"/>
    <w:rsid w:val="004F40CA"/>
    <w:rsid w:val="004F49F0"/>
    <w:rsid w:val="004F4DA3"/>
    <w:rsid w:val="004F51BE"/>
    <w:rsid w:val="004F623C"/>
    <w:rsid w:val="004F6E49"/>
    <w:rsid w:val="004F6EE4"/>
    <w:rsid w:val="004F788B"/>
    <w:rsid w:val="005017A5"/>
    <w:rsid w:val="00501FCE"/>
    <w:rsid w:val="005032D2"/>
    <w:rsid w:val="0050348D"/>
    <w:rsid w:val="00505C67"/>
    <w:rsid w:val="00506557"/>
    <w:rsid w:val="0050677A"/>
    <w:rsid w:val="005079B7"/>
    <w:rsid w:val="00507CE8"/>
    <w:rsid w:val="00507DD4"/>
    <w:rsid w:val="00510400"/>
    <w:rsid w:val="00510568"/>
    <w:rsid w:val="00510793"/>
    <w:rsid w:val="005108D8"/>
    <w:rsid w:val="005109C4"/>
    <w:rsid w:val="00511171"/>
    <w:rsid w:val="00511559"/>
    <w:rsid w:val="005115CE"/>
    <w:rsid w:val="005116F9"/>
    <w:rsid w:val="00511A44"/>
    <w:rsid w:val="00511ECE"/>
    <w:rsid w:val="005125EA"/>
    <w:rsid w:val="005139E9"/>
    <w:rsid w:val="00513A32"/>
    <w:rsid w:val="00513ED6"/>
    <w:rsid w:val="00514D40"/>
    <w:rsid w:val="005153A7"/>
    <w:rsid w:val="00515A32"/>
    <w:rsid w:val="00515EA5"/>
    <w:rsid w:val="00516D2A"/>
    <w:rsid w:val="00517A54"/>
    <w:rsid w:val="005202D1"/>
    <w:rsid w:val="00520B6D"/>
    <w:rsid w:val="005219CF"/>
    <w:rsid w:val="00522470"/>
    <w:rsid w:val="00523767"/>
    <w:rsid w:val="0052451A"/>
    <w:rsid w:val="00524AF7"/>
    <w:rsid w:val="00524C08"/>
    <w:rsid w:val="005254DE"/>
    <w:rsid w:val="0052614F"/>
    <w:rsid w:val="00530C9E"/>
    <w:rsid w:val="005310A1"/>
    <w:rsid w:val="0053182C"/>
    <w:rsid w:val="00533136"/>
    <w:rsid w:val="00533C58"/>
    <w:rsid w:val="00534B59"/>
    <w:rsid w:val="005351D7"/>
    <w:rsid w:val="00535271"/>
    <w:rsid w:val="00535CC4"/>
    <w:rsid w:val="005361DD"/>
    <w:rsid w:val="00536759"/>
    <w:rsid w:val="005369FB"/>
    <w:rsid w:val="005377E6"/>
    <w:rsid w:val="00537C62"/>
    <w:rsid w:val="00540618"/>
    <w:rsid w:val="00540C2F"/>
    <w:rsid w:val="00541ADA"/>
    <w:rsid w:val="0054274E"/>
    <w:rsid w:val="005439BC"/>
    <w:rsid w:val="00546356"/>
    <w:rsid w:val="005466A8"/>
    <w:rsid w:val="005468AD"/>
    <w:rsid w:val="00546968"/>
    <w:rsid w:val="00546970"/>
    <w:rsid w:val="00547F4D"/>
    <w:rsid w:val="0055012D"/>
    <w:rsid w:val="00550419"/>
    <w:rsid w:val="00550767"/>
    <w:rsid w:val="0055082C"/>
    <w:rsid w:val="00550A17"/>
    <w:rsid w:val="00550B4B"/>
    <w:rsid w:val="00550B5E"/>
    <w:rsid w:val="005514AE"/>
    <w:rsid w:val="00551A49"/>
    <w:rsid w:val="00553F91"/>
    <w:rsid w:val="005542F9"/>
    <w:rsid w:val="00554AF2"/>
    <w:rsid w:val="00554B5D"/>
    <w:rsid w:val="00554E19"/>
    <w:rsid w:val="00556A0E"/>
    <w:rsid w:val="0056053D"/>
    <w:rsid w:val="00560FA3"/>
    <w:rsid w:val="0056121F"/>
    <w:rsid w:val="00562DBE"/>
    <w:rsid w:val="00562E8D"/>
    <w:rsid w:val="00563AD7"/>
    <w:rsid w:val="005645CA"/>
    <w:rsid w:val="00564CC3"/>
    <w:rsid w:val="005650A5"/>
    <w:rsid w:val="00567234"/>
    <w:rsid w:val="00570E0F"/>
    <w:rsid w:val="00571C40"/>
    <w:rsid w:val="00572505"/>
    <w:rsid w:val="005731AF"/>
    <w:rsid w:val="005733EE"/>
    <w:rsid w:val="005738F8"/>
    <w:rsid w:val="00574BC6"/>
    <w:rsid w:val="0057522D"/>
    <w:rsid w:val="00575921"/>
    <w:rsid w:val="00575DF3"/>
    <w:rsid w:val="00576175"/>
    <w:rsid w:val="00576E42"/>
    <w:rsid w:val="00577EF0"/>
    <w:rsid w:val="00577FFD"/>
    <w:rsid w:val="005800D6"/>
    <w:rsid w:val="00580EAF"/>
    <w:rsid w:val="005811E4"/>
    <w:rsid w:val="005813ED"/>
    <w:rsid w:val="005817AD"/>
    <w:rsid w:val="0058224C"/>
    <w:rsid w:val="005825AB"/>
    <w:rsid w:val="0058260D"/>
    <w:rsid w:val="00582809"/>
    <w:rsid w:val="00582BF1"/>
    <w:rsid w:val="0058345F"/>
    <w:rsid w:val="0058360D"/>
    <w:rsid w:val="00583EF8"/>
    <w:rsid w:val="0058447F"/>
    <w:rsid w:val="00584B20"/>
    <w:rsid w:val="00584FDE"/>
    <w:rsid w:val="005857AB"/>
    <w:rsid w:val="00585904"/>
    <w:rsid w:val="00586648"/>
    <w:rsid w:val="00586AD5"/>
    <w:rsid w:val="00586F25"/>
    <w:rsid w:val="0058798C"/>
    <w:rsid w:val="005879BC"/>
    <w:rsid w:val="005900FA"/>
    <w:rsid w:val="005903C8"/>
    <w:rsid w:val="00590B36"/>
    <w:rsid w:val="0059127E"/>
    <w:rsid w:val="005914CA"/>
    <w:rsid w:val="00592A8B"/>
    <w:rsid w:val="00592F8B"/>
    <w:rsid w:val="00592F97"/>
    <w:rsid w:val="0059307C"/>
    <w:rsid w:val="005935A4"/>
    <w:rsid w:val="005938DC"/>
    <w:rsid w:val="00593D60"/>
    <w:rsid w:val="005948C2"/>
    <w:rsid w:val="0059496B"/>
    <w:rsid w:val="00595068"/>
    <w:rsid w:val="00595DCA"/>
    <w:rsid w:val="00596140"/>
    <w:rsid w:val="0059779B"/>
    <w:rsid w:val="005A0716"/>
    <w:rsid w:val="005A0B1A"/>
    <w:rsid w:val="005A1834"/>
    <w:rsid w:val="005A1B76"/>
    <w:rsid w:val="005A209A"/>
    <w:rsid w:val="005A224E"/>
    <w:rsid w:val="005A22AC"/>
    <w:rsid w:val="005A28EF"/>
    <w:rsid w:val="005A322A"/>
    <w:rsid w:val="005A4256"/>
    <w:rsid w:val="005A4879"/>
    <w:rsid w:val="005A4A67"/>
    <w:rsid w:val="005A662D"/>
    <w:rsid w:val="005A666E"/>
    <w:rsid w:val="005A793F"/>
    <w:rsid w:val="005B072B"/>
    <w:rsid w:val="005B0B01"/>
    <w:rsid w:val="005B1016"/>
    <w:rsid w:val="005B11EA"/>
    <w:rsid w:val="005B14B6"/>
    <w:rsid w:val="005B15A3"/>
    <w:rsid w:val="005B1C54"/>
    <w:rsid w:val="005B35D7"/>
    <w:rsid w:val="005B392A"/>
    <w:rsid w:val="005B3AA3"/>
    <w:rsid w:val="005B3DBD"/>
    <w:rsid w:val="005B3E47"/>
    <w:rsid w:val="005B44AA"/>
    <w:rsid w:val="005B4E9E"/>
    <w:rsid w:val="005B5483"/>
    <w:rsid w:val="005B55AE"/>
    <w:rsid w:val="005B61E8"/>
    <w:rsid w:val="005B643C"/>
    <w:rsid w:val="005B674D"/>
    <w:rsid w:val="005B69DE"/>
    <w:rsid w:val="005B6C98"/>
    <w:rsid w:val="005B6F83"/>
    <w:rsid w:val="005B7D5A"/>
    <w:rsid w:val="005C0A47"/>
    <w:rsid w:val="005C0A98"/>
    <w:rsid w:val="005C2C2B"/>
    <w:rsid w:val="005C2E55"/>
    <w:rsid w:val="005C490B"/>
    <w:rsid w:val="005C74FB"/>
    <w:rsid w:val="005D0DD6"/>
    <w:rsid w:val="005D1602"/>
    <w:rsid w:val="005D1654"/>
    <w:rsid w:val="005D24E8"/>
    <w:rsid w:val="005D331B"/>
    <w:rsid w:val="005D34BF"/>
    <w:rsid w:val="005D4056"/>
    <w:rsid w:val="005D4159"/>
    <w:rsid w:val="005D4397"/>
    <w:rsid w:val="005D4ADC"/>
    <w:rsid w:val="005D4F1E"/>
    <w:rsid w:val="005D5551"/>
    <w:rsid w:val="005D6082"/>
    <w:rsid w:val="005D62B8"/>
    <w:rsid w:val="005D6673"/>
    <w:rsid w:val="005D6F8F"/>
    <w:rsid w:val="005D7FC5"/>
    <w:rsid w:val="005E0772"/>
    <w:rsid w:val="005E09F4"/>
    <w:rsid w:val="005E0E4B"/>
    <w:rsid w:val="005E1B24"/>
    <w:rsid w:val="005E2859"/>
    <w:rsid w:val="005E3061"/>
    <w:rsid w:val="005E34D6"/>
    <w:rsid w:val="005E385F"/>
    <w:rsid w:val="005E3DE7"/>
    <w:rsid w:val="005E44C4"/>
    <w:rsid w:val="005E47F4"/>
    <w:rsid w:val="005E505F"/>
    <w:rsid w:val="005E57F9"/>
    <w:rsid w:val="005E5B81"/>
    <w:rsid w:val="005E62AC"/>
    <w:rsid w:val="005E6718"/>
    <w:rsid w:val="005E79C7"/>
    <w:rsid w:val="005F172A"/>
    <w:rsid w:val="005F1B01"/>
    <w:rsid w:val="005F2541"/>
    <w:rsid w:val="005F2CB1"/>
    <w:rsid w:val="005F2CC6"/>
    <w:rsid w:val="005F3025"/>
    <w:rsid w:val="005F3CE4"/>
    <w:rsid w:val="005F4164"/>
    <w:rsid w:val="005F493F"/>
    <w:rsid w:val="005F5002"/>
    <w:rsid w:val="005F500F"/>
    <w:rsid w:val="005F563A"/>
    <w:rsid w:val="005F569A"/>
    <w:rsid w:val="005F618C"/>
    <w:rsid w:val="005F6385"/>
    <w:rsid w:val="005F6B1B"/>
    <w:rsid w:val="005F70BD"/>
    <w:rsid w:val="005F7E09"/>
    <w:rsid w:val="006007CE"/>
    <w:rsid w:val="00600A53"/>
    <w:rsid w:val="00601177"/>
    <w:rsid w:val="006015AF"/>
    <w:rsid w:val="00601EFA"/>
    <w:rsid w:val="0060283C"/>
    <w:rsid w:val="00602F7B"/>
    <w:rsid w:val="00604498"/>
    <w:rsid w:val="00604F14"/>
    <w:rsid w:val="00605343"/>
    <w:rsid w:val="006061AA"/>
    <w:rsid w:val="00607770"/>
    <w:rsid w:val="00607B06"/>
    <w:rsid w:val="0061066E"/>
    <w:rsid w:val="00610AB2"/>
    <w:rsid w:val="006111C4"/>
    <w:rsid w:val="0061135F"/>
    <w:rsid w:val="00611B83"/>
    <w:rsid w:val="00612D42"/>
    <w:rsid w:val="00612DC3"/>
    <w:rsid w:val="00612DD2"/>
    <w:rsid w:val="00613257"/>
    <w:rsid w:val="0061325D"/>
    <w:rsid w:val="00613C23"/>
    <w:rsid w:val="0061469F"/>
    <w:rsid w:val="00614FB8"/>
    <w:rsid w:val="006154E4"/>
    <w:rsid w:val="00615888"/>
    <w:rsid w:val="00615E16"/>
    <w:rsid w:val="00615E93"/>
    <w:rsid w:val="006163BF"/>
    <w:rsid w:val="00617710"/>
    <w:rsid w:val="00620A71"/>
    <w:rsid w:val="00620D80"/>
    <w:rsid w:val="006210A3"/>
    <w:rsid w:val="006212A9"/>
    <w:rsid w:val="00621C05"/>
    <w:rsid w:val="00621C2B"/>
    <w:rsid w:val="00621E54"/>
    <w:rsid w:val="0062203D"/>
    <w:rsid w:val="006234A6"/>
    <w:rsid w:val="00624529"/>
    <w:rsid w:val="00624976"/>
    <w:rsid w:val="00626D70"/>
    <w:rsid w:val="00630001"/>
    <w:rsid w:val="006301DE"/>
    <w:rsid w:val="00630356"/>
    <w:rsid w:val="00630DF7"/>
    <w:rsid w:val="006311B3"/>
    <w:rsid w:val="00631BF4"/>
    <w:rsid w:val="00631D2A"/>
    <w:rsid w:val="00631FCC"/>
    <w:rsid w:val="00632594"/>
    <w:rsid w:val="0063284C"/>
    <w:rsid w:val="006340B5"/>
    <w:rsid w:val="00634160"/>
    <w:rsid w:val="00634536"/>
    <w:rsid w:val="00634F10"/>
    <w:rsid w:val="00635E28"/>
    <w:rsid w:val="00636084"/>
    <w:rsid w:val="006360AD"/>
    <w:rsid w:val="00636398"/>
    <w:rsid w:val="006366FD"/>
    <w:rsid w:val="006368D3"/>
    <w:rsid w:val="00636F85"/>
    <w:rsid w:val="006377EC"/>
    <w:rsid w:val="006401A5"/>
    <w:rsid w:val="00640C4E"/>
    <w:rsid w:val="0064151F"/>
    <w:rsid w:val="00641533"/>
    <w:rsid w:val="0064208D"/>
    <w:rsid w:val="00642ED8"/>
    <w:rsid w:val="00643475"/>
    <w:rsid w:val="0064396A"/>
    <w:rsid w:val="006440D3"/>
    <w:rsid w:val="00645ADE"/>
    <w:rsid w:val="00645C2E"/>
    <w:rsid w:val="0064624E"/>
    <w:rsid w:val="0064645F"/>
    <w:rsid w:val="00646BCD"/>
    <w:rsid w:val="00647D03"/>
    <w:rsid w:val="00650AB9"/>
    <w:rsid w:val="00650B6D"/>
    <w:rsid w:val="00650E37"/>
    <w:rsid w:val="0065115B"/>
    <w:rsid w:val="006512E1"/>
    <w:rsid w:val="00651A2E"/>
    <w:rsid w:val="00651DD2"/>
    <w:rsid w:val="006524A9"/>
    <w:rsid w:val="00652B78"/>
    <w:rsid w:val="00652CBA"/>
    <w:rsid w:val="006533DA"/>
    <w:rsid w:val="006535B6"/>
    <w:rsid w:val="00653C64"/>
    <w:rsid w:val="0065459F"/>
    <w:rsid w:val="00655733"/>
    <w:rsid w:val="00655A31"/>
    <w:rsid w:val="00655ACD"/>
    <w:rsid w:val="006561C3"/>
    <w:rsid w:val="00656A92"/>
    <w:rsid w:val="00656DDE"/>
    <w:rsid w:val="00657C4C"/>
    <w:rsid w:val="0066011D"/>
    <w:rsid w:val="006607C0"/>
    <w:rsid w:val="006613A6"/>
    <w:rsid w:val="00661633"/>
    <w:rsid w:val="00661B43"/>
    <w:rsid w:val="006627A2"/>
    <w:rsid w:val="006634E6"/>
    <w:rsid w:val="00663A0A"/>
    <w:rsid w:val="00663CAB"/>
    <w:rsid w:val="006649BD"/>
    <w:rsid w:val="0066554A"/>
    <w:rsid w:val="0066554F"/>
    <w:rsid w:val="006655EE"/>
    <w:rsid w:val="00665DC3"/>
    <w:rsid w:val="00666A6F"/>
    <w:rsid w:val="00666D99"/>
    <w:rsid w:val="00667EE7"/>
    <w:rsid w:val="006701EE"/>
    <w:rsid w:val="00670922"/>
    <w:rsid w:val="006709AB"/>
    <w:rsid w:val="00670BE1"/>
    <w:rsid w:val="00670D25"/>
    <w:rsid w:val="00670E41"/>
    <w:rsid w:val="00670FC6"/>
    <w:rsid w:val="006710C0"/>
    <w:rsid w:val="00671719"/>
    <w:rsid w:val="0067176C"/>
    <w:rsid w:val="0067218F"/>
    <w:rsid w:val="00672308"/>
    <w:rsid w:val="00672DE6"/>
    <w:rsid w:val="00672F93"/>
    <w:rsid w:val="00673B47"/>
    <w:rsid w:val="006741F2"/>
    <w:rsid w:val="00674CC3"/>
    <w:rsid w:val="006758B8"/>
    <w:rsid w:val="00675C72"/>
    <w:rsid w:val="0067639E"/>
    <w:rsid w:val="00676798"/>
    <w:rsid w:val="006771F9"/>
    <w:rsid w:val="006773CD"/>
    <w:rsid w:val="006776D7"/>
    <w:rsid w:val="00680277"/>
    <w:rsid w:val="00680BBD"/>
    <w:rsid w:val="00681003"/>
    <w:rsid w:val="006813F1"/>
    <w:rsid w:val="006817C9"/>
    <w:rsid w:val="00682024"/>
    <w:rsid w:val="006829A5"/>
    <w:rsid w:val="00683395"/>
    <w:rsid w:val="00683ECE"/>
    <w:rsid w:val="0068427C"/>
    <w:rsid w:val="00684340"/>
    <w:rsid w:val="00684CF7"/>
    <w:rsid w:val="00686801"/>
    <w:rsid w:val="00687BFA"/>
    <w:rsid w:val="00687C66"/>
    <w:rsid w:val="00690032"/>
    <w:rsid w:val="00690460"/>
    <w:rsid w:val="006906F2"/>
    <w:rsid w:val="00690B84"/>
    <w:rsid w:val="00691A02"/>
    <w:rsid w:val="00691ACF"/>
    <w:rsid w:val="00692CA7"/>
    <w:rsid w:val="00693793"/>
    <w:rsid w:val="006946EB"/>
    <w:rsid w:val="00694EB8"/>
    <w:rsid w:val="00695ABB"/>
    <w:rsid w:val="00695FC2"/>
    <w:rsid w:val="006962C7"/>
    <w:rsid w:val="00696638"/>
    <w:rsid w:val="00696949"/>
    <w:rsid w:val="00696ED1"/>
    <w:rsid w:val="00697052"/>
    <w:rsid w:val="006A25E7"/>
    <w:rsid w:val="006A2F14"/>
    <w:rsid w:val="006A46FB"/>
    <w:rsid w:val="006A47E5"/>
    <w:rsid w:val="006A51AD"/>
    <w:rsid w:val="006A5B1C"/>
    <w:rsid w:val="006A5E28"/>
    <w:rsid w:val="006A5FAB"/>
    <w:rsid w:val="006A697B"/>
    <w:rsid w:val="006A71F0"/>
    <w:rsid w:val="006A7AFF"/>
    <w:rsid w:val="006B02AD"/>
    <w:rsid w:val="006B1816"/>
    <w:rsid w:val="006B2099"/>
    <w:rsid w:val="006B2188"/>
    <w:rsid w:val="006B2D28"/>
    <w:rsid w:val="006B387F"/>
    <w:rsid w:val="006B4ED7"/>
    <w:rsid w:val="006B50CF"/>
    <w:rsid w:val="006B50EA"/>
    <w:rsid w:val="006B5AD2"/>
    <w:rsid w:val="006B5B0F"/>
    <w:rsid w:val="006B6253"/>
    <w:rsid w:val="006B7340"/>
    <w:rsid w:val="006B7F53"/>
    <w:rsid w:val="006C03B8"/>
    <w:rsid w:val="006C1A9D"/>
    <w:rsid w:val="006C2476"/>
    <w:rsid w:val="006C2482"/>
    <w:rsid w:val="006C2652"/>
    <w:rsid w:val="006C2E74"/>
    <w:rsid w:val="006C327A"/>
    <w:rsid w:val="006C3C1B"/>
    <w:rsid w:val="006C3E3D"/>
    <w:rsid w:val="006C40FF"/>
    <w:rsid w:val="006C4B61"/>
    <w:rsid w:val="006C4F84"/>
    <w:rsid w:val="006C55C5"/>
    <w:rsid w:val="006C5EC9"/>
    <w:rsid w:val="006C6059"/>
    <w:rsid w:val="006C6547"/>
    <w:rsid w:val="006C716E"/>
    <w:rsid w:val="006C7522"/>
    <w:rsid w:val="006C7DE5"/>
    <w:rsid w:val="006D0459"/>
    <w:rsid w:val="006D0C46"/>
    <w:rsid w:val="006D1BAE"/>
    <w:rsid w:val="006D1DFC"/>
    <w:rsid w:val="006D21E5"/>
    <w:rsid w:val="006D2D68"/>
    <w:rsid w:val="006D2D7C"/>
    <w:rsid w:val="006D2DC9"/>
    <w:rsid w:val="006D391C"/>
    <w:rsid w:val="006D3D18"/>
    <w:rsid w:val="006D41F0"/>
    <w:rsid w:val="006D453F"/>
    <w:rsid w:val="006D4DCE"/>
    <w:rsid w:val="006D5744"/>
    <w:rsid w:val="006D5940"/>
    <w:rsid w:val="006D5F8F"/>
    <w:rsid w:val="006D60B7"/>
    <w:rsid w:val="006D62B7"/>
    <w:rsid w:val="006D6F08"/>
    <w:rsid w:val="006E039E"/>
    <w:rsid w:val="006E05B2"/>
    <w:rsid w:val="006E05CD"/>
    <w:rsid w:val="006E062C"/>
    <w:rsid w:val="006E0878"/>
    <w:rsid w:val="006E1D52"/>
    <w:rsid w:val="006E2032"/>
    <w:rsid w:val="006E28B7"/>
    <w:rsid w:val="006E2F42"/>
    <w:rsid w:val="006E3310"/>
    <w:rsid w:val="006E3C00"/>
    <w:rsid w:val="006E4579"/>
    <w:rsid w:val="006E4772"/>
    <w:rsid w:val="006E4E39"/>
    <w:rsid w:val="006E53CC"/>
    <w:rsid w:val="006E5605"/>
    <w:rsid w:val="006E565E"/>
    <w:rsid w:val="006E673D"/>
    <w:rsid w:val="006E675A"/>
    <w:rsid w:val="006E6990"/>
    <w:rsid w:val="006E76AB"/>
    <w:rsid w:val="006E77CB"/>
    <w:rsid w:val="006E7D3B"/>
    <w:rsid w:val="006F077D"/>
    <w:rsid w:val="006F18AD"/>
    <w:rsid w:val="006F1B70"/>
    <w:rsid w:val="006F2542"/>
    <w:rsid w:val="006F2B4B"/>
    <w:rsid w:val="006F341D"/>
    <w:rsid w:val="006F349A"/>
    <w:rsid w:val="006F3CDE"/>
    <w:rsid w:val="006F3E0F"/>
    <w:rsid w:val="006F552E"/>
    <w:rsid w:val="006F58D4"/>
    <w:rsid w:val="006F7CBD"/>
    <w:rsid w:val="00700AEB"/>
    <w:rsid w:val="0070346E"/>
    <w:rsid w:val="00704EDB"/>
    <w:rsid w:val="007058A9"/>
    <w:rsid w:val="00705AAE"/>
    <w:rsid w:val="00705C39"/>
    <w:rsid w:val="00706101"/>
    <w:rsid w:val="00707000"/>
    <w:rsid w:val="00707072"/>
    <w:rsid w:val="00707090"/>
    <w:rsid w:val="00707BDB"/>
    <w:rsid w:val="00707D61"/>
    <w:rsid w:val="00707DA5"/>
    <w:rsid w:val="00712287"/>
    <w:rsid w:val="00712772"/>
    <w:rsid w:val="00714602"/>
    <w:rsid w:val="007148D3"/>
    <w:rsid w:val="0071525F"/>
    <w:rsid w:val="00715B9A"/>
    <w:rsid w:val="007166A5"/>
    <w:rsid w:val="00716CC0"/>
    <w:rsid w:val="00717532"/>
    <w:rsid w:val="0071784B"/>
    <w:rsid w:val="00721177"/>
    <w:rsid w:val="007211F2"/>
    <w:rsid w:val="00721358"/>
    <w:rsid w:val="00721A94"/>
    <w:rsid w:val="00722535"/>
    <w:rsid w:val="00723EC6"/>
    <w:rsid w:val="007249B4"/>
    <w:rsid w:val="007249B8"/>
    <w:rsid w:val="00725201"/>
    <w:rsid w:val="00726EA6"/>
    <w:rsid w:val="00727208"/>
    <w:rsid w:val="00727680"/>
    <w:rsid w:val="00727B02"/>
    <w:rsid w:val="00730045"/>
    <w:rsid w:val="00730B68"/>
    <w:rsid w:val="00731815"/>
    <w:rsid w:val="00731AD2"/>
    <w:rsid w:val="00732461"/>
    <w:rsid w:val="007329CC"/>
    <w:rsid w:val="0073348B"/>
    <w:rsid w:val="007348B1"/>
    <w:rsid w:val="00734E4F"/>
    <w:rsid w:val="00734F58"/>
    <w:rsid w:val="007358B4"/>
    <w:rsid w:val="007362A6"/>
    <w:rsid w:val="00736D7D"/>
    <w:rsid w:val="00737418"/>
    <w:rsid w:val="00737B4F"/>
    <w:rsid w:val="0074053E"/>
    <w:rsid w:val="00740E58"/>
    <w:rsid w:val="007419CE"/>
    <w:rsid w:val="00742663"/>
    <w:rsid w:val="0074279E"/>
    <w:rsid w:val="00743476"/>
    <w:rsid w:val="007440BB"/>
    <w:rsid w:val="007445A0"/>
    <w:rsid w:val="007447E8"/>
    <w:rsid w:val="0074524B"/>
    <w:rsid w:val="00745291"/>
    <w:rsid w:val="0074619F"/>
    <w:rsid w:val="00746C15"/>
    <w:rsid w:val="00746C6F"/>
    <w:rsid w:val="00746D6F"/>
    <w:rsid w:val="007472EF"/>
    <w:rsid w:val="00747D8B"/>
    <w:rsid w:val="00750ADF"/>
    <w:rsid w:val="00750EDF"/>
    <w:rsid w:val="00751228"/>
    <w:rsid w:val="0075145D"/>
    <w:rsid w:val="00754BAA"/>
    <w:rsid w:val="007551C8"/>
    <w:rsid w:val="007560BA"/>
    <w:rsid w:val="00756E0E"/>
    <w:rsid w:val="007571E1"/>
    <w:rsid w:val="00757676"/>
    <w:rsid w:val="00757A80"/>
    <w:rsid w:val="007604B2"/>
    <w:rsid w:val="00761542"/>
    <w:rsid w:val="00762883"/>
    <w:rsid w:val="0076290D"/>
    <w:rsid w:val="00762A71"/>
    <w:rsid w:val="00762B72"/>
    <w:rsid w:val="00763336"/>
    <w:rsid w:val="00764E08"/>
    <w:rsid w:val="00764E31"/>
    <w:rsid w:val="00765281"/>
    <w:rsid w:val="00765BD7"/>
    <w:rsid w:val="00766BAD"/>
    <w:rsid w:val="00766C07"/>
    <w:rsid w:val="00766C10"/>
    <w:rsid w:val="007671C7"/>
    <w:rsid w:val="0076730B"/>
    <w:rsid w:val="00767657"/>
    <w:rsid w:val="00767D67"/>
    <w:rsid w:val="00771754"/>
    <w:rsid w:val="00771B88"/>
    <w:rsid w:val="00771E25"/>
    <w:rsid w:val="00772857"/>
    <w:rsid w:val="0077299B"/>
    <w:rsid w:val="007730BD"/>
    <w:rsid w:val="007735C1"/>
    <w:rsid w:val="00773725"/>
    <w:rsid w:val="0077486F"/>
    <w:rsid w:val="00774CD1"/>
    <w:rsid w:val="00774DDA"/>
    <w:rsid w:val="007755F2"/>
    <w:rsid w:val="007756AD"/>
    <w:rsid w:val="00775C29"/>
    <w:rsid w:val="00776971"/>
    <w:rsid w:val="00777C98"/>
    <w:rsid w:val="007803D8"/>
    <w:rsid w:val="00780BEC"/>
    <w:rsid w:val="007816CF"/>
    <w:rsid w:val="0078177E"/>
    <w:rsid w:val="0078225E"/>
    <w:rsid w:val="00782ABE"/>
    <w:rsid w:val="0078304C"/>
    <w:rsid w:val="0078328B"/>
    <w:rsid w:val="00783673"/>
    <w:rsid w:val="00783891"/>
    <w:rsid w:val="0078493F"/>
    <w:rsid w:val="00785490"/>
    <w:rsid w:val="00785DB3"/>
    <w:rsid w:val="0078604B"/>
    <w:rsid w:val="00786064"/>
    <w:rsid w:val="0078695B"/>
    <w:rsid w:val="007872BB"/>
    <w:rsid w:val="00787CB5"/>
    <w:rsid w:val="007925EA"/>
    <w:rsid w:val="0079267B"/>
    <w:rsid w:val="007931C9"/>
    <w:rsid w:val="00793534"/>
    <w:rsid w:val="0079392C"/>
    <w:rsid w:val="00793CD8"/>
    <w:rsid w:val="00793E8A"/>
    <w:rsid w:val="00794725"/>
    <w:rsid w:val="007956E8"/>
    <w:rsid w:val="00795C92"/>
    <w:rsid w:val="00796231"/>
    <w:rsid w:val="00796780"/>
    <w:rsid w:val="00796D27"/>
    <w:rsid w:val="00797980"/>
    <w:rsid w:val="007A0A34"/>
    <w:rsid w:val="007A0AED"/>
    <w:rsid w:val="007A1304"/>
    <w:rsid w:val="007A1CB3"/>
    <w:rsid w:val="007A240C"/>
    <w:rsid w:val="007A298E"/>
    <w:rsid w:val="007A306F"/>
    <w:rsid w:val="007A31EA"/>
    <w:rsid w:val="007A328D"/>
    <w:rsid w:val="007A33F6"/>
    <w:rsid w:val="007A43A6"/>
    <w:rsid w:val="007A4A6E"/>
    <w:rsid w:val="007A4E19"/>
    <w:rsid w:val="007A5168"/>
    <w:rsid w:val="007A58A6"/>
    <w:rsid w:val="007A5ECB"/>
    <w:rsid w:val="007A6CAA"/>
    <w:rsid w:val="007A7CE4"/>
    <w:rsid w:val="007B08F1"/>
    <w:rsid w:val="007B1199"/>
    <w:rsid w:val="007B20A3"/>
    <w:rsid w:val="007B2339"/>
    <w:rsid w:val="007B2887"/>
    <w:rsid w:val="007B2E84"/>
    <w:rsid w:val="007B3D2D"/>
    <w:rsid w:val="007B50AE"/>
    <w:rsid w:val="007B51DF"/>
    <w:rsid w:val="007B6A97"/>
    <w:rsid w:val="007B77BA"/>
    <w:rsid w:val="007B7C7A"/>
    <w:rsid w:val="007C008A"/>
    <w:rsid w:val="007C05DD"/>
    <w:rsid w:val="007C071B"/>
    <w:rsid w:val="007C1EA0"/>
    <w:rsid w:val="007C30B3"/>
    <w:rsid w:val="007C3458"/>
    <w:rsid w:val="007C3D18"/>
    <w:rsid w:val="007C44EA"/>
    <w:rsid w:val="007C493D"/>
    <w:rsid w:val="007C5342"/>
    <w:rsid w:val="007C591C"/>
    <w:rsid w:val="007C5E95"/>
    <w:rsid w:val="007C60BF"/>
    <w:rsid w:val="007C6A07"/>
    <w:rsid w:val="007C75A1"/>
    <w:rsid w:val="007C76E7"/>
    <w:rsid w:val="007C77A5"/>
    <w:rsid w:val="007D04DA"/>
    <w:rsid w:val="007D04E5"/>
    <w:rsid w:val="007D114D"/>
    <w:rsid w:val="007D1390"/>
    <w:rsid w:val="007D1AF5"/>
    <w:rsid w:val="007D2136"/>
    <w:rsid w:val="007D4CE5"/>
    <w:rsid w:val="007D5901"/>
    <w:rsid w:val="007D6006"/>
    <w:rsid w:val="007D63E7"/>
    <w:rsid w:val="007D7526"/>
    <w:rsid w:val="007D7956"/>
    <w:rsid w:val="007D7DDF"/>
    <w:rsid w:val="007E0457"/>
    <w:rsid w:val="007E160F"/>
    <w:rsid w:val="007E18CF"/>
    <w:rsid w:val="007E1DCE"/>
    <w:rsid w:val="007E24B2"/>
    <w:rsid w:val="007E256B"/>
    <w:rsid w:val="007E2F4A"/>
    <w:rsid w:val="007E3279"/>
    <w:rsid w:val="007E4610"/>
    <w:rsid w:val="007E4715"/>
    <w:rsid w:val="007E505B"/>
    <w:rsid w:val="007E65EF"/>
    <w:rsid w:val="007E7091"/>
    <w:rsid w:val="007E74C3"/>
    <w:rsid w:val="007E7942"/>
    <w:rsid w:val="007E7CA6"/>
    <w:rsid w:val="007E7E78"/>
    <w:rsid w:val="007F03D6"/>
    <w:rsid w:val="007F178A"/>
    <w:rsid w:val="007F221A"/>
    <w:rsid w:val="007F31CB"/>
    <w:rsid w:val="007F45A0"/>
    <w:rsid w:val="007F5500"/>
    <w:rsid w:val="007F5980"/>
    <w:rsid w:val="007F6FFE"/>
    <w:rsid w:val="007F790D"/>
    <w:rsid w:val="007F7A29"/>
    <w:rsid w:val="0080122F"/>
    <w:rsid w:val="008031A6"/>
    <w:rsid w:val="0080327B"/>
    <w:rsid w:val="00803FAE"/>
    <w:rsid w:val="00804960"/>
    <w:rsid w:val="00804A58"/>
    <w:rsid w:val="00805F26"/>
    <w:rsid w:val="0080605F"/>
    <w:rsid w:val="00807786"/>
    <w:rsid w:val="008105B7"/>
    <w:rsid w:val="00810908"/>
    <w:rsid w:val="00810914"/>
    <w:rsid w:val="00811164"/>
    <w:rsid w:val="00811267"/>
    <w:rsid w:val="008114A1"/>
    <w:rsid w:val="008117A8"/>
    <w:rsid w:val="00811FCB"/>
    <w:rsid w:val="0081245C"/>
    <w:rsid w:val="0081455B"/>
    <w:rsid w:val="00814AA1"/>
    <w:rsid w:val="00814DC7"/>
    <w:rsid w:val="008158D6"/>
    <w:rsid w:val="00816207"/>
    <w:rsid w:val="00816CBC"/>
    <w:rsid w:val="00817196"/>
    <w:rsid w:val="00817223"/>
    <w:rsid w:val="0081749A"/>
    <w:rsid w:val="00817E26"/>
    <w:rsid w:val="008207AC"/>
    <w:rsid w:val="00821234"/>
    <w:rsid w:val="00822477"/>
    <w:rsid w:val="0082269C"/>
    <w:rsid w:val="00823434"/>
    <w:rsid w:val="008235DB"/>
    <w:rsid w:val="00823CD4"/>
    <w:rsid w:val="00824550"/>
    <w:rsid w:val="00824AB4"/>
    <w:rsid w:val="00825335"/>
    <w:rsid w:val="00825C42"/>
    <w:rsid w:val="00825D25"/>
    <w:rsid w:val="00826BAC"/>
    <w:rsid w:val="00827BBD"/>
    <w:rsid w:val="00827D6F"/>
    <w:rsid w:val="0083113B"/>
    <w:rsid w:val="00831D06"/>
    <w:rsid w:val="00832B21"/>
    <w:rsid w:val="008331E4"/>
    <w:rsid w:val="008339E1"/>
    <w:rsid w:val="008343E9"/>
    <w:rsid w:val="00835051"/>
    <w:rsid w:val="00835427"/>
    <w:rsid w:val="00836E89"/>
    <w:rsid w:val="008370ED"/>
    <w:rsid w:val="008372EB"/>
    <w:rsid w:val="008376AC"/>
    <w:rsid w:val="008377DA"/>
    <w:rsid w:val="008402D3"/>
    <w:rsid w:val="00840AB3"/>
    <w:rsid w:val="00841EEB"/>
    <w:rsid w:val="00842143"/>
    <w:rsid w:val="00842F64"/>
    <w:rsid w:val="008444E8"/>
    <w:rsid w:val="00844E80"/>
    <w:rsid w:val="00845C13"/>
    <w:rsid w:val="008461ED"/>
    <w:rsid w:val="008464EB"/>
    <w:rsid w:val="00846FE7"/>
    <w:rsid w:val="00847648"/>
    <w:rsid w:val="00850768"/>
    <w:rsid w:val="00851F6D"/>
    <w:rsid w:val="0085270F"/>
    <w:rsid w:val="00853208"/>
    <w:rsid w:val="00853375"/>
    <w:rsid w:val="00853C37"/>
    <w:rsid w:val="00853D1D"/>
    <w:rsid w:val="00854867"/>
    <w:rsid w:val="00855156"/>
    <w:rsid w:val="0085562C"/>
    <w:rsid w:val="00855A7A"/>
    <w:rsid w:val="008563BB"/>
    <w:rsid w:val="00856911"/>
    <w:rsid w:val="00856A8E"/>
    <w:rsid w:val="00856AD9"/>
    <w:rsid w:val="00856CC0"/>
    <w:rsid w:val="0086204C"/>
    <w:rsid w:val="0086267C"/>
    <w:rsid w:val="008629EF"/>
    <w:rsid w:val="0086479F"/>
    <w:rsid w:val="00865F2E"/>
    <w:rsid w:val="00866881"/>
    <w:rsid w:val="008672C6"/>
    <w:rsid w:val="008677FD"/>
    <w:rsid w:val="008706D4"/>
    <w:rsid w:val="00870F8A"/>
    <w:rsid w:val="00871948"/>
    <w:rsid w:val="008719A4"/>
    <w:rsid w:val="00871D23"/>
    <w:rsid w:val="008735C8"/>
    <w:rsid w:val="00874312"/>
    <w:rsid w:val="0087437C"/>
    <w:rsid w:val="0087444A"/>
    <w:rsid w:val="00875CD7"/>
    <w:rsid w:val="008764AC"/>
    <w:rsid w:val="00876A72"/>
    <w:rsid w:val="00876B4D"/>
    <w:rsid w:val="00876CB0"/>
    <w:rsid w:val="00877544"/>
    <w:rsid w:val="00877F18"/>
    <w:rsid w:val="008802FE"/>
    <w:rsid w:val="008807DA"/>
    <w:rsid w:val="00883672"/>
    <w:rsid w:val="00883B20"/>
    <w:rsid w:val="00883D41"/>
    <w:rsid w:val="008846EB"/>
    <w:rsid w:val="00884A31"/>
    <w:rsid w:val="00885E2B"/>
    <w:rsid w:val="00886F0A"/>
    <w:rsid w:val="00887900"/>
    <w:rsid w:val="00887B89"/>
    <w:rsid w:val="00890641"/>
    <w:rsid w:val="00891752"/>
    <w:rsid w:val="00891D5F"/>
    <w:rsid w:val="00892997"/>
    <w:rsid w:val="008935E0"/>
    <w:rsid w:val="0089403D"/>
    <w:rsid w:val="008944C8"/>
    <w:rsid w:val="008947CE"/>
    <w:rsid w:val="0089495B"/>
    <w:rsid w:val="00894A49"/>
    <w:rsid w:val="00894A88"/>
    <w:rsid w:val="00894D66"/>
    <w:rsid w:val="00894DA8"/>
    <w:rsid w:val="00895386"/>
    <w:rsid w:val="00895563"/>
    <w:rsid w:val="008955C3"/>
    <w:rsid w:val="008967FA"/>
    <w:rsid w:val="0089687F"/>
    <w:rsid w:val="00896B21"/>
    <w:rsid w:val="00896F88"/>
    <w:rsid w:val="00897EE5"/>
    <w:rsid w:val="008A00B4"/>
    <w:rsid w:val="008A04FB"/>
    <w:rsid w:val="008A077E"/>
    <w:rsid w:val="008A11AD"/>
    <w:rsid w:val="008A1E72"/>
    <w:rsid w:val="008A21FF"/>
    <w:rsid w:val="008A2A65"/>
    <w:rsid w:val="008A2CE2"/>
    <w:rsid w:val="008A30AC"/>
    <w:rsid w:val="008A3555"/>
    <w:rsid w:val="008A44B8"/>
    <w:rsid w:val="008A51A8"/>
    <w:rsid w:val="008A54C7"/>
    <w:rsid w:val="008A6540"/>
    <w:rsid w:val="008A6F2D"/>
    <w:rsid w:val="008A77D8"/>
    <w:rsid w:val="008A7C77"/>
    <w:rsid w:val="008A7D60"/>
    <w:rsid w:val="008B0483"/>
    <w:rsid w:val="008B120C"/>
    <w:rsid w:val="008B1221"/>
    <w:rsid w:val="008B18B3"/>
    <w:rsid w:val="008B2B19"/>
    <w:rsid w:val="008B356E"/>
    <w:rsid w:val="008B3ABA"/>
    <w:rsid w:val="008B4668"/>
    <w:rsid w:val="008B51A0"/>
    <w:rsid w:val="008B592A"/>
    <w:rsid w:val="008B6BF6"/>
    <w:rsid w:val="008B6EA6"/>
    <w:rsid w:val="008B7B5C"/>
    <w:rsid w:val="008C079B"/>
    <w:rsid w:val="008C0C99"/>
    <w:rsid w:val="008C0C9A"/>
    <w:rsid w:val="008C108A"/>
    <w:rsid w:val="008C112E"/>
    <w:rsid w:val="008C176D"/>
    <w:rsid w:val="008C1C8F"/>
    <w:rsid w:val="008C1EB8"/>
    <w:rsid w:val="008C2017"/>
    <w:rsid w:val="008C36AA"/>
    <w:rsid w:val="008C3D97"/>
    <w:rsid w:val="008C431D"/>
    <w:rsid w:val="008C4958"/>
    <w:rsid w:val="008C4BAA"/>
    <w:rsid w:val="008C4C4D"/>
    <w:rsid w:val="008C54D5"/>
    <w:rsid w:val="008C68F6"/>
    <w:rsid w:val="008C6AE8"/>
    <w:rsid w:val="008C6E2A"/>
    <w:rsid w:val="008C6F82"/>
    <w:rsid w:val="008C7573"/>
    <w:rsid w:val="008D11FF"/>
    <w:rsid w:val="008D16A5"/>
    <w:rsid w:val="008D34F1"/>
    <w:rsid w:val="008D35B0"/>
    <w:rsid w:val="008D386A"/>
    <w:rsid w:val="008D39D8"/>
    <w:rsid w:val="008D3A4A"/>
    <w:rsid w:val="008D4116"/>
    <w:rsid w:val="008D460F"/>
    <w:rsid w:val="008D4669"/>
    <w:rsid w:val="008D4A58"/>
    <w:rsid w:val="008D5669"/>
    <w:rsid w:val="008D5FA4"/>
    <w:rsid w:val="008D6287"/>
    <w:rsid w:val="008D6D1A"/>
    <w:rsid w:val="008D7F5D"/>
    <w:rsid w:val="008E065E"/>
    <w:rsid w:val="008E0927"/>
    <w:rsid w:val="008E0AD0"/>
    <w:rsid w:val="008E1909"/>
    <w:rsid w:val="008E211A"/>
    <w:rsid w:val="008E23E1"/>
    <w:rsid w:val="008E2E5C"/>
    <w:rsid w:val="008E2E7C"/>
    <w:rsid w:val="008E3437"/>
    <w:rsid w:val="008E3C39"/>
    <w:rsid w:val="008E3CD9"/>
    <w:rsid w:val="008E3DC9"/>
    <w:rsid w:val="008E457C"/>
    <w:rsid w:val="008E4E4A"/>
    <w:rsid w:val="008E55D4"/>
    <w:rsid w:val="008E5621"/>
    <w:rsid w:val="008E6E53"/>
    <w:rsid w:val="008F1EAB"/>
    <w:rsid w:val="008F1FD2"/>
    <w:rsid w:val="008F23DC"/>
    <w:rsid w:val="008F2D75"/>
    <w:rsid w:val="008F33DC"/>
    <w:rsid w:val="008F3732"/>
    <w:rsid w:val="008F477F"/>
    <w:rsid w:val="008F5AD4"/>
    <w:rsid w:val="008F5FD1"/>
    <w:rsid w:val="008F67B8"/>
    <w:rsid w:val="008F6854"/>
    <w:rsid w:val="008F6D58"/>
    <w:rsid w:val="008F7894"/>
    <w:rsid w:val="008F7CF6"/>
    <w:rsid w:val="008F7D7B"/>
    <w:rsid w:val="008F7DAC"/>
    <w:rsid w:val="008F7F76"/>
    <w:rsid w:val="00902350"/>
    <w:rsid w:val="0090307C"/>
    <w:rsid w:val="0090336B"/>
    <w:rsid w:val="00903C54"/>
    <w:rsid w:val="009053AA"/>
    <w:rsid w:val="009056F9"/>
    <w:rsid w:val="009068EB"/>
    <w:rsid w:val="00906939"/>
    <w:rsid w:val="0091077F"/>
    <w:rsid w:val="009108E6"/>
    <w:rsid w:val="00910B7D"/>
    <w:rsid w:val="00910C73"/>
    <w:rsid w:val="0091118B"/>
    <w:rsid w:val="0091186D"/>
    <w:rsid w:val="00911DFB"/>
    <w:rsid w:val="00911F70"/>
    <w:rsid w:val="00912046"/>
    <w:rsid w:val="009139D9"/>
    <w:rsid w:val="00913C7D"/>
    <w:rsid w:val="00914979"/>
    <w:rsid w:val="00914981"/>
    <w:rsid w:val="00914AD8"/>
    <w:rsid w:val="00916079"/>
    <w:rsid w:val="00916ABF"/>
    <w:rsid w:val="00916E47"/>
    <w:rsid w:val="00917CE9"/>
    <w:rsid w:val="00917FED"/>
    <w:rsid w:val="009202B9"/>
    <w:rsid w:val="00920BF2"/>
    <w:rsid w:val="00921B8A"/>
    <w:rsid w:val="00921DD7"/>
    <w:rsid w:val="00922010"/>
    <w:rsid w:val="009226AD"/>
    <w:rsid w:val="00922A2F"/>
    <w:rsid w:val="00922CED"/>
    <w:rsid w:val="00923064"/>
    <w:rsid w:val="0092358E"/>
    <w:rsid w:val="00924877"/>
    <w:rsid w:val="009253F1"/>
    <w:rsid w:val="009263F7"/>
    <w:rsid w:val="009275FA"/>
    <w:rsid w:val="0092763B"/>
    <w:rsid w:val="00927A19"/>
    <w:rsid w:val="00931BD9"/>
    <w:rsid w:val="00931F6B"/>
    <w:rsid w:val="009321B5"/>
    <w:rsid w:val="00932A45"/>
    <w:rsid w:val="00934FAF"/>
    <w:rsid w:val="00935432"/>
    <w:rsid w:val="009357BF"/>
    <w:rsid w:val="00935D87"/>
    <w:rsid w:val="00935E11"/>
    <w:rsid w:val="009368F3"/>
    <w:rsid w:val="00937497"/>
    <w:rsid w:val="00940ADD"/>
    <w:rsid w:val="00941636"/>
    <w:rsid w:val="009419F1"/>
    <w:rsid w:val="009425DB"/>
    <w:rsid w:val="00942B5B"/>
    <w:rsid w:val="0094310D"/>
    <w:rsid w:val="00943722"/>
    <w:rsid w:val="00943742"/>
    <w:rsid w:val="00943892"/>
    <w:rsid w:val="00943EA0"/>
    <w:rsid w:val="009441D0"/>
    <w:rsid w:val="00944208"/>
    <w:rsid w:val="00944859"/>
    <w:rsid w:val="00944AF4"/>
    <w:rsid w:val="00945ABF"/>
    <w:rsid w:val="00945BB6"/>
    <w:rsid w:val="00945C05"/>
    <w:rsid w:val="00946945"/>
    <w:rsid w:val="009476E2"/>
    <w:rsid w:val="00947713"/>
    <w:rsid w:val="009477B4"/>
    <w:rsid w:val="00950AE8"/>
    <w:rsid w:val="00950B02"/>
    <w:rsid w:val="00950DE7"/>
    <w:rsid w:val="00950FED"/>
    <w:rsid w:val="00951E94"/>
    <w:rsid w:val="00952647"/>
    <w:rsid w:val="00952DBE"/>
    <w:rsid w:val="00953920"/>
    <w:rsid w:val="00953D47"/>
    <w:rsid w:val="009542E7"/>
    <w:rsid w:val="0095681E"/>
    <w:rsid w:val="009572D4"/>
    <w:rsid w:val="009605F8"/>
    <w:rsid w:val="00960BA1"/>
    <w:rsid w:val="00961266"/>
    <w:rsid w:val="0096159D"/>
    <w:rsid w:val="00961921"/>
    <w:rsid w:val="00961D7F"/>
    <w:rsid w:val="009636D3"/>
    <w:rsid w:val="0096430A"/>
    <w:rsid w:val="00965039"/>
    <w:rsid w:val="0096554B"/>
    <w:rsid w:val="0096584A"/>
    <w:rsid w:val="00966A1A"/>
    <w:rsid w:val="00966DE8"/>
    <w:rsid w:val="009706A9"/>
    <w:rsid w:val="00970D7B"/>
    <w:rsid w:val="00971399"/>
    <w:rsid w:val="00971F08"/>
    <w:rsid w:val="0097348D"/>
    <w:rsid w:val="00974307"/>
    <w:rsid w:val="0097442D"/>
    <w:rsid w:val="00974883"/>
    <w:rsid w:val="00974B33"/>
    <w:rsid w:val="00974DA5"/>
    <w:rsid w:val="00974E50"/>
    <w:rsid w:val="00975A1D"/>
    <w:rsid w:val="0097603D"/>
    <w:rsid w:val="00976949"/>
    <w:rsid w:val="009774DB"/>
    <w:rsid w:val="00980477"/>
    <w:rsid w:val="00980E52"/>
    <w:rsid w:val="009828E5"/>
    <w:rsid w:val="00983A00"/>
    <w:rsid w:val="0098431E"/>
    <w:rsid w:val="00984E95"/>
    <w:rsid w:val="00985253"/>
    <w:rsid w:val="009853B3"/>
    <w:rsid w:val="0098546D"/>
    <w:rsid w:val="00985552"/>
    <w:rsid w:val="009867B8"/>
    <w:rsid w:val="00986BD2"/>
    <w:rsid w:val="0098709E"/>
    <w:rsid w:val="00987A88"/>
    <w:rsid w:val="00987FBB"/>
    <w:rsid w:val="00990152"/>
    <w:rsid w:val="00990186"/>
    <w:rsid w:val="009903AD"/>
    <w:rsid w:val="00990630"/>
    <w:rsid w:val="00990D55"/>
    <w:rsid w:val="00991092"/>
    <w:rsid w:val="00991761"/>
    <w:rsid w:val="00994DCA"/>
    <w:rsid w:val="0099594D"/>
    <w:rsid w:val="009960EC"/>
    <w:rsid w:val="009961CD"/>
    <w:rsid w:val="009968C7"/>
    <w:rsid w:val="009970DD"/>
    <w:rsid w:val="009975FB"/>
    <w:rsid w:val="009A0FBA"/>
    <w:rsid w:val="009A107B"/>
    <w:rsid w:val="009A1601"/>
    <w:rsid w:val="009A38B7"/>
    <w:rsid w:val="009A3CA2"/>
    <w:rsid w:val="009A462D"/>
    <w:rsid w:val="009A4D16"/>
    <w:rsid w:val="009A4D1C"/>
    <w:rsid w:val="009A4D86"/>
    <w:rsid w:val="009A540A"/>
    <w:rsid w:val="009A546D"/>
    <w:rsid w:val="009A5CBA"/>
    <w:rsid w:val="009A5D06"/>
    <w:rsid w:val="009A63AC"/>
    <w:rsid w:val="009A7274"/>
    <w:rsid w:val="009A79E3"/>
    <w:rsid w:val="009B1613"/>
    <w:rsid w:val="009B1ADF"/>
    <w:rsid w:val="009B1F30"/>
    <w:rsid w:val="009B2C2A"/>
    <w:rsid w:val="009B3054"/>
    <w:rsid w:val="009B3AC2"/>
    <w:rsid w:val="009B3B58"/>
    <w:rsid w:val="009B4398"/>
    <w:rsid w:val="009B44F3"/>
    <w:rsid w:val="009B472B"/>
    <w:rsid w:val="009B4CC0"/>
    <w:rsid w:val="009B4DF4"/>
    <w:rsid w:val="009B564E"/>
    <w:rsid w:val="009B63FB"/>
    <w:rsid w:val="009B64E5"/>
    <w:rsid w:val="009B6B64"/>
    <w:rsid w:val="009B7E87"/>
    <w:rsid w:val="009C03E1"/>
    <w:rsid w:val="009C1198"/>
    <w:rsid w:val="009C1B52"/>
    <w:rsid w:val="009C2F4B"/>
    <w:rsid w:val="009C395E"/>
    <w:rsid w:val="009C3B26"/>
    <w:rsid w:val="009C403E"/>
    <w:rsid w:val="009C4D88"/>
    <w:rsid w:val="009C6CEA"/>
    <w:rsid w:val="009C6DD4"/>
    <w:rsid w:val="009C7375"/>
    <w:rsid w:val="009D001F"/>
    <w:rsid w:val="009D0A4B"/>
    <w:rsid w:val="009D106B"/>
    <w:rsid w:val="009D171C"/>
    <w:rsid w:val="009D190A"/>
    <w:rsid w:val="009D1F8A"/>
    <w:rsid w:val="009D2260"/>
    <w:rsid w:val="009D25A4"/>
    <w:rsid w:val="009D4FF0"/>
    <w:rsid w:val="009D530D"/>
    <w:rsid w:val="009D55F8"/>
    <w:rsid w:val="009D5CE6"/>
    <w:rsid w:val="009D703C"/>
    <w:rsid w:val="009D718F"/>
    <w:rsid w:val="009D73AF"/>
    <w:rsid w:val="009E068F"/>
    <w:rsid w:val="009E14E0"/>
    <w:rsid w:val="009E173D"/>
    <w:rsid w:val="009E1E74"/>
    <w:rsid w:val="009E35DB"/>
    <w:rsid w:val="009E3FD3"/>
    <w:rsid w:val="009E47A3"/>
    <w:rsid w:val="009E5EE1"/>
    <w:rsid w:val="009E7599"/>
    <w:rsid w:val="009F010B"/>
    <w:rsid w:val="009F0561"/>
    <w:rsid w:val="009F08F3"/>
    <w:rsid w:val="009F13A0"/>
    <w:rsid w:val="009F1C61"/>
    <w:rsid w:val="009F1CB0"/>
    <w:rsid w:val="009F344F"/>
    <w:rsid w:val="009F4CE8"/>
    <w:rsid w:val="009F4E8F"/>
    <w:rsid w:val="009F55DD"/>
    <w:rsid w:val="009F68B7"/>
    <w:rsid w:val="009F7652"/>
    <w:rsid w:val="00A00568"/>
    <w:rsid w:val="00A027C4"/>
    <w:rsid w:val="00A033F2"/>
    <w:rsid w:val="00A048A8"/>
    <w:rsid w:val="00A04F49"/>
    <w:rsid w:val="00A0550B"/>
    <w:rsid w:val="00A06A91"/>
    <w:rsid w:val="00A06E47"/>
    <w:rsid w:val="00A1055D"/>
    <w:rsid w:val="00A124CA"/>
    <w:rsid w:val="00A12BD7"/>
    <w:rsid w:val="00A13E54"/>
    <w:rsid w:val="00A16294"/>
    <w:rsid w:val="00A1640B"/>
    <w:rsid w:val="00A16451"/>
    <w:rsid w:val="00A17757"/>
    <w:rsid w:val="00A17F63"/>
    <w:rsid w:val="00A202EC"/>
    <w:rsid w:val="00A20C94"/>
    <w:rsid w:val="00A2193B"/>
    <w:rsid w:val="00A2351A"/>
    <w:rsid w:val="00A2395E"/>
    <w:rsid w:val="00A264A9"/>
    <w:rsid w:val="00A27785"/>
    <w:rsid w:val="00A30187"/>
    <w:rsid w:val="00A30BA3"/>
    <w:rsid w:val="00A32726"/>
    <w:rsid w:val="00A328EA"/>
    <w:rsid w:val="00A32976"/>
    <w:rsid w:val="00A32A9D"/>
    <w:rsid w:val="00A32E01"/>
    <w:rsid w:val="00A33231"/>
    <w:rsid w:val="00A33E52"/>
    <w:rsid w:val="00A3448A"/>
    <w:rsid w:val="00A35C53"/>
    <w:rsid w:val="00A35D72"/>
    <w:rsid w:val="00A36297"/>
    <w:rsid w:val="00A36A75"/>
    <w:rsid w:val="00A36AE9"/>
    <w:rsid w:val="00A36EA0"/>
    <w:rsid w:val="00A370F8"/>
    <w:rsid w:val="00A371AA"/>
    <w:rsid w:val="00A377B4"/>
    <w:rsid w:val="00A40A18"/>
    <w:rsid w:val="00A41511"/>
    <w:rsid w:val="00A41E2B"/>
    <w:rsid w:val="00A42887"/>
    <w:rsid w:val="00A433E8"/>
    <w:rsid w:val="00A45B74"/>
    <w:rsid w:val="00A465E6"/>
    <w:rsid w:val="00A528D8"/>
    <w:rsid w:val="00A52E1D"/>
    <w:rsid w:val="00A53468"/>
    <w:rsid w:val="00A54CBE"/>
    <w:rsid w:val="00A5567A"/>
    <w:rsid w:val="00A55703"/>
    <w:rsid w:val="00A55EED"/>
    <w:rsid w:val="00A55EFE"/>
    <w:rsid w:val="00A56FBB"/>
    <w:rsid w:val="00A5744F"/>
    <w:rsid w:val="00A605AF"/>
    <w:rsid w:val="00A60A1F"/>
    <w:rsid w:val="00A61499"/>
    <w:rsid w:val="00A62A77"/>
    <w:rsid w:val="00A62B50"/>
    <w:rsid w:val="00A63483"/>
    <w:rsid w:val="00A63EEB"/>
    <w:rsid w:val="00A6406E"/>
    <w:rsid w:val="00A64156"/>
    <w:rsid w:val="00A647F1"/>
    <w:rsid w:val="00A64EE3"/>
    <w:rsid w:val="00A657D7"/>
    <w:rsid w:val="00A65987"/>
    <w:rsid w:val="00A660AC"/>
    <w:rsid w:val="00A66EE7"/>
    <w:rsid w:val="00A67007"/>
    <w:rsid w:val="00A67E6C"/>
    <w:rsid w:val="00A7072D"/>
    <w:rsid w:val="00A71AA2"/>
    <w:rsid w:val="00A71B99"/>
    <w:rsid w:val="00A723E4"/>
    <w:rsid w:val="00A739D0"/>
    <w:rsid w:val="00A74B35"/>
    <w:rsid w:val="00A74C75"/>
    <w:rsid w:val="00A7540B"/>
    <w:rsid w:val="00A761D4"/>
    <w:rsid w:val="00A7624A"/>
    <w:rsid w:val="00A76A1B"/>
    <w:rsid w:val="00A76B7E"/>
    <w:rsid w:val="00A76ECD"/>
    <w:rsid w:val="00A77EC4"/>
    <w:rsid w:val="00A82E82"/>
    <w:rsid w:val="00A8382F"/>
    <w:rsid w:val="00A8438B"/>
    <w:rsid w:val="00A84450"/>
    <w:rsid w:val="00A84C2A"/>
    <w:rsid w:val="00A84F17"/>
    <w:rsid w:val="00A86328"/>
    <w:rsid w:val="00A91792"/>
    <w:rsid w:val="00A92382"/>
    <w:rsid w:val="00A92879"/>
    <w:rsid w:val="00A9295E"/>
    <w:rsid w:val="00A931A5"/>
    <w:rsid w:val="00A9442A"/>
    <w:rsid w:val="00A96075"/>
    <w:rsid w:val="00A96080"/>
    <w:rsid w:val="00A9627A"/>
    <w:rsid w:val="00A97965"/>
    <w:rsid w:val="00A97F08"/>
    <w:rsid w:val="00A97FCD"/>
    <w:rsid w:val="00AA016F"/>
    <w:rsid w:val="00AA1ED6"/>
    <w:rsid w:val="00AA234A"/>
    <w:rsid w:val="00AA2598"/>
    <w:rsid w:val="00AA2E90"/>
    <w:rsid w:val="00AA51D6"/>
    <w:rsid w:val="00AA62A4"/>
    <w:rsid w:val="00AA761B"/>
    <w:rsid w:val="00AB02D8"/>
    <w:rsid w:val="00AB06E7"/>
    <w:rsid w:val="00AB0B16"/>
    <w:rsid w:val="00AB0BC8"/>
    <w:rsid w:val="00AB0F54"/>
    <w:rsid w:val="00AB11CA"/>
    <w:rsid w:val="00AB14D9"/>
    <w:rsid w:val="00AB1FAB"/>
    <w:rsid w:val="00AB2CF3"/>
    <w:rsid w:val="00AB3A28"/>
    <w:rsid w:val="00AB43E1"/>
    <w:rsid w:val="00AB46E3"/>
    <w:rsid w:val="00AB4AB8"/>
    <w:rsid w:val="00AB600C"/>
    <w:rsid w:val="00AB655E"/>
    <w:rsid w:val="00AB6561"/>
    <w:rsid w:val="00AB684F"/>
    <w:rsid w:val="00AC007F"/>
    <w:rsid w:val="00AC0A07"/>
    <w:rsid w:val="00AC0A7A"/>
    <w:rsid w:val="00AC11B3"/>
    <w:rsid w:val="00AC1BBE"/>
    <w:rsid w:val="00AC2A9E"/>
    <w:rsid w:val="00AC2ECD"/>
    <w:rsid w:val="00AC3119"/>
    <w:rsid w:val="00AC49FB"/>
    <w:rsid w:val="00AC50BA"/>
    <w:rsid w:val="00AC511B"/>
    <w:rsid w:val="00AC5A10"/>
    <w:rsid w:val="00AC756B"/>
    <w:rsid w:val="00AD056A"/>
    <w:rsid w:val="00AD0AA3"/>
    <w:rsid w:val="00AD104F"/>
    <w:rsid w:val="00AD1502"/>
    <w:rsid w:val="00AD3F16"/>
    <w:rsid w:val="00AD3F94"/>
    <w:rsid w:val="00AD408F"/>
    <w:rsid w:val="00AD4A5A"/>
    <w:rsid w:val="00AD54C3"/>
    <w:rsid w:val="00AD5523"/>
    <w:rsid w:val="00AD5C1D"/>
    <w:rsid w:val="00AD67DF"/>
    <w:rsid w:val="00AD6BB2"/>
    <w:rsid w:val="00AD6C9C"/>
    <w:rsid w:val="00AE1D48"/>
    <w:rsid w:val="00AE27AC"/>
    <w:rsid w:val="00AE2834"/>
    <w:rsid w:val="00AE3837"/>
    <w:rsid w:val="00AE3BE6"/>
    <w:rsid w:val="00AE40E0"/>
    <w:rsid w:val="00AE4996"/>
    <w:rsid w:val="00AE4B00"/>
    <w:rsid w:val="00AE4DBA"/>
    <w:rsid w:val="00AE4F07"/>
    <w:rsid w:val="00AE5843"/>
    <w:rsid w:val="00AE58CD"/>
    <w:rsid w:val="00AE72A0"/>
    <w:rsid w:val="00AE7EDE"/>
    <w:rsid w:val="00AF0302"/>
    <w:rsid w:val="00AF0F3C"/>
    <w:rsid w:val="00AF11C5"/>
    <w:rsid w:val="00AF1AF3"/>
    <w:rsid w:val="00AF1C5D"/>
    <w:rsid w:val="00AF1F8E"/>
    <w:rsid w:val="00AF37F6"/>
    <w:rsid w:val="00AF3852"/>
    <w:rsid w:val="00AF42D7"/>
    <w:rsid w:val="00AF47FC"/>
    <w:rsid w:val="00AF60E9"/>
    <w:rsid w:val="00AF61E1"/>
    <w:rsid w:val="00AF6944"/>
    <w:rsid w:val="00B004EE"/>
    <w:rsid w:val="00B006FE"/>
    <w:rsid w:val="00B007CB"/>
    <w:rsid w:val="00B0135A"/>
    <w:rsid w:val="00B02AA9"/>
    <w:rsid w:val="00B02FA3"/>
    <w:rsid w:val="00B03951"/>
    <w:rsid w:val="00B03D41"/>
    <w:rsid w:val="00B040E5"/>
    <w:rsid w:val="00B0458A"/>
    <w:rsid w:val="00B04864"/>
    <w:rsid w:val="00B05084"/>
    <w:rsid w:val="00B06777"/>
    <w:rsid w:val="00B06D4A"/>
    <w:rsid w:val="00B107FC"/>
    <w:rsid w:val="00B10A0D"/>
    <w:rsid w:val="00B10A94"/>
    <w:rsid w:val="00B115EA"/>
    <w:rsid w:val="00B11EA2"/>
    <w:rsid w:val="00B12082"/>
    <w:rsid w:val="00B120FF"/>
    <w:rsid w:val="00B138EE"/>
    <w:rsid w:val="00B14432"/>
    <w:rsid w:val="00B157F9"/>
    <w:rsid w:val="00B16392"/>
    <w:rsid w:val="00B16485"/>
    <w:rsid w:val="00B16B32"/>
    <w:rsid w:val="00B16CD0"/>
    <w:rsid w:val="00B17609"/>
    <w:rsid w:val="00B17A4D"/>
    <w:rsid w:val="00B20256"/>
    <w:rsid w:val="00B20AF2"/>
    <w:rsid w:val="00B20D09"/>
    <w:rsid w:val="00B22088"/>
    <w:rsid w:val="00B255AB"/>
    <w:rsid w:val="00B261F4"/>
    <w:rsid w:val="00B26ECA"/>
    <w:rsid w:val="00B26EDD"/>
    <w:rsid w:val="00B2763F"/>
    <w:rsid w:val="00B27691"/>
    <w:rsid w:val="00B27AAC"/>
    <w:rsid w:val="00B302ED"/>
    <w:rsid w:val="00B304F3"/>
    <w:rsid w:val="00B30929"/>
    <w:rsid w:val="00B30B0C"/>
    <w:rsid w:val="00B31357"/>
    <w:rsid w:val="00B3363F"/>
    <w:rsid w:val="00B33957"/>
    <w:rsid w:val="00B34C4F"/>
    <w:rsid w:val="00B36A10"/>
    <w:rsid w:val="00B372AA"/>
    <w:rsid w:val="00B40445"/>
    <w:rsid w:val="00B40BEF"/>
    <w:rsid w:val="00B40E5C"/>
    <w:rsid w:val="00B41229"/>
    <w:rsid w:val="00B417E1"/>
    <w:rsid w:val="00B41888"/>
    <w:rsid w:val="00B41EB8"/>
    <w:rsid w:val="00B41F62"/>
    <w:rsid w:val="00B4267F"/>
    <w:rsid w:val="00B428EF"/>
    <w:rsid w:val="00B43213"/>
    <w:rsid w:val="00B439A0"/>
    <w:rsid w:val="00B43F6E"/>
    <w:rsid w:val="00B44530"/>
    <w:rsid w:val="00B45A52"/>
    <w:rsid w:val="00B45A57"/>
    <w:rsid w:val="00B45CBB"/>
    <w:rsid w:val="00B46175"/>
    <w:rsid w:val="00B5010E"/>
    <w:rsid w:val="00B5166D"/>
    <w:rsid w:val="00B51E2B"/>
    <w:rsid w:val="00B52336"/>
    <w:rsid w:val="00B534C3"/>
    <w:rsid w:val="00B557C7"/>
    <w:rsid w:val="00B5627E"/>
    <w:rsid w:val="00B57509"/>
    <w:rsid w:val="00B577D0"/>
    <w:rsid w:val="00B6047E"/>
    <w:rsid w:val="00B60498"/>
    <w:rsid w:val="00B6053F"/>
    <w:rsid w:val="00B612DB"/>
    <w:rsid w:val="00B6159A"/>
    <w:rsid w:val="00B6188F"/>
    <w:rsid w:val="00B62A65"/>
    <w:rsid w:val="00B62B93"/>
    <w:rsid w:val="00B651C8"/>
    <w:rsid w:val="00B656EC"/>
    <w:rsid w:val="00B664C7"/>
    <w:rsid w:val="00B66768"/>
    <w:rsid w:val="00B66D90"/>
    <w:rsid w:val="00B70A50"/>
    <w:rsid w:val="00B730D6"/>
    <w:rsid w:val="00B73404"/>
    <w:rsid w:val="00B739F6"/>
    <w:rsid w:val="00B75287"/>
    <w:rsid w:val="00B76A2D"/>
    <w:rsid w:val="00B77F88"/>
    <w:rsid w:val="00B8147E"/>
    <w:rsid w:val="00B814EB"/>
    <w:rsid w:val="00B81A6C"/>
    <w:rsid w:val="00B81AD2"/>
    <w:rsid w:val="00B838DF"/>
    <w:rsid w:val="00B85A64"/>
    <w:rsid w:val="00B85D8D"/>
    <w:rsid w:val="00B85DE5"/>
    <w:rsid w:val="00B87FE2"/>
    <w:rsid w:val="00B90F73"/>
    <w:rsid w:val="00B91965"/>
    <w:rsid w:val="00B92322"/>
    <w:rsid w:val="00B92C83"/>
    <w:rsid w:val="00B93943"/>
    <w:rsid w:val="00B93B59"/>
    <w:rsid w:val="00B93C73"/>
    <w:rsid w:val="00B9406A"/>
    <w:rsid w:val="00B94681"/>
    <w:rsid w:val="00B95AED"/>
    <w:rsid w:val="00B968B5"/>
    <w:rsid w:val="00B96A85"/>
    <w:rsid w:val="00B96CAC"/>
    <w:rsid w:val="00B97752"/>
    <w:rsid w:val="00B97AB9"/>
    <w:rsid w:val="00BA049A"/>
    <w:rsid w:val="00BA059C"/>
    <w:rsid w:val="00BA1608"/>
    <w:rsid w:val="00BA1EA2"/>
    <w:rsid w:val="00BA2280"/>
    <w:rsid w:val="00BA2A08"/>
    <w:rsid w:val="00BA37B6"/>
    <w:rsid w:val="00BA37E4"/>
    <w:rsid w:val="00BA3BF9"/>
    <w:rsid w:val="00BA4F2A"/>
    <w:rsid w:val="00BA56D2"/>
    <w:rsid w:val="00BA5CF3"/>
    <w:rsid w:val="00BA6E05"/>
    <w:rsid w:val="00BA7273"/>
    <w:rsid w:val="00BA76E0"/>
    <w:rsid w:val="00BA7CAA"/>
    <w:rsid w:val="00BB0874"/>
    <w:rsid w:val="00BB0891"/>
    <w:rsid w:val="00BB0C12"/>
    <w:rsid w:val="00BB0FFD"/>
    <w:rsid w:val="00BB1926"/>
    <w:rsid w:val="00BB2A25"/>
    <w:rsid w:val="00BB2E6F"/>
    <w:rsid w:val="00BB3C8E"/>
    <w:rsid w:val="00BB478B"/>
    <w:rsid w:val="00BB51E9"/>
    <w:rsid w:val="00BB59BD"/>
    <w:rsid w:val="00BB5F15"/>
    <w:rsid w:val="00BB6098"/>
    <w:rsid w:val="00BB6AE7"/>
    <w:rsid w:val="00BB7539"/>
    <w:rsid w:val="00BB7C78"/>
    <w:rsid w:val="00BC0935"/>
    <w:rsid w:val="00BC0FDC"/>
    <w:rsid w:val="00BC18D7"/>
    <w:rsid w:val="00BC21F5"/>
    <w:rsid w:val="00BC2712"/>
    <w:rsid w:val="00BC2D3E"/>
    <w:rsid w:val="00BC3053"/>
    <w:rsid w:val="00BC47BA"/>
    <w:rsid w:val="00BC4C6A"/>
    <w:rsid w:val="00BC4D2E"/>
    <w:rsid w:val="00BC53F2"/>
    <w:rsid w:val="00BC6DC4"/>
    <w:rsid w:val="00BC6FF1"/>
    <w:rsid w:val="00BC71DB"/>
    <w:rsid w:val="00BD0BD6"/>
    <w:rsid w:val="00BD1116"/>
    <w:rsid w:val="00BD1345"/>
    <w:rsid w:val="00BD1CC4"/>
    <w:rsid w:val="00BD224F"/>
    <w:rsid w:val="00BD2553"/>
    <w:rsid w:val="00BD28DD"/>
    <w:rsid w:val="00BD293F"/>
    <w:rsid w:val="00BD32E5"/>
    <w:rsid w:val="00BD33DD"/>
    <w:rsid w:val="00BD3F50"/>
    <w:rsid w:val="00BD48AC"/>
    <w:rsid w:val="00BD55C2"/>
    <w:rsid w:val="00BD5F1A"/>
    <w:rsid w:val="00BD5F1B"/>
    <w:rsid w:val="00BD7D1C"/>
    <w:rsid w:val="00BD7E94"/>
    <w:rsid w:val="00BE0899"/>
    <w:rsid w:val="00BE11F5"/>
    <w:rsid w:val="00BE1234"/>
    <w:rsid w:val="00BE16FF"/>
    <w:rsid w:val="00BE173F"/>
    <w:rsid w:val="00BE2FA6"/>
    <w:rsid w:val="00BE333F"/>
    <w:rsid w:val="00BE3EB2"/>
    <w:rsid w:val="00BE4150"/>
    <w:rsid w:val="00BE4AB2"/>
    <w:rsid w:val="00BE4EDB"/>
    <w:rsid w:val="00BE5F2B"/>
    <w:rsid w:val="00BE6583"/>
    <w:rsid w:val="00BE6924"/>
    <w:rsid w:val="00BE7406"/>
    <w:rsid w:val="00BE7603"/>
    <w:rsid w:val="00BE7EA2"/>
    <w:rsid w:val="00BF26DB"/>
    <w:rsid w:val="00BF3279"/>
    <w:rsid w:val="00BF42EB"/>
    <w:rsid w:val="00BF438B"/>
    <w:rsid w:val="00BF4661"/>
    <w:rsid w:val="00BF4F2C"/>
    <w:rsid w:val="00BF57C7"/>
    <w:rsid w:val="00BF58B3"/>
    <w:rsid w:val="00BF6A9D"/>
    <w:rsid w:val="00BF74C7"/>
    <w:rsid w:val="00C015F1"/>
    <w:rsid w:val="00C01891"/>
    <w:rsid w:val="00C01B87"/>
    <w:rsid w:val="00C01F33"/>
    <w:rsid w:val="00C02031"/>
    <w:rsid w:val="00C0258B"/>
    <w:rsid w:val="00C02CC6"/>
    <w:rsid w:val="00C03682"/>
    <w:rsid w:val="00C03B8E"/>
    <w:rsid w:val="00C040F7"/>
    <w:rsid w:val="00C04196"/>
    <w:rsid w:val="00C041AE"/>
    <w:rsid w:val="00C041B0"/>
    <w:rsid w:val="00C044AB"/>
    <w:rsid w:val="00C0514A"/>
    <w:rsid w:val="00C05706"/>
    <w:rsid w:val="00C058BD"/>
    <w:rsid w:val="00C058CC"/>
    <w:rsid w:val="00C05F3D"/>
    <w:rsid w:val="00C07377"/>
    <w:rsid w:val="00C102C6"/>
    <w:rsid w:val="00C10478"/>
    <w:rsid w:val="00C10C8B"/>
    <w:rsid w:val="00C10E90"/>
    <w:rsid w:val="00C12107"/>
    <w:rsid w:val="00C12A69"/>
    <w:rsid w:val="00C12B36"/>
    <w:rsid w:val="00C12EBF"/>
    <w:rsid w:val="00C13074"/>
    <w:rsid w:val="00C14D4B"/>
    <w:rsid w:val="00C154BB"/>
    <w:rsid w:val="00C1571B"/>
    <w:rsid w:val="00C1782C"/>
    <w:rsid w:val="00C1786C"/>
    <w:rsid w:val="00C207D5"/>
    <w:rsid w:val="00C219E8"/>
    <w:rsid w:val="00C234DB"/>
    <w:rsid w:val="00C23A9C"/>
    <w:rsid w:val="00C262BE"/>
    <w:rsid w:val="00C26FF1"/>
    <w:rsid w:val="00C27690"/>
    <w:rsid w:val="00C279B5"/>
    <w:rsid w:val="00C27C45"/>
    <w:rsid w:val="00C30656"/>
    <w:rsid w:val="00C3080D"/>
    <w:rsid w:val="00C3095C"/>
    <w:rsid w:val="00C31C1E"/>
    <w:rsid w:val="00C3264B"/>
    <w:rsid w:val="00C32812"/>
    <w:rsid w:val="00C33584"/>
    <w:rsid w:val="00C33F2A"/>
    <w:rsid w:val="00C34D5F"/>
    <w:rsid w:val="00C356D1"/>
    <w:rsid w:val="00C35AE1"/>
    <w:rsid w:val="00C3693B"/>
    <w:rsid w:val="00C3719D"/>
    <w:rsid w:val="00C374C3"/>
    <w:rsid w:val="00C37516"/>
    <w:rsid w:val="00C37783"/>
    <w:rsid w:val="00C37C68"/>
    <w:rsid w:val="00C4169C"/>
    <w:rsid w:val="00C418D0"/>
    <w:rsid w:val="00C4292F"/>
    <w:rsid w:val="00C42BBB"/>
    <w:rsid w:val="00C4469E"/>
    <w:rsid w:val="00C50284"/>
    <w:rsid w:val="00C502F4"/>
    <w:rsid w:val="00C51239"/>
    <w:rsid w:val="00C5132D"/>
    <w:rsid w:val="00C51AFA"/>
    <w:rsid w:val="00C52697"/>
    <w:rsid w:val="00C54995"/>
    <w:rsid w:val="00C54D41"/>
    <w:rsid w:val="00C552D0"/>
    <w:rsid w:val="00C553C2"/>
    <w:rsid w:val="00C55C78"/>
    <w:rsid w:val="00C56560"/>
    <w:rsid w:val="00C56CE9"/>
    <w:rsid w:val="00C60783"/>
    <w:rsid w:val="00C60BFA"/>
    <w:rsid w:val="00C615A3"/>
    <w:rsid w:val="00C623C0"/>
    <w:rsid w:val="00C641E8"/>
    <w:rsid w:val="00C64562"/>
    <w:rsid w:val="00C64672"/>
    <w:rsid w:val="00C652CE"/>
    <w:rsid w:val="00C65D12"/>
    <w:rsid w:val="00C70418"/>
    <w:rsid w:val="00C70697"/>
    <w:rsid w:val="00C71BD8"/>
    <w:rsid w:val="00C726FF"/>
    <w:rsid w:val="00C72EF4"/>
    <w:rsid w:val="00C750D4"/>
    <w:rsid w:val="00C75D2F"/>
    <w:rsid w:val="00C75E26"/>
    <w:rsid w:val="00C75EBE"/>
    <w:rsid w:val="00C767BE"/>
    <w:rsid w:val="00C76813"/>
    <w:rsid w:val="00C7683A"/>
    <w:rsid w:val="00C76E3C"/>
    <w:rsid w:val="00C77463"/>
    <w:rsid w:val="00C774D6"/>
    <w:rsid w:val="00C80129"/>
    <w:rsid w:val="00C80871"/>
    <w:rsid w:val="00C80C0D"/>
    <w:rsid w:val="00C80C52"/>
    <w:rsid w:val="00C810CC"/>
    <w:rsid w:val="00C81479"/>
    <w:rsid w:val="00C814E5"/>
    <w:rsid w:val="00C81568"/>
    <w:rsid w:val="00C81BF2"/>
    <w:rsid w:val="00C84BEE"/>
    <w:rsid w:val="00C84D49"/>
    <w:rsid w:val="00C852A3"/>
    <w:rsid w:val="00C86583"/>
    <w:rsid w:val="00C86D12"/>
    <w:rsid w:val="00C9027A"/>
    <w:rsid w:val="00C9068E"/>
    <w:rsid w:val="00C91290"/>
    <w:rsid w:val="00C91597"/>
    <w:rsid w:val="00C918ED"/>
    <w:rsid w:val="00C91E1E"/>
    <w:rsid w:val="00C91FF8"/>
    <w:rsid w:val="00C923F9"/>
    <w:rsid w:val="00C93017"/>
    <w:rsid w:val="00C93C4B"/>
    <w:rsid w:val="00C93DE3"/>
    <w:rsid w:val="00C944AB"/>
    <w:rsid w:val="00C94B13"/>
    <w:rsid w:val="00C95073"/>
    <w:rsid w:val="00C95818"/>
    <w:rsid w:val="00C95B1D"/>
    <w:rsid w:val="00C95B40"/>
    <w:rsid w:val="00C95BEE"/>
    <w:rsid w:val="00C965BF"/>
    <w:rsid w:val="00C9793F"/>
    <w:rsid w:val="00CA0A22"/>
    <w:rsid w:val="00CA0B16"/>
    <w:rsid w:val="00CA0E17"/>
    <w:rsid w:val="00CA1ED8"/>
    <w:rsid w:val="00CA1FD5"/>
    <w:rsid w:val="00CA21B2"/>
    <w:rsid w:val="00CA2DD2"/>
    <w:rsid w:val="00CA3FD0"/>
    <w:rsid w:val="00CA5641"/>
    <w:rsid w:val="00CA5F9D"/>
    <w:rsid w:val="00CA7B69"/>
    <w:rsid w:val="00CA7EA9"/>
    <w:rsid w:val="00CB0245"/>
    <w:rsid w:val="00CB1F63"/>
    <w:rsid w:val="00CB216B"/>
    <w:rsid w:val="00CB22E8"/>
    <w:rsid w:val="00CB250C"/>
    <w:rsid w:val="00CB2882"/>
    <w:rsid w:val="00CB7170"/>
    <w:rsid w:val="00CB798B"/>
    <w:rsid w:val="00CC040E"/>
    <w:rsid w:val="00CC06AF"/>
    <w:rsid w:val="00CC08B7"/>
    <w:rsid w:val="00CC0C42"/>
    <w:rsid w:val="00CC111F"/>
    <w:rsid w:val="00CC2011"/>
    <w:rsid w:val="00CC23E1"/>
    <w:rsid w:val="00CC277D"/>
    <w:rsid w:val="00CC2C79"/>
    <w:rsid w:val="00CC2E46"/>
    <w:rsid w:val="00CC33B2"/>
    <w:rsid w:val="00CC3553"/>
    <w:rsid w:val="00CC395E"/>
    <w:rsid w:val="00CC3DA8"/>
    <w:rsid w:val="00CC3EA0"/>
    <w:rsid w:val="00CC4B9C"/>
    <w:rsid w:val="00CC5F1D"/>
    <w:rsid w:val="00CC6291"/>
    <w:rsid w:val="00CC630F"/>
    <w:rsid w:val="00CC7B45"/>
    <w:rsid w:val="00CD0AB5"/>
    <w:rsid w:val="00CD1188"/>
    <w:rsid w:val="00CD2579"/>
    <w:rsid w:val="00CD2ED1"/>
    <w:rsid w:val="00CD2EEA"/>
    <w:rsid w:val="00CD337B"/>
    <w:rsid w:val="00CD3913"/>
    <w:rsid w:val="00CD3950"/>
    <w:rsid w:val="00CD3DFE"/>
    <w:rsid w:val="00CD3FBF"/>
    <w:rsid w:val="00CD4161"/>
    <w:rsid w:val="00CD451C"/>
    <w:rsid w:val="00CD5547"/>
    <w:rsid w:val="00CD6A58"/>
    <w:rsid w:val="00CD6CB7"/>
    <w:rsid w:val="00CD7454"/>
    <w:rsid w:val="00CD7580"/>
    <w:rsid w:val="00CD7BB3"/>
    <w:rsid w:val="00CD7CC9"/>
    <w:rsid w:val="00CE0424"/>
    <w:rsid w:val="00CE0CF0"/>
    <w:rsid w:val="00CE148F"/>
    <w:rsid w:val="00CE14CA"/>
    <w:rsid w:val="00CE170B"/>
    <w:rsid w:val="00CE1DC0"/>
    <w:rsid w:val="00CE2190"/>
    <w:rsid w:val="00CE2292"/>
    <w:rsid w:val="00CE329E"/>
    <w:rsid w:val="00CE379D"/>
    <w:rsid w:val="00CE4BA8"/>
    <w:rsid w:val="00CE4FB1"/>
    <w:rsid w:val="00CE532D"/>
    <w:rsid w:val="00CE5370"/>
    <w:rsid w:val="00CE5BF0"/>
    <w:rsid w:val="00CE6444"/>
    <w:rsid w:val="00CE6D89"/>
    <w:rsid w:val="00CE7561"/>
    <w:rsid w:val="00CF0B74"/>
    <w:rsid w:val="00CF0F7C"/>
    <w:rsid w:val="00CF1354"/>
    <w:rsid w:val="00CF1851"/>
    <w:rsid w:val="00CF27AA"/>
    <w:rsid w:val="00CF27B6"/>
    <w:rsid w:val="00CF3B1F"/>
    <w:rsid w:val="00CF3BF6"/>
    <w:rsid w:val="00CF41DF"/>
    <w:rsid w:val="00CF4291"/>
    <w:rsid w:val="00CF613D"/>
    <w:rsid w:val="00CF625B"/>
    <w:rsid w:val="00CF6381"/>
    <w:rsid w:val="00CF687E"/>
    <w:rsid w:val="00CF6CAA"/>
    <w:rsid w:val="00CF7C73"/>
    <w:rsid w:val="00D0232C"/>
    <w:rsid w:val="00D0276A"/>
    <w:rsid w:val="00D02CEB"/>
    <w:rsid w:val="00D0349B"/>
    <w:rsid w:val="00D03581"/>
    <w:rsid w:val="00D038AA"/>
    <w:rsid w:val="00D03A82"/>
    <w:rsid w:val="00D03C3A"/>
    <w:rsid w:val="00D0453E"/>
    <w:rsid w:val="00D06835"/>
    <w:rsid w:val="00D10249"/>
    <w:rsid w:val="00D115C3"/>
    <w:rsid w:val="00D11897"/>
    <w:rsid w:val="00D1261E"/>
    <w:rsid w:val="00D1288D"/>
    <w:rsid w:val="00D13135"/>
    <w:rsid w:val="00D13E4E"/>
    <w:rsid w:val="00D1467E"/>
    <w:rsid w:val="00D14718"/>
    <w:rsid w:val="00D14770"/>
    <w:rsid w:val="00D14A91"/>
    <w:rsid w:val="00D15A36"/>
    <w:rsid w:val="00D175D3"/>
    <w:rsid w:val="00D17A07"/>
    <w:rsid w:val="00D20441"/>
    <w:rsid w:val="00D20857"/>
    <w:rsid w:val="00D2207F"/>
    <w:rsid w:val="00D22335"/>
    <w:rsid w:val="00D239A7"/>
    <w:rsid w:val="00D23F47"/>
    <w:rsid w:val="00D247B8"/>
    <w:rsid w:val="00D24AEA"/>
    <w:rsid w:val="00D2548D"/>
    <w:rsid w:val="00D264AD"/>
    <w:rsid w:val="00D30606"/>
    <w:rsid w:val="00D30A96"/>
    <w:rsid w:val="00D316AC"/>
    <w:rsid w:val="00D316E9"/>
    <w:rsid w:val="00D31805"/>
    <w:rsid w:val="00D3564C"/>
    <w:rsid w:val="00D36E71"/>
    <w:rsid w:val="00D37163"/>
    <w:rsid w:val="00D37C92"/>
    <w:rsid w:val="00D37D87"/>
    <w:rsid w:val="00D40B33"/>
    <w:rsid w:val="00D40C88"/>
    <w:rsid w:val="00D40CBB"/>
    <w:rsid w:val="00D422E4"/>
    <w:rsid w:val="00D4318F"/>
    <w:rsid w:val="00D438BF"/>
    <w:rsid w:val="00D43D7E"/>
    <w:rsid w:val="00D43FF5"/>
    <w:rsid w:val="00D440F8"/>
    <w:rsid w:val="00D4619F"/>
    <w:rsid w:val="00D463E6"/>
    <w:rsid w:val="00D469F2"/>
    <w:rsid w:val="00D46B1B"/>
    <w:rsid w:val="00D50029"/>
    <w:rsid w:val="00D50AC8"/>
    <w:rsid w:val="00D50F97"/>
    <w:rsid w:val="00D510F9"/>
    <w:rsid w:val="00D5139D"/>
    <w:rsid w:val="00D51EC4"/>
    <w:rsid w:val="00D52E1A"/>
    <w:rsid w:val="00D537EA"/>
    <w:rsid w:val="00D546FF"/>
    <w:rsid w:val="00D54BAA"/>
    <w:rsid w:val="00D55AD5"/>
    <w:rsid w:val="00D55BA5"/>
    <w:rsid w:val="00D56558"/>
    <w:rsid w:val="00D56E07"/>
    <w:rsid w:val="00D56F77"/>
    <w:rsid w:val="00D576CA"/>
    <w:rsid w:val="00D57C47"/>
    <w:rsid w:val="00D60DDC"/>
    <w:rsid w:val="00D61AF5"/>
    <w:rsid w:val="00D61BE7"/>
    <w:rsid w:val="00D623DA"/>
    <w:rsid w:val="00D63329"/>
    <w:rsid w:val="00D643D8"/>
    <w:rsid w:val="00D64926"/>
    <w:rsid w:val="00D64B28"/>
    <w:rsid w:val="00D64C15"/>
    <w:rsid w:val="00D64F68"/>
    <w:rsid w:val="00D65164"/>
    <w:rsid w:val="00D652B5"/>
    <w:rsid w:val="00D65B01"/>
    <w:rsid w:val="00D66155"/>
    <w:rsid w:val="00D66532"/>
    <w:rsid w:val="00D67F24"/>
    <w:rsid w:val="00D708B0"/>
    <w:rsid w:val="00D70E5E"/>
    <w:rsid w:val="00D715EE"/>
    <w:rsid w:val="00D71C9E"/>
    <w:rsid w:val="00D71D7A"/>
    <w:rsid w:val="00D7288C"/>
    <w:rsid w:val="00D73941"/>
    <w:rsid w:val="00D73960"/>
    <w:rsid w:val="00D73BA9"/>
    <w:rsid w:val="00D741C1"/>
    <w:rsid w:val="00D74C98"/>
    <w:rsid w:val="00D7528D"/>
    <w:rsid w:val="00D75C5A"/>
    <w:rsid w:val="00D763B0"/>
    <w:rsid w:val="00D7659B"/>
    <w:rsid w:val="00D767D8"/>
    <w:rsid w:val="00D773D9"/>
    <w:rsid w:val="00D77B1D"/>
    <w:rsid w:val="00D8021F"/>
    <w:rsid w:val="00D80383"/>
    <w:rsid w:val="00D820DB"/>
    <w:rsid w:val="00D823C6"/>
    <w:rsid w:val="00D8281A"/>
    <w:rsid w:val="00D83B14"/>
    <w:rsid w:val="00D83E9F"/>
    <w:rsid w:val="00D8409E"/>
    <w:rsid w:val="00D846DA"/>
    <w:rsid w:val="00D84FCF"/>
    <w:rsid w:val="00D85767"/>
    <w:rsid w:val="00D8653C"/>
    <w:rsid w:val="00D86CA3"/>
    <w:rsid w:val="00D871CE"/>
    <w:rsid w:val="00D874E8"/>
    <w:rsid w:val="00D90BC0"/>
    <w:rsid w:val="00D9196D"/>
    <w:rsid w:val="00D92982"/>
    <w:rsid w:val="00D92B97"/>
    <w:rsid w:val="00D9360A"/>
    <w:rsid w:val="00D94DBF"/>
    <w:rsid w:val="00D94DCD"/>
    <w:rsid w:val="00D95155"/>
    <w:rsid w:val="00D970FB"/>
    <w:rsid w:val="00D9710B"/>
    <w:rsid w:val="00D97C35"/>
    <w:rsid w:val="00DA0050"/>
    <w:rsid w:val="00DA0099"/>
    <w:rsid w:val="00DA0944"/>
    <w:rsid w:val="00DA1B05"/>
    <w:rsid w:val="00DA20C7"/>
    <w:rsid w:val="00DA2D70"/>
    <w:rsid w:val="00DA305E"/>
    <w:rsid w:val="00DA444E"/>
    <w:rsid w:val="00DA488F"/>
    <w:rsid w:val="00DA5417"/>
    <w:rsid w:val="00DA56E8"/>
    <w:rsid w:val="00DA5B89"/>
    <w:rsid w:val="00DA6842"/>
    <w:rsid w:val="00DA70AE"/>
    <w:rsid w:val="00DA7412"/>
    <w:rsid w:val="00DA7689"/>
    <w:rsid w:val="00DA7A90"/>
    <w:rsid w:val="00DB0A9F"/>
    <w:rsid w:val="00DB0F71"/>
    <w:rsid w:val="00DB261C"/>
    <w:rsid w:val="00DB269D"/>
    <w:rsid w:val="00DB2F1E"/>
    <w:rsid w:val="00DB377D"/>
    <w:rsid w:val="00DB4317"/>
    <w:rsid w:val="00DB5580"/>
    <w:rsid w:val="00DB5B53"/>
    <w:rsid w:val="00DB5D4D"/>
    <w:rsid w:val="00DB7D2F"/>
    <w:rsid w:val="00DC16CF"/>
    <w:rsid w:val="00DC2507"/>
    <w:rsid w:val="00DC2D36"/>
    <w:rsid w:val="00DC5064"/>
    <w:rsid w:val="00DC52D1"/>
    <w:rsid w:val="00DC53EF"/>
    <w:rsid w:val="00DC5819"/>
    <w:rsid w:val="00DC73E4"/>
    <w:rsid w:val="00DC7BC9"/>
    <w:rsid w:val="00DD0156"/>
    <w:rsid w:val="00DD1801"/>
    <w:rsid w:val="00DD189D"/>
    <w:rsid w:val="00DD2759"/>
    <w:rsid w:val="00DD2F93"/>
    <w:rsid w:val="00DD348F"/>
    <w:rsid w:val="00DD353B"/>
    <w:rsid w:val="00DD3F41"/>
    <w:rsid w:val="00DD42F8"/>
    <w:rsid w:val="00DD4E31"/>
    <w:rsid w:val="00DD50A4"/>
    <w:rsid w:val="00DD5420"/>
    <w:rsid w:val="00DD549E"/>
    <w:rsid w:val="00DD7516"/>
    <w:rsid w:val="00DD75CD"/>
    <w:rsid w:val="00DD7E86"/>
    <w:rsid w:val="00DE0770"/>
    <w:rsid w:val="00DE162A"/>
    <w:rsid w:val="00DE2203"/>
    <w:rsid w:val="00DE403F"/>
    <w:rsid w:val="00DE4563"/>
    <w:rsid w:val="00DE4A01"/>
    <w:rsid w:val="00DE5608"/>
    <w:rsid w:val="00DE58D0"/>
    <w:rsid w:val="00DE6488"/>
    <w:rsid w:val="00DE654F"/>
    <w:rsid w:val="00DE6DBD"/>
    <w:rsid w:val="00DF067F"/>
    <w:rsid w:val="00DF0A9B"/>
    <w:rsid w:val="00DF0B6E"/>
    <w:rsid w:val="00DF10B3"/>
    <w:rsid w:val="00DF1180"/>
    <w:rsid w:val="00DF15E0"/>
    <w:rsid w:val="00DF1AE1"/>
    <w:rsid w:val="00DF35DB"/>
    <w:rsid w:val="00DF3704"/>
    <w:rsid w:val="00DF37A0"/>
    <w:rsid w:val="00DF3A37"/>
    <w:rsid w:val="00DF3E95"/>
    <w:rsid w:val="00DF4737"/>
    <w:rsid w:val="00DF5B2E"/>
    <w:rsid w:val="00DF62A2"/>
    <w:rsid w:val="00DF6987"/>
    <w:rsid w:val="00DF7032"/>
    <w:rsid w:val="00DF70EF"/>
    <w:rsid w:val="00DF71A0"/>
    <w:rsid w:val="00E0175C"/>
    <w:rsid w:val="00E01A58"/>
    <w:rsid w:val="00E02DB2"/>
    <w:rsid w:val="00E03887"/>
    <w:rsid w:val="00E051F4"/>
    <w:rsid w:val="00E05349"/>
    <w:rsid w:val="00E05836"/>
    <w:rsid w:val="00E05AEA"/>
    <w:rsid w:val="00E06480"/>
    <w:rsid w:val="00E067C9"/>
    <w:rsid w:val="00E07402"/>
    <w:rsid w:val="00E076F6"/>
    <w:rsid w:val="00E0775F"/>
    <w:rsid w:val="00E07DE4"/>
    <w:rsid w:val="00E10845"/>
    <w:rsid w:val="00E109B1"/>
    <w:rsid w:val="00E10EC6"/>
    <w:rsid w:val="00E10FC9"/>
    <w:rsid w:val="00E110E7"/>
    <w:rsid w:val="00E11221"/>
    <w:rsid w:val="00E11B20"/>
    <w:rsid w:val="00E11C08"/>
    <w:rsid w:val="00E125FE"/>
    <w:rsid w:val="00E1277A"/>
    <w:rsid w:val="00E127A7"/>
    <w:rsid w:val="00E131D8"/>
    <w:rsid w:val="00E1407D"/>
    <w:rsid w:val="00E14825"/>
    <w:rsid w:val="00E14953"/>
    <w:rsid w:val="00E14D9A"/>
    <w:rsid w:val="00E1582D"/>
    <w:rsid w:val="00E161F1"/>
    <w:rsid w:val="00E17EA4"/>
    <w:rsid w:val="00E17FA2"/>
    <w:rsid w:val="00E20426"/>
    <w:rsid w:val="00E20444"/>
    <w:rsid w:val="00E216F7"/>
    <w:rsid w:val="00E22330"/>
    <w:rsid w:val="00E23AF9"/>
    <w:rsid w:val="00E24339"/>
    <w:rsid w:val="00E24E25"/>
    <w:rsid w:val="00E2513B"/>
    <w:rsid w:val="00E25A48"/>
    <w:rsid w:val="00E26163"/>
    <w:rsid w:val="00E30B5A"/>
    <w:rsid w:val="00E3123D"/>
    <w:rsid w:val="00E31461"/>
    <w:rsid w:val="00E31D43"/>
    <w:rsid w:val="00E31FF2"/>
    <w:rsid w:val="00E32317"/>
    <w:rsid w:val="00E32608"/>
    <w:rsid w:val="00E32A3F"/>
    <w:rsid w:val="00E32B50"/>
    <w:rsid w:val="00E32C3A"/>
    <w:rsid w:val="00E34188"/>
    <w:rsid w:val="00E34B6E"/>
    <w:rsid w:val="00E34EEE"/>
    <w:rsid w:val="00E35559"/>
    <w:rsid w:val="00E35D3B"/>
    <w:rsid w:val="00E3723A"/>
    <w:rsid w:val="00E37860"/>
    <w:rsid w:val="00E37DE5"/>
    <w:rsid w:val="00E37EC2"/>
    <w:rsid w:val="00E40CD1"/>
    <w:rsid w:val="00E41BF6"/>
    <w:rsid w:val="00E420BA"/>
    <w:rsid w:val="00E427BC"/>
    <w:rsid w:val="00E42AEB"/>
    <w:rsid w:val="00E432E1"/>
    <w:rsid w:val="00E4398F"/>
    <w:rsid w:val="00E446F1"/>
    <w:rsid w:val="00E44CDE"/>
    <w:rsid w:val="00E456FF"/>
    <w:rsid w:val="00E46886"/>
    <w:rsid w:val="00E46F62"/>
    <w:rsid w:val="00E4714D"/>
    <w:rsid w:val="00E47AEF"/>
    <w:rsid w:val="00E500B2"/>
    <w:rsid w:val="00E50440"/>
    <w:rsid w:val="00E50C06"/>
    <w:rsid w:val="00E5216B"/>
    <w:rsid w:val="00E52254"/>
    <w:rsid w:val="00E522DC"/>
    <w:rsid w:val="00E53822"/>
    <w:rsid w:val="00E53B75"/>
    <w:rsid w:val="00E5490E"/>
    <w:rsid w:val="00E54E3B"/>
    <w:rsid w:val="00E55129"/>
    <w:rsid w:val="00E55DC8"/>
    <w:rsid w:val="00E5691F"/>
    <w:rsid w:val="00E56D9C"/>
    <w:rsid w:val="00E57565"/>
    <w:rsid w:val="00E57D9E"/>
    <w:rsid w:val="00E6049E"/>
    <w:rsid w:val="00E60B12"/>
    <w:rsid w:val="00E610A7"/>
    <w:rsid w:val="00E61192"/>
    <w:rsid w:val="00E61885"/>
    <w:rsid w:val="00E619DE"/>
    <w:rsid w:val="00E61AC2"/>
    <w:rsid w:val="00E61C67"/>
    <w:rsid w:val="00E62239"/>
    <w:rsid w:val="00E624DA"/>
    <w:rsid w:val="00E6298C"/>
    <w:rsid w:val="00E63838"/>
    <w:rsid w:val="00E63E31"/>
    <w:rsid w:val="00E64434"/>
    <w:rsid w:val="00E64C1A"/>
    <w:rsid w:val="00E65768"/>
    <w:rsid w:val="00E65A4C"/>
    <w:rsid w:val="00E660D3"/>
    <w:rsid w:val="00E662A8"/>
    <w:rsid w:val="00E66953"/>
    <w:rsid w:val="00E66B1B"/>
    <w:rsid w:val="00E6712F"/>
    <w:rsid w:val="00E67182"/>
    <w:rsid w:val="00E67C51"/>
    <w:rsid w:val="00E70411"/>
    <w:rsid w:val="00E704A2"/>
    <w:rsid w:val="00E70784"/>
    <w:rsid w:val="00E70893"/>
    <w:rsid w:val="00E709A3"/>
    <w:rsid w:val="00E727EC"/>
    <w:rsid w:val="00E729DD"/>
    <w:rsid w:val="00E72D9D"/>
    <w:rsid w:val="00E72EFC"/>
    <w:rsid w:val="00E73163"/>
    <w:rsid w:val="00E7338B"/>
    <w:rsid w:val="00E7468F"/>
    <w:rsid w:val="00E748D3"/>
    <w:rsid w:val="00E74EEE"/>
    <w:rsid w:val="00E758EC"/>
    <w:rsid w:val="00E75A6D"/>
    <w:rsid w:val="00E75DF8"/>
    <w:rsid w:val="00E75F30"/>
    <w:rsid w:val="00E7632A"/>
    <w:rsid w:val="00E76C5B"/>
    <w:rsid w:val="00E76EE6"/>
    <w:rsid w:val="00E76F9B"/>
    <w:rsid w:val="00E8234C"/>
    <w:rsid w:val="00E82490"/>
    <w:rsid w:val="00E83AA9"/>
    <w:rsid w:val="00E83BA9"/>
    <w:rsid w:val="00E83D21"/>
    <w:rsid w:val="00E83E12"/>
    <w:rsid w:val="00E84B74"/>
    <w:rsid w:val="00E85928"/>
    <w:rsid w:val="00E87822"/>
    <w:rsid w:val="00E90395"/>
    <w:rsid w:val="00E904B2"/>
    <w:rsid w:val="00E90C5B"/>
    <w:rsid w:val="00E90E49"/>
    <w:rsid w:val="00E91639"/>
    <w:rsid w:val="00E917F9"/>
    <w:rsid w:val="00E91BCF"/>
    <w:rsid w:val="00E927A5"/>
    <w:rsid w:val="00E9291C"/>
    <w:rsid w:val="00E9338B"/>
    <w:rsid w:val="00E93C4A"/>
    <w:rsid w:val="00E93FFE"/>
    <w:rsid w:val="00E94B4C"/>
    <w:rsid w:val="00E94F8A"/>
    <w:rsid w:val="00E967DC"/>
    <w:rsid w:val="00E979DE"/>
    <w:rsid w:val="00EA041B"/>
    <w:rsid w:val="00EA0545"/>
    <w:rsid w:val="00EA1092"/>
    <w:rsid w:val="00EA2164"/>
    <w:rsid w:val="00EA2499"/>
    <w:rsid w:val="00EA2586"/>
    <w:rsid w:val="00EA2D1F"/>
    <w:rsid w:val="00EA3BAF"/>
    <w:rsid w:val="00EA44AD"/>
    <w:rsid w:val="00EA4A45"/>
    <w:rsid w:val="00EA4ACC"/>
    <w:rsid w:val="00EA5CEA"/>
    <w:rsid w:val="00EA5FEF"/>
    <w:rsid w:val="00EA6814"/>
    <w:rsid w:val="00EA7046"/>
    <w:rsid w:val="00EA768D"/>
    <w:rsid w:val="00EA7A41"/>
    <w:rsid w:val="00EA7EA3"/>
    <w:rsid w:val="00EB077B"/>
    <w:rsid w:val="00EB1773"/>
    <w:rsid w:val="00EB2B40"/>
    <w:rsid w:val="00EB2FF6"/>
    <w:rsid w:val="00EB334E"/>
    <w:rsid w:val="00EB3685"/>
    <w:rsid w:val="00EB428C"/>
    <w:rsid w:val="00EB446E"/>
    <w:rsid w:val="00EB4CE0"/>
    <w:rsid w:val="00EB4D1D"/>
    <w:rsid w:val="00EB4EA2"/>
    <w:rsid w:val="00EB5091"/>
    <w:rsid w:val="00EB6BE0"/>
    <w:rsid w:val="00EB6EC5"/>
    <w:rsid w:val="00EB7091"/>
    <w:rsid w:val="00EB77E3"/>
    <w:rsid w:val="00EC115B"/>
    <w:rsid w:val="00EC27C6"/>
    <w:rsid w:val="00EC4207"/>
    <w:rsid w:val="00EC4A68"/>
    <w:rsid w:val="00EC5653"/>
    <w:rsid w:val="00EC5800"/>
    <w:rsid w:val="00EC624B"/>
    <w:rsid w:val="00EC65E6"/>
    <w:rsid w:val="00EC71CE"/>
    <w:rsid w:val="00ED0189"/>
    <w:rsid w:val="00ED060E"/>
    <w:rsid w:val="00ED08A3"/>
    <w:rsid w:val="00ED1006"/>
    <w:rsid w:val="00ED1672"/>
    <w:rsid w:val="00ED1EED"/>
    <w:rsid w:val="00ED1F48"/>
    <w:rsid w:val="00ED5002"/>
    <w:rsid w:val="00ED5162"/>
    <w:rsid w:val="00ED6152"/>
    <w:rsid w:val="00EE048A"/>
    <w:rsid w:val="00EE1EFA"/>
    <w:rsid w:val="00EE39D7"/>
    <w:rsid w:val="00EE3E16"/>
    <w:rsid w:val="00EE4234"/>
    <w:rsid w:val="00EE49E9"/>
    <w:rsid w:val="00EE510E"/>
    <w:rsid w:val="00EE5684"/>
    <w:rsid w:val="00EE573C"/>
    <w:rsid w:val="00EE6C2C"/>
    <w:rsid w:val="00EE6FE1"/>
    <w:rsid w:val="00EE7450"/>
    <w:rsid w:val="00EE7CA6"/>
    <w:rsid w:val="00EF18FE"/>
    <w:rsid w:val="00EF1D39"/>
    <w:rsid w:val="00EF1FDF"/>
    <w:rsid w:val="00EF42CE"/>
    <w:rsid w:val="00EF4DE4"/>
    <w:rsid w:val="00EF4DF5"/>
    <w:rsid w:val="00EF50BD"/>
    <w:rsid w:val="00EF5122"/>
    <w:rsid w:val="00EF5787"/>
    <w:rsid w:val="00EF6084"/>
    <w:rsid w:val="00EF60D0"/>
    <w:rsid w:val="00EF674D"/>
    <w:rsid w:val="00F0079F"/>
    <w:rsid w:val="00F020A5"/>
    <w:rsid w:val="00F027B4"/>
    <w:rsid w:val="00F03A57"/>
    <w:rsid w:val="00F03B0D"/>
    <w:rsid w:val="00F0528D"/>
    <w:rsid w:val="00F06C67"/>
    <w:rsid w:val="00F06DFD"/>
    <w:rsid w:val="00F070EB"/>
    <w:rsid w:val="00F071D1"/>
    <w:rsid w:val="00F07205"/>
    <w:rsid w:val="00F07533"/>
    <w:rsid w:val="00F0794F"/>
    <w:rsid w:val="00F10629"/>
    <w:rsid w:val="00F10753"/>
    <w:rsid w:val="00F129CA"/>
    <w:rsid w:val="00F13268"/>
    <w:rsid w:val="00F148EB"/>
    <w:rsid w:val="00F14F48"/>
    <w:rsid w:val="00F153BA"/>
    <w:rsid w:val="00F154BD"/>
    <w:rsid w:val="00F156C0"/>
    <w:rsid w:val="00F15FA5"/>
    <w:rsid w:val="00F16060"/>
    <w:rsid w:val="00F1692D"/>
    <w:rsid w:val="00F17052"/>
    <w:rsid w:val="00F1734F"/>
    <w:rsid w:val="00F17382"/>
    <w:rsid w:val="00F17D8D"/>
    <w:rsid w:val="00F2003E"/>
    <w:rsid w:val="00F200DE"/>
    <w:rsid w:val="00F209B7"/>
    <w:rsid w:val="00F21028"/>
    <w:rsid w:val="00F21659"/>
    <w:rsid w:val="00F22431"/>
    <w:rsid w:val="00F22A39"/>
    <w:rsid w:val="00F2376F"/>
    <w:rsid w:val="00F23770"/>
    <w:rsid w:val="00F24216"/>
    <w:rsid w:val="00F243D8"/>
    <w:rsid w:val="00F2485A"/>
    <w:rsid w:val="00F25453"/>
    <w:rsid w:val="00F2594C"/>
    <w:rsid w:val="00F25BFD"/>
    <w:rsid w:val="00F266A5"/>
    <w:rsid w:val="00F27815"/>
    <w:rsid w:val="00F30828"/>
    <w:rsid w:val="00F313D6"/>
    <w:rsid w:val="00F32168"/>
    <w:rsid w:val="00F323D7"/>
    <w:rsid w:val="00F3261E"/>
    <w:rsid w:val="00F32A91"/>
    <w:rsid w:val="00F34128"/>
    <w:rsid w:val="00F34273"/>
    <w:rsid w:val="00F3488D"/>
    <w:rsid w:val="00F350C7"/>
    <w:rsid w:val="00F35900"/>
    <w:rsid w:val="00F35921"/>
    <w:rsid w:val="00F35E71"/>
    <w:rsid w:val="00F37A85"/>
    <w:rsid w:val="00F37D32"/>
    <w:rsid w:val="00F402FB"/>
    <w:rsid w:val="00F4076F"/>
    <w:rsid w:val="00F40F0C"/>
    <w:rsid w:val="00F42484"/>
    <w:rsid w:val="00F44C3B"/>
    <w:rsid w:val="00F455C7"/>
    <w:rsid w:val="00F45AEE"/>
    <w:rsid w:val="00F4766C"/>
    <w:rsid w:val="00F503A9"/>
    <w:rsid w:val="00F5052A"/>
    <w:rsid w:val="00F507D1"/>
    <w:rsid w:val="00F50E80"/>
    <w:rsid w:val="00F519CE"/>
    <w:rsid w:val="00F51ADA"/>
    <w:rsid w:val="00F52896"/>
    <w:rsid w:val="00F545F9"/>
    <w:rsid w:val="00F54C84"/>
    <w:rsid w:val="00F55449"/>
    <w:rsid w:val="00F5598F"/>
    <w:rsid w:val="00F55EA7"/>
    <w:rsid w:val="00F56F8D"/>
    <w:rsid w:val="00F57B3C"/>
    <w:rsid w:val="00F57D36"/>
    <w:rsid w:val="00F60074"/>
    <w:rsid w:val="00F607C5"/>
    <w:rsid w:val="00F60B11"/>
    <w:rsid w:val="00F60DEA"/>
    <w:rsid w:val="00F6302A"/>
    <w:rsid w:val="00F63F81"/>
    <w:rsid w:val="00F64C2B"/>
    <w:rsid w:val="00F64F0C"/>
    <w:rsid w:val="00F64FEA"/>
    <w:rsid w:val="00F651BE"/>
    <w:rsid w:val="00F65549"/>
    <w:rsid w:val="00F66806"/>
    <w:rsid w:val="00F67C45"/>
    <w:rsid w:val="00F67F53"/>
    <w:rsid w:val="00F703BE"/>
    <w:rsid w:val="00F71099"/>
    <w:rsid w:val="00F71F69"/>
    <w:rsid w:val="00F72B72"/>
    <w:rsid w:val="00F72D7B"/>
    <w:rsid w:val="00F72E21"/>
    <w:rsid w:val="00F733B5"/>
    <w:rsid w:val="00F74BB9"/>
    <w:rsid w:val="00F752EC"/>
    <w:rsid w:val="00F75582"/>
    <w:rsid w:val="00F75F8E"/>
    <w:rsid w:val="00F76EFA"/>
    <w:rsid w:val="00F778A9"/>
    <w:rsid w:val="00F804BE"/>
    <w:rsid w:val="00F80FC2"/>
    <w:rsid w:val="00F8142D"/>
    <w:rsid w:val="00F81721"/>
    <w:rsid w:val="00F817CE"/>
    <w:rsid w:val="00F83817"/>
    <w:rsid w:val="00F8456C"/>
    <w:rsid w:val="00F859D8"/>
    <w:rsid w:val="00F8650F"/>
    <w:rsid w:val="00F868F5"/>
    <w:rsid w:val="00F87344"/>
    <w:rsid w:val="00F9056A"/>
    <w:rsid w:val="00F90F8D"/>
    <w:rsid w:val="00F9165B"/>
    <w:rsid w:val="00F925D7"/>
    <w:rsid w:val="00F92782"/>
    <w:rsid w:val="00F927A0"/>
    <w:rsid w:val="00F92AC3"/>
    <w:rsid w:val="00F93AA9"/>
    <w:rsid w:val="00F94C8C"/>
    <w:rsid w:val="00F94EE7"/>
    <w:rsid w:val="00F9620A"/>
    <w:rsid w:val="00F96690"/>
    <w:rsid w:val="00F96985"/>
    <w:rsid w:val="00F97838"/>
    <w:rsid w:val="00FA1970"/>
    <w:rsid w:val="00FA1B19"/>
    <w:rsid w:val="00FA252C"/>
    <w:rsid w:val="00FA2A19"/>
    <w:rsid w:val="00FA2BB3"/>
    <w:rsid w:val="00FA39E7"/>
    <w:rsid w:val="00FA445F"/>
    <w:rsid w:val="00FA4BFF"/>
    <w:rsid w:val="00FA61DD"/>
    <w:rsid w:val="00FA695A"/>
    <w:rsid w:val="00FA6F82"/>
    <w:rsid w:val="00FA6FA6"/>
    <w:rsid w:val="00FA77F7"/>
    <w:rsid w:val="00FB022F"/>
    <w:rsid w:val="00FB0492"/>
    <w:rsid w:val="00FB05FA"/>
    <w:rsid w:val="00FB0C65"/>
    <w:rsid w:val="00FB10CB"/>
    <w:rsid w:val="00FB12AA"/>
    <w:rsid w:val="00FB158B"/>
    <w:rsid w:val="00FB2274"/>
    <w:rsid w:val="00FB24C1"/>
    <w:rsid w:val="00FB29CF"/>
    <w:rsid w:val="00FB304B"/>
    <w:rsid w:val="00FB4C21"/>
    <w:rsid w:val="00FB4C80"/>
    <w:rsid w:val="00FB5C1D"/>
    <w:rsid w:val="00FB6A6A"/>
    <w:rsid w:val="00FC0743"/>
    <w:rsid w:val="00FC1D05"/>
    <w:rsid w:val="00FC3006"/>
    <w:rsid w:val="00FC3822"/>
    <w:rsid w:val="00FC3D16"/>
    <w:rsid w:val="00FC4089"/>
    <w:rsid w:val="00FC61C5"/>
    <w:rsid w:val="00FC661D"/>
    <w:rsid w:val="00FC708B"/>
    <w:rsid w:val="00FC72C8"/>
    <w:rsid w:val="00FC7429"/>
    <w:rsid w:val="00FD0690"/>
    <w:rsid w:val="00FD07F6"/>
    <w:rsid w:val="00FD0EF1"/>
    <w:rsid w:val="00FD1EC8"/>
    <w:rsid w:val="00FD335C"/>
    <w:rsid w:val="00FD36A3"/>
    <w:rsid w:val="00FD3FC5"/>
    <w:rsid w:val="00FD47ED"/>
    <w:rsid w:val="00FD5166"/>
    <w:rsid w:val="00FD5D39"/>
    <w:rsid w:val="00FD68B5"/>
    <w:rsid w:val="00FD74DB"/>
    <w:rsid w:val="00FD7660"/>
    <w:rsid w:val="00FD78C4"/>
    <w:rsid w:val="00FD792E"/>
    <w:rsid w:val="00FE035C"/>
    <w:rsid w:val="00FE0655"/>
    <w:rsid w:val="00FE12EA"/>
    <w:rsid w:val="00FE131D"/>
    <w:rsid w:val="00FE1AB3"/>
    <w:rsid w:val="00FE211F"/>
    <w:rsid w:val="00FE21E7"/>
    <w:rsid w:val="00FE2365"/>
    <w:rsid w:val="00FE2968"/>
    <w:rsid w:val="00FE3152"/>
    <w:rsid w:val="00FE42F2"/>
    <w:rsid w:val="00FE4C7B"/>
    <w:rsid w:val="00FE5F69"/>
    <w:rsid w:val="00FE6318"/>
    <w:rsid w:val="00FE67B2"/>
    <w:rsid w:val="00FE7336"/>
    <w:rsid w:val="00FE787C"/>
    <w:rsid w:val="00FF0FF0"/>
    <w:rsid w:val="00FF153E"/>
    <w:rsid w:val="00FF1E2C"/>
    <w:rsid w:val="00FF2AA7"/>
    <w:rsid w:val="00FF2C62"/>
    <w:rsid w:val="00FF2CB4"/>
    <w:rsid w:val="00FF31CC"/>
    <w:rsid w:val="00FF3265"/>
    <w:rsid w:val="00FF45A5"/>
    <w:rsid w:val="00FF5307"/>
    <w:rsid w:val="00FF54D5"/>
    <w:rsid w:val="00FF5BCB"/>
    <w:rsid w:val="00FF5C91"/>
    <w:rsid w:val="00FF67CA"/>
    <w:rsid w:val="00FF76A5"/>
    <w:rsid w:val="0616D120"/>
    <w:rsid w:val="0A0CD93C"/>
    <w:rsid w:val="1790FB4D"/>
    <w:rsid w:val="1D4582D3"/>
    <w:rsid w:val="20B798F0"/>
    <w:rsid w:val="2448FEF3"/>
    <w:rsid w:val="2DF578B4"/>
    <w:rsid w:val="2ED1E14A"/>
    <w:rsid w:val="36A1E468"/>
    <w:rsid w:val="37FBDF6C"/>
    <w:rsid w:val="46F24B93"/>
    <w:rsid w:val="4E3D001C"/>
    <w:rsid w:val="53054251"/>
    <w:rsid w:val="5CA2CBB3"/>
    <w:rsid w:val="61746A55"/>
    <w:rsid w:val="63663D9C"/>
    <w:rsid w:val="63CCB8CC"/>
    <w:rsid w:val="65A2FA7A"/>
    <w:rsid w:val="66183E7F"/>
    <w:rsid w:val="66841AF9"/>
    <w:rsid w:val="71BB799A"/>
    <w:rsid w:val="74C1710D"/>
    <w:rsid w:val="7C019B43"/>
    <w:rsid w:val="7C17FF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4864ECE-19D2-4090-B58E-72EDAC12D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semiHidden/>
    <w:rsid w:val="00D50F97"/>
    <w:rPr>
      <w:sz w:val="16"/>
      <w:szCs w:val="16"/>
    </w:rPr>
  </w:style>
  <w:style w:type="paragraph" w:styleId="CommentText">
    <w:name w:val="annotation text"/>
    <w:basedOn w:val="Normal"/>
    <w:link w:val="CommentTextChar"/>
    <w:uiPriority w:val="99"/>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3005"/>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table" w:styleId="TableGrid">
    <w:name w:val="Table Grid"/>
    <w:basedOn w:val="TableNormal"/>
    <w:uiPriority w:val="39"/>
    <w:rsid w:val="00793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37640E"/>
    <w:pPr>
      <w:ind w:left="720"/>
      <w:contextualSpacing/>
    </w:pPr>
  </w:style>
  <w:style w:type="paragraph" w:customStyle="1" w:styleId="Steps-9thset">
    <w:name w:val="Steps-9th set"/>
    <w:basedOn w:val="Normal"/>
    <w:rsid w:val="005A22AC"/>
    <w:pPr>
      <w:widowControl w:val="0"/>
      <w:numPr>
        <w:numId w:val="11"/>
      </w:numPr>
      <w:overflowPunct/>
      <w:autoSpaceDE/>
      <w:autoSpaceDN/>
      <w:adjustRightInd/>
      <w:spacing w:before="120"/>
      <w:jc w:val="left"/>
      <w:textAlignment w:val="auto"/>
    </w:pPr>
    <w:rPr>
      <w:sz w:val="24"/>
      <w:szCs w:val="24"/>
      <w:lang w:val="en-US" w:eastAsia="en-US"/>
    </w:rPr>
  </w:style>
  <w:style w:type="paragraph" w:customStyle="1" w:styleId="maintext">
    <w:name w:val="main text"/>
    <w:basedOn w:val="Normal"/>
    <w:link w:val="maintextChar"/>
    <w:qFormat/>
    <w:rsid w:val="005A22AC"/>
    <w:pPr>
      <w:overflowPunct/>
      <w:autoSpaceDE/>
      <w:autoSpaceDN/>
      <w:adjustRightInd/>
      <w:spacing w:before="60" w:after="60" w:line="288" w:lineRule="auto"/>
      <w:ind w:firstLineChars="200" w:firstLine="200"/>
      <w:textAlignment w:val="auto"/>
    </w:pPr>
    <w:rPr>
      <w:rFonts w:ascii="Times New Roman" w:eastAsia="Malgun Gothic" w:hAnsi="Times New Roman" w:cs="Batang"/>
      <w:lang w:eastAsia="ko-KR"/>
    </w:rPr>
  </w:style>
  <w:style w:type="character" w:customStyle="1" w:styleId="maintextChar">
    <w:name w:val="main text Char"/>
    <w:link w:val="maintext"/>
    <w:qFormat/>
    <w:rsid w:val="005A22AC"/>
    <w:rPr>
      <w:rFonts w:ascii="Times New Roman" w:eastAsia="Malgun Gothic" w:hAnsi="Times New Roman" w:cs="Batang"/>
      <w:lang w:val="en-GB" w:eastAsia="ko-KR"/>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377DA"/>
    <w:rPr>
      <w:rFonts w:ascii="Arial" w:hAnsi="Arial"/>
      <w:lang w:val="en-GB" w:eastAsia="zh-CN"/>
    </w:rPr>
  </w:style>
  <w:style w:type="character" w:customStyle="1" w:styleId="CommentTextChar">
    <w:name w:val="Comment Text Char"/>
    <w:link w:val="CommentText"/>
    <w:uiPriority w:val="99"/>
    <w:semiHidden/>
    <w:rsid w:val="00647D03"/>
    <w:rPr>
      <w:rFonts w:ascii="Arial" w:hAnsi="Arial"/>
      <w:lang w:val="en-GB" w:eastAsia="zh-CN"/>
    </w:rPr>
  </w:style>
  <w:style w:type="character" w:customStyle="1" w:styleId="TAHCar">
    <w:name w:val="TAH Car"/>
    <w:link w:val="TAH"/>
    <w:locked/>
    <w:rsid w:val="002771E6"/>
    <w:rPr>
      <w:rFonts w:ascii="Arial" w:hAnsi="Arial"/>
      <w:b/>
      <w:sz w:val="18"/>
      <w:lang w:val="en-GB"/>
    </w:rPr>
  </w:style>
  <w:style w:type="paragraph" w:styleId="Subtitle">
    <w:name w:val="Subtitle"/>
    <w:basedOn w:val="Normal"/>
    <w:next w:val="Normal"/>
    <w:link w:val="SubtitleChar"/>
    <w:qFormat/>
    <w:rsid w:val="00C930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93017"/>
    <w:rPr>
      <w:rFonts w:asciiTheme="minorHAnsi" w:eastAsiaTheme="minorEastAsia" w:hAnsiTheme="minorHAnsi" w:cstheme="minorBidi"/>
      <w:color w:val="5A5A5A" w:themeColor="text1" w:themeTint="A5"/>
      <w:spacing w:val="15"/>
      <w:sz w:val="22"/>
      <w:szCs w:val="22"/>
      <w:lang w:val="en-GB" w:eastAsia="zh-CN"/>
    </w:rPr>
  </w:style>
  <w:style w:type="character" w:customStyle="1" w:styleId="IvDbodytextChar">
    <w:name w:val="IvD bodytext Char"/>
    <w:basedOn w:val="DefaultParagraphFont"/>
    <w:link w:val="IvDbodytext"/>
    <w:locked/>
    <w:rsid w:val="00642ED8"/>
    <w:rPr>
      <w:rFonts w:ascii="Arial" w:hAnsi="Arial" w:cs="Arial"/>
      <w:spacing w:val="2"/>
      <w:sz w:val="22"/>
    </w:rPr>
  </w:style>
  <w:style w:type="paragraph" w:customStyle="1" w:styleId="IvDbodytext">
    <w:name w:val="IvD bodytext"/>
    <w:basedOn w:val="BodyText"/>
    <w:link w:val="IvDbodytextChar"/>
    <w:qFormat/>
    <w:rsid w:val="00642E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styleId="PlaceholderText">
    <w:name w:val="Placeholder Text"/>
    <w:basedOn w:val="DefaultParagraphFont"/>
    <w:uiPriority w:val="99"/>
    <w:semiHidden/>
    <w:rsid w:val="007175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458163">
      <w:bodyDiv w:val="1"/>
      <w:marLeft w:val="0"/>
      <w:marRight w:val="0"/>
      <w:marTop w:val="0"/>
      <w:marBottom w:val="0"/>
      <w:divBdr>
        <w:top w:val="none" w:sz="0" w:space="0" w:color="auto"/>
        <w:left w:val="none" w:sz="0" w:space="0" w:color="auto"/>
        <w:bottom w:val="none" w:sz="0" w:space="0" w:color="auto"/>
        <w:right w:val="none" w:sz="0" w:space="0" w:color="auto"/>
      </w:divBdr>
    </w:div>
    <w:div w:id="1717655484">
      <w:bodyDiv w:val="1"/>
      <w:marLeft w:val="0"/>
      <w:marRight w:val="0"/>
      <w:marTop w:val="0"/>
      <w:marBottom w:val="0"/>
      <w:divBdr>
        <w:top w:val="none" w:sz="0" w:space="0" w:color="auto"/>
        <w:left w:val="none" w:sz="0" w:space="0" w:color="auto"/>
        <w:bottom w:val="none" w:sz="0" w:space="0" w:color="auto"/>
        <w:right w:val="none" w:sz="0" w:space="0" w:color="auto"/>
      </w:divBdr>
    </w:div>
    <w:div w:id="1877429716">
      <w:bodyDiv w:val="1"/>
      <w:marLeft w:val="0"/>
      <w:marRight w:val="0"/>
      <w:marTop w:val="0"/>
      <w:marBottom w:val="0"/>
      <w:divBdr>
        <w:top w:val="none" w:sz="0" w:space="0" w:color="auto"/>
        <w:left w:val="none" w:sz="0" w:space="0" w:color="auto"/>
        <w:bottom w:val="none" w:sz="0" w:space="0" w:color="auto"/>
        <w:right w:val="none" w:sz="0" w:space="0" w:color="auto"/>
      </w:divBdr>
    </w:div>
    <w:div w:id="1930499996">
      <w:bodyDiv w:val="1"/>
      <w:marLeft w:val="0"/>
      <w:marRight w:val="0"/>
      <w:marTop w:val="0"/>
      <w:marBottom w:val="0"/>
      <w:divBdr>
        <w:top w:val="none" w:sz="0" w:space="0" w:color="auto"/>
        <w:left w:val="none" w:sz="0" w:space="0" w:color="auto"/>
        <w:bottom w:val="none" w:sz="0" w:space="0" w:color="auto"/>
        <w:right w:val="none" w:sz="0" w:space="0" w:color="auto"/>
      </w:divBdr>
    </w:div>
    <w:div w:id="2011716526">
      <w:bodyDiv w:val="1"/>
      <w:marLeft w:val="0"/>
      <w:marRight w:val="0"/>
      <w:marTop w:val="0"/>
      <w:marBottom w:val="0"/>
      <w:divBdr>
        <w:top w:val="none" w:sz="0" w:space="0" w:color="auto"/>
        <w:left w:val="none" w:sz="0" w:space="0" w:color="auto"/>
        <w:bottom w:val="none" w:sz="0" w:space="0" w:color="auto"/>
        <w:right w:val="none" w:sz="0" w:space="0" w:color="auto"/>
      </w:divBdr>
    </w:div>
    <w:div w:id="2098136486">
      <w:bodyDiv w:val="1"/>
      <w:marLeft w:val="0"/>
      <w:marRight w:val="0"/>
      <w:marTop w:val="0"/>
      <w:marBottom w:val="0"/>
      <w:divBdr>
        <w:top w:val="none" w:sz="0" w:space="0" w:color="auto"/>
        <w:left w:val="none" w:sz="0" w:space="0" w:color="auto"/>
        <w:bottom w:val="none" w:sz="0" w:space="0" w:color="auto"/>
        <w:right w:val="none" w:sz="0" w:space="0" w:color="auto"/>
      </w:divBdr>
    </w:div>
    <w:div w:id="211786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e751c6d81fca9340740f765c406dedb">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c86361253e50da38f4f58c252eab30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7390F-CFD3-4EB5-9B04-839C09B4C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F9AC6988-A222-4B1F-89F0-5598AB0FDB60}">
  <ds:schemaRef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89CEF22B-FF02-4484-AE57-9D9CA4470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TotalTime>
  <Pages>5</Pages>
  <Words>1843</Words>
  <Characters>9339</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Erik Dahlman 2</cp:lastModifiedBy>
  <cp:revision>3</cp:revision>
  <cp:lastPrinted>2019-08-16T21:22:00Z</cp:lastPrinted>
  <dcterms:created xsi:type="dcterms:W3CDTF">2019-11-08T15:54:00Z</dcterms:created>
  <dcterms:modified xsi:type="dcterms:W3CDTF">2019-11-08T16:03:00Z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a72596f7-cddb-48de-8055-87e328452e7e</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0x0101003AA7AC0C743A294CADF60F661720E3E6</vt:lpwstr>
  </property>
  <property fmtid="{D5CDD505-2E9C-101B-9397-08002B2CF9AE}" pid="16" name="URL">
    <vt:lpwstr/>
  </property>
  <property fmtid="{D5CDD505-2E9C-101B-9397-08002B2CF9AE}" pid="17" name="Comments">
    <vt:lpwstr/>
  </property>
</Properties>
</file>