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52769" w:rsidRDefault="00005C7D" w:rsidP="00005C7D">
      <w:pPr>
        <w:widowControl w:val="0"/>
        <w:tabs>
          <w:tab w:val="center" w:pos="4536"/>
          <w:tab w:val="right" w:pos="7938"/>
          <w:tab w:val="right" w:pos="9639"/>
        </w:tabs>
        <w:ind w:right="-58"/>
        <w:rPr>
          <w:rFonts w:eastAsia="MS Mincho"/>
          <w:b/>
          <w:bCs/>
          <w:noProof/>
          <w:sz w:val="28"/>
          <w:szCs w:val="28"/>
        </w:rPr>
      </w:pPr>
      <w:r w:rsidRPr="00252769">
        <w:rPr>
          <w:rFonts w:eastAsia="MS Mincho"/>
          <w:b/>
          <w:bCs/>
          <w:noProof/>
          <w:sz w:val="28"/>
          <w:szCs w:val="28"/>
        </w:rPr>
        <w:t>3GPP TSG RAN WG1 Meeting</w:t>
      </w:r>
      <w:r w:rsidR="00341D25">
        <w:rPr>
          <w:rFonts w:eastAsia="MS Mincho"/>
          <w:b/>
          <w:bCs/>
          <w:noProof/>
          <w:sz w:val="28"/>
          <w:szCs w:val="28"/>
        </w:rPr>
        <w:t xml:space="preserve"> RAN1 #98</w:t>
      </w:r>
      <w:r w:rsidR="00300D87">
        <w:rPr>
          <w:rFonts w:eastAsia="MS Mincho"/>
          <w:b/>
          <w:bCs/>
          <w:noProof/>
          <w:sz w:val="28"/>
          <w:szCs w:val="28"/>
        </w:rPr>
        <w:t>-Bis</w:t>
      </w:r>
      <w:r w:rsidR="00A4575C" w:rsidRPr="00252769">
        <w:rPr>
          <w:rFonts w:eastAsia="MS Mincho"/>
          <w:b/>
          <w:bCs/>
          <w:noProof/>
          <w:sz w:val="28"/>
          <w:szCs w:val="28"/>
        </w:rPr>
        <w:t xml:space="preserve">       </w:t>
      </w:r>
      <w:r w:rsidR="00300D87">
        <w:rPr>
          <w:rFonts w:eastAsia="MS Mincho"/>
          <w:b/>
          <w:bCs/>
          <w:noProof/>
          <w:sz w:val="28"/>
          <w:szCs w:val="28"/>
        </w:rPr>
        <w:t xml:space="preserve">     </w:t>
      </w:r>
      <w:r w:rsidRPr="00252769">
        <w:rPr>
          <w:rFonts w:eastAsia="MS Mincho"/>
          <w:b/>
          <w:bCs/>
          <w:noProof/>
          <w:sz w:val="28"/>
          <w:szCs w:val="28"/>
        </w:rPr>
        <w:t xml:space="preserve">                                           R1-</w:t>
      </w:r>
      <w:r w:rsidR="004D18D3">
        <w:rPr>
          <w:rFonts w:eastAsia="MS Mincho"/>
          <w:b/>
          <w:bCs/>
          <w:noProof/>
          <w:sz w:val="28"/>
          <w:szCs w:val="28"/>
        </w:rPr>
        <w:t>1912100</w:t>
      </w:r>
    </w:p>
    <w:p w:rsidR="00005C7D" w:rsidRPr="00252769" w:rsidRDefault="004D18D3" w:rsidP="00005C7D">
      <w:pPr>
        <w:widowControl w:val="0"/>
        <w:tabs>
          <w:tab w:val="center" w:pos="4536"/>
          <w:tab w:val="right" w:pos="8280"/>
          <w:tab w:val="right" w:pos="9781"/>
        </w:tabs>
        <w:ind w:right="-58"/>
        <w:rPr>
          <w:rFonts w:eastAsia="MS Mincho"/>
          <w:b/>
          <w:bCs/>
          <w:noProof/>
          <w:sz w:val="28"/>
          <w:szCs w:val="28"/>
          <w:lang w:eastAsia="en-US"/>
        </w:rPr>
      </w:pPr>
      <w:r>
        <w:rPr>
          <w:rFonts w:eastAsia="MS Mincho"/>
          <w:b/>
          <w:bCs/>
          <w:noProof/>
          <w:sz w:val="28"/>
          <w:szCs w:val="28"/>
          <w:lang w:eastAsia="en-US"/>
        </w:rPr>
        <w:t>Reno</w:t>
      </w:r>
      <w:r w:rsidRPr="00252769">
        <w:rPr>
          <w:rFonts w:eastAsia="MS Mincho"/>
          <w:b/>
          <w:bCs/>
          <w:noProof/>
          <w:sz w:val="28"/>
          <w:szCs w:val="28"/>
          <w:lang w:eastAsia="en-US"/>
        </w:rPr>
        <w:t xml:space="preserve">, </w:t>
      </w:r>
      <w:r>
        <w:rPr>
          <w:rFonts w:eastAsia="MS Mincho"/>
          <w:b/>
          <w:bCs/>
          <w:noProof/>
          <w:sz w:val="28"/>
          <w:szCs w:val="28"/>
          <w:lang w:eastAsia="en-US"/>
        </w:rPr>
        <w:t>U.S.A., November 18</w:t>
      </w:r>
      <w:r>
        <w:rPr>
          <w:rFonts w:eastAsia="MS Mincho"/>
          <w:b/>
          <w:bCs/>
          <w:noProof/>
          <w:sz w:val="28"/>
          <w:szCs w:val="28"/>
          <w:vertAlign w:val="superscript"/>
          <w:lang w:eastAsia="en-US"/>
        </w:rPr>
        <w:t>th</w:t>
      </w:r>
      <w:r>
        <w:rPr>
          <w:rFonts w:eastAsia="MS Mincho"/>
          <w:b/>
          <w:bCs/>
          <w:noProof/>
          <w:sz w:val="28"/>
          <w:szCs w:val="28"/>
          <w:lang w:eastAsia="en-US"/>
        </w:rPr>
        <w:t xml:space="preserve"> – 22</w:t>
      </w:r>
      <w:r w:rsidRPr="00252769">
        <w:rPr>
          <w:rFonts w:eastAsia="MS Mincho"/>
          <w:b/>
          <w:bCs/>
          <w:noProof/>
          <w:sz w:val="28"/>
          <w:szCs w:val="28"/>
          <w:vertAlign w:val="superscript"/>
          <w:lang w:eastAsia="en-US"/>
        </w:rPr>
        <w:t>th</w:t>
      </w:r>
      <w:r w:rsidRPr="00252769">
        <w:rPr>
          <w:rFonts w:eastAsia="MS Mincho"/>
          <w:b/>
          <w:bCs/>
          <w:noProof/>
          <w:sz w:val="28"/>
          <w:szCs w:val="28"/>
          <w:lang w:eastAsia="en-US"/>
        </w:rPr>
        <w:t>, 2019</w:t>
      </w:r>
    </w:p>
    <w:p w:rsidR="00005C7D" w:rsidRPr="00252769" w:rsidRDefault="00005C7D" w:rsidP="00005C7D">
      <w:pPr>
        <w:pStyle w:val="a6"/>
        <w:rPr>
          <w:bCs/>
          <w:color w:val="000000" w:themeColor="text1"/>
          <w:sz w:val="28"/>
          <w:szCs w:val="28"/>
          <w:lang w:eastAsia="ja-JP"/>
        </w:rPr>
      </w:pP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Agenda item: </w:t>
      </w:r>
      <w:r w:rsidR="00054D57">
        <w:rPr>
          <w:rFonts w:eastAsia="MS Mincho"/>
          <w:b/>
          <w:bCs/>
          <w:noProof/>
          <w:sz w:val="28"/>
          <w:szCs w:val="28"/>
          <w:lang w:eastAsia="en-US"/>
        </w:rPr>
        <w:t>7.2.13.2</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Source: MediaTek Inc.</w:t>
      </w:r>
    </w:p>
    <w:p w:rsidR="00005C7D" w:rsidRPr="00252769"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 xml:space="preserve">Title: </w:t>
      </w:r>
      <w:r w:rsidR="00054D57">
        <w:rPr>
          <w:rFonts w:eastAsia="MS Mincho"/>
          <w:b/>
          <w:bCs/>
          <w:noProof/>
          <w:sz w:val="28"/>
          <w:szCs w:val="28"/>
          <w:lang w:eastAsia="en-US"/>
        </w:rPr>
        <w:t>Enhancements to Single UL Operations for EN-</w:t>
      </w:r>
      <w:r w:rsidR="00054D57" w:rsidRPr="00054D57">
        <w:rPr>
          <w:rFonts w:eastAsia="MS Mincho"/>
          <w:b/>
          <w:bCs/>
          <w:noProof/>
          <w:sz w:val="28"/>
          <w:szCs w:val="28"/>
          <w:lang w:eastAsia="en-US"/>
        </w:rPr>
        <w:t>DC</w:t>
      </w:r>
    </w:p>
    <w:p w:rsidR="00005C7D" w:rsidRDefault="00005C7D" w:rsidP="00005C7D">
      <w:pPr>
        <w:widowControl w:val="0"/>
        <w:tabs>
          <w:tab w:val="center" w:pos="4536"/>
          <w:tab w:val="right" w:pos="8280"/>
          <w:tab w:val="right" w:pos="9781"/>
        </w:tabs>
        <w:ind w:right="-58"/>
        <w:rPr>
          <w:rFonts w:eastAsia="MS Mincho"/>
          <w:b/>
          <w:bCs/>
          <w:noProof/>
          <w:sz w:val="28"/>
          <w:szCs w:val="28"/>
          <w:lang w:eastAsia="en-US"/>
        </w:rPr>
      </w:pPr>
      <w:r w:rsidRPr="00252769">
        <w:rPr>
          <w:rFonts w:eastAsia="MS Mincho"/>
          <w:b/>
          <w:bCs/>
          <w:noProof/>
          <w:sz w:val="28"/>
          <w:szCs w:val="28"/>
          <w:lang w:eastAsia="en-US"/>
        </w:rPr>
        <w:t>Document for: Discussion and Decision</w:t>
      </w:r>
    </w:p>
    <w:p w:rsidR="00B74586" w:rsidRDefault="00B74586" w:rsidP="00005C7D">
      <w:pPr>
        <w:widowControl w:val="0"/>
        <w:tabs>
          <w:tab w:val="center" w:pos="4536"/>
          <w:tab w:val="right" w:pos="8280"/>
          <w:tab w:val="right" w:pos="9781"/>
        </w:tabs>
        <w:ind w:right="-58"/>
        <w:rPr>
          <w:rFonts w:eastAsia="MS Mincho"/>
          <w:b/>
          <w:bCs/>
          <w:noProof/>
          <w:sz w:val="28"/>
          <w:szCs w:val="28"/>
          <w:lang w:eastAsia="en-US"/>
        </w:rPr>
      </w:pP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DA4FB3" w:rsidRDefault="009120A3" w:rsidP="00BE7765">
      <w:r>
        <w:t xml:space="preserve">In </w:t>
      </w:r>
      <w:r w:rsidR="0025296E">
        <w:t>RAN1 #98</w:t>
      </w:r>
      <w:r w:rsidR="004C542D">
        <w:t>-bis</w:t>
      </w:r>
      <w:r w:rsidR="0025296E">
        <w:t xml:space="preserve"> [1]</w:t>
      </w:r>
      <w:r>
        <w:t xml:space="preserve">, </w:t>
      </w:r>
      <w:r w:rsidR="00856AA4">
        <w:t>the following contents are agreed:</w:t>
      </w:r>
    </w:p>
    <w:p w:rsidR="004C542D" w:rsidRPr="007A3E43" w:rsidRDefault="004C542D" w:rsidP="004C542D">
      <w:pPr>
        <w:rPr>
          <w:szCs w:val="20"/>
          <w:lang w:eastAsia="x-none"/>
        </w:rPr>
      </w:pPr>
      <w:r w:rsidRPr="007A3E43">
        <w:rPr>
          <w:szCs w:val="20"/>
          <w:highlight w:val="green"/>
          <w:lang w:eastAsia="x-none"/>
        </w:rPr>
        <w:t>Agreements</w:t>
      </w:r>
      <w:r w:rsidRPr="007A3E43">
        <w:rPr>
          <w:szCs w:val="20"/>
          <w:lang w:eastAsia="x-none"/>
        </w:rPr>
        <w:t>:</w:t>
      </w:r>
    </w:p>
    <w:p w:rsidR="004C542D" w:rsidRPr="007A3E43" w:rsidRDefault="004C542D" w:rsidP="004C542D">
      <w:pPr>
        <w:overflowPunct w:val="0"/>
        <w:autoSpaceDE w:val="0"/>
        <w:autoSpaceDN w:val="0"/>
        <w:adjustRightInd w:val="0"/>
        <w:textAlignment w:val="baseline"/>
        <w:rPr>
          <w:rFonts w:eastAsia="MS Mincho"/>
          <w:bCs/>
          <w:szCs w:val="20"/>
        </w:rPr>
      </w:pPr>
      <w:r w:rsidRPr="007A3E43">
        <w:rPr>
          <w:rFonts w:eastAsia="MS Mincho"/>
          <w:bCs/>
          <w:szCs w:val="20"/>
        </w:rPr>
        <w:t>For single UL operation in EN-DC with LTE TDD PCell, and UE is configured with DL-reference UL/DL configuration, Using only PUCCH formats 3/4/5.</w:t>
      </w:r>
    </w:p>
    <w:p w:rsidR="004C542D" w:rsidRPr="007A3E43" w:rsidRDefault="004C542D" w:rsidP="004C542D">
      <w:pPr>
        <w:numPr>
          <w:ilvl w:val="0"/>
          <w:numId w:val="17"/>
        </w:numPr>
        <w:overflowPunct w:val="0"/>
        <w:autoSpaceDE w:val="0"/>
        <w:autoSpaceDN w:val="0"/>
        <w:adjustRightInd w:val="0"/>
        <w:textAlignment w:val="baseline"/>
        <w:rPr>
          <w:rFonts w:eastAsia="MS Mincho"/>
          <w:bCs/>
          <w:szCs w:val="20"/>
        </w:rPr>
      </w:pPr>
      <w:r w:rsidRPr="007A3E43">
        <w:rPr>
          <w:rFonts w:eastAsia="MS Mincho"/>
          <w:bCs/>
          <w:szCs w:val="20"/>
        </w:rPr>
        <w:t>A default PUCCH format 3 resource is used when the UE only receives PDCCH with DAI=1 and/or SPS PDSCH.</w:t>
      </w:r>
    </w:p>
    <w:p w:rsidR="004C542D" w:rsidRPr="007A3E43" w:rsidRDefault="004C542D" w:rsidP="004C542D">
      <w:pPr>
        <w:numPr>
          <w:ilvl w:val="1"/>
          <w:numId w:val="17"/>
        </w:numPr>
        <w:overflowPunct w:val="0"/>
        <w:autoSpaceDE w:val="0"/>
        <w:autoSpaceDN w:val="0"/>
        <w:adjustRightInd w:val="0"/>
        <w:textAlignment w:val="baseline"/>
        <w:rPr>
          <w:rFonts w:eastAsia="MS Mincho"/>
          <w:bCs/>
          <w:szCs w:val="20"/>
        </w:rPr>
      </w:pPr>
      <w:r w:rsidRPr="007A3E43">
        <w:rPr>
          <w:rFonts w:eastAsia="MS Mincho"/>
          <w:bCs/>
          <w:szCs w:val="20"/>
        </w:rPr>
        <w:t>The default one is corresponding to ARI=00</w:t>
      </w:r>
    </w:p>
    <w:p w:rsidR="004C542D" w:rsidRPr="007A3E43" w:rsidRDefault="004C542D" w:rsidP="004C542D">
      <w:pPr>
        <w:numPr>
          <w:ilvl w:val="1"/>
          <w:numId w:val="17"/>
        </w:numPr>
        <w:overflowPunct w:val="0"/>
        <w:autoSpaceDE w:val="0"/>
        <w:autoSpaceDN w:val="0"/>
        <w:adjustRightInd w:val="0"/>
        <w:textAlignment w:val="baseline"/>
        <w:rPr>
          <w:rFonts w:eastAsia="MS Mincho"/>
          <w:bCs/>
          <w:szCs w:val="20"/>
        </w:rPr>
      </w:pPr>
      <w:r w:rsidRPr="007A3E43">
        <w:rPr>
          <w:rFonts w:eastAsia="MS Mincho"/>
          <w:bCs/>
          <w:szCs w:val="20"/>
        </w:rPr>
        <w:t>Note: the existing multiplexing rule for HARQ-ACK, SR, and CSI onto PUCCH format 3 remains unchanged</w:t>
      </w:r>
    </w:p>
    <w:p w:rsidR="004C542D" w:rsidRPr="007A3E43" w:rsidRDefault="004C542D" w:rsidP="004C542D">
      <w:pPr>
        <w:numPr>
          <w:ilvl w:val="0"/>
          <w:numId w:val="17"/>
        </w:numPr>
        <w:overflowPunct w:val="0"/>
        <w:autoSpaceDE w:val="0"/>
        <w:autoSpaceDN w:val="0"/>
        <w:adjustRightInd w:val="0"/>
        <w:textAlignment w:val="baseline"/>
        <w:rPr>
          <w:rFonts w:eastAsia="MS Mincho"/>
          <w:bCs/>
          <w:szCs w:val="20"/>
        </w:rPr>
      </w:pPr>
      <w:r w:rsidRPr="007A3E43">
        <w:rPr>
          <w:rFonts w:eastAsia="MS Mincho"/>
          <w:bCs/>
          <w:szCs w:val="20"/>
        </w:rPr>
        <w:t>No PUCCH resources are reserved for SPS PDSCH for the UE</w:t>
      </w:r>
    </w:p>
    <w:p w:rsidR="004C542D" w:rsidRDefault="004C542D" w:rsidP="004C542D">
      <w:pPr>
        <w:rPr>
          <w:lang w:eastAsia="x-none"/>
        </w:rPr>
      </w:pPr>
    </w:p>
    <w:p w:rsidR="004C542D" w:rsidRPr="004A4E06" w:rsidRDefault="004C542D" w:rsidP="004C542D">
      <w:pPr>
        <w:rPr>
          <w:szCs w:val="20"/>
          <w:lang w:eastAsia="x-none"/>
        </w:rPr>
      </w:pPr>
      <w:r w:rsidRPr="004A4E06">
        <w:rPr>
          <w:szCs w:val="20"/>
          <w:highlight w:val="green"/>
          <w:lang w:eastAsia="x-none"/>
        </w:rPr>
        <w:t>Agreements</w:t>
      </w:r>
      <w:r w:rsidRPr="004A4E06">
        <w:rPr>
          <w:szCs w:val="20"/>
          <w:lang w:eastAsia="x-none"/>
        </w:rPr>
        <w:t>:</w:t>
      </w:r>
    </w:p>
    <w:p w:rsidR="004C542D" w:rsidRPr="004C542D" w:rsidRDefault="004C542D" w:rsidP="004C542D">
      <w:pPr>
        <w:rPr>
          <w:iCs/>
          <w:szCs w:val="20"/>
          <w:u w:val="single"/>
        </w:rPr>
      </w:pPr>
      <w:r w:rsidRPr="004C542D">
        <w:rPr>
          <w:iCs/>
          <w:szCs w:val="20"/>
        </w:rPr>
        <w:t xml:space="preserve">If a UE is configured with Case1 HARQ timing in EN-DC, with LTE TDD Pcell and (as a </w:t>
      </w:r>
      <w:r w:rsidRPr="004C542D">
        <w:rPr>
          <w:iCs/>
          <w:szCs w:val="20"/>
          <w:highlight w:val="darkYellow"/>
        </w:rPr>
        <w:t>working assumption</w:t>
      </w:r>
      <w:r w:rsidRPr="004C542D">
        <w:rPr>
          <w:iCs/>
          <w:szCs w:val="20"/>
        </w:rPr>
        <w:t xml:space="preserve">) with LTE FDD PCell, </w:t>
      </w:r>
      <w:r w:rsidRPr="004C542D">
        <w:rPr>
          <w:b/>
          <w:iCs/>
          <w:szCs w:val="20"/>
        </w:rPr>
        <w:t>UE’s PRACH resource configurations are not limited to the UL subframes given by the DL-reference config</w:t>
      </w:r>
      <w:r w:rsidRPr="004C542D">
        <w:rPr>
          <w:iCs/>
          <w:szCs w:val="20"/>
        </w:rPr>
        <w:t>.</w:t>
      </w:r>
    </w:p>
    <w:p w:rsidR="004C542D" w:rsidRPr="004A4E06" w:rsidRDefault="004C542D" w:rsidP="004C542D">
      <w:pPr>
        <w:pStyle w:val="a4"/>
        <w:numPr>
          <w:ilvl w:val="0"/>
          <w:numId w:val="18"/>
        </w:numPr>
        <w:contextualSpacing w:val="0"/>
        <w:rPr>
          <w:iCs/>
          <w:szCs w:val="20"/>
          <w:u w:val="single"/>
        </w:rPr>
      </w:pPr>
      <w:r w:rsidRPr="004A4E06">
        <w:rPr>
          <w:iCs/>
          <w:szCs w:val="20"/>
        </w:rPr>
        <w:t xml:space="preserve">For type 1 UE (i.e. with fast communication between LTE and NR modems): if the UE’s LTE PRACH transmission collides with an NR UL transmission, LTE PRACH transmission is prioritized </w:t>
      </w:r>
    </w:p>
    <w:p w:rsidR="004C542D" w:rsidRPr="004C542D" w:rsidRDefault="004C542D" w:rsidP="004C542D">
      <w:pPr>
        <w:pStyle w:val="a4"/>
        <w:numPr>
          <w:ilvl w:val="0"/>
          <w:numId w:val="18"/>
        </w:numPr>
        <w:contextualSpacing w:val="0"/>
        <w:rPr>
          <w:iCs/>
          <w:szCs w:val="20"/>
          <w:u w:val="single"/>
        </w:rPr>
      </w:pPr>
      <w:r w:rsidRPr="004A4E06">
        <w:rPr>
          <w:iCs/>
          <w:szCs w:val="20"/>
        </w:rPr>
        <w:t>For type 2 UE (i.e. without fast communication between LTE and NR modems): the UE is not required to support transmission of LTE PRACH transmission which does not coincide with the configured HARQ-ACK transmission occasions</w:t>
      </w:r>
    </w:p>
    <w:p w:rsidR="004C542D" w:rsidRPr="004C542D" w:rsidRDefault="004C542D" w:rsidP="004C542D">
      <w:pPr>
        <w:rPr>
          <w:iCs/>
          <w:szCs w:val="20"/>
          <w:u w:val="single"/>
        </w:rPr>
      </w:pPr>
    </w:p>
    <w:p w:rsidR="004C542D" w:rsidRPr="00674103" w:rsidRDefault="004C542D" w:rsidP="004C542D">
      <w:pPr>
        <w:rPr>
          <w:szCs w:val="20"/>
          <w:lang w:eastAsia="x-none"/>
        </w:rPr>
      </w:pPr>
      <w:r w:rsidRPr="00674103">
        <w:rPr>
          <w:szCs w:val="20"/>
          <w:highlight w:val="green"/>
          <w:lang w:eastAsia="x-none"/>
        </w:rPr>
        <w:t>Agreements</w:t>
      </w:r>
      <w:r w:rsidRPr="00674103">
        <w:rPr>
          <w:szCs w:val="20"/>
          <w:lang w:eastAsia="x-none"/>
        </w:rPr>
        <w:t>:</w:t>
      </w:r>
    </w:p>
    <w:p w:rsidR="004C542D" w:rsidRPr="00674103" w:rsidRDefault="004C542D" w:rsidP="004C542D">
      <w:pPr>
        <w:pStyle w:val="a4"/>
        <w:numPr>
          <w:ilvl w:val="0"/>
          <w:numId w:val="19"/>
        </w:numPr>
        <w:contextualSpacing w:val="0"/>
        <w:jc w:val="both"/>
        <w:rPr>
          <w:rFonts w:eastAsia="MS Mincho"/>
          <w:szCs w:val="20"/>
        </w:rPr>
      </w:pPr>
      <w:r w:rsidRPr="00674103">
        <w:rPr>
          <w:rFonts w:eastAsia="MS Mincho"/>
          <w:szCs w:val="20"/>
        </w:rPr>
        <w:t xml:space="preserve">Introduce a new UE capability of supporting DL reference configuration for </w:t>
      </w:r>
      <w:bookmarkStart w:id="0" w:name="_Hlk22080274"/>
      <w:r>
        <w:rPr>
          <w:rFonts w:eastAsia="MS Mincho"/>
          <w:szCs w:val="20"/>
        </w:rPr>
        <w:t>dual-Tx</w:t>
      </w:r>
      <w:r w:rsidRPr="00674103">
        <w:rPr>
          <w:rFonts w:eastAsia="MS Mincho"/>
          <w:szCs w:val="20"/>
        </w:rPr>
        <w:t xml:space="preserve"> UL </w:t>
      </w:r>
      <w:bookmarkEnd w:id="0"/>
      <w:r w:rsidRPr="00674103">
        <w:rPr>
          <w:rFonts w:eastAsia="MS Mincho"/>
          <w:szCs w:val="20"/>
        </w:rPr>
        <w:t>(e.g., to handle DL de-sensing from harmonics)</w:t>
      </w:r>
    </w:p>
    <w:p w:rsidR="004C542D" w:rsidRDefault="004C542D" w:rsidP="004C542D">
      <w:pPr>
        <w:pStyle w:val="a4"/>
        <w:ind w:left="360"/>
        <w:jc w:val="both"/>
        <w:rPr>
          <w:rFonts w:eastAsia="MS Mincho"/>
          <w:sz w:val="28"/>
          <w:szCs w:val="28"/>
        </w:rPr>
      </w:pPr>
    </w:p>
    <w:p w:rsidR="004C542D" w:rsidRPr="00BD6C26" w:rsidRDefault="004C542D" w:rsidP="004C542D">
      <w:pPr>
        <w:pStyle w:val="a4"/>
        <w:ind w:left="0"/>
        <w:jc w:val="both"/>
        <w:rPr>
          <w:rFonts w:eastAsia="MS Mincho"/>
          <w:szCs w:val="20"/>
          <w:highlight w:val="green"/>
        </w:rPr>
      </w:pPr>
      <w:r w:rsidRPr="00BD6C26">
        <w:rPr>
          <w:rFonts w:eastAsia="MS Mincho"/>
          <w:szCs w:val="20"/>
          <w:highlight w:val="green"/>
        </w:rPr>
        <w:t>Agreements:</w:t>
      </w:r>
    </w:p>
    <w:p w:rsidR="004C542D" w:rsidRPr="00BD6C26" w:rsidRDefault="004C542D" w:rsidP="004C542D">
      <w:pPr>
        <w:pStyle w:val="a4"/>
        <w:numPr>
          <w:ilvl w:val="0"/>
          <w:numId w:val="19"/>
        </w:numPr>
        <w:contextualSpacing w:val="0"/>
        <w:jc w:val="both"/>
        <w:rPr>
          <w:rFonts w:eastAsia="MS Mincho"/>
          <w:szCs w:val="20"/>
        </w:rPr>
      </w:pPr>
      <w:r w:rsidRPr="00BD6C26">
        <w:rPr>
          <w:rFonts w:eastAsia="MS Mincho"/>
          <w:szCs w:val="20"/>
        </w:rPr>
        <w:t>For the single-Tx case, for FDD LTE Pcell,</w:t>
      </w:r>
    </w:p>
    <w:p w:rsidR="004C542D" w:rsidRPr="00BD6C26" w:rsidRDefault="004C542D" w:rsidP="004C542D">
      <w:pPr>
        <w:pStyle w:val="a4"/>
        <w:numPr>
          <w:ilvl w:val="1"/>
          <w:numId w:val="19"/>
        </w:numPr>
        <w:contextualSpacing w:val="0"/>
        <w:jc w:val="both"/>
        <w:rPr>
          <w:rFonts w:eastAsia="MS Mincho"/>
          <w:szCs w:val="20"/>
        </w:rPr>
      </w:pPr>
      <w:r w:rsidRPr="00BD6C26">
        <w:rPr>
          <w:rFonts w:eastAsia="MS Mincho"/>
          <w:szCs w:val="20"/>
        </w:rPr>
        <w:t>All uplink subframes can be scheduled for LTE for type 1 UEs</w:t>
      </w:r>
    </w:p>
    <w:p w:rsidR="004C542D" w:rsidRPr="00BD6C26" w:rsidRDefault="004C542D" w:rsidP="004C542D">
      <w:pPr>
        <w:pStyle w:val="a4"/>
        <w:numPr>
          <w:ilvl w:val="2"/>
          <w:numId w:val="19"/>
        </w:numPr>
        <w:contextualSpacing w:val="0"/>
        <w:jc w:val="both"/>
        <w:rPr>
          <w:rFonts w:eastAsia="MS Mincho"/>
          <w:szCs w:val="20"/>
        </w:rPr>
      </w:pPr>
      <w:r w:rsidRPr="00BD6C26">
        <w:rPr>
          <w:rFonts w:eastAsia="MS Mincho"/>
          <w:szCs w:val="20"/>
        </w:rPr>
        <w:t>In which case, NR transmission is dropped for when the LTE and NR transmissions collide</w:t>
      </w:r>
    </w:p>
    <w:p w:rsidR="004C542D" w:rsidRPr="00BD6C26" w:rsidRDefault="004C542D" w:rsidP="004C542D">
      <w:pPr>
        <w:pStyle w:val="a4"/>
        <w:numPr>
          <w:ilvl w:val="2"/>
          <w:numId w:val="19"/>
        </w:numPr>
        <w:contextualSpacing w:val="0"/>
        <w:jc w:val="both"/>
        <w:rPr>
          <w:rFonts w:eastAsia="MS Mincho"/>
          <w:szCs w:val="20"/>
        </w:rPr>
      </w:pPr>
      <w:r w:rsidRPr="00BD6C26">
        <w:rPr>
          <w:rFonts w:eastAsia="MS Mincho"/>
          <w:szCs w:val="20"/>
        </w:rPr>
        <w:t>Note: there is no change of UL scheduling timing for LTE</w:t>
      </w:r>
    </w:p>
    <w:p w:rsidR="004C542D" w:rsidRPr="00BD6C26" w:rsidRDefault="004C542D" w:rsidP="004C542D">
      <w:pPr>
        <w:pStyle w:val="a4"/>
        <w:ind w:left="0"/>
        <w:jc w:val="both"/>
        <w:rPr>
          <w:rFonts w:eastAsia="MS Mincho"/>
          <w:szCs w:val="20"/>
        </w:rPr>
      </w:pPr>
      <w:r w:rsidRPr="00BD6C26">
        <w:rPr>
          <w:rFonts w:eastAsia="MS Mincho"/>
          <w:szCs w:val="20"/>
          <w:highlight w:val="green"/>
        </w:rPr>
        <w:t>Agreements</w:t>
      </w:r>
      <w:r w:rsidRPr="00BD6C26">
        <w:rPr>
          <w:rFonts w:eastAsia="MS Mincho"/>
          <w:szCs w:val="20"/>
        </w:rPr>
        <w:t>:</w:t>
      </w:r>
    </w:p>
    <w:p w:rsidR="004C542D" w:rsidRPr="00BD6C26" w:rsidRDefault="004C542D" w:rsidP="004C542D">
      <w:pPr>
        <w:pStyle w:val="a4"/>
        <w:numPr>
          <w:ilvl w:val="0"/>
          <w:numId w:val="19"/>
        </w:numPr>
        <w:contextualSpacing w:val="0"/>
        <w:jc w:val="both"/>
        <w:rPr>
          <w:rFonts w:eastAsia="MS Mincho"/>
          <w:szCs w:val="20"/>
        </w:rPr>
      </w:pPr>
      <w:r w:rsidRPr="00BD6C26">
        <w:rPr>
          <w:rFonts w:eastAsia="MS Mincho"/>
          <w:szCs w:val="20"/>
        </w:rPr>
        <w:t>For the dual-Tx case, for FDD LTE Pcell,</w:t>
      </w:r>
    </w:p>
    <w:p w:rsidR="004C542D" w:rsidRPr="00BD6C26" w:rsidRDefault="004C542D" w:rsidP="004C542D">
      <w:pPr>
        <w:pStyle w:val="a4"/>
        <w:numPr>
          <w:ilvl w:val="1"/>
          <w:numId w:val="19"/>
        </w:numPr>
        <w:contextualSpacing w:val="0"/>
        <w:jc w:val="both"/>
        <w:rPr>
          <w:rFonts w:eastAsia="MS Mincho"/>
          <w:szCs w:val="20"/>
        </w:rPr>
      </w:pPr>
      <w:r w:rsidRPr="00BD6C26">
        <w:rPr>
          <w:rFonts w:eastAsia="MS Mincho"/>
          <w:szCs w:val="20"/>
        </w:rPr>
        <w:t xml:space="preserve">All uplink subframes can be scheduled for LTE at least for type 1 UEs </w:t>
      </w:r>
    </w:p>
    <w:p w:rsidR="004C542D" w:rsidRPr="00BD6C26" w:rsidRDefault="004C542D" w:rsidP="004C542D">
      <w:pPr>
        <w:pStyle w:val="a4"/>
        <w:numPr>
          <w:ilvl w:val="2"/>
          <w:numId w:val="19"/>
        </w:numPr>
        <w:contextualSpacing w:val="0"/>
        <w:jc w:val="both"/>
        <w:rPr>
          <w:rFonts w:eastAsia="MS Mincho"/>
          <w:szCs w:val="20"/>
        </w:rPr>
      </w:pPr>
      <w:r w:rsidRPr="00BD6C26">
        <w:rPr>
          <w:rFonts w:eastAsia="MS Mincho"/>
          <w:szCs w:val="20"/>
        </w:rPr>
        <w:t>Note: there is no change of UL scheduling timing for LTE</w:t>
      </w:r>
    </w:p>
    <w:p w:rsidR="004C542D" w:rsidRPr="009C2C29" w:rsidRDefault="004C542D" w:rsidP="004C542D">
      <w:pPr>
        <w:pStyle w:val="a4"/>
        <w:ind w:left="0"/>
        <w:jc w:val="both"/>
        <w:rPr>
          <w:rFonts w:eastAsia="MS Mincho"/>
          <w:szCs w:val="20"/>
        </w:rPr>
      </w:pPr>
      <w:r w:rsidRPr="009C2C29">
        <w:rPr>
          <w:rFonts w:eastAsia="MS Mincho"/>
          <w:szCs w:val="20"/>
          <w:highlight w:val="green"/>
        </w:rPr>
        <w:t>Agreements</w:t>
      </w:r>
      <w:r w:rsidRPr="009C2C29">
        <w:rPr>
          <w:rFonts w:eastAsia="MS Mincho"/>
          <w:szCs w:val="20"/>
        </w:rPr>
        <w:t>:</w:t>
      </w:r>
    </w:p>
    <w:p w:rsidR="004C542D" w:rsidRPr="009C2C29" w:rsidRDefault="004C542D" w:rsidP="004C542D">
      <w:pPr>
        <w:pStyle w:val="a4"/>
        <w:numPr>
          <w:ilvl w:val="0"/>
          <w:numId w:val="19"/>
        </w:numPr>
        <w:contextualSpacing w:val="0"/>
        <w:jc w:val="both"/>
        <w:rPr>
          <w:rFonts w:eastAsia="MS Mincho"/>
          <w:szCs w:val="20"/>
        </w:rPr>
      </w:pPr>
      <w:r w:rsidRPr="009C2C29">
        <w:rPr>
          <w:rFonts w:eastAsia="MS Mincho"/>
          <w:szCs w:val="20"/>
        </w:rPr>
        <w:t>Support new RRC signaling “tdm-PatternConfig-r16” to configure a UE with a DL-reference config to the MCG PCell (LTE FDD) according to Rel-16 behavior</w:t>
      </w:r>
    </w:p>
    <w:p w:rsidR="004C542D" w:rsidRPr="009C2C29" w:rsidRDefault="004C542D" w:rsidP="004C542D">
      <w:pPr>
        <w:pStyle w:val="a4"/>
        <w:numPr>
          <w:ilvl w:val="0"/>
          <w:numId w:val="19"/>
        </w:numPr>
        <w:contextualSpacing w:val="0"/>
        <w:jc w:val="both"/>
        <w:rPr>
          <w:rFonts w:eastAsia="MS Mincho"/>
          <w:szCs w:val="20"/>
        </w:rPr>
      </w:pPr>
      <w:r w:rsidRPr="009C2C29">
        <w:rPr>
          <w:rFonts w:eastAsia="MS Mincho"/>
          <w:bCs/>
          <w:szCs w:val="20"/>
        </w:rPr>
        <w:lastRenderedPageBreak/>
        <w:t>FFS: Introduce a new per-BC capability bit for UE to indicate that DL de-sensing from Harmonic need to be handled by configuring DL-reference config to the LTE PCell and limit LTE UL transmissions to a subset of the subframes</w:t>
      </w:r>
    </w:p>
    <w:p w:rsidR="00475B1D" w:rsidRPr="004C542D" w:rsidRDefault="00475B1D" w:rsidP="004C542D">
      <w:pPr>
        <w:jc w:val="both"/>
        <w:rPr>
          <w:sz w:val="22"/>
          <w:szCs w:val="22"/>
        </w:rPr>
      </w:pPr>
    </w:p>
    <w:p w:rsidR="00930223" w:rsidRDefault="00930223" w:rsidP="00BE7765"/>
    <w:p w:rsidR="00DA4FB3" w:rsidRDefault="00DA4FB3" w:rsidP="00BE7765">
      <w:r>
        <w:t>This tdoc</w:t>
      </w:r>
      <w:r w:rsidR="00475B1D">
        <w:t xml:space="preserve"> focus on the discussions of</w:t>
      </w:r>
      <w:r>
        <w:t xml:space="preserve"> </w:t>
      </w:r>
      <w:r w:rsidR="00475B1D">
        <w:t>enhancements to single UL o</w:t>
      </w:r>
      <w:r w:rsidR="00475B1D" w:rsidRPr="00475B1D">
        <w:t>perations for</w:t>
      </w:r>
      <w:r w:rsidR="00475B1D">
        <w:t xml:space="preserve"> Rel-16 E</w:t>
      </w:r>
      <w:r w:rsidRPr="00DA4FB3">
        <w:t>N-DC</w:t>
      </w:r>
      <w:r>
        <w:t>.</w:t>
      </w:r>
    </w:p>
    <w:p w:rsidR="003F712E"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00B97072">
        <w:rPr>
          <w:rFonts w:cs="Arial"/>
          <w:color w:val="000000" w:themeColor="text1"/>
        </w:rPr>
        <w:t>UE Behaviour when</w:t>
      </w:r>
      <w:r w:rsidR="00E930F4">
        <w:rPr>
          <w:rFonts w:cs="Arial"/>
          <w:color w:val="000000" w:themeColor="text1"/>
        </w:rPr>
        <w:t xml:space="preserve"> configured with single uplink operation for FDD PCell or TDD PCell</w:t>
      </w:r>
    </w:p>
    <w:p w:rsidR="00C66A34" w:rsidRDefault="00C66A34" w:rsidP="00C66A34">
      <w:r w:rsidRPr="00C66A34">
        <w:t xml:space="preserve">In RAN1 98-bis, </w:t>
      </w:r>
      <w:r>
        <w:t>there was an agreement that:</w:t>
      </w:r>
    </w:p>
    <w:p w:rsidR="00C66A34" w:rsidRPr="00BD6C26" w:rsidRDefault="00C66A34" w:rsidP="00C66A34">
      <w:pPr>
        <w:pStyle w:val="a4"/>
        <w:ind w:left="0"/>
        <w:jc w:val="both"/>
        <w:rPr>
          <w:rFonts w:eastAsia="MS Mincho"/>
          <w:szCs w:val="20"/>
        </w:rPr>
      </w:pPr>
      <w:r w:rsidRPr="00BD6C26">
        <w:rPr>
          <w:rFonts w:eastAsia="MS Mincho"/>
          <w:szCs w:val="20"/>
          <w:highlight w:val="green"/>
        </w:rPr>
        <w:t>Agreements</w:t>
      </w:r>
      <w:r w:rsidRPr="00BD6C26">
        <w:rPr>
          <w:rFonts w:eastAsia="MS Mincho"/>
          <w:szCs w:val="20"/>
        </w:rPr>
        <w:t>:</w:t>
      </w:r>
    </w:p>
    <w:p w:rsidR="00C66A34" w:rsidRPr="00BD6C26" w:rsidRDefault="00C66A34" w:rsidP="00C66A34">
      <w:pPr>
        <w:pStyle w:val="a4"/>
        <w:numPr>
          <w:ilvl w:val="0"/>
          <w:numId w:val="19"/>
        </w:numPr>
        <w:contextualSpacing w:val="0"/>
        <w:jc w:val="both"/>
        <w:rPr>
          <w:rFonts w:eastAsia="MS Mincho"/>
          <w:szCs w:val="20"/>
        </w:rPr>
      </w:pPr>
      <w:r w:rsidRPr="00BD6C26">
        <w:rPr>
          <w:rFonts w:eastAsia="MS Mincho"/>
          <w:szCs w:val="20"/>
        </w:rPr>
        <w:t>For the dual-Tx case, for FDD LTE Pcell,</w:t>
      </w:r>
    </w:p>
    <w:p w:rsidR="00C66A34" w:rsidRPr="00BD6C26" w:rsidRDefault="00C66A34" w:rsidP="00C66A34">
      <w:pPr>
        <w:pStyle w:val="a4"/>
        <w:numPr>
          <w:ilvl w:val="1"/>
          <w:numId w:val="19"/>
        </w:numPr>
        <w:contextualSpacing w:val="0"/>
        <w:jc w:val="both"/>
        <w:rPr>
          <w:rFonts w:eastAsia="MS Mincho"/>
          <w:szCs w:val="20"/>
        </w:rPr>
      </w:pPr>
      <w:r w:rsidRPr="00BD6C26">
        <w:rPr>
          <w:rFonts w:eastAsia="MS Mincho"/>
          <w:szCs w:val="20"/>
        </w:rPr>
        <w:t xml:space="preserve">All uplink subframes can be scheduled for LTE at least for type 1 UEs </w:t>
      </w:r>
    </w:p>
    <w:p w:rsidR="00C66A34" w:rsidRPr="00BD6C26" w:rsidRDefault="00C66A34" w:rsidP="00C66A34">
      <w:pPr>
        <w:pStyle w:val="a4"/>
        <w:numPr>
          <w:ilvl w:val="2"/>
          <w:numId w:val="19"/>
        </w:numPr>
        <w:contextualSpacing w:val="0"/>
        <w:jc w:val="both"/>
        <w:rPr>
          <w:rFonts w:eastAsia="MS Mincho"/>
          <w:szCs w:val="20"/>
        </w:rPr>
      </w:pPr>
      <w:r w:rsidRPr="00BD6C26">
        <w:rPr>
          <w:rFonts w:eastAsia="MS Mincho"/>
          <w:szCs w:val="20"/>
        </w:rPr>
        <w:t>Note: there is no change of UL scheduling timing for LTE</w:t>
      </w:r>
    </w:p>
    <w:p w:rsidR="00C66A34" w:rsidRDefault="00C66A34" w:rsidP="00C66A34">
      <w:pPr>
        <w:rPr>
          <w:rFonts w:eastAsia="MS Mincho"/>
          <w:szCs w:val="20"/>
        </w:rPr>
      </w:pPr>
      <w:r>
        <w:t xml:space="preserve">If </w:t>
      </w:r>
      <w:r>
        <w:rPr>
          <w:rFonts w:eastAsia="MS Mincho"/>
          <w:szCs w:val="20"/>
        </w:rPr>
        <w:t>a</w:t>
      </w:r>
      <w:r w:rsidRPr="00BD6C26">
        <w:rPr>
          <w:rFonts w:eastAsia="MS Mincho"/>
          <w:szCs w:val="20"/>
        </w:rPr>
        <w:t>ll uplink subframes ca</w:t>
      </w:r>
      <w:r>
        <w:rPr>
          <w:rFonts w:eastAsia="MS Mincho"/>
          <w:szCs w:val="20"/>
        </w:rPr>
        <w:t xml:space="preserve">n be scheduled for LTE </w:t>
      </w:r>
      <w:r w:rsidRPr="00BD6C26">
        <w:rPr>
          <w:rFonts w:eastAsia="MS Mincho"/>
          <w:szCs w:val="20"/>
        </w:rPr>
        <w:t>for type 1 UEs</w:t>
      </w:r>
      <w:r>
        <w:rPr>
          <w:rFonts w:eastAsia="MS Mincho"/>
          <w:szCs w:val="20"/>
        </w:rPr>
        <w:t xml:space="preserve">, it is possible that NR DL (3.6GHz) would collide with LTE UL (1.8GHz) just like LTE UL can collide with NR UL in single-Tx case for type 1 UEs. Therefore, the corresponding UE behavior needs to be clarified. </w:t>
      </w:r>
    </w:p>
    <w:p w:rsidR="00C66A34" w:rsidRPr="00C66A34" w:rsidRDefault="00C66A34" w:rsidP="00C66A34"/>
    <w:p w:rsidR="009F34B8" w:rsidRDefault="009F34B8" w:rsidP="009120A3">
      <w:pPr>
        <w:spacing w:before="120"/>
        <w:rPr>
          <w:b/>
        </w:rPr>
      </w:pPr>
      <w:r>
        <w:rPr>
          <w:b/>
          <w:i/>
          <w:u w:val="single"/>
        </w:rPr>
        <w:t>Proposal 1</w:t>
      </w:r>
      <w:r w:rsidRPr="00E40664">
        <w:rPr>
          <w:b/>
          <w:i/>
        </w:rPr>
        <w:t xml:space="preserve">: </w:t>
      </w:r>
      <w:r w:rsidR="00C66A34" w:rsidRPr="00246D0C">
        <w:rPr>
          <w:b/>
        </w:rPr>
        <w:t xml:space="preserve">Clarify the </w:t>
      </w:r>
      <w:r w:rsidR="00C66A34" w:rsidRPr="00246D0C">
        <w:rPr>
          <w:b/>
        </w:rPr>
        <w:t>UE behavior</w:t>
      </w:r>
      <w:r w:rsidR="00C66A34" w:rsidRPr="00246D0C">
        <w:rPr>
          <w:b/>
        </w:rPr>
        <w:t xml:space="preserve"> of the following agreement in RAN1 98-bis</w:t>
      </w:r>
      <w:r w:rsidR="00AC3211">
        <w:rPr>
          <w:b/>
        </w:rPr>
        <w:t xml:space="preserve"> whether </w:t>
      </w:r>
      <w:r w:rsidR="00AC3211" w:rsidRPr="00246D0C">
        <w:rPr>
          <w:b/>
        </w:rPr>
        <w:t>NR DL (3.6GHz)</w:t>
      </w:r>
      <w:r w:rsidR="00AC3211">
        <w:rPr>
          <w:b/>
        </w:rPr>
        <w:t xml:space="preserve"> can</w:t>
      </w:r>
      <w:r w:rsidR="00AC3211" w:rsidRPr="00246D0C">
        <w:rPr>
          <w:b/>
        </w:rPr>
        <w:t xml:space="preserve"> collide with LTE UL (1.8GHz)</w:t>
      </w:r>
      <w:r w:rsidR="00AC3211">
        <w:rPr>
          <w:b/>
        </w:rPr>
        <w:t xml:space="preserve">. </w:t>
      </w:r>
      <w:r w:rsidR="00AC3211" w:rsidRPr="00246D0C">
        <w:rPr>
          <w:b/>
        </w:rPr>
        <w:t xml:space="preserve">If </w:t>
      </w:r>
      <w:r w:rsidR="00AC3211">
        <w:rPr>
          <w:b/>
        </w:rPr>
        <w:t>so</w:t>
      </w:r>
      <w:r w:rsidR="00AC3211">
        <w:rPr>
          <w:b/>
        </w:rPr>
        <w:t>, NR transmission should be dropped.</w:t>
      </w:r>
    </w:p>
    <w:p w:rsidR="00AC3211" w:rsidRPr="00246D0C" w:rsidRDefault="00AC3211" w:rsidP="009120A3">
      <w:pPr>
        <w:spacing w:before="120"/>
        <w:rPr>
          <w:b/>
        </w:rPr>
      </w:pPr>
      <w:r w:rsidRPr="00BD6C26">
        <w:rPr>
          <w:rFonts w:eastAsia="MS Mincho"/>
          <w:szCs w:val="20"/>
          <w:highlight w:val="green"/>
        </w:rPr>
        <w:t>Agreements</w:t>
      </w:r>
      <w:r w:rsidRPr="00BD6C26">
        <w:rPr>
          <w:rFonts w:eastAsia="MS Mincho"/>
          <w:szCs w:val="20"/>
        </w:rPr>
        <w:t>:</w:t>
      </w:r>
    </w:p>
    <w:p w:rsidR="00C66A34" w:rsidRPr="00C66A34" w:rsidRDefault="00C66A34" w:rsidP="00C66A34">
      <w:pPr>
        <w:pStyle w:val="a4"/>
        <w:numPr>
          <w:ilvl w:val="0"/>
          <w:numId w:val="19"/>
        </w:numPr>
        <w:contextualSpacing w:val="0"/>
        <w:jc w:val="both"/>
        <w:rPr>
          <w:rFonts w:eastAsia="MS Mincho"/>
          <w:b/>
          <w:szCs w:val="20"/>
        </w:rPr>
      </w:pPr>
      <w:r w:rsidRPr="00C66A34">
        <w:rPr>
          <w:rFonts w:eastAsia="MS Mincho"/>
          <w:b/>
          <w:szCs w:val="20"/>
        </w:rPr>
        <w:t>For the dual-Tx case, for FDD LTE Pcell,</w:t>
      </w:r>
    </w:p>
    <w:p w:rsidR="00C66A34" w:rsidRPr="00C66A34" w:rsidRDefault="00C66A34" w:rsidP="00C66A34">
      <w:pPr>
        <w:pStyle w:val="a4"/>
        <w:numPr>
          <w:ilvl w:val="1"/>
          <w:numId w:val="19"/>
        </w:numPr>
        <w:contextualSpacing w:val="0"/>
        <w:jc w:val="both"/>
        <w:rPr>
          <w:rFonts w:eastAsia="MS Mincho"/>
          <w:b/>
          <w:szCs w:val="20"/>
        </w:rPr>
      </w:pPr>
      <w:r w:rsidRPr="00C66A34">
        <w:rPr>
          <w:rFonts w:eastAsia="MS Mincho"/>
          <w:b/>
          <w:szCs w:val="20"/>
        </w:rPr>
        <w:t xml:space="preserve">All uplink subframes can be scheduled for LTE at least for type 1 UEs </w:t>
      </w:r>
    </w:p>
    <w:p w:rsidR="00C66A34" w:rsidRPr="00BD6C26" w:rsidRDefault="00C66A34" w:rsidP="00C66A34">
      <w:pPr>
        <w:pStyle w:val="a4"/>
        <w:numPr>
          <w:ilvl w:val="2"/>
          <w:numId w:val="19"/>
        </w:numPr>
        <w:contextualSpacing w:val="0"/>
        <w:jc w:val="both"/>
        <w:rPr>
          <w:rFonts w:eastAsia="MS Mincho"/>
          <w:szCs w:val="20"/>
        </w:rPr>
      </w:pPr>
      <w:r w:rsidRPr="00C66A34">
        <w:rPr>
          <w:rFonts w:eastAsia="MS Mincho"/>
          <w:b/>
          <w:szCs w:val="20"/>
        </w:rPr>
        <w:t>Note: there is no change of UL scheduling timing for LTE</w:t>
      </w:r>
    </w:p>
    <w:p w:rsidR="00C66A34" w:rsidRPr="00947047" w:rsidRDefault="00947047" w:rsidP="009120A3">
      <w:pPr>
        <w:spacing w:before="120"/>
        <w:rPr>
          <w:b/>
        </w:rPr>
      </w:pPr>
      <w:r>
        <w:rPr>
          <w:b/>
          <w:i/>
          <w:u w:val="single"/>
        </w:rPr>
        <w:t>Proposal 2:</w:t>
      </w:r>
      <w:r w:rsidRPr="00947047">
        <w:rPr>
          <w:b/>
          <w:i/>
        </w:rPr>
        <w:t xml:space="preserve"> </w:t>
      </w:r>
      <w:r w:rsidRPr="00947047">
        <w:rPr>
          <w:b/>
        </w:rPr>
        <w:t xml:space="preserve">For the “Note: </w:t>
      </w:r>
      <w:r w:rsidRPr="00947047">
        <w:rPr>
          <w:b/>
        </w:rPr>
        <w:t>there is no change of UL scheduling timing for LTE</w:t>
      </w:r>
      <w:r w:rsidRPr="00947047">
        <w:rPr>
          <w:b/>
        </w:rPr>
        <w:t xml:space="preserve">” in the agreement, </w:t>
      </w:r>
      <w:r>
        <w:rPr>
          <w:b/>
        </w:rPr>
        <w:t xml:space="preserve">it should be clarified that the note means </w:t>
      </w:r>
      <w:r w:rsidR="00447FBD">
        <w:rPr>
          <w:b/>
        </w:rPr>
        <w:t xml:space="preserve">no change </w:t>
      </w:r>
      <w:r w:rsidR="00447FBD" w:rsidRPr="00447FBD">
        <w:rPr>
          <w:b/>
        </w:rPr>
        <w:t xml:space="preserve">compared to </w:t>
      </w:r>
      <w:r w:rsidR="00447FBD">
        <w:rPr>
          <w:b/>
        </w:rPr>
        <w:t>“</w:t>
      </w:r>
      <w:r w:rsidR="00447FBD" w:rsidRPr="00447FBD">
        <w:rPr>
          <w:b/>
        </w:rPr>
        <w:t>Rel-15 LTE behavior</w:t>
      </w:r>
      <w:r w:rsidR="00447FBD">
        <w:rPr>
          <w:b/>
        </w:rPr>
        <w:t>”</w:t>
      </w:r>
      <w:r w:rsidR="00447FBD" w:rsidRPr="00447FBD">
        <w:rPr>
          <w:b/>
        </w:rPr>
        <w:t xml:space="preserve"> but not </w:t>
      </w:r>
      <w:r w:rsidR="00447FBD">
        <w:rPr>
          <w:b/>
        </w:rPr>
        <w:t>“</w:t>
      </w:r>
      <w:r w:rsidR="00447FBD" w:rsidRPr="00447FBD">
        <w:rPr>
          <w:b/>
        </w:rPr>
        <w:t xml:space="preserve">Legacy </w:t>
      </w:r>
      <w:r w:rsidR="00447FBD" w:rsidRPr="00447FBD">
        <w:rPr>
          <w:rFonts w:hint="eastAsia"/>
          <w:b/>
        </w:rPr>
        <w:t>L</w:t>
      </w:r>
      <w:r w:rsidR="00447FBD" w:rsidRPr="00447FBD">
        <w:rPr>
          <w:b/>
        </w:rPr>
        <w:t>TE behavior</w:t>
      </w:r>
      <w:r w:rsidR="00447FBD">
        <w:rPr>
          <w:b/>
        </w:rPr>
        <w:t>”.</w:t>
      </w:r>
    </w:p>
    <w:p w:rsidR="00947047" w:rsidRDefault="00947047" w:rsidP="009120A3">
      <w:pPr>
        <w:spacing w:before="120"/>
        <w:rPr>
          <w:b/>
          <w:i/>
        </w:rPr>
      </w:pPr>
    </w:p>
    <w:p w:rsidR="00C66A34" w:rsidRDefault="00AC3211" w:rsidP="009120A3">
      <w:pPr>
        <w:spacing w:before="120"/>
      </w:pPr>
      <w:r>
        <w:t xml:space="preserve">Another agreement in RAN1 98-bis states that </w:t>
      </w:r>
    </w:p>
    <w:p w:rsidR="00AC3211" w:rsidRPr="009C2C29" w:rsidRDefault="00AC3211" w:rsidP="00AC3211">
      <w:pPr>
        <w:pStyle w:val="a4"/>
        <w:ind w:left="0"/>
        <w:jc w:val="both"/>
        <w:rPr>
          <w:rFonts w:eastAsia="MS Mincho"/>
          <w:szCs w:val="20"/>
        </w:rPr>
      </w:pPr>
      <w:r w:rsidRPr="009C2C29">
        <w:rPr>
          <w:rFonts w:eastAsia="MS Mincho"/>
          <w:szCs w:val="20"/>
          <w:highlight w:val="green"/>
        </w:rPr>
        <w:t>Agreements</w:t>
      </w:r>
      <w:r w:rsidRPr="009C2C29">
        <w:rPr>
          <w:rFonts w:eastAsia="MS Mincho"/>
          <w:szCs w:val="20"/>
        </w:rPr>
        <w:t>:</w:t>
      </w:r>
    </w:p>
    <w:p w:rsidR="00AC3211" w:rsidRPr="00AC3211" w:rsidRDefault="00AC3211" w:rsidP="00AC3211">
      <w:pPr>
        <w:pStyle w:val="a4"/>
        <w:numPr>
          <w:ilvl w:val="0"/>
          <w:numId w:val="19"/>
        </w:numPr>
        <w:contextualSpacing w:val="0"/>
        <w:jc w:val="both"/>
        <w:rPr>
          <w:rFonts w:eastAsia="MS Mincho"/>
          <w:szCs w:val="20"/>
        </w:rPr>
      </w:pPr>
      <w:r w:rsidRPr="00AC3211">
        <w:rPr>
          <w:rFonts w:eastAsia="MS Mincho"/>
          <w:szCs w:val="20"/>
        </w:rPr>
        <w:t>Support new RRC signaling “</w:t>
      </w:r>
      <w:r w:rsidRPr="00AC3211">
        <w:rPr>
          <w:rFonts w:eastAsia="MS Mincho"/>
          <w:i/>
          <w:szCs w:val="20"/>
        </w:rPr>
        <w:t>tdm-PatternConfig-r16</w:t>
      </w:r>
      <w:r w:rsidRPr="00AC3211">
        <w:rPr>
          <w:rFonts w:eastAsia="MS Mincho"/>
          <w:szCs w:val="20"/>
        </w:rPr>
        <w:t>” to configure a UE with a DL-reference config to the MCG PCell (LTE FDD) according to Rel-16 behavior</w:t>
      </w:r>
    </w:p>
    <w:p w:rsidR="00AC3211" w:rsidRPr="00AC3211" w:rsidRDefault="00AC3211" w:rsidP="00AC3211">
      <w:pPr>
        <w:pStyle w:val="a4"/>
        <w:numPr>
          <w:ilvl w:val="0"/>
          <w:numId w:val="19"/>
        </w:numPr>
        <w:contextualSpacing w:val="0"/>
        <w:jc w:val="both"/>
        <w:rPr>
          <w:rFonts w:eastAsia="MS Mincho"/>
          <w:szCs w:val="20"/>
        </w:rPr>
      </w:pPr>
      <w:r w:rsidRPr="00AC3211">
        <w:rPr>
          <w:rFonts w:eastAsia="MS Mincho"/>
          <w:szCs w:val="20"/>
        </w:rPr>
        <w:t>FFS: Introduce a new per-BC capability bit for UE to indicate that DL de-sensing from Harmonic need to be handled by configuring DL-reference config to the LTE PCell and limit LTE UL transmissions to a subset of the subframes</w:t>
      </w:r>
    </w:p>
    <w:p w:rsidR="00AC3211" w:rsidRDefault="00AC3211" w:rsidP="009120A3">
      <w:pPr>
        <w:spacing w:before="120"/>
      </w:pPr>
    </w:p>
    <w:p w:rsidR="00001774" w:rsidRDefault="00AC3211" w:rsidP="009120A3">
      <w:pPr>
        <w:spacing w:before="120"/>
      </w:pPr>
      <w:r>
        <w:rPr>
          <w:rFonts w:eastAsia="MS Mincho"/>
          <w:szCs w:val="20"/>
        </w:rPr>
        <w:t xml:space="preserve">Since there is a </w:t>
      </w:r>
      <w:r w:rsidRPr="00AC3211">
        <w:rPr>
          <w:rFonts w:eastAsia="MS Mincho"/>
          <w:szCs w:val="20"/>
        </w:rPr>
        <w:t>new RRC signaling “</w:t>
      </w:r>
      <w:r w:rsidRPr="00AC3211">
        <w:rPr>
          <w:rFonts w:eastAsia="MS Mincho"/>
          <w:i/>
          <w:szCs w:val="20"/>
        </w:rPr>
        <w:t>tdm-PatternConfig-r16</w:t>
      </w:r>
      <w:r w:rsidRPr="00AC3211">
        <w:rPr>
          <w:rFonts w:eastAsia="MS Mincho"/>
          <w:szCs w:val="20"/>
        </w:rPr>
        <w:t>” to configure a UE with a DL-reference config to the MCG PCell (LTE FDD) according to Rel-16 behavior</w:t>
      </w:r>
      <w:r>
        <w:rPr>
          <w:rFonts w:eastAsia="MS Mincho"/>
          <w:szCs w:val="20"/>
        </w:rPr>
        <w:t>, there should be a corresponding UE capability report (</w:t>
      </w:r>
      <w:r w:rsidRPr="00F3284F">
        <w:t xml:space="preserve">ex: </w:t>
      </w:r>
      <w:r>
        <w:rPr>
          <w:b/>
          <w:i/>
        </w:rPr>
        <w:t>singleUL-Transmission-r</w:t>
      </w:r>
      <w:r w:rsidRPr="00F3284F">
        <w:rPr>
          <w:b/>
          <w:i/>
        </w:rPr>
        <w:t>16</w:t>
      </w:r>
      <w:r>
        <w:rPr>
          <w:rFonts w:eastAsia="MS Mincho"/>
          <w:szCs w:val="20"/>
        </w:rPr>
        <w:t xml:space="preserve">) to indicate </w:t>
      </w:r>
      <w:r>
        <w:t>this UE supports R15 or R16 behavior</w:t>
      </w:r>
      <w:r>
        <w:t xml:space="preserve">. </w:t>
      </w:r>
      <w:r>
        <w:t>Therefore, new single UL capabilities to distinguish R15/R16 UE should be defined.</w:t>
      </w:r>
    </w:p>
    <w:p w:rsidR="00AC3211" w:rsidRPr="00001774" w:rsidRDefault="00AC3211" w:rsidP="009120A3">
      <w:pPr>
        <w:spacing w:before="120"/>
      </w:pPr>
    </w:p>
    <w:p w:rsidR="009F34B8" w:rsidRDefault="00947047" w:rsidP="009120A3">
      <w:pPr>
        <w:spacing w:before="120"/>
        <w:rPr>
          <w:b/>
        </w:rPr>
      </w:pPr>
      <w:r>
        <w:rPr>
          <w:b/>
          <w:i/>
          <w:u w:val="single"/>
        </w:rPr>
        <w:t>Proposal 3</w:t>
      </w:r>
      <w:r w:rsidR="009F34B8" w:rsidRPr="00E40664">
        <w:rPr>
          <w:b/>
          <w:i/>
        </w:rPr>
        <w:t xml:space="preserve">: </w:t>
      </w:r>
      <w:r w:rsidR="009F34B8" w:rsidRPr="00AC3211">
        <w:rPr>
          <w:b/>
        </w:rPr>
        <w:t xml:space="preserve">Define new capability signal for single UL transmission (ex: </w:t>
      </w:r>
      <w:r w:rsidR="009F34B8" w:rsidRPr="00AC3211">
        <w:rPr>
          <w:b/>
          <w:i/>
        </w:rPr>
        <w:t>singleUL-Transmission-r16</w:t>
      </w:r>
      <w:r w:rsidR="009F34B8" w:rsidRPr="00AC3211">
        <w:rPr>
          <w:b/>
        </w:rPr>
        <w:t>)</w:t>
      </w:r>
      <w:r w:rsidR="00AC3211" w:rsidRPr="00AC3211">
        <w:rPr>
          <w:b/>
        </w:rPr>
        <w:t xml:space="preserve"> corresponding to the newly agreed </w:t>
      </w:r>
      <w:r w:rsidR="00AC3211" w:rsidRPr="00AC3211">
        <w:rPr>
          <w:rFonts w:eastAsia="MS Mincho"/>
          <w:b/>
          <w:szCs w:val="20"/>
        </w:rPr>
        <w:t>RRC signaling “tdm-PatternConfig-r16”</w:t>
      </w:r>
      <w:r w:rsidR="00AC3211" w:rsidRPr="00AC3211">
        <w:rPr>
          <w:rFonts w:eastAsia="MS Mincho"/>
          <w:b/>
          <w:szCs w:val="20"/>
        </w:rPr>
        <w:t xml:space="preserve"> in RAN1 98bis</w:t>
      </w:r>
      <w:r w:rsidR="009F34B8" w:rsidRPr="00AC3211">
        <w:rPr>
          <w:b/>
        </w:rPr>
        <w:t xml:space="preserve"> to distinguish </w:t>
      </w:r>
      <w:r w:rsidR="00AC3211">
        <w:rPr>
          <w:b/>
        </w:rPr>
        <w:t xml:space="preserve">supported R15/R16 </w:t>
      </w:r>
      <w:r w:rsidR="009F34B8" w:rsidRPr="00AC3211">
        <w:rPr>
          <w:b/>
        </w:rPr>
        <w:t xml:space="preserve">single UL </w:t>
      </w:r>
      <w:r w:rsidR="00AC3211">
        <w:rPr>
          <w:b/>
        </w:rPr>
        <w:t xml:space="preserve">UE </w:t>
      </w:r>
      <w:r w:rsidR="009268EF">
        <w:rPr>
          <w:b/>
        </w:rPr>
        <w:t>behavior (ex.</w:t>
      </w:r>
      <w:r w:rsidR="009F34B8" w:rsidRPr="00AC3211">
        <w:rPr>
          <w:b/>
        </w:rPr>
        <w:t xml:space="preserve"> the UL scheduling flexibility and the corresponding dropping rules for collision</w:t>
      </w:r>
      <w:r w:rsidR="009268EF">
        <w:rPr>
          <w:b/>
        </w:rPr>
        <w:t>)</w:t>
      </w:r>
      <w:r w:rsidR="009F34B8" w:rsidRPr="00AC3211">
        <w:rPr>
          <w:b/>
        </w:rPr>
        <w:t>.</w:t>
      </w:r>
    </w:p>
    <w:p w:rsidR="00921434" w:rsidRDefault="008813FD" w:rsidP="009120A3">
      <w:pPr>
        <w:spacing w:before="120"/>
        <w:rPr>
          <w:rFonts w:eastAsia="MS Mincho"/>
          <w:szCs w:val="20"/>
        </w:rPr>
      </w:pPr>
      <w:r w:rsidRPr="008813FD">
        <w:lastRenderedPageBreak/>
        <w:t xml:space="preserve">According to current agreement in R16 single UL, </w:t>
      </w:r>
      <w:r w:rsidR="00122B80" w:rsidRPr="00BD6C26">
        <w:rPr>
          <w:rFonts w:eastAsia="MS Mincho"/>
          <w:szCs w:val="20"/>
        </w:rPr>
        <w:t>NR transmission is dropped for when the LTE and NR transmissions collide</w:t>
      </w:r>
      <w:r w:rsidR="00122B80">
        <w:rPr>
          <w:rFonts w:eastAsia="MS Mincho"/>
          <w:szCs w:val="20"/>
        </w:rPr>
        <w:t xml:space="preserve"> for FDD LTE PCell. However, the behavior of R16 single UL for TDD PCell is not fully specified yet.</w:t>
      </w:r>
    </w:p>
    <w:p w:rsidR="00122B80" w:rsidRDefault="00122B80" w:rsidP="009120A3">
      <w:pPr>
        <w:spacing w:before="120"/>
        <w:rPr>
          <w:rFonts w:eastAsia="MS Mincho"/>
          <w:szCs w:val="20"/>
        </w:rPr>
      </w:pPr>
    </w:p>
    <w:p w:rsidR="00122B80" w:rsidRPr="00122B80" w:rsidRDefault="00122B80" w:rsidP="00122B80">
      <w:pPr>
        <w:jc w:val="both"/>
        <w:rPr>
          <w:rFonts w:eastAsia="MS Mincho"/>
          <w:b/>
          <w:szCs w:val="20"/>
        </w:rPr>
      </w:pPr>
      <w:r w:rsidRPr="00122B80">
        <w:rPr>
          <w:b/>
          <w:i/>
          <w:u w:val="single"/>
        </w:rPr>
        <w:t>Proposal 4</w:t>
      </w:r>
      <w:r w:rsidRPr="00122B80">
        <w:rPr>
          <w:b/>
          <w:i/>
          <w:u w:val="single"/>
        </w:rPr>
        <w:t>:</w:t>
      </w:r>
      <w:r w:rsidRPr="00122B80">
        <w:rPr>
          <w:b/>
          <w:i/>
        </w:rPr>
        <w:t xml:space="preserve"> </w:t>
      </w:r>
      <w:r w:rsidRPr="00122B80">
        <w:rPr>
          <w:rFonts w:eastAsia="MS Mincho"/>
          <w:b/>
          <w:szCs w:val="20"/>
        </w:rPr>
        <w:t>For the single-Tx case</w:t>
      </w:r>
      <w:r>
        <w:rPr>
          <w:rFonts w:eastAsia="MS Mincho"/>
          <w:b/>
          <w:szCs w:val="20"/>
        </w:rPr>
        <w:t>, for T</w:t>
      </w:r>
      <w:r w:rsidRPr="00122B80">
        <w:rPr>
          <w:rFonts w:eastAsia="MS Mincho"/>
          <w:b/>
          <w:szCs w:val="20"/>
        </w:rPr>
        <w:t>DD LTE Pcell,</w:t>
      </w:r>
    </w:p>
    <w:p w:rsidR="00122B80" w:rsidRPr="00122B80" w:rsidRDefault="00122B80" w:rsidP="00122B80">
      <w:pPr>
        <w:pStyle w:val="a4"/>
        <w:numPr>
          <w:ilvl w:val="1"/>
          <w:numId w:val="19"/>
        </w:numPr>
        <w:contextualSpacing w:val="0"/>
        <w:jc w:val="both"/>
        <w:rPr>
          <w:rFonts w:eastAsia="MS Mincho"/>
          <w:b/>
          <w:szCs w:val="20"/>
        </w:rPr>
      </w:pPr>
      <w:r w:rsidRPr="00122B80">
        <w:rPr>
          <w:rFonts w:eastAsia="MS Mincho"/>
          <w:b/>
          <w:szCs w:val="20"/>
        </w:rPr>
        <w:t>All uplink subframes can be scheduled for LTE for type 1 UEs</w:t>
      </w:r>
    </w:p>
    <w:p w:rsidR="00E22206" w:rsidRPr="009268EF" w:rsidRDefault="00122B80" w:rsidP="00E22206">
      <w:pPr>
        <w:pStyle w:val="a4"/>
        <w:numPr>
          <w:ilvl w:val="2"/>
          <w:numId w:val="19"/>
        </w:numPr>
        <w:spacing w:before="120"/>
        <w:rPr>
          <w:b/>
        </w:rPr>
      </w:pPr>
      <w:r w:rsidRPr="00122B80">
        <w:rPr>
          <w:rFonts w:eastAsia="MS Mincho"/>
          <w:b/>
          <w:szCs w:val="20"/>
        </w:rPr>
        <w:t>In which case, NR transmission is dropped for when the LTE and NR transmissions collide</w:t>
      </w:r>
    </w:p>
    <w:p w:rsidR="00BB61FF" w:rsidRPr="009F29FB" w:rsidRDefault="0041733B" w:rsidP="00BB61FF">
      <w:pPr>
        <w:pStyle w:val="1"/>
        <w:rPr>
          <w:rFonts w:cs="Arial"/>
          <w:color w:val="000000" w:themeColor="text1"/>
        </w:rPr>
      </w:pPr>
      <w:r>
        <w:rPr>
          <w:rFonts w:eastAsia="新細明體" w:cs="Arial"/>
          <w:color w:val="000000" w:themeColor="text1"/>
          <w:lang w:eastAsia="zh-TW"/>
        </w:rPr>
        <w:t>3</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FE66E5" w:rsidRDefault="00F47B95" w:rsidP="00BB61FF">
      <w:r>
        <w:t>In this contribution</w:t>
      </w:r>
      <w:r w:rsidR="00BB61FF">
        <w:t xml:space="preserve">, </w:t>
      </w:r>
      <w:r w:rsidR="00FE66E5">
        <w:t xml:space="preserve">we focus on </w:t>
      </w:r>
      <w:r w:rsidR="008A0CD1">
        <w:t>the discussions of enhancements to single UL o</w:t>
      </w:r>
      <w:r w:rsidR="008A0CD1" w:rsidRPr="00475B1D">
        <w:t>perations for</w:t>
      </w:r>
      <w:r w:rsidR="008A0CD1">
        <w:t xml:space="preserve"> Rel-16 E</w:t>
      </w:r>
      <w:r w:rsidR="008A0CD1" w:rsidRPr="00DA4FB3">
        <w:t>N-DC</w:t>
      </w:r>
      <w:r w:rsidR="008A0CD1">
        <w:t>:</w:t>
      </w:r>
    </w:p>
    <w:p w:rsidR="009268EF" w:rsidRDefault="009268EF" w:rsidP="009268EF">
      <w:pPr>
        <w:spacing w:before="120"/>
        <w:rPr>
          <w:b/>
        </w:rPr>
      </w:pPr>
      <w:r>
        <w:rPr>
          <w:b/>
          <w:i/>
          <w:u w:val="single"/>
        </w:rPr>
        <w:t>Proposal 1</w:t>
      </w:r>
      <w:r w:rsidRPr="00E40664">
        <w:rPr>
          <w:b/>
          <w:i/>
        </w:rPr>
        <w:t xml:space="preserve">: </w:t>
      </w:r>
      <w:r w:rsidRPr="00246D0C">
        <w:rPr>
          <w:b/>
        </w:rPr>
        <w:t>Clarify the UE behavior of the following agreement in RAN1 98-bis</w:t>
      </w:r>
      <w:r>
        <w:rPr>
          <w:b/>
        </w:rPr>
        <w:t xml:space="preserve"> whether </w:t>
      </w:r>
      <w:r w:rsidRPr="00246D0C">
        <w:rPr>
          <w:b/>
        </w:rPr>
        <w:t>NR DL (3.6GHz)</w:t>
      </w:r>
      <w:r>
        <w:rPr>
          <w:b/>
        </w:rPr>
        <w:t xml:space="preserve"> can</w:t>
      </w:r>
      <w:r w:rsidRPr="00246D0C">
        <w:rPr>
          <w:b/>
        </w:rPr>
        <w:t xml:space="preserve"> collide with LTE UL (1.8GHz)</w:t>
      </w:r>
      <w:r>
        <w:rPr>
          <w:b/>
        </w:rPr>
        <w:t xml:space="preserve">. </w:t>
      </w:r>
      <w:r w:rsidRPr="00246D0C">
        <w:rPr>
          <w:b/>
        </w:rPr>
        <w:t xml:space="preserve">If </w:t>
      </w:r>
      <w:r>
        <w:rPr>
          <w:b/>
        </w:rPr>
        <w:t>so, NR transmission should be dropped.</w:t>
      </w:r>
    </w:p>
    <w:p w:rsidR="009268EF" w:rsidRPr="00246D0C" w:rsidRDefault="009268EF" w:rsidP="009268EF">
      <w:pPr>
        <w:spacing w:before="120"/>
        <w:rPr>
          <w:b/>
        </w:rPr>
      </w:pPr>
      <w:r w:rsidRPr="00BD6C26">
        <w:rPr>
          <w:rFonts w:eastAsia="MS Mincho"/>
          <w:szCs w:val="20"/>
          <w:highlight w:val="green"/>
        </w:rPr>
        <w:t>Agreements</w:t>
      </w:r>
      <w:r w:rsidRPr="00BD6C26">
        <w:rPr>
          <w:rFonts w:eastAsia="MS Mincho"/>
          <w:szCs w:val="20"/>
        </w:rPr>
        <w:t>:</w:t>
      </w:r>
    </w:p>
    <w:p w:rsidR="009268EF" w:rsidRPr="00C66A34" w:rsidRDefault="009268EF" w:rsidP="009268EF">
      <w:pPr>
        <w:pStyle w:val="a4"/>
        <w:numPr>
          <w:ilvl w:val="0"/>
          <w:numId w:val="19"/>
        </w:numPr>
        <w:contextualSpacing w:val="0"/>
        <w:jc w:val="both"/>
        <w:rPr>
          <w:rFonts w:eastAsia="MS Mincho"/>
          <w:b/>
          <w:szCs w:val="20"/>
        </w:rPr>
      </w:pPr>
      <w:r w:rsidRPr="00C66A34">
        <w:rPr>
          <w:rFonts w:eastAsia="MS Mincho"/>
          <w:b/>
          <w:szCs w:val="20"/>
        </w:rPr>
        <w:t>For the dual-Tx case, for FDD LTE Pcell,</w:t>
      </w:r>
    </w:p>
    <w:p w:rsidR="009268EF" w:rsidRPr="00C66A34" w:rsidRDefault="009268EF" w:rsidP="009268EF">
      <w:pPr>
        <w:pStyle w:val="a4"/>
        <w:numPr>
          <w:ilvl w:val="1"/>
          <w:numId w:val="19"/>
        </w:numPr>
        <w:contextualSpacing w:val="0"/>
        <w:jc w:val="both"/>
        <w:rPr>
          <w:rFonts w:eastAsia="MS Mincho"/>
          <w:b/>
          <w:szCs w:val="20"/>
        </w:rPr>
      </w:pPr>
      <w:r w:rsidRPr="00C66A34">
        <w:rPr>
          <w:rFonts w:eastAsia="MS Mincho"/>
          <w:b/>
          <w:szCs w:val="20"/>
        </w:rPr>
        <w:t xml:space="preserve">All uplink subframes can be scheduled for LTE at least for type 1 UEs </w:t>
      </w:r>
    </w:p>
    <w:p w:rsidR="009268EF" w:rsidRPr="009268EF" w:rsidRDefault="009268EF" w:rsidP="009268EF">
      <w:pPr>
        <w:pStyle w:val="a4"/>
        <w:numPr>
          <w:ilvl w:val="2"/>
          <w:numId w:val="19"/>
        </w:numPr>
        <w:contextualSpacing w:val="0"/>
        <w:jc w:val="both"/>
        <w:rPr>
          <w:rFonts w:eastAsia="MS Mincho"/>
          <w:szCs w:val="20"/>
        </w:rPr>
      </w:pPr>
      <w:r w:rsidRPr="00C66A34">
        <w:rPr>
          <w:rFonts w:eastAsia="MS Mincho"/>
          <w:b/>
          <w:szCs w:val="20"/>
        </w:rPr>
        <w:t>Note: there is no change of UL scheduling timing for LTE</w:t>
      </w:r>
    </w:p>
    <w:p w:rsidR="009268EF" w:rsidRPr="00BD6C26" w:rsidRDefault="009268EF" w:rsidP="009268EF">
      <w:pPr>
        <w:pStyle w:val="a4"/>
        <w:ind w:left="2160"/>
        <w:contextualSpacing w:val="0"/>
        <w:jc w:val="both"/>
        <w:rPr>
          <w:rFonts w:eastAsia="MS Mincho"/>
          <w:szCs w:val="20"/>
        </w:rPr>
      </w:pPr>
    </w:p>
    <w:p w:rsidR="009268EF" w:rsidRPr="00947047" w:rsidRDefault="009268EF" w:rsidP="009268EF">
      <w:pPr>
        <w:spacing w:before="120"/>
        <w:rPr>
          <w:b/>
        </w:rPr>
      </w:pPr>
      <w:r>
        <w:rPr>
          <w:b/>
          <w:i/>
          <w:u w:val="single"/>
        </w:rPr>
        <w:t>Proposal 2:</w:t>
      </w:r>
      <w:r w:rsidRPr="00947047">
        <w:rPr>
          <w:b/>
          <w:i/>
        </w:rPr>
        <w:t xml:space="preserve"> </w:t>
      </w:r>
      <w:r w:rsidRPr="00947047">
        <w:rPr>
          <w:b/>
        </w:rPr>
        <w:t xml:space="preserve">For the “Note: there is no change of UL scheduling timing for LTE” in the agreement, </w:t>
      </w:r>
      <w:r>
        <w:rPr>
          <w:b/>
        </w:rPr>
        <w:t xml:space="preserve">it should be clarified that the note means no change </w:t>
      </w:r>
      <w:r w:rsidRPr="00447FBD">
        <w:rPr>
          <w:b/>
        </w:rPr>
        <w:t xml:space="preserve">compared to </w:t>
      </w:r>
      <w:r>
        <w:rPr>
          <w:b/>
        </w:rPr>
        <w:t>“</w:t>
      </w:r>
      <w:r w:rsidRPr="00447FBD">
        <w:rPr>
          <w:b/>
        </w:rPr>
        <w:t>Rel-15 LTE behavior</w:t>
      </w:r>
      <w:r>
        <w:rPr>
          <w:b/>
        </w:rPr>
        <w:t>”</w:t>
      </w:r>
      <w:r w:rsidRPr="00447FBD">
        <w:rPr>
          <w:b/>
        </w:rPr>
        <w:t xml:space="preserve"> but not </w:t>
      </w:r>
      <w:r>
        <w:rPr>
          <w:b/>
        </w:rPr>
        <w:t>“</w:t>
      </w:r>
      <w:r w:rsidRPr="00447FBD">
        <w:rPr>
          <w:b/>
        </w:rPr>
        <w:t xml:space="preserve">Legacy </w:t>
      </w:r>
      <w:r w:rsidRPr="00447FBD">
        <w:rPr>
          <w:rFonts w:hint="eastAsia"/>
          <w:b/>
        </w:rPr>
        <w:t>L</w:t>
      </w:r>
      <w:r w:rsidRPr="00447FBD">
        <w:rPr>
          <w:b/>
        </w:rPr>
        <w:t>TE behavior</w:t>
      </w:r>
      <w:r>
        <w:rPr>
          <w:b/>
        </w:rPr>
        <w:t>”.</w:t>
      </w:r>
    </w:p>
    <w:p w:rsidR="00BC3188" w:rsidRDefault="00BC3188" w:rsidP="00BC3188">
      <w:pPr>
        <w:rPr>
          <w:bCs/>
          <w:szCs w:val="20"/>
        </w:rPr>
      </w:pPr>
    </w:p>
    <w:p w:rsidR="009268EF" w:rsidRDefault="009268EF" w:rsidP="009268EF">
      <w:pPr>
        <w:spacing w:before="120"/>
        <w:rPr>
          <w:b/>
        </w:rPr>
      </w:pPr>
      <w:r>
        <w:rPr>
          <w:b/>
          <w:i/>
          <w:u w:val="single"/>
        </w:rPr>
        <w:t>Proposal 3</w:t>
      </w:r>
      <w:r w:rsidRPr="00E40664">
        <w:rPr>
          <w:b/>
          <w:i/>
        </w:rPr>
        <w:t xml:space="preserve">: </w:t>
      </w:r>
      <w:r w:rsidRPr="00AC3211">
        <w:rPr>
          <w:b/>
        </w:rPr>
        <w:t xml:space="preserve">Define new capability signal for single UL transmission (ex: </w:t>
      </w:r>
      <w:r w:rsidRPr="00AC3211">
        <w:rPr>
          <w:b/>
          <w:i/>
        </w:rPr>
        <w:t>singleUL-Transmission-r16</w:t>
      </w:r>
      <w:r w:rsidRPr="00AC3211">
        <w:rPr>
          <w:b/>
        </w:rPr>
        <w:t xml:space="preserve">) corresponding to the newly agreed </w:t>
      </w:r>
      <w:r w:rsidRPr="00AC3211">
        <w:rPr>
          <w:rFonts w:eastAsia="MS Mincho"/>
          <w:b/>
          <w:szCs w:val="20"/>
        </w:rPr>
        <w:t>RRC signaling “tdm-PatternConfig-r16” in RAN1 98bis</w:t>
      </w:r>
      <w:r w:rsidRPr="00AC3211">
        <w:rPr>
          <w:b/>
        </w:rPr>
        <w:t xml:space="preserve"> to distinguish </w:t>
      </w:r>
      <w:r>
        <w:rPr>
          <w:b/>
        </w:rPr>
        <w:t xml:space="preserve">supported R15/R16 </w:t>
      </w:r>
      <w:r w:rsidRPr="00AC3211">
        <w:rPr>
          <w:b/>
        </w:rPr>
        <w:t xml:space="preserve">single UL </w:t>
      </w:r>
      <w:r>
        <w:rPr>
          <w:b/>
        </w:rPr>
        <w:t>UE behavior (ex.</w:t>
      </w:r>
      <w:r w:rsidRPr="00AC3211">
        <w:rPr>
          <w:b/>
        </w:rPr>
        <w:t xml:space="preserve"> the UL scheduling flexibility and the corresponding dropping rules for collision</w:t>
      </w:r>
      <w:r>
        <w:rPr>
          <w:b/>
        </w:rPr>
        <w:t>)</w:t>
      </w:r>
      <w:r w:rsidRPr="00AC3211">
        <w:rPr>
          <w:b/>
        </w:rPr>
        <w:t>.</w:t>
      </w:r>
    </w:p>
    <w:p w:rsidR="009268EF" w:rsidRDefault="009268EF" w:rsidP="00BC3188">
      <w:pPr>
        <w:rPr>
          <w:bCs/>
          <w:szCs w:val="20"/>
        </w:rPr>
      </w:pPr>
    </w:p>
    <w:p w:rsidR="009268EF" w:rsidRPr="00122B80" w:rsidRDefault="009268EF" w:rsidP="009268EF">
      <w:pPr>
        <w:jc w:val="both"/>
        <w:rPr>
          <w:rFonts w:eastAsia="MS Mincho"/>
          <w:b/>
          <w:szCs w:val="20"/>
        </w:rPr>
      </w:pPr>
      <w:r w:rsidRPr="00122B80">
        <w:rPr>
          <w:b/>
          <w:i/>
          <w:u w:val="single"/>
        </w:rPr>
        <w:t>Proposal 4:</w:t>
      </w:r>
      <w:r w:rsidRPr="00122B80">
        <w:rPr>
          <w:b/>
          <w:i/>
        </w:rPr>
        <w:t xml:space="preserve"> </w:t>
      </w:r>
      <w:r w:rsidRPr="00122B80">
        <w:rPr>
          <w:rFonts w:eastAsia="MS Mincho"/>
          <w:b/>
          <w:szCs w:val="20"/>
        </w:rPr>
        <w:t>For the single-Tx case</w:t>
      </w:r>
      <w:r>
        <w:rPr>
          <w:rFonts w:eastAsia="MS Mincho"/>
          <w:b/>
          <w:szCs w:val="20"/>
        </w:rPr>
        <w:t>, for T</w:t>
      </w:r>
      <w:r w:rsidRPr="00122B80">
        <w:rPr>
          <w:rFonts w:eastAsia="MS Mincho"/>
          <w:b/>
          <w:szCs w:val="20"/>
        </w:rPr>
        <w:t>DD LTE Pcell,</w:t>
      </w:r>
    </w:p>
    <w:p w:rsidR="009268EF" w:rsidRPr="00122B80" w:rsidRDefault="009268EF" w:rsidP="009268EF">
      <w:pPr>
        <w:pStyle w:val="a4"/>
        <w:numPr>
          <w:ilvl w:val="1"/>
          <w:numId w:val="19"/>
        </w:numPr>
        <w:contextualSpacing w:val="0"/>
        <w:jc w:val="both"/>
        <w:rPr>
          <w:rFonts w:eastAsia="MS Mincho"/>
          <w:b/>
          <w:szCs w:val="20"/>
        </w:rPr>
      </w:pPr>
      <w:r w:rsidRPr="00122B80">
        <w:rPr>
          <w:rFonts w:eastAsia="MS Mincho"/>
          <w:b/>
          <w:szCs w:val="20"/>
        </w:rPr>
        <w:t>All uplink subframes can be scheduled for LTE for type 1 UEs</w:t>
      </w:r>
    </w:p>
    <w:p w:rsidR="009268EF" w:rsidRPr="009268EF" w:rsidRDefault="009268EF" w:rsidP="00BC3188">
      <w:pPr>
        <w:pStyle w:val="a4"/>
        <w:numPr>
          <w:ilvl w:val="2"/>
          <w:numId w:val="19"/>
        </w:numPr>
        <w:spacing w:before="120"/>
        <w:rPr>
          <w:b/>
        </w:rPr>
      </w:pPr>
      <w:r w:rsidRPr="00122B80">
        <w:rPr>
          <w:rFonts w:eastAsia="MS Mincho"/>
          <w:b/>
          <w:szCs w:val="20"/>
        </w:rPr>
        <w:t>In which case, NR transmission is dropped for when the LTE and NR transmissions collide</w:t>
      </w:r>
      <w:bookmarkStart w:id="1" w:name="_GoBack"/>
      <w:bookmarkEnd w:id="1"/>
    </w:p>
    <w:p w:rsidR="001E78EB" w:rsidRDefault="003F1347" w:rsidP="003F1347">
      <w:pPr>
        <w:pStyle w:val="1"/>
        <w:rPr>
          <w:rFonts w:eastAsia="新細明體" w:cs="Arial"/>
          <w:color w:val="000000" w:themeColor="text1"/>
          <w:lang w:eastAsia="zh-TW"/>
        </w:rPr>
      </w:pPr>
      <w:r>
        <w:rPr>
          <w:rFonts w:eastAsia="新細明體" w:cs="Arial"/>
          <w:color w:val="000000" w:themeColor="text1"/>
          <w:lang w:eastAsia="zh-TW"/>
        </w:rPr>
        <w:t>Reference</w:t>
      </w:r>
    </w:p>
    <w:p w:rsidR="009120A3" w:rsidRDefault="00E5123C" w:rsidP="00E5123C">
      <w:pPr>
        <w:pStyle w:val="References"/>
        <w:rPr>
          <w:lang w:val="en-GB"/>
        </w:rPr>
      </w:pPr>
      <w:r>
        <w:rPr>
          <w:lang w:val="en-GB"/>
        </w:rPr>
        <w:t>Chairman’s Notes, RAN1 #98</w:t>
      </w:r>
      <w:r w:rsidR="004C22C3">
        <w:rPr>
          <w:lang w:val="en-GB"/>
        </w:rPr>
        <w:t>-bis</w:t>
      </w:r>
      <w:r w:rsidRPr="00FC4BFD">
        <w:rPr>
          <w:lang w:val="en-GB"/>
        </w:rPr>
        <w:t>.</w:t>
      </w:r>
    </w:p>
    <w:p w:rsidR="009120A3" w:rsidRPr="00F47B95" w:rsidRDefault="009120A3" w:rsidP="009120A3">
      <w:pPr>
        <w:pStyle w:val="References"/>
        <w:numPr>
          <w:ilvl w:val="0"/>
          <w:numId w:val="0"/>
        </w:numPr>
      </w:pPr>
    </w:p>
    <w:sectPr w:rsidR="009120A3" w:rsidRPr="00F47B95"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1AA" w:rsidRDefault="000B41AA" w:rsidP="007003B8">
      <w:r>
        <w:separator/>
      </w:r>
    </w:p>
  </w:endnote>
  <w:endnote w:type="continuationSeparator" w:id="0">
    <w:p w:rsidR="000B41AA" w:rsidRDefault="000B41AA"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1AA" w:rsidRDefault="000B41AA" w:rsidP="007003B8">
      <w:r>
        <w:separator/>
      </w:r>
    </w:p>
  </w:footnote>
  <w:footnote w:type="continuationSeparator" w:id="0">
    <w:p w:rsidR="000B41AA" w:rsidRDefault="000B41AA"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78E"/>
    <w:multiLevelType w:val="hybridMultilevel"/>
    <w:tmpl w:val="CA547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53D1D"/>
    <w:multiLevelType w:val="hybridMultilevel"/>
    <w:tmpl w:val="95D46584"/>
    <w:lvl w:ilvl="0" w:tplc="CE4A9A98">
      <w:start w:val="1"/>
      <w:numFmt w:val="decimal"/>
      <w:lvlText w:val="%1."/>
      <w:lvlJc w:val="left"/>
      <w:pPr>
        <w:tabs>
          <w:tab w:val="num" w:pos="720"/>
        </w:tabs>
        <w:ind w:left="720" w:hanging="360"/>
      </w:pPr>
    </w:lvl>
    <w:lvl w:ilvl="1" w:tplc="33D24564" w:tentative="1">
      <w:start w:val="1"/>
      <w:numFmt w:val="decimal"/>
      <w:lvlText w:val="%2."/>
      <w:lvlJc w:val="left"/>
      <w:pPr>
        <w:tabs>
          <w:tab w:val="num" w:pos="1440"/>
        </w:tabs>
        <w:ind w:left="1440" w:hanging="360"/>
      </w:pPr>
    </w:lvl>
    <w:lvl w:ilvl="2" w:tplc="8E4C79C2" w:tentative="1">
      <w:start w:val="1"/>
      <w:numFmt w:val="decimal"/>
      <w:lvlText w:val="%3."/>
      <w:lvlJc w:val="left"/>
      <w:pPr>
        <w:tabs>
          <w:tab w:val="num" w:pos="2160"/>
        </w:tabs>
        <w:ind w:left="2160" w:hanging="360"/>
      </w:pPr>
    </w:lvl>
    <w:lvl w:ilvl="3" w:tplc="75E2E0F6" w:tentative="1">
      <w:start w:val="1"/>
      <w:numFmt w:val="decimal"/>
      <w:lvlText w:val="%4."/>
      <w:lvlJc w:val="left"/>
      <w:pPr>
        <w:tabs>
          <w:tab w:val="num" w:pos="2880"/>
        </w:tabs>
        <w:ind w:left="2880" w:hanging="360"/>
      </w:pPr>
    </w:lvl>
    <w:lvl w:ilvl="4" w:tplc="DFA8DF24" w:tentative="1">
      <w:start w:val="1"/>
      <w:numFmt w:val="decimal"/>
      <w:lvlText w:val="%5."/>
      <w:lvlJc w:val="left"/>
      <w:pPr>
        <w:tabs>
          <w:tab w:val="num" w:pos="3600"/>
        </w:tabs>
        <w:ind w:left="3600" w:hanging="360"/>
      </w:pPr>
    </w:lvl>
    <w:lvl w:ilvl="5" w:tplc="28DE2D16" w:tentative="1">
      <w:start w:val="1"/>
      <w:numFmt w:val="decimal"/>
      <w:lvlText w:val="%6."/>
      <w:lvlJc w:val="left"/>
      <w:pPr>
        <w:tabs>
          <w:tab w:val="num" w:pos="4320"/>
        </w:tabs>
        <w:ind w:left="4320" w:hanging="360"/>
      </w:pPr>
    </w:lvl>
    <w:lvl w:ilvl="6" w:tplc="F17AA04C" w:tentative="1">
      <w:start w:val="1"/>
      <w:numFmt w:val="decimal"/>
      <w:lvlText w:val="%7."/>
      <w:lvlJc w:val="left"/>
      <w:pPr>
        <w:tabs>
          <w:tab w:val="num" w:pos="5040"/>
        </w:tabs>
        <w:ind w:left="5040" w:hanging="360"/>
      </w:pPr>
    </w:lvl>
    <w:lvl w:ilvl="7" w:tplc="FFB096CC" w:tentative="1">
      <w:start w:val="1"/>
      <w:numFmt w:val="decimal"/>
      <w:lvlText w:val="%8."/>
      <w:lvlJc w:val="left"/>
      <w:pPr>
        <w:tabs>
          <w:tab w:val="num" w:pos="5760"/>
        </w:tabs>
        <w:ind w:left="5760" w:hanging="360"/>
      </w:pPr>
    </w:lvl>
    <w:lvl w:ilvl="8" w:tplc="93F81930" w:tentative="1">
      <w:start w:val="1"/>
      <w:numFmt w:val="decimal"/>
      <w:lvlText w:val="%9."/>
      <w:lvlJc w:val="left"/>
      <w:pPr>
        <w:tabs>
          <w:tab w:val="num" w:pos="6480"/>
        </w:tabs>
        <w:ind w:left="6480" w:hanging="360"/>
      </w:pPr>
    </w:lvl>
  </w:abstractNum>
  <w:abstractNum w:abstractNumId="2" w15:restartNumberingAfterBreak="0">
    <w:nsid w:val="1C0360D3"/>
    <w:multiLevelType w:val="hybridMultilevel"/>
    <w:tmpl w:val="2BC21C9A"/>
    <w:lvl w:ilvl="0" w:tplc="4F247A66">
      <w:start w:val="16"/>
      <w:numFmt w:val="bullet"/>
      <w:lvlText w:val=""/>
      <w:lvlJc w:val="left"/>
      <w:pPr>
        <w:ind w:left="720" w:hanging="360"/>
      </w:pPr>
      <w:rPr>
        <w:rFonts w:ascii="Wingdings" w:eastAsia="新細明體"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D63963"/>
    <w:multiLevelType w:val="hybridMultilevel"/>
    <w:tmpl w:val="097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B10DE"/>
    <w:multiLevelType w:val="hybridMultilevel"/>
    <w:tmpl w:val="878EFCE4"/>
    <w:lvl w:ilvl="0" w:tplc="43D6CB38">
      <w:start w:val="1"/>
      <w:numFmt w:val="decimal"/>
      <w:lvlText w:val="%1."/>
      <w:lvlJc w:val="left"/>
      <w:pPr>
        <w:tabs>
          <w:tab w:val="num" w:pos="720"/>
        </w:tabs>
        <w:ind w:left="720" w:hanging="360"/>
      </w:pPr>
    </w:lvl>
    <w:lvl w:ilvl="1" w:tplc="B1209A72" w:tentative="1">
      <w:start w:val="1"/>
      <w:numFmt w:val="decimal"/>
      <w:lvlText w:val="%2."/>
      <w:lvlJc w:val="left"/>
      <w:pPr>
        <w:tabs>
          <w:tab w:val="num" w:pos="1440"/>
        </w:tabs>
        <w:ind w:left="1440" w:hanging="360"/>
      </w:pPr>
    </w:lvl>
    <w:lvl w:ilvl="2" w:tplc="7260426E" w:tentative="1">
      <w:start w:val="1"/>
      <w:numFmt w:val="decimal"/>
      <w:lvlText w:val="%3."/>
      <w:lvlJc w:val="left"/>
      <w:pPr>
        <w:tabs>
          <w:tab w:val="num" w:pos="2160"/>
        </w:tabs>
        <w:ind w:left="2160" w:hanging="360"/>
      </w:pPr>
    </w:lvl>
    <w:lvl w:ilvl="3" w:tplc="D0947AAE" w:tentative="1">
      <w:start w:val="1"/>
      <w:numFmt w:val="decimal"/>
      <w:lvlText w:val="%4."/>
      <w:lvlJc w:val="left"/>
      <w:pPr>
        <w:tabs>
          <w:tab w:val="num" w:pos="2880"/>
        </w:tabs>
        <w:ind w:left="2880" w:hanging="360"/>
      </w:pPr>
    </w:lvl>
    <w:lvl w:ilvl="4" w:tplc="06F2DB22" w:tentative="1">
      <w:start w:val="1"/>
      <w:numFmt w:val="decimal"/>
      <w:lvlText w:val="%5."/>
      <w:lvlJc w:val="left"/>
      <w:pPr>
        <w:tabs>
          <w:tab w:val="num" w:pos="3600"/>
        </w:tabs>
        <w:ind w:left="3600" w:hanging="360"/>
      </w:pPr>
    </w:lvl>
    <w:lvl w:ilvl="5" w:tplc="41364558" w:tentative="1">
      <w:start w:val="1"/>
      <w:numFmt w:val="decimal"/>
      <w:lvlText w:val="%6."/>
      <w:lvlJc w:val="left"/>
      <w:pPr>
        <w:tabs>
          <w:tab w:val="num" w:pos="4320"/>
        </w:tabs>
        <w:ind w:left="4320" w:hanging="360"/>
      </w:pPr>
    </w:lvl>
    <w:lvl w:ilvl="6" w:tplc="C124FD4A" w:tentative="1">
      <w:start w:val="1"/>
      <w:numFmt w:val="decimal"/>
      <w:lvlText w:val="%7."/>
      <w:lvlJc w:val="left"/>
      <w:pPr>
        <w:tabs>
          <w:tab w:val="num" w:pos="5040"/>
        </w:tabs>
        <w:ind w:left="5040" w:hanging="360"/>
      </w:pPr>
    </w:lvl>
    <w:lvl w:ilvl="7" w:tplc="845AEF50" w:tentative="1">
      <w:start w:val="1"/>
      <w:numFmt w:val="decimal"/>
      <w:lvlText w:val="%8."/>
      <w:lvlJc w:val="left"/>
      <w:pPr>
        <w:tabs>
          <w:tab w:val="num" w:pos="5760"/>
        </w:tabs>
        <w:ind w:left="5760" w:hanging="360"/>
      </w:pPr>
    </w:lvl>
    <w:lvl w:ilvl="8" w:tplc="7160CD4A" w:tentative="1">
      <w:start w:val="1"/>
      <w:numFmt w:val="decimal"/>
      <w:lvlText w:val="%9."/>
      <w:lvlJc w:val="left"/>
      <w:pPr>
        <w:tabs>
          <w:tab w:val="num" w:pos="6480"/>
        </w:tabs>
        <w:ind w:left="6480" w:hanging="360"/>
      </w:pPr>
    </w:lvl>
  </w:abstractNum>
  <w:abstractNum w:abstractNumId="5" w15:restartNumberingAfterBreak="0">
    <w:nsid w:val="24E061EC"/>
    <w:multiLevelType w:val="hybridMultilevel"/>
    <w:tmpl w:val="EDC2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D0D0D"/>
    <w:multiLevelType w:val="hybridMultilevel"/>
    <w:tmpl w:val="8B90B3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E167FBF"/>
    <w:multiLevelType w:val="hybridMultilevel"/>
    <w:tmpl w:val="24A64A76"/>
    <w:lvl w:ilvl="0" w:tplc="EE908A50">
      <w:start w:val="1"/>
      <w:numFmt w:val="decimal"/>
      <w:lvlText w:val="%1."/>
      <w:lvlJc w:val="left"/>
      <w:pPr>
        <w:tabs>
          <w:tab w:val="num" w:pos="720"/>
        </w:tabs>
        <w:ind w:left="720" w:hanging="360"/>
      </w:pPr>
    </w:lvl>
    <w:lvl w:ilvl="1" w:tplc="B39CEE3A" w:tentative="1">
      <w:start w:val="1"/>
      <w:numFmt w:val="decimal"/>
      <w:lvlText w:val="%2."/>
      <w:lvlJc w:val="left"/>
      <w:pPr>
        <w:tabs>
          <w:tab w:val="num" w:pos="1440"/>
        </w:tabs>
        <w:ind w:left="1440" w:hanging="360"/>
      </w:pPr>
    </w:lvl>
    <w:lvl w:ilvl="2" w:tplc="CFE65BF4" w:tentative="1">
      <w:start w:val="1"/>
      <w:numFmt w:val="decimal"/>
      <w:lvlText w:val="%3."/>
      <w:lvlJc w:val="left"/>
      <w:pPr>
        <w:tabs>
          <w:tab w:val="num" w:pos="2160"/>
        </w:tabs>
        <w:ind w:left="2160" w:hanging="360"/>
      </w:pPr>
    </w:lvl>
    <w:lvl w:ilvl="3" w:tplc="03A40112" w:tentative="1">
      <w:start w:val="1"/>
      <w:numFmt w:val="decimal"/>
      <w:lvlText w:val="%4."/>
      <w:lvlJc w:val="left"/>
      <w:pPr>
        <w:tabs>
          <w:tab w:val="num" w:pos="2880"/>
        </w:tabs>
        <w:ind w:left="2880" w:hanging="360"/>
      </w:pPr>
    </w:lvl>
    <w:lvl w:ilvl="4" w:tplc="81FE4BEE" w:tentative="1">
      <w:start w:val="1"/>
      <w:numFmt w:val="decimal"/>
      <w:lvlText w:val="%5."/>
      <w:lvlJc w:val="left"/>
      <w:pPr>
        <w:tabs>
          <w:tab w:val="num" w:pos="3600"/>
        </w:tabs>
        <w:ind w:left="3600" w:hanging="360"/>
      </w:pPr>
    </w:lvl>
    <w:lvl w:ilvl="5" w:tplc="3A88E42E" w:tentative="1">
      <w:start w:val="1"/>
      <w:numFmt w:val="decimal"/>
      <w:lvlText w:val="%6."/>
      <w:lvlJc w:val="left"/>
      <w:pPr>
        <w:tabs>
          <w:tab w:val="num" w:pos="4320"/>
        </w:tabs>
        <w:ind w:left="4320" w:hanging="360"/>
      </w:pPr>
    </w:lvl>
    <w:lvl w:ilvl="6" w:tplc="7786D74C" w:tentative="1">
      <w:start w:val="1"/>
      <w:numFmt w:val="decimal"/>
      <w:lvlText w:val="%7."/>
      <w:lvlJc w:val="left"/>
      <w:pPr>
        <w:tabs>
          <w:tab w:val="num" w:pos="5040"/>
        </w:tabs>
        <w:ind w:left="5040" w:hanging="360"/>
      </w:pPr>
    </w:lvl>
    <w:lvl w:ilvl="7" w:tplc="FE826414" w:tentative="1">
      <w:start w:val="1"/>
      <w:numFmt w:val="decimal"/>
      <w:lvlText w:val="%8."/>
      <w:lvlJc w:val="left"/>
      <w:pPr>
        <w:tabs>
          <w:tab w:val="num" w:pos="5760"/>
        </w:tabs>
        <w:ind w:left="5760" w:hanging="360"/>
      </w:pPr>
    </w:lvl>
    <w:lvl w:ilvl="8" w:tplc="B2D04B06" w:tentative="1">
      <w:start w:val="1"/>
      <w:numFmt w:val="decimal"/>
      <w:lvlText w:val="%9."/>
      <w:lvlJc w:val="left"/>
      <w:pPr>
        <w:tabs>
          <w:tab w:val="num" w:pos="6480"/>
        </w:tabs>
        <w:ind w:left="6480" w:hanging="360"/>
      </w:pPr>
    </w:lvl>
  </w:abstractNum>
  <w:abstractNum w:abstractNumId="9"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A4AAC"/>
    <w:multiLevelType w:val="hybridMultilevel"/>
    <w:tmpl w:val="CD723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8702F"/>
    <w:multiLevelType w:val="hybridMultilevel"/>
    <w:tmpl w:val="8EFC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2C41C5"/>
    <w:multiLevelType w:val="hybridMultilevel"/>
    <w:tmpl w:val="BF62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437566"/>
    <w:multiLevelType w:val="hybridMultilevel"/>
    <w:tmpl w:val="5574C08A"/>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start w:val="1"/>
      <w:numFmt w:val="bullet"/>
      <w:lvlText w:val="•"/>
      <w:lvlJc w:val="left"/>
      <w:pPr>
        <w:tabs>
          <w:tab w:val="num" w:pos="2520"/>
        </w:tabs>
        <w:ind w:left="2520" w:hanging="360"/>
      </w:pPr>
      <w:rPr>
        <w:rFonts w:ascii="Arial" w:hAnsi="Arial" w:hint="default"/>
      </w:rPr>
    </w:lvl>
    <w:lvl w:ilvl="3" w:tplc="1DEC4092">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6"/>
  </w:num>
  <w:num w:numId="5">
    <w:abstractNumId w:val="8"/>
  </w:num>
  <w:num w:numId="6">
    <w:abstractNumId w:val="4"/>
  </w:num>
  <w:num w:numId="7">
    <w:abstractNumId w:val="6"/>
  </w:num>
  <w:num w:numId="8">
    <w:abstractNumId w:val="10"/>
  </w:num>
  <w:num w:numId="9">
    <w:abstractNumId w:val="0"/>
  </w:num>
  <w:num w:numId="10">
    <w:abstractNumId w:val="1"/>
  </w:num>
  <w:num w:numId="11">
    <w:abstractNumId w:val="14"/>
  </w:num>
  <w:num w:numId="12">
    <w:abstractNumId w:val="9"/>
  </w:num>
  <w:num w:numId="13">
    <w:abstractNumId w:val="2"/>
  </w:num>
  <w:num w:numId="14">
    <w:abstractNumId w:val="2"/>
  </w:num>
  <w:num w:numId="15">
    <w:abstractNumId w:val="15"/>
  </w:num>
  <w:num w:numId="16">
    <w:abstractNumId w:val="11"/>
  </w:num>
  <w:num w:numId="17">
    <w:abstractNumId w:val="13"/>
    <w:lvlOverride w:ilvl="0"/>
    <w:lvlOverride w:ilvl="1"/>
    <w:lvlOverride w:ilvl="2"/>
    <w:lvlOverride w:ilvl="3"/>
    <w:lvlOverride w:ilvl="4"/>
    <w:lvlOverride w:ilvl="5"/>
    <w:lvlOverride w:ilvl="6"/>
    <w:lvlOverride w:ilvl="7"/>
    <w:lvlOverride w:ilvl="8"/>
  </w:num>
  <w:num w:numId="18">
    <w:abstractNumId w:val="17"/>
    <w:lvlOverride w:ilvl="0"/>
    <w:lvlOverride w:ilvl="1"/>
    <w:lvlOverride w:ilvl="2"/>
    <w:lvlOverride w:ilvl="3"/>
    <w:lvlOverride w:ilvl="4"/>
    <w:lvlOverride w:ilvl="5"/>
    <w:lvlOverride w:ilvl="6"/>
    <w:lvlOverride w:ilvl="7"/>
    <w:lvlOverride w:ilvl="8"/>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1774"/>
    <w:rsid w:val="00002193"/>
    <w:rsid w:val="00004F6B"/>
    <w:rsid w:val="00005C7D"/>
    <w:rsid w:val="00007986"/>
    <w:rsid w:val="00010D0F"/>
    <w:rsid w:val="000129D3"/>
    <w:rsid w:val="00015301"/>
    <w:rsid w:val="0001537E"/>
    <w:rsid w:val="00021033"/>
    <w:rsid w:val="00023A5A"/>
    <w:rsid w:val="00024795"/>
    <w:rsid w:val="00026511"/>
    <w:rsid w:val="0002667F"/>
    <w:rsid w:val="00027563"/>
    <w:rsid w:val="00032400"/>
    <w:rsid w:val="00032AAF"/>
    <w:rsid w:val="00035608"/>
    <w:rsid w:val="00036984"/>
    <w:rsid w:val="00040DE7"/>
    <w:rsid w:val="00044F16"/>
    <w:rsid w:val="000457A5"/>
    <w:rsid w:val="000466EC"/>
    <w:rsid w:val="00046E19"/>
    <w:rsid w:val="00047956"/>
    <w:rsid w:val="00050190"/>
    <w:rsid w:val="0005076E"/>
    <w:rsid w:val="00050F19"/>
    <w:rsid w:val="0005225C"/>
    <w:rsid w:val="00054B03"/>
    <w:rsid w:val="00054D57"/>
    <w:rsid w:val="000575D4"/>
    <w:rsid w:val="00061A81"/>
    <w:rsid w:val="00062BC9"/>
    <w:rsid w:val="000631DA"/>
    <w:rsid w:val="00063E95"/>
    <w:rsid w:val="000653B6"/>
    <w:rsid w:val="00067DE7"/>
    <w:rsid w:val="00067EA8"/>
    <w:rsid w:val="0007212B"/>
    <w:rsid w:val="00073846"/>
    <w:rsid w:val="0007411A"/>
    <w:rsid w:val="00076FBC"/>
    <w:rsid w:val="00082F23"/>
    <w:rsid w:val="00083802"/>
    <w:rsid w:val="000859B2"/>
    <w:rsid w:val="00087CF4"/>
    <w:rsid w:val="00092AA6"/>
    <w:rsid w:val="00092D11"/>
    <w:rsid w:val="000930BA"/>
    <w:rsid w:val="000A167A"/>
    <w:rsid w:val="000A2421"/>
    <w:rsid w:val="000A3E89"/>
    <w:rsid w:val="000A687C"/>
    <w:rsid w:val="000B0EE1"/>
    <w:rsid w:val="000B1224"/>
    <w:rsid w:val="000B1948"/>
    <w:rsid w:val="000B1F3C"/>
    <w:rsid w:val="000B22CB"/>
    <w:rsid w:val="000B41AA"/>
    <w:rsid w:val="000B5B22"/>
    <w:rsid w:val="000B73B2"/>
    <w:rsid w:val="000C1243"/>
    <w:rsid w:val="000C1BD9"/>
    <w:rsid w:val="000C34FE"/>
    <w:rsid w:val="000C3733"/>
    <w:rsid w:val="000C48A6"/>
    <w:rsid w:val="000C6C04"/>
    <w:rsid w:val="000C78A7"/>
    <w:rsid w:val="000D1470"/>
    <w:rsid w:val="000D435D"/>
    <w:rsid w:val="000D48E6"/>
    <w:rsid w:val="000D62B8"/>
    <w:rsid w:val="000E145E"/>
    <w:rsid w:val="000E1592"/>
    <w:rsid w:val="000E3D41"/>
    <w:rsid w:val="000E59EE"/>
    <w:rsid w:val="000F141C"/>
    <w:rsid w:val="000F1654"/>
    <w:rsid w:val="000F2C6F"/>
    <w:rsid w:val="000F31AD"/>
    <w:rsid w:val="000F3822"/>
    <w:rsid w:val="00100ADC"/>
    <w:rsid w:val="00104127"/>
    <w:rsid w:val="00110281"/>
    <w:rsid w:val="00111A9C"/>
    <w:rsid w:val="00117807"/>
    <w:rsid w:val="00122B80"/>
    <w:rsid w:val="00123B56"/>
    <w:rsid w:val="001253E7"/>
    <w:rsid w:val="00125A47"/>
    <w:rsid w:val="00126B55"/>
    <w:rsid w:val="001276E6"/>
    <w:rsid w:val="00130897"/>
    <w:rsid w:val="001339DA"/>
    <w:rsid w:val="00136CC7"/>
    <w:rsid w:val="0014117A"/>
    <w:rsid w:val="00141E29"/>
    <w:rsid w:val="001465DE"/>
    <w:rsid w:val="00147259"/>
    <w:rsid w:val="00154A41"/>
    <w:rsid w:val="0016361E"/>
    <w:rsid w:val="00163B87"/>
    <w:rsid w:val="00165A15"/>
    <w:rsid w:val="00165D09"/>
    <w:rsid w:val="001706C8"/>
    <w:rsid w:val="00170F0B"/>
    <w:rsid w:val="00171115"/>
    <w:rsid w:val="001732C5"/>
    <w:rsid w:val="00173B6A"/>
    <w:rsid w:val="0017515B"/>
    <w:rsid w:val="00180113"/>
    <w:rsid w:val="001801FA"/>
    <w:rsid w:val="00181666"/>
    <w:rsid w:val="00183557"/>
    <w:rsid w:val="00185907"/>
    <w:rsid w:val="00190EBC"/>
    <w:rsid w:val="00193F5A"/>
    <w:rsid w:val="00194467"/>
    <w:rsid w:val="00194F38"/>
    <w:rsid w:val="00197FD8"/>
    <w:rsid w:val="001A017D"/>
    <w:rsid w:val="001A22DD"/>
    <w:rsid w:val="001B3AE4"/>
    <w:rsid w:val="001B5318"/>
    <w:rsid w:val="001B6D2B"/>
    <w:rsid w:val="001C729D"/>
    <w:rsid w:val="001C7C83"/>
    <w:rsid w:val="001D0EC9"/>
    <w:rsid w:val="001D1713"/>
    <w:rsid w:val="001D2A5B"/>
    <w:rsid w:val="001D443D"/>
    <w:rsid w:val="001D4A4A"/>
    <w:rsid w:val="001D66A7"/>
    <w:rsid w:val="001E3316"/>
    <w:rsid w:val="001E4FDB"/>
    <w:rsid w:val="001E7114"/>
    <w:rsid w:val="001E73BD"/>
    <w:rsid w:val="001E78EB"/>
    <w:rsid w:val="001F07FD"/>
    <w:rsid w:val="001F10BD"/>
    <w:rsid w:val="001F21E0"/>
    <w:rsid w:val="001F27EA"/>
    <w:rsid w:val="001F31D1"/>
    <w:rsid w:val="001F7E68"/>
    <w:rsid w:val="00204459"/>
    <w:rsid w:val="0020475D"/>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45176"/>
    <w:rsid w:val="0024671F"/>
    <w:rsid w:val="00246D0C"/>
    <w:rsid w:val="00251FDE"/>
    <w:rsid w:val="00252769"/>
    <w:rsid w:val="0025296E"/>
    <w:rsid w:val="00253A8C"/>
    <w:rsid w:val="00253FD6"/>
    <w:rsid w:val="00255835"/>
    <w:rsid w:val="00256CBD"/>
    <w:rsid w:val="00261501"/>
    <w:rsid w:val="0026212F"/>
    <w:rsid w:val="00263703"/>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A6D2A"/>
    <w:rsid w:val="002B18F0"/>
    <w:rsid w:val="002B1A26"/>
    <w:rsid w:val="002B227C"/>
    <w:rsid w:val="002B39F9"/>
    <w:rsid w:val="002C03E3"/>
    <w:rsid w:val="002C08B9"/>
    <w:rsid w:val="002C1C21"/>
    <w:rsid w:val="002C2AD2"/>
    <w:rsid w:val="002C4390"/>
    <w:rsid w:val="002D0CBF"/>
    <w:rsid w:val="002D1681"/>
    <w:rsid w:val="002D26DE"/>
    <w:rsid w:val="002D444F"/>
    <w:rsid w:val="002D51D1"/>
    <w:rsid w:val="002D5762"/>
    <w:rsid w:val="002D7403"/>
    <w:rsid w:val="002D742B"/>
    <w:rsid w:val="002E1608"/>
    <w:rsid w:val="002E1AF8"/>
    <w:rsid w:val="002E4850"/>
    <w:rsid w:val="002E59CF"/>
    <w:rsid w:val="002E5B90"/>
    <w:rsid w:val="002E6391"/>
    <w:rsid w:val="002E6EDA"/>
    <w:rsid w:val="002E747D"/>
    <w:rsid w:val="002F0EA4"/>
    <w:rsid w:val="002F5D5F"/>
    <w:rsid w:val="002F703F"/>
    <w:rsid w:val="00300B06"/>
    <w:rsid w:val="00300D87"/>
    <w:rsid w:val="00302014"/>
    <w:rsid w:val="003021A5"/>
    <w:rsid w:val="00303BF7"/>
    <w:rsid w:val="003124B8"/>
    <w:rsid w:val="00315349"/>
    <w:rsid w:val="00321744"/>
    <w:rsid w:val="00322788"/>
    <w:rsid w:val="003242F2"/>
    <w:rsid w:val="00325E94"/>
    <w:rsid w:val="003278D7"/>
    <w:rsid w:val="00327D24"/>
    <w:rsid w:val="00330C8F"/>
    <w:rsid w:val="00331401"/>
    <w:rsid w:val="0033156D"/>
    <w:rsid w:val="00333215"/>
    <w:rsid w:val="003350FE"/>
    <w:rsid w:val="00335495"/>
    <w:rsid w:val="003361E2"/>
    <w:rsid w:val="003375F3"/>
    <w:rsid w:val="00341D25"/>
    <w:rsid w:val="003426BA"/>
    <w:rsid w:val="00344D4E"/>
    <w:rsid w:val="0035206F"/>
    <w:rsid w:val="0035347E"/>
    <w:rsid w:val="00353EB2"/>
    <w:rsid w:val="003575CF"/>
    <w:rsid w:val="00360D6B"/>
    <w:rsid w:val="00360E07"/>
    <w:rsid w:val="00361DD9"/>
    <w:rsid w:val="00361DDB"/>
    <w:rsid w:val="0036490A"/>
    <w:rsid w:val="00364BDB"/>
    <w:rsid w:val="00367D02"/>
    <w:rsid w:val="00372D2B"/>
    <w:rsid w:val="003812DB"/>
    <w:rsid w:val="00381F60"/>
    <w:rsid w:val="003847DA"/>
    <w:rsid w:val="00384ED7"/>
    <w:rsid w:val="00386B8E"/>
    <w:rsid w:val="00386CF8"/>
    <w:rsid w:val="003907A6"/>
    <w:rsid w:val="00391D92"/>
    <w:rsid w:val="003942F4"/>
    <w:rsid w:val="003955DA"/>
    <w:rsid w:val="0039754D"/>
    <w:rsid w:val="00397BB2"/>
    <w:rsid w:val="003A1B1A"/>
    <w:rsid w:val="003A24FC"/>
    <w:rsid w:val="003A2B74"/>
    <w:rsid w:val="003A3593"/>
    <w:rsid w:val="003A38E0"/>
    <w:rsid w:val="003A44C2"/>
    <w:rsid w:val="003A44E1"/>
    <w:rsid w:val="003A49AB"/>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294"/>
    <w:rsid w:val="003F1347"/>
    <w:rsid w:val="003F712E"/>
    <w:rsid w:val="003F7B60"/>
    <w:rsid w:val="00400975"/>
    <w:rsid w:val="00407A61"/>
    <w:rsid w:val="004108E1"/>
    <w:rsid w:val="00410EDC"/>
    <w:rsid w:val="00412189"/>
    <w:rsid w:val="00412A62"/>
    <w:rsid w:val="00412AE0"/>
    <w:rsid w:val="00412E69"/>
    <w:rsid w:val="00413E09"/>
    <w:rsid w:val="004152D0"/>
    <w:rsid w:val="00416AA7"/>
    <w:rsid w:val="00416B53"/>
    <w:rsid w:val="00416D82"/>
    <w:rsid w:val="0041705B"/>
    <w:rsid w:val="0041733B"/>
    <w:rsid w:val="0042001E"/>
    <w:rsid w:val="00421083"/>
    <w:rsid w:val="004218FC"/>
    <w:rsid w:val="004229CC"/>
    <w:rsid w:val="004232DC"/>
    <w:rsid w:val="00423CFE"/>
    <w:rsid w:val="00427430"/>
    <w:rsid w:val="00431138"/>
    <w:rsid w:val="00432B19"/>
    <w:rsid w:val="00433B5A"/>
    <w:rsid w:val="00433C66"/>
    <w:rsid w:val="0043498F"/>
    <w:rsid w:val="00434A53"/>
    <w:rsid w:val="0043599B"/>
    <w:rsid w:val="004366E1"/>
    <w:rsid w:val="00436CB8"/>
    <w:rsid w:val="00443ECE"/>
    <w:rsid w:val="0044709C"/>
    <w:rsid w:val="00447FBD"/>
    <w:rsid w:val="00455368"/>
    <w:rsid w:val="004561CC"/>
    <w:rsid w:val="00457D3C"/>
    <w:rsid w:val="00457F84"/>
    <w:rsid w:val="00460214"/>
    <w:rsid w:val="00462871"/>
    <w:rsid w:val="00464366"/>
    <w:rsid w:val="00465DD0"/>
    <w:rsid w:val="00465EDD"/>
    <w:rsid w:val="00466132"/>
    <w:rsid w:val="00472339"/>
    <w:rsid w:val="0047357D"/>
    <w:rsid w:val="00474AD4"/>
    <w:rsid w:val="00475159"/>
    <w:rsid w:val="00475B1D"/>
    <w:rsid w:val="00481AFF"/>
    <w:rsid w:val="00483312"/>
    <w:rsid w:val="00485634"/>
    <w:rsid w:val="004865BC"/>
    <w:rsid w:val="00487B53"/>
    <w:rsid w:val="004918F2"/>
    <w:rsid w:val="00492A2C"/>
    <w:rsid w:val="00493FB0"/>
    <w:rsid w:val="00494924"/>
    <w:rsid w:val="00494DAE"/>
    <w:rsid w:val="004950AF"/>
    <w:rsid w:val="004958E9"/>
    <w:rsid w:val="00495B30"/>
    <w:rsid w:val="00496CCF"/>
    <w:rsid w:val="004974BE"/>
    <w:rsid w:val="004A04F3"/>
    <w:rsid w:val="004A279D"/>
    <w:rsid w:val="004A43BA"/>
    <w:rsid w:val="004A7040"/>
    <w:rsid w:val="004B0977"/>
    <w:rsid w:val="004C0687"/>
    <w:rsid w:val="004C18B4"/>
    <w:rsid w:val="004C19A0"/>
    <w:rsid w:val="004C22C3"/>
    <w:rsid w:val="004C2CF7"/>
    <w:rsid w:val="004C542D"/>
    <w:rsid w:val="004C5CD9"/>
    <w:rsid w:val="004C5EE2"/>
    <w:rsid w:val="004C7B24"/>
    <w:rsid w:val="004D18D3"/>
    <w:rsid w:val="004D229B"/>
    <w:rsid w:val="004D35AE"/>
    <w:rsid w:val="004D3B5F"/>
    <w:rsid w:val="004D4D20"/>
    <w:rsid w:val="004D581C"/>
    <w:rsid w:val="004D7A8F"/>
    <w:rsid w:val="004D7D53"/>
    <w:rsid w:val="004E1FB9"/>
    <w:rsid w:val="004E22AD"/>
    <w:rsid w:val="004E2708"/>
    <w:rsid w:val="004E3A0B"/>
    <w:rsid w:val="004E6ED1"/>
    <w:rsid w:val="004F44F0"/>
    <w:rsid w:val="004F5096"/>
    <w:rsid w:val="004F5999"/>
    <w:rsid w:val="005004CE"/>
    <w:rsid w:val="005026DC"/>
    <w:rsid w:val="00504D0B"/>
    <w:rsid w:val="00505A22"/>
    <w:rsid w:val="00514DD8"/>
    <w:rsid w:val="00514DFC"/>
    <w:rsid w:val="00515471"/>
    <w:rsid w:val="005205AA"/>
    <w:rsid w:val="00521627"/>
    <w:rsid w:val="00522503"/>
    <w:rsid w:val="005227BD"/>
    <w:rsid w:val="005232F2"/>
    <w:rsid w:val="00524946"/>
    <w:rsid w:val="0052537F"/>
    <w:rsid w:val="005258E4"/>
    <w:rsid w:val="0053022D"/>
    <w:rsid w:val="005308C6"/>
    <w:rsid w:val="00531479"/>
    <w:rsid w:val="0053285B"/>
    <w:rsid w:val="00533BA1"/>
    <w:rsid w:val="00534658"/>
    <w:rsid w:val="00542A1B"/>
    <w:rsid w:val="00546EBF"/>
    <w:rsid w:val="00551403"/>
    <w:rsid w:val="00552686"/>
    <w:rsid w:val="00552ADB"/>
    <w:rsid w:val="00553319"/>
    <w:rsid w:val="00553BCE"/>
    <w:rsid w:val="00554276"/>
    <w:rsid w:val="00555319"/>
    <w:rsid w:val="00555926"/>
    <w:rsid w:val="005565FA"/>
    <w:rsid w:val="00556C56"/>
    <w:rsid w:val="00561795"/>
    <w:rsid w:val="0056355A"/>
    <w:rsid w:val="00566AC0"/>
    <w:rsid w:val="00573FD2"/>
    <w:rsid w:val="0057665A"/>
    <w:rsid w:val="0057797C"/>
    <w:rsid w:val="0058014D"/>
    <w:rsid w:val="00580B32"/>
    <w:rsid w:val="00582711"/>
    <w:rsid w:val="00584CC4"/>
    <w:rsid w:val="00585468"/>
    <w:rsid w:val="00585771"/>
    <w:rsid w:val="00587939"/>
    <w:rsid w:val="00591A08"/>
    <w:rsid w:val="00592096"/>
    <w:rsid w:val="0059375F"/>
    <w:rsid w:val="00593824"/>
    <w:rsid w:val="00596106"/>
    <w:rsid w:val="00597CA4"/>
    <w:rsid w:val="005A330C"/>
    <w:rsid w:val="005A4A63"/>
    <w:rsid w:val="005A598B"/>
    <w:rsid w:val="005A5DBA"/>
    <w:rsid w:val="005A689F"/>
    <w:rsid w:val="005B108E"/>
    <w:rsid w:val="005B235F"/>
    <w:rsid w:val="005B7DDE"/>
    <w:rsid w:val="005C2000"/>
    <w:rsid w:val="005C5777"/>
    <w:rsid w:val="005D0A38"/>
    <w:rsid w:val="005D1940"/>
    <w:rsid w:val="005D3A07"/>
    <w:rsid w:val="005D4EB3"/>
    <w:rsid w:val="005D6A68"/>
    <w:rsid w:val="005D704B"/>
    <w:rsid w:val="005D7376"/>
    <w:rsid w:val="005D7E08"/>
    <w:rsid w:val="005E0A4D"/>
    <w:rsid w:val="005E0ADF"/>
    <w:rsid w:val="005E23CA"/>
    <w:rsid w:val="005E2B7A"/>
    <w:rsid w:val="005E2CCD"/>
    <w:rsid w:val="005E68D6"/>
    <w:rsid w:val="005E699E"/>
    <w:rsid w:val="005E7796"/>
    <w:rsid w:val="005F07CC"/>
    <w:rsid w:val="005F2214"/>
    <w:rsid w:val="005F25DF"/>
    <w:rsid w:val="005F2F35"/>
    <w:rsid w:val="005F7029"/>
    <w:rsid w:val="005F7471"/>
    <w:rsid w:val="00603052"/>
    <w:rsid w:val="00603D7E"/>
    <w:rsid w:val="006041C7"/>
    <w:rsid w:val="006044FA"/>
    <w:rsid w:val="00604C5F"/>
    <w:rsid w:val="00606080"/>
    <w:rsid w:val="006101D8"/>
    <w:rsid w:val="006104FA"/>
    <w:rsid w:val="00611E05"/>
    <w:rsid w:val="006135EB"/>
    <w:rsid w:val="00615070"/>
    <w:rsid w:val="0061718F"/>
    <w:rsid w:val="00621749"/>
    <w:rsid w:val="00621F5E"/>
    <w:rsid w:val="00626FE2"/>
    <w:rsid w:val="006316C8"/>
    <w:rsid w:val="00631FB3"/>
    <w:rsid w:val="0063271E"/>
    <w:rsid w:val="006341CB"/>
    <w:rsid w:val="00636C87"/>
    <w:rsid w:val="00637062"/>
    <w:rsid w:val="00637DE3"/>
    <w:rsid w:val="006427AC"/>
    <w:rsid w:val="00643E58"/>
    <w:rsid w:val="00643F63"/>
    <w:rsid w:val="00647FF7"/>
    <w:rsid w:val="006504C2"/>
    <w:rsid w:val="00650F49"/>
    <w:rsid w:val="006510BE"/>
    <w:rsid w:val="00654041"/>
    <w:rsid w:val="006571DE"/>
    <w:rsid w:val="00660462"/>
    <w:rsid w:val="00660950"/>
    <w:rsid w:val="00663AF6"/>
    <w:rsid w:val="00663D07"/>
    <w:rsid w:val="006657E2"/>
    <w:rsid w:val="006707F9"/>
    <w:rsid w:val="00670DE0"/>
    <w:rsid w:val="00672C64"/>
    <w:rsid w:val="00674E92"/>
    <w:rsid w:val="006750D7"/>
    <w:rsid w:val="00680170"/>
    <w:rsid w:val="00680AA6"/>
    <w:rsid w:val="00681C45"/>
    <w:rsid w:val="00682489"/>
    <w:rsid w:val="00682EC2"/>
    <w:rsid w:val="006850DD"/>
    <w:rsid w:val="006866E9"/>
    <w:rsid w:val="00687F1C"/>
    <w:rsid w:val="006918FD"/>
    <w:rsid w:val="0069344D"/>
    <w:rsid w:val="00697CF6"/>
    <w:rsid w:val="006A263B"/>
    <w:rsid w:val="006A2F3C"/>
    <w:rsid w:val="006A4012"/>
    <w:rsid w:val="006A450D"/>
    <w:rsid w:val="006A6633"/>
    <w:rsid w:val="006A683E"/>
    <w:rsid w:val="006A6ACB"/>
    <w:rsid w:val="006A6B65"/>
    <w:rsid w:val="006B02E9"/>
    <w:rsid w:val="006B6699"/>
    <w:rsid w:val="006C02F1"/>
    <w:rsid w:val="006C2EF4"/>
    <w:rsid w:val="006C3A34"/>
    <w:rsid w:val="006C62BB"/>
    <w:rsid w:val="006D033C"/>
    <w:rsid w:val="006D4248"/>
    <w:rsid w:val="006F1D22"/>
    <w:rsid w:val="006F22DE"/>
    <w:rsid w:val="006F6D79"/>
    <w:rsid w:val="006F6EFE"/>
    <w:rsid w:val="007003B8"/>
    <w:rsid w:val="00700A3C"/>
    <w:rsid w:val="00701F1A"/>
    <w:rsid w:val="0070277B"/>
    <w:rsid w:val="00705B72"/>
    <w:rsid w:val="00707FFD"/>
    <w:rsid w:val="00710507"/>
    <w:rsid w:val="0071257C"/>
    <w:rsid w:val="007128EC"/>
    <w:rsid w:val="007147CF"/>
    <w:rsid w:val="007153CB"/>
    <w:rsid w:val="00717951"/>
    <w:rsid w:val="00720299"/>
    <w:rsid w:val="0072083A"/>
    <w:rsid w:val="00720DC4"/>
    <w:rsid w:val="00722710"/>
    <w:rsid w:val="00722866"/>
    <w:rsid w:val="00723533"/>
    <w:rsid w:val="00725147"/>
    <w:rsid w:val="007257B0"/>
    <w:rsid w:val="0073105E"/>
    <w:rsid w:val="00732C1B"/>
    <w:rsid w:val="00734728"/>
    <w:rsid w:val="00734947"/>
    <w:rsid w:val="00736A8A"/>
    <w:rsid w:val="00740223"/>
    <w:rsid w:val="00742872"/>
    <w:rsid w:val="00743B0A"/>
    <w:rsid w:val="00743DB0"/>
    <w:rsid w:val="00744479"/>
    <w:rsid w:val="00745622"/>
    <w:rsid w:val="00745851"/>
    <w:rsid w:val="00746A29"/>
    <w:rsid w:val="00750F03"/>
    <w:rsid w:val="007575DA"/>
    <w:rsid w:val="007627FC"/>
    <w:rsid w:val="00762D63"/>
    <w:rsid w:val="00763685"/>
    <w:rsid w:val="00764FA6"/>
    <w:rsid w:val="007657E6"/>
    <w:rsid w:val="00770E6B"/>
    <w:rsid w:val="00771412"/>
    <w:rsid w:val="007714A5"/>
    <w:rsid w:val="007763FA"/>
    <w:rsid w:val="00776AF9"/>
    <w:rsid w:val="00777E93"/>
    <w:rsid w:val="007804A8"/>
    <w:rsid w:val="00780BED"/>
    <w:rsid w:val="0078147B"/>
    <w:rsid w:val="007829E5"/>
    <w:rsid w:val="00782EEA"/>
    <w:rsid w:val="00783E6D"/>
    <w:rsid w:val="00785E86"/>
    <w:rsid w:val="00792C52"/>
    <w:rsid w:val="00794646"/>
    <w:rsid w:val="00796AC3"/>
    <w:rsid w:val="007973FC"/>
    <w:rsid w:val="007A169A"/>
    <w:rsid w:val="007A1CD4"/>
    <w:rsid w:val="007A32B9"/>
    <w:rsid w:val="007A7605"/>
    <w:rsid w:val="007B3865"/>
    <w:rsid w:val="007B3DCA"/>
    <w:rsid w:val="007B487E"/>
    <w:rsid w:val="007B493C"/>
    <w:rsid w:val="007B5FE9"/>
    <w:rsid w:val="007C0FA7"/>
    <w:rsid w:val="007C59BB"/>
    <w:rsid w:val="007C5E40"/>
    <w:rsid w:val="007D1244"/>
    <w:rsid w:val="007D68BD"/>
    <w:rsid w:val="007E0394"/>
    <w:rsid w:val="007E05A7"/>
    <w:rsid w:val="007E0C22"/>
    <w:rsid w:val="007E3FDF"/>
    <w:rsid w:val="007E4698"/>
    <w:rsid w:val="007E71E1"/>
    <w:rsid w:val="007E7D2D"/>
    <w:rsid w:val="007F101F"/>
    <w:rsid w:val="007F31BC"/>
    <w:rsid w:val="007F3478"/>
    <w:rsid w:val="007F46C9"/>
    <w:rsid w:val="007F5152"/>
    <w:rsid w:val="007F5BBD"/>
    <w:rsid w:val="007F7F50"/>
    <w:rsid w:val="008060BE"/>
    <w:rsid w:val="0080715F"/>
    <w:rsid w:val="008074CC"/>
    <w:rsid w:val="00807CDD"/>
    <w:rsid w:val="00810B9D"/>
    <w:rsid w:val="00810DA8"/>
    <w:rsid w:val="00813FF8"/>
    <w:rsid w:val="0081458C"/>
    <w:rsid w:val="00814795"/>
    <w:rsid w:val="008156C5"/>
    <w:rsid w:val="00816F6D"/>
    <w:rsid w:val="00820D62"/>
    <w:rsid w:val="00821426"/>
    <w:rsid w:val="008215A0"/>
    <w:rsid w:val="00824DC7"/>
    <w:rsid w:val="008259AD"/>
    <w:rsid w:val="00825AB3"/>
    <w:rsid w:val="008265A1"/>
    <w:rsid w:val="0082735D"/>
    <w:rsid w:val="008277FB"/>
    <w:rsid w:val="00830EDA"/>
    <w:rsid w:val="008327BE"/>
    <w:rsid w:val="00833DDC"/>
    <w:rsid w:val="00834839"/>
    <w:rsid w:val="008351C1"/>
    <w:rsid w:val="0083602E"/>
    <w:rsid w:val="0084028F"/>
    <w:rsid w:val="0084283F"/>
    <w:rsid w:val="00847F4F"/>
    <w:rsid w:val="008510BC"/>
    <w:rsid w:val="008518D1"/>
    <w:rsid w:val="00851B59"/>
    <w:rsid w:val="00851C61"/>
    <w:rsid w:val="008526DF"/>
    <w:rsid w:val="00854D00"/>
    <w:rsid w:val="00856AA4"/>
    <w:rsid w:val="00857145"/>
    <w:rsid w:val="00860ABD"/>
    <w:rsid w:val="00862D0D"/>
    <w:rsid w:val="0087186E"/>
    <w:rsid w:val="00871D2C"/>
    <w:rsid w:val="0087599A"/>
    <w:rsid w:val="008813FD"/>
    <w:rsid w:val="00881EEA"/>
    <w:rsid w:val="008835B0"/>
    <w:rsid w:val="00883883"/>
    <w:rsid w:val="00884CCD"/>
    <w:rsid w:val="0088500F"/>
    <w:rsid w:val="008855AE"/>
    <w:rsid w:val="00885EFD"/>
    <w:rsid w:val="00891634"/>
    <w:rsid w:val="00891C65"/>
    <w:rsid w:val="008929DE"/>
    <w:rsid w:val="00892B94"/>
    <w:rsid w:val="00892D34"/>
    <w:rsid w:val="00894E83"/>
    <w:rsid w:val="00895756"/>
    <w:rsid w:val="00896C84"/>
    <w:rsid w:val="00897F71"/>
    <w:rsid w:val="008A08E7"/>
    <w:rsid w:val="008A0CD1"/>
    <w:rsid w:val="008A2A0A"/>
    <w:rsid w:val="008A50CE"/>
    <w:rsid w:val="008A5B9F"/>
    <w:rsid w:val="008A7001"/>
    <w:rsid w:val="008B010B"/>
    <w:rsid w:val="008B0672"/>
    <w:rsid w:val="008B3A56"/>
    <w:rsid w:val="008C1A38"/>
    <w:rsid w:val="008C7113"/>
    <w:rsid w:val="008D08C9"/>
    <w:rsid w:val="008D3374"/>
    <w:rsid w:val="008D4981"/>
    <w:rsid w:val="008D4F18"/>
    <w:rsid w:val="008D5F9D"/>
    <w:rsid w:val="008D5FC4"/>
    <w:rsid w:val="008D7485"/>
    <w:rsid w:val="008E46EB"/>
    <w:rsid w:val="008E5CB7"/>
    <w:rsid w:val="008E70BF"/>
    <w:rsid w:val="008E7B8A"/>
    <w:rsid w:val="008F183D"/>
    <w:rsid w:val="008F3D58"/>
    <w:rsid w:val="008F7FAA"/>
    <w:rsid w:val="00901270"/>
    <w:rsid w:val="00910C6D"/>
    <w:rsid w:val="009111B9"/>
    <w:rsid w:val="009120A3"/>
    <w:rsid w:val="00912630"/>
    <w:rsid w:val="00914B61"/>
    <w:rsid w:val="00916925"/>
    <w:rsid w:val="00916EAC"/>
    <w:rsid w:val="00921434"/>
    <w:rsid w:val="009239C1"/>
    <w:rsid w:val="0092431C"/>
    <w:rsid w:val="009268EF"/>
    <w:rsid w:val="00926C2C"/>
    <w:rsid w:val="00930223"/>
    <w:rsid w:val="00930E64"/>
    <w:rsid w:val="009347FC"/>
    <w:rsid w:val="00934B3F"/>
    <w:rsid w:val="00934E1E"/>
    <w:rsid w:val="0093702D"/>
    <w:rsid w:val="0093726A"/>
    <w:rsid w:val="00943035"/>
    <w:rsid w:val="00944BA9"/>
    <w:rsid w:val="00947047"/>
    <w:rsid w:val="009527BD"/>
    <w:rsid w:val="00952D19"/>
    <w:rsid w:val="00953E58"/>
    <w:rsid w:val="00954E7D"/>
    <w:rsid w:val="00955078"/>
    <w:rsid w:val="0095756B"/>
    <w:rsid w:val="009600FE"/>
    <w:rsid w:val="00963797"/>
    <w:rsid w:val="0096522D"/>
    <w:rsid w:val="00965F8E"/>
    <w:rsid w:val="00966493"/>
    <w:rsid w:val="0097373C"/>
    <w:rsid w:val="00975148"/>
    <w:rsid w:val="0097611E"/>
    <w:rsid w:val="009823FE"/>
    <w:rsid w:val="0098397E"/>
    <w:rsid w:val="009842E4"/>
    <w:rsid w:val="009854EF"/>
    <w:rsid w:val="00986005"/>
    <w:rsid w:val="00986838"/>
    <w:rsid w:val="00987A91"/>
    <w:rsid w:val="00992C0C"/>
    <w:rsid w:val="00993056"/>
    <w:rsid w:val="0099434B"/>
    <w:rsid w:val="009944A7"/>
    <w:rsid w:val="00994C05"/>
    <w:rsid w:val="009A02B7"/>
    <w:rsid w:val="009A03A4"/>
    <w:rsid w:val="009A1A45"/>
    <w:rsid w:val="009B06DB"/>
    <w:rsid w:val="009B06F4"/>
    <w:rsid w:val="009B1A83"/>
    <w:rsid w:val="009B217B"/>
    <w:rsid w:val="009B2CFF"/>
    <w:rsid w:val="009B5A8F"/>
    <w:rsid w:val="009B72C2"/>
    <w:rsid w:val="009C3B42"/>
    <w:rsid w:val="009C519E"/>
    <w:rsid w:val="009D0D88"/>
    <w:rsid w:val="009D2B69"/>
    <w:rsid w:val="009D2EA2"/>
    <w:rsid w:val="009D313D"/>
    <w:rsid w:val="009D37DF"/>
    <w:rsid w:val="009D4F77"/>
    <w:rsid w:val="009D6C0B"/>
    <w:rsid w:val="009E481A"/>
    <w:rsid w:val="009E49BD"/>
    <w:rsid w:val="009E6DCE"/>
    <w:rsid w:val="009F34B8"/>
    <w:rsid w:val="009F38D3"/>
    <w:rsid w:val="009F6EE4"/>
    <w:rsid w:val="009F6F04"/>
    <w:rsid w:val="00A000CD"/>
    <w:rsid w:val="00A024F2"/>
    <w:rsid w:val="00A041FF"/>
    <w:rsid w:val="00A05F2F"/>
    <w:rsid w:val="00A06EC1"/>
    <w:rsid w:val="00A1137A"/>
    <w:rsid w:val="00A11AEF"/>
    <w:rsid w:val="00A11F9A"/>
    <w:rsid w:val="00A125C1"/>
    <w:rsid w:val="00A14ADD"/>
    <w:rsid w:val="00A152EA"/>
    <w:rsid w:val="00A15D5E"/>
    <w:rsid w:val="00A20B1E"/>
    <w:rsid w:val="00A229AF"/>
    <w:rsid w:val="00A24206"/>
    <w:rsid w:val="00A25372"/>
    <w:rsid w:val="00A2538A"/>
    <w:rsid w:val="00A25611"/>
    <w:rsid w:val="00A265E5"/>
    <w:rsid w:val="00A27A21"/>
    <w:rsid w:val="00A30739"/>
    <w:rsid w:val="00A30CEA"/>
    <w:rsid w:val="00A31798"/>
    <w:rsid w:val="00A31E90"/>
    <w:rsid w:val="00A32421"/>
    <w:rsid w:val="00A42F54"/>
    <w:rsid w:val="00A430D0"/>
    <w:rsid w:val="00A43257"/>
    <w:rsid w:val="00A44331"/>
    <w:rsid w:val="00A4575C"/>
    <w:rsid w:val="00A45E21"/>
    <w:rsid w:val="00A47D0F"/>
    <w:rsid w:val="00A47DDA"/>
    <w:rsid w:val="00A47E28"/>
    <w:rsid w:val="00A52A08"/>
    <w:rsid w:val="00A53147"/>
    <w:rsid w:val="00A5446B"/>
    <w:rsid w:val="00A62990"/>
    <w:rsid w:val="00A65245"/>
    <w:rsid w:val="00A658F7"/>
    <w:rsid w:val="00A664F0"/>
    <w:rsid w:val="00A66DE4"/>
    <w:rsid w:val="00A6707E"/>
    <w:rsid w:val="00A70BAB"/>
    <w:rsid w:val="00A71242"/>
    <w:rsid w:val="00A72AEA"/>
    <w:rsid w:val="00A73D81"/>
    <w:rsid w:val="00A74659"/>
    <w:rsid w:val="00A74754"/>
    <w:rsid w:val="00A74E23"/>
    <w:rsid w:val="00A774A5"/>
    <w:rsid w:val="00A8222E"/>
    <w:rsid w:val="00A82C96"/>
    <w:rsid w:val="00A82D38"/>
    <w:rsid w:val="00A84B91"/>
    <w:rsid w:val="00A909BA"/>
    <w:rsid w:val="00A9179E"/>
    <w:rsid w:val="00A937C5"/>
    <w:rsid w:val="00A93C1F"/>
    <w:rsid w:val="00A96B9D"/>
    <w:rsid w:val="00A96D9E"/>
    <w:rsid w:val="00A97106"/>
    <w:rsid w:val="00AA0B0E"/>
    <w:rsid w:val="00AA1A7C"/>
    <w:rsid w:val="00AA2916"/>
    <w:rsid w:val="00AA5FC4"/>
    <w:rsid w:val="00AA6AD9"/>
    <w:rsid w:val="00AB0A3C"/>
    <w:rsid w:val="00AB154D"/>
    <w:rsid w:val="00AB1C84"/>
    <w:rsid w:val="00AB2DF2"/>
    <w:rsid w:val="00AB625E"/>
    <w:rsid w:val="00AB7ECE"/>
    <w:rsid w:val="00AC15C1"/>
    <w:rsid w:val="00AC3211"/>
    <w:rsid w:val="00AC3837"/>
    <w:rsid w:val="00AC51B8"/>
    <w:rsid w:val="00AC54B4"/>
    <w:rsid w:val="00AC5654"/>
    <w:rsid w:val="00AC6B09"/>
    <w:rsid w:val="00AC6FF7"/>
    <w:rsid w:val="00AD04A0"/>
    <w:rsid w:val="00AD0F2B"/>
    <w:rsid w:val="00AD0F65"/>
    <w:rsid w:val="00AD338D"/>
    <w:rsid w:val="00AD6ED5"/>
    <w:rsid w:val="00AE050C"/>
    <w:rsid w:val="00AE362C"/>
    <w:rsid w:val="00AE44D3"/>
    <w:rsid w:val="00AE6137"/>
    <w:rsid w:val="00AE7B99"/>
    <w:rsid w:val="00AF16C7"/>
    <w:rsid w:val="00AF25D9"/>
    <w:rsid w:val="00AF36D1"/>
    <w:rsid w:val="00AF3DEA"/>
    <w:rsid w:val="00AF487D"/>
    <w:rsid w:val="00AF48D4"/>
    <w:rsid w:val="00AF4AEA"/>
    <w:rsid w:val="00AF66C1"/>
    <w:rsid w:val="00AF7A09"/>
    <w:rsid w:val="00AF7D0B"/>
    <w:rsid w:val="00AF7F17"/>
    <w:rsid w:val="00B02336"/>
    <w:rsid w:val="00B13C4E"/>
    <w:rsid w:val="00B166BB"/>
    <w:rsid w:val="00B16DEE"/>
    <w:rsid w:val="00B21962"/>
    <w:rsid w:val="00B2396B"/>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161"/>
    <w:rsid w:val="00B43664"/>
    <w:rsid w:val="00B43966"/>
    <w:rsid w:val="00B44149"/>
    <w:rsid w:val="00B4632A"/>
    <w:rsid w:val="00B46805"/>
    <w:rsid w:val="00B4699F"/>
    <w:rsid w:val="00B47E4D"/>
    <w:rsid w:val="00B5121D"/>
    <w:rsid w:val="00B52EFF"/>
    <w:rsid w:val="00B54486"/>
    <w:rsid w:val="00B54E2C"/>
    <w:rsid w:val="00B55889"/>
    <w:rsid w:val="00B57214"/>
    <w:rsid w:val="00B636F6"/>
    <w:rsid w:val="00B6525F"/>
    <w:rsid w:val="00B65A9D"/>
    <w:rsid w:val="00B71A01"/>
    <w:rsid w:val="00B743A2"/>
    <w:rsid w:val="00B74586"/>
    <w:rsid w:val="00B757B1"/>
    <w:rsid w:val="00B764F8"/>
    <w:rsid w:val="00B7726A"/>
    <w:rsid w:val="00B83119"/>
    <w:rsid w:val="00B91C06"/>
    <w:rsid w:val="00B923BC"/>
    <w:rsid w:val="00B96097"/>
    <w:rsid w:val="00B97072"/>
    <w:rsid w:val="00B97105"/>
    <w:rsid w:val="00BA191C"/>
    <w:rsid w:val="00BA1F12"/>
    <w:rsid w:val="00BA3B7A"/>
    <w:rsid w:val="00BA5686"/>
    <w:rsid w:val="00BB30D3"/>
    <w:rsid w:val="00BB4612"/>
    <w:rsid w:val="00BB61FF"/>
    <w:rsid w:val="00BB74CA"/>
    <w:rsid w:val="00BC1993"/>
    <w:rsid w:val="00BC2269"/>
    <w:rsid w:val="00BC2E7D"/>
    <w:rsid w:val="00BC3188"/>
    <w:rsid w:val="00BC34F8"/>
    <w:rsid w:val="00BC3671"/>
    <w:rsid w:val="00BD09E5"/>
    <w:rsid w:val="00BD17F0"/>
    <w:rsid w:val="00BD6D33"/>
    <w:rsid w:val="00BE36D6"/>
    <w:rsid w:val="00BE3EF2"/>
    <w:rsid w:val="00BE58C3"/>
    <w:rsid w:val="00BE7765"/>
    <w:rsid w:val="00BF0E1D"/>
    <w:rsid w:val="00BF2F0A"/>
    <w:rsid w:val="00BF323C"/>
    <w:rsid w:val="00BF5C84"/>
    <w:rsid w:val="00BF7497"/>
    <w:rsid w:val="00C0041D"/>
    <w:rsid w:val="00C04425"/>
    <w:rsid w:val="00C04F5C"/>
    <w:rsid w:val="00C07968"/>
    <w:rsid w:val="00C1023B"/>
    <w:rsid w:val="00C10953"/>
    <w:rsid w:val="00C10A7E"/>
    <w:rsid w:val="00C10D2B"/>
    <w:rsid w:val="00C11106"/>
    <w:rsid w:val="00C13A80"/>
    <w:rsid w:val="00C157ED"/>
    <w:rsid w:val="00C15DA0"/>
    <w:rsid w:val="00C20259"/>
    <w:rsid w:val="00C2646C"/>
    <w:rsid w:val="00C275FC"/>
    <w:rsid w:val="00C30172"/>
    <w:rsid w:val="00C35616"/>
    <w:rsid w:val="00C41DCF"/>
    <w:rsid w:val="00C42940"/>
    <w:rsid w:val="00C4427E"/>
    <w:rsid w:val="00C45BD3"/>
    <w:rsid w:val="00C469AE"/>
    <w:rsid w:val="00C50C3F"/>
    <w:rsid w:val="00C522D8"/>
    <w:rsid w:val="00C52B54"/>
    <w:rsid w:val="00C53A66"/>
    <w:rsid w:val="00C53D89"/>
    <w:rsid w:val="00C56920"/>
    <w:rsid w:val="00C61987"/>
    <w:rsid w:val="00C651CF"/>
    <w:rsid w:val="00C6543B"/>
    <w:rsid w:val="00C65C28"/>
    <w:rsid w:val="00C6605B"/>
    <w:rsid w:val="00C66A34"/>
    <w:rsid w:val="00C67852"/>
    <w:rsid w:val="00C67A6E"/>
    <w:rsid w:val="00C707BC"/>
    <w:rsid w:val="00C71275"/>
    <w:rsid w:val="00C718DE"/>
    <w:rsid w:val="00C73497"/>
    <w:rsid w:val="00C735E7"/>
    <w:rsid w:val="00C75D48"/>
    <w:rsid w:val="00C770FE"/>
    <w:rsid w:val="00C811F6"/>
    <w:rsid w:val="00C846DF"/>
    <w:rsid w:val="00C8482A"/>
    <w:rsid w:val="00C859AE"/>
    <w:rsid w:val="00C90345"/>
    <w:rsid w:val="00C908ED"/>
    <w:rsid w:val="00C91787"/>
    <w:rsid w:val="00C9342D"/>
    <w:rsid w:val="00C95050"/>
    <w:rsid w:val="00C95DD4"/>
    <w:rsid w:val="00C97831"/>
    <w:rsid w:val="00CA0596"/>
    <w:rsid w:val="00CA1058"/>
    <w:rsid w:val="00CA2541"/>
    <w:rsid w:val="00CA4CF6"/>
    <w:rsid w:val="00CB1925"/>
    <w:rsid w:val="00CB201F"/>
    <w:rsid w:val="00CB2F19"/>
    <w:rsid w:val="00CB4E2A"/>
    <w:rsid w:val="00CC0223"/>
    <w:rsid w:val="00CC0661"/>
    <w:rsid w:val="00CC0C93"/>
    <w:rsid w:val="00CC1BAF"/>
    <w:rsid w:val="00CC22E5"/>
    <w:rsid w:val="00CC364B"/>
    <w:rsid w:val="00CC3D88"/>
    <w:rsid w:val="00CC5D8A"/>
    <w:rsid w:val="00CC6FEE"/>
    <w:rsid w:val="00CC7174"/>
    <w:rsid w:val="00CD0141"/>
    <w:rsid w:val="00CD08E9"/>
    <w:rsid w:val="00CD1EBC"/>
    <w:rsid w:val="00CD3BB8"/>
    <w:rsid w:val="00CD6EED"/>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5A57"/>
    <w:rsid w:val="00D36641"/>
    <w:rsid w:val="00D36E68"/>
    <w:rsid w:val="00D42AD7"/>
    <w:rsid w:val="00D51EBE"/>
    <w:rsid w:val="00D52298"/>
    <w:rsid w:val="00D526EF"/>
    <w:rsid w:val="00D569AD"/>
    <w:rsid w:val="00D5766D"/>
    <w:rsid w:val="00D609A5"/>
    <w:rsid w:val="00D60B85"/>
    <w:rsid w:val="00D62DB0"/>
    <w:rsid w:val="00D62E75"/>
    <w:rsid w:val="00D63648"/>
    <w:rsid w:val="00D67B91"/>
    <w:rsid w:val="00D67F74"/>
    <w:rsid w:val="00D7323F"/>
    <w:rsid w:val="00D778B5"/>
    <w:rsid w:val="00D77D00"/>
    <w:rsid w:val="00D8197B"/>
    <w:rsid w:val="00D82763"/>
    <w:rsid w:val="00D82BC2"/>
    <w:rsid w:val="00D84DF3"/>
    <w:rsid w:val="00D85A0E"/>
    <w:rsid w:val="00D86557"/>
    <w:rsid w:val="00D87883"/>
    <w:rsid w:val="00D927FC"/>
    <w:rsid w:val="00D931ED"/>
    <w:rsid w:val="00D9323E"/>
    <w:rsid w:val="00D937B3"/>
    <w:rsid w:val="00D95D15"/>
    <w:rsid w:val="00D961CA"/>
    <w:rsid w:val="00DA4FB3"/>
    <w:rsid w:val="00DB1078"/>
    <w:rsid w:val="00DB109E"/>
    <w:rsid w:val="00DB120D"/>
    <w:rsid w:val="00DB1EAF"/>
    <w:rsid w:val="00DB444B"/>
    <w:rsid w:val="00DB5F83"/>
    <w:rsid w:val="00DB677C"/>
    <w:rsid w:val="00DC3B91"/>
    <w:rsid w:val="00DC435F"/>
    <w:rsid w:val="00DC5B96"/>
    <w:rsid w:val="00DC7363"/>
    <w:rsid w:val="00DC7967"/>
    <w:rsid w:val="00DC7EEC"/>
    <w:rsid w:val="00DD075B"/>
    <w:rsid w:val="00DD7200"/>
    <w:rsid w:val="00DD73CD"/>
    <w:rsid w:val="00DE4954"/>
    <w:rsid w:val="00DE5A72"/>
    <w:rsid w:val="00DF0A28"/>
    <w:rsid w:val="00DF2C27"/>
    <w:rsid w:val="00DF5663"/>
    <w:rsid w:val="00E02A2C"/>
    <w:rsid w:val="00E05B86"/>
    <w:rsid w:val="00E05C1F"/>
    <w:rsid w:val="00E1489A"/>
    <w:rsid w:val="00E16489"/>
    <w:rsid w:val="00E209C2"/>
    <w:rsid w:val="00E20DE3"/>
    <w:rsid w:val="00E212F0"/>
    <w:rsid w:val="00E2199A"/>
    <w:rsid w:val="00E2202D"/>
    <w:rsid w:val="00E22206"/>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0664"/>
    <w:rsid w:val="00E41F36"/>
    <w:rsid w:val="00E448AB"/>
    <w:rsid w:val="00E44A37"/>
    <w:rsid w:val="00E47D59"/>
    <w:rsid w:val="00E50D1B"/>
    <w:rsid w:val="00E5123C"/>
    <w:rsid w:val="00E51827"/>
    <w:rsid w:val="00E51AC9"/>
    <w:rsid w:val="00E55871"/>
    <w:rsid w:val="00E55D94"/>
    <w:rsid w:val="00E5607F"/>
    <w:rsid w:val="00E6162C"/>
    <w:rsid w:val="00E65EDF"/>
    <w:rsid w:val="00E66846"/>
    <w:rsid w:val="00E7008C"/>
    <w:rsid w:val="00E70CE4"/>
    <w:rsid w:val="00E72146"/>
    <w:rsid w:val="00E75A40"/>
    <w:rsid w:val="00E75F6A"/>
    <w:rsid w:val="00E76F4C"/>
    <w:rsid w:val="00E77E45"/>
    <w:rsid w:val="00E85B2B"/>
    <w:rsid w:val="00E85B7A"/>
    <w:rsid w:val="00E877EB"/>
    <w:rsid w:val="00E87F99"/>
    <w:rsid w:val="00E90851"/>
    <w:rsid w:val="00E90931"/>
    <w:rsid w:val="00E91FE0"/>
    <w:rsid w:val="00E930F4"/>
    <w:rsid w:val="00E94D2C"/>
    <w:rsid w:val="00E95255"/>
    <w:rsid w:val="00EA22D8"/>
    <w:rsid w:val="00EA3253"/>
    <w:rsid w:val="00EA3366"/>
    <w:rsid w:val="00EA3F09"/>
    <w:rsid w:val="00EA5880"/>
    <w:rsid w:val="00EA6047"/>
    <w:rsid w:val="00EA69E8"/>
    <w:rsid w:val="00EB04CD"/>
    <w:rsid w:val="00EB0815"/>
    <w:rsid w:val="00EB3EE9"/>
    <w:rsid w:val="00EB6E57"/>
    <w:rsid w:val="00EB75FC"/>
    <w:rsid w:val="00EC10B5"/>
    <w:rsid w:val="00EC219B"/>
    <w:rsid w:val="00EC430C"/>
    <w:rsid w:val="00EC4D25"/>
    <w:rsid w:val="00EC7868"/>
    <w:rsid w:val="00ED0763"/>
    <w:rsid w:val="00ED156A"/>
    <w:rsid w:val="00ED3F1B"/>
    <w:rsid w:val="00ED5A72"/>
    <w:rsid w:val="00ED7BC0"/>
    <w:rsid w:val="00EE0706"/>
    <w:rsid w:val="00EE4C25"/>
    <w:rsid w:val="00EE6BD7"/>
    <w:rsid w:val="00EE7C91"/>
    <w:rsid w:val="00EF0897"/>
    <w:rsid w:val="00EF500C"/>
    <w:rsid w:val="00EF5049"/>
    <w:rsid w:val="00EF59D6"/>
    <w:rsid w:val="00F00B2C"/>
    <w:rsid w:val="00F00BB6"/>
    <w:rsid w:val="00F02E65"/>
    <w:rsid w:val="00F04CD6"/>
    <w:rsid w:val="00F06723"/>
    <w:rsid w:val="00F12692"/>
    <w:rsid w:val="00F1775C"/>
    <w:rsid w:val="00F239D4"/>
    <w:rsid w:val="00F23CDB"/>
    <w:rsid w:val="00F23FF8"/>
    <w:rsid w:val="00F2633F"/>
    <w:rsid w:val="00F26361"/>
    <w:rsid w:val="00F30D10"/>
    <w:rsid w:val="00F3284F"/>
    <w:rsid w:val="00F34C7B"/>
    <w:rsid w:val="00F37A06"/>
    <w:rsid w:val="00F401EB"/>
    <w:rsid w:val="00F40998"/>
    <w:rsid w:val="00F426B8"/>
    <w:rsid w:val="00F43ED0"/>
    <w:rsid w:val="00F443BA"/>
    <w:rsid w:val="00F4465F"/>
    <w:rsid w:val="00F44D46"/>
    <w:rsid w:val="00F477CB"/>
    <w:rsid w:val="00F477FB"/>
    <w:rsid w:val="00F47B95"/>
    <w:rsid w:val="00F5079D"/>
    <w:rsid w:val="00F5189E"/>
    <w:rsid w:val="00F52FDC"/>
    <w:rsid w:val="00F547D5"/>
    <w:rsid w:val="00F56138"/>
    <w:rsid w:val="00F64059"/>
    <w:rsid w:val="00F65DF7"/>
    <w:rsid w:val="00F711B8"/>
    <w:rsid w:val="00F714D7"/>
    <w:rsid w:val="00F720B4"/>
    <w:rsid w:val="00F74CB9"/>
    <w:rsid w:val="00F77216"/>
    <w:rsid w:val="00F77AA8"/>
    <w:rsid w:val="00F80A9E"/>
    <w:rsid w:val="00F845E5"/>
    <w:rsid w:val="00F97776"/>
    <w:rsid w:val="00FA2718"/>
    <w:rsid w:val="00FA3F8D"/>
    <w:rsid w:val="00FA6206"/>
    <w:rsid w:val="00FB1B3E"/>
    <w:rsid w:val="00FB2D23"/>
    <w:rsid w:val="00FB4B31"/>
    <w:rsid w:val="00FB522F"/>
    <w:rsid w:val="00FC0010"/>
    <w:rsid w:val="00FC11EB"/>
    <w:rsid w:val="00FC14D6"/>
    <w:rsid w:val="00FC3425"/>
    <w:rsid w:val="00FC4BFD"/>
    <w:rsid w:val="00FC51E0"/>
    <w:rsid w:val="00FC546C"/>
    <w:rsid w:val="00FC5E88"/>
    <w:rsid w:val="00FC73DD"/>
    <w:rsid w:val="00FD12AE"/>
    <w:rsid w:val="00FD3377"/>
    <w:rsid w:val="00FD44D0"/>
    <w:rsid w:val="00FD5CCC"/>
    <w:rsid w:val="00FD6470"/>
    <w:rsid w:val="00FD655A"/>
    <w:rsid w:val="00FD71BC"/>
    <w:rsid w:val="00FD7418"/>
    <w:rsid w:val="00FE1634"/>
    <w:rsid w:val="00FE47E6"/>
    <w:rsid w:val="00FE66E5"/>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5"/>
    <w:uiPriority w:val="34"/>
    <w:qFormat/>
    <w:rsid w:val="00DC3B91"/>
    <w:pPr>
      <w:ind w:left="720"/>
      <w:contextualSpacing/>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7003B8"/>
    <w:pPr>
      <w:tabs>
        <w:tab w:val="center" w:pos="4320"/>
        <w:tab w:val="right" w:pos="864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qFormat/>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character" w:customStyle="1" w:styleId="ListParagraphChar">
    <w:name w:val="List Paragraph Char"/>
    <w:aliases w:val="列出段落 Char,목록 단락 Char,- Bullets Char,リスト段落 Char,?? ?? Char,????? Char,???? Char,Lista1 Char,列出段落1 Char,中等深浅网格 1 - 着色 21 Char,列表段落 Char,¥¡¡¡¡ì¬º¥¹¥È¶ÎÂä Char,ÁÐ³ö¶ÎÂä Char,列表段落1 Char,—ño’i—Ž Char,¥ê¥¹¥È¶ÎÂä Char,Paragrafo elenco Char"/>
    <w:basedOn w:val="a0"/>
    <w:uiPriority w:val="34"/>
    <w:locked/>
    <w:rsid w:val="0025296E"/>
    <w:rPr>
      <w:rFonts w:ascii="SimSun" w:eastAsia="SimSun" w:hAnsi="SimSun"/>
    </w:rPr>
  </w:style>
  <w:style w:type="paragraph" w:customStyle="1" w:styleId="TAH">
    <w:name w:val="TAH"/>
    <w:basedOn w:val="TAC"/>
    <w:link w:val="TAHCar"/>
    <w:qFormat/>
    <w:rsid w:val="00432B19"/>
    <w:rPr>
      <w:rFonts w:eastAsia="SimSun"/>
      <w:b/>
    </w:rPr>
  </w:style>
  <w:style w:type="character" w:customStyle="1" w:styleId="TAHCar">
    <w:name w:val="TAH Car"/>
    <w:link w:val="TAH"/>
    <w:qFormat/>
    <w:rsid w:val="00432B19"/>
    <w:rPr>
      <w:rFonts w:ascii="Arial" w:eastAsia="SimSun" w:hAnsi="Arial" w:cs="Times New Roman"/>
      <w:b/>
      <w:sz w:val="18"/>
      <w:szCs w:val="20"/>
      <w:lang w:val="en-GB" w:eastAsia="en-US"/>
    </w:rPr>
  </w:style>
  <w:style w:type="character" w:customStyle="1" w:styleId="TALCar">
    <w:name w:val="TAL Car"/>
    <w:qFormat/>
    <w:rsid w:val="00432B19"/>
    <w:rPr>
      <w:rFonts w:ascii="Arial" w:eastAsia="Malgun Gothic" w:hAnsi="Arial" w:cs="Times New Roman"/>
      <w:sz w:val="18"/>
      <w:szCs w:val="20"/>
      <w:lang w:val="en-GB" w:eastAsia="en-US"/>
    </w:rPr>
  </w:style>
  <w:style w:type="paragraph" w:customStyle="1" w:styleId="PL">
    <w:name w:val="PL"/>
    <w:link w:val="PLChar"/>
    <w:qFormat/>
    <w:rsid w:val="005F2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F25DF"/>
    <w:rPr>
      <w:rFonts w:ascii="Courier New" w:eastAsia="Times New Roman" w:hAnsi="Courier New" w:cs="Times New Roman"/>
      <w:noProof/>
      <w:sz w:val="16"/>
      <w:szCs w:val="20"/>
      <w:lang w:val="en-GB" w:eastAsia="ja-JP"/>
    </w:rPr>
  </w:style>
  <w:style w:type="paragraph" w:customStyle="1" w:styleId="B1">
    <w:name w:val="B1"/>
    <w:basedOn w:val="a"/>
    <w:link w:val="B1Zchn"/>
    <w:qFormat/>
    <w:rsid w:val="002C08B9"/>
    <w:pPr>
      <w:spacing w:after="180"/>
      <w:ind w:left="568" w:hanging="284"/>
    </w:pPr>
    <w:rPr>
      <w:sz w:val="20"/>
      <w:szCs w:val="20"/>
      <w:lang w:val="x-none" w:eastAsia="en-US"/>
    </w:rPr>
  </w:style>
  <w:style w:type="paragraph" w:customStyle="1" w:styleId="B2">
    <w:name w:val="B2"/>
    <w:basedOn w:val="a"/>
    <w:link w:val="B2Char"/>
    <w:qFormat/>
    <w:rsid w:val="002C08B9"/>
    <w:pPr>
      <w:spacing w:after="180"/>
      <w:ind w:left="851" w:hanging="284"/>
    </w:pPr>
    <w:rPr>
      <w:sz w:val="20"/>
      <w:szCs w:val="20"/>
      <w:lang w:val="x-none" w:eastAsia="en-US"/>
    </w:rPr>
  </w:style>
  <w:style w:type="character" w:customStyle="1" w:styleId="B1Zchn">
    <w:name w:val="B1 Zchn"/>
    <w:link w:val="B1"/>
    <w:rsid w:val="002C08B9"/>
    <w:rPr>
      <w:rFonts w:ascii="Times New Roman" w:eastAsia="Times New Roman" w:hAnsi="Times New Roman" w:cs="Times New Roman"/>
      <w:sz w:val="20"/>
      <w:szCs w:val="20"/>
      <w:lang w:val="x-none" w:eastAsia="en-US"/>
    </w:rPr>
  </w:style>
  <w:style w:type="character" w:customStyle="1" w:styleId="B2Char">
    <w:name w:val="B2 Char"/>
    <w:link w:val="B2"/>
    <w:qFormat/>
    <w:rsid w:val="002C08B9"/>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45139567">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427123072">
      <w:bodyDiv w:val="1"/>
      <w:marLeft w:val="0"/>
      <w:marRight w:val="0"/>
      <w:marTop w:val="0"/>
      <w:marBottom w:val="0"/>
      <w:divBdr>
        <w:top w:val="none" w:sz="0" w:space="0" w:color="auto"/>
        <w:left w:val="none" w:sz="0" w:space="0" w:color="auto"/>
        <w:bottom w:val="none" w:sz="0" w:space="0" w:color="auto"/>
        <w:right w:val="none" w:sz="0" w:space="0" w:color="auto"/>
      </w:divBdr>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44353586">
      <w:bodyDiv w:val="1"/>
      <w:marLeft w:val="0"/>
      <w:marRight w:val="0"/>
      <w:marTop w:val="0"/>
      <w:marBottom w:val="0"/>
      <w:divBdr>
        <w:top w:val="none" w:sz="0" w:space="0" w:color="auto"/>
        <w:left w:val="none" w:sz="0" w:space="0" w:color="auto"/>
        <w:bottom w:val="none" w:sz="0" w:space="0" w:color="auto"/>
        <w:right w:val="none" w:sz="0" w:space="0" w:color="auto"/>
      </w:divBdr>
      <w:divsChild>
        <w:div w:id="501899906">
          <w:marLeft w:val="360"/>
          <w:marRight w:val="0"/>
          <w:marTop w:val="200"/>
          <w:marBottom w:val="0"/>
          <w:divBdr>
            <w:top w:val="none" w:sz="0" w:space="0" w:color="auto"/>
            <w:left w:val="none" w:sz="0" w:space="0" w:color="auto"/>
            <w:bottom w:val="none" w:sz="0" w:space="0" w:color="auto"/>
            <w:right w:val="none" w:sz="0" w:space="0" w:color="auto"/>
          </w:divBdr>
        </w:div>
        <w:div w:id="1399397530">
          <w:marLeft w:val="1080"/>
          <w:marRight w:val="0"/>
          <w:marTop w:val="100"/>
          <w:marBottom w:val="0"/>
          <w:divBdr>
            <w:top w:val="none" w:sz="0" w:space="0" w:color="auto"/>
            <w:left w:val="none" w:sz="0" w:space="0" w:color="auto"/>
            <w:bottom w:val="none" w:sz="0" w:space="0" w:color="auto"/>
            <w:right w:val="none" w:sz="0" w:space="0" w:color="auto"/>
          </w:divBdr>
        </w:div>
        <w:div w:id="1773431372">
          <w:marLeft w:val="1800"/>
          <w:marRight w:val="0"/>
          <w:marTop w:val="100"/>
          <w:marBottom w:val="0"/>
          <w:divBdr>
            <w:top w:val="none" w:sz="0" w:space="0" w:color="auto"/>
            <w:left w:val="none" w:sz="0" w:space="0" w:color="auto"/>
            <w:bottom w:val="none" w:sz="0" w:space="0" w:color="auto"/>
            <w:right w:val="none" w:sz="0" w:space="0" w:color="auto"/>
          </w:divBdr>
        </w:div>
        <w:div w:id="1375159750">
          <w:marLeft w:val="1800"/>
          <w:marRight w:val="0"/>
          <w:marTop w:val="100"/>
          <w:marBottom w:val="0"/>
          <w:divBdr>
            <w:top w:val="none" w:sz="0" w:space="0" w:color="auto"/>
            <w:left w:val="none" w:sz="0" w:space="0" w:color="auto"/>
            <w:bottom w:val="none" w:sz="0" w:space="0" w:color="auto"/>
            <w:right w:val="none" w:sz="0" w:space="0" w:color="auto"/>
          </w:divBdr>
        </w:div>
        <w:div w:id="245922931">
          <w:marLeft w:val="2520"/>
          <w:marRight w:val="0"/>
          <w:marTop w:val="100"/>
          <w:marBottom w:val="0"/>
          <w:divBdr>
            <w:top w:val="none" w:sz="0" w:space="0" w:color="auto"/>
            <w:left w:val="none" w:sz="0" w:space="0" w:color="auto"/>
            <w:bottom w:val="none" w:sz="0" w:space="0" w:color="auto"/>
            <w:right w:val="none" w:sz="0" w:space="0" w:color="auto"/>
          </w:divBdr>
        </w:div>
        <w:div w:id="1945112376">
          <w:marLeft w:val="2520"/>
          <w:marRight w:val="0"/>
          <w:marTop w:val="100"/>
          <w:marBottom w:val="0"/>
          <w:divBdr>
            <w:top w:val="none" w:sz="0" w:space="0" w:color="auto"/>
            <w:left w:val="none" w:sz="0" w:space="0" w:color="auto"/>
            <w:bottom w:val="none" w:sz="0" w:space="0" w:color="auto"/>
            <w:right w:val="none" w:sz="0" w:space="0" w:color="auto"/>
          </w:divBdr>
        </w:div>
      </w:divsChild>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3605479">
      <w:bodyDiv w:val="1"/>
      <w:marLeft w:val="0"/>
      <w:marRight w:val="0"/>
      <w:marTop w:val="0"/>
      <w:marBottom w:val="0"/>
      <w:divBdr>
        <w:top w:val="none" w:sz="0" w:space="0" w:color="auto"/>
        <w:left w:val="none" w:sz="0" w:space="0" w:color="auto"/>
        <w:bottom w:val="none" w:sz="0" w:space="0" w:color="auto"/>
        <w:right w:val="none" w:sz="0" w:space="0" w:color="auto"/>
      </w:divBdr>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3712559">
      <w:bodyDiv w:val="1"/>
      <w:marLeft w:val="0"/>
      <w:marRight w:val="0"/>
      <w:marTop w:val="0"/>
      <w:marBottom w:val="0"/>
      <w:divBdr>
        <w:top w:val="none" w:sz="0" w:space="0" w:color="auto"/>
        <w:left w:val="none" w:sz="0" w:space="0" w:color="auto"/>
        <w:bottom w:val="none" w:sz="0" w:space="0" w:color="auto"/>
        <w:right w:val="none" w:sz="0" w:space="0" w:color="auto"/>
      </w:divBdr>
      <w:divsChild>
        <w:div w:id="2070684175">
          <w:marLeft w:val="432"/>
          <w:marRight w:val="0"/>
          <w:marTop w:val="24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44924061">
      <w:bodyDiv w:val="1"/>
      <w:marLeft w:val="0"/>
      <w:marRight w:val="0"/>
      <w:marTop w:val="0"/>
      <w:marBottom w:val="0"/>
      <w:divBdr>
        <w:top w:val="none" w:sz="0" w:space="0" w:color="auto"/>
        <w:left w:val="none" w:sz="0" w:space="0" w:color="auto"/>
        <w:bottom w:val="none" w:sz="0" w:space="0" w:color="auto"/>
        <w:right w:val="none" w:sz="0" w:space="0" w:color="auto"/>
      </w:divBdr>
      <w:divsChild>
        <w:div w:id="787044391">
          <w:marLeft w:val="360"/>
          <w:marRight w:val="0"/>
          <w:marTop w:val="200"/>
          <w:marBottom w:val="0"/>
          <w:divBdr>
            <w:top w:val="none" w:sz="0" w:space="0" w:color="auto"/>
            <w:left w:val="none" w:sz="0" w:space="0" w:color="auto"/>
            <w:bottom w:val="none" w:sz="0" w:space="0" w:color="auto"/>
            <w:right w:val="none" w:sz="0" w:space="0" w:color="auto"/>
          </w:divBdr>
        </w:div>
        <w:div w:id="560946783">
          <w:marLeft w:val="1080"/>
          <w:marRight w:val="0"/>
          <w:marTop w:val="100"/>
          <w:marBottom w:val="0"/>
          <w:divBdr>
            <w:top w:val="none" w:sz="0" w:space="0" w:color="auto"/>
            <w:left w:val="none" w:sz="0" w:space="0" w:color="auto"/>
            <w:bottom w:val="none" w:sz="0" w:space="0" w:color="auto"/>
            <w:right w:val="none" w:sz="0" w:space="0" w:color="auto"/>
          </w:divBdr>
        </w:div>
        <w:div w:id="761879675">
          <w:marLeft w:val="1800"/>
          <w:marRight w:val="0"/>
          <w:marTop w:val="100"/>
          <w:marBottom w:val="0"/>
          <w:divBdr>
            <w:top w:val="none" w:sz="0" w:space="0" w:color="auto"/>
            <w:left w:val="none" w:sz="0" w:space="0" w:color="auto"/>
            <w:bottom w:val="none" w:sz="0" w:space="0" w:color="auto"/>
            <w:right w:val="none" w:sz="0" w:space="0" w:color="auto"/>
          </w:divBdr>
        </w:div>
        <w:div w:id="1838880599">
          <w:marLeft w:val="1800"/>
          <w:marRight w:val="0"/>
          <w:marTop w:val="100"/>
          <w:marBottom w:val="0"/>
          <w:divBdr>
            <w:top w:val="none" w:sz="0" w:space="0" w:color="auto"/>
            <w:left w:val="none" w:sz="0" w:space="0" w:color="auto"/>
            <w:bottom w:val="none" w:sz="0" w:space="0" w:color="auto"/>
            <w:right w:val="none" w:sz="0" w:space="0" w:color="auto"/>
          </w:divBdr>
        </w:div>
        <w:div w:id="1668442067">
          <w:marLeft w:val="2520"/>
          <w:marRight w:val="0"/>
          <w:marTop w:val="100"/>
          <w:marBottom w:val="0"/>
          <w:divBdr>
            <w:top w:val="none" w:sz="0" w:space="0" w:color="auto"/>
            <w:left w:val="none" w:sz="0" w:space="0" w:color="auto"/>
            <w:bottom w:val="none" w:sz="0" w:space="0" w:color="auto"/>
            <w:right w:val="none" w:sz="0" w:space="0" w:color="auto"/>
          </w:divBdr>
        </w:div>
        <w:div w:id="412775835">
          <w:marLeft w:val="2520"/>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411736160">
      <w:bodyDiv w:val="1"/>
      <w:marLeft w:val="0"/>
      <w:marRight w:val="0"/>
      <w:marTop w:val="0"/>
      <w:marBottom w:val="0"/>
      <w:divBdr>
        <w:top w:val="none" w:sz="0" w:space="0" w:color="auto"/>
        <w:left w:val="none" w:sz="0" w:space="0" w:color="auto"/>
        <w:bottom w:val="none" w:sz="0" w:space="0" w:color="auto"/>
        <w:right w:val="none" w:sz="0" w:space="0" w:color="auto"/>
      </w:divBdr>
      <w:divsChild>
        <w:div w:id="773211148">
          <w:marLeft w:val="432"/>
          <w:marRight w:val="0"/>
          <w:marTop w:val="240"/>
          <w:marBottom w:val="0"/>
          <w:divBdr>
            <w:top w:val="none" w:sz="0" w:space="0" w:color="auto"/>
            <w:left w:val="none" w:sz="0" w:space="0" w:color="auto"/>
            <w:bottom w:val="none" w:sz="0" w:space="0" w:color="auto"/>
            <w:right w:val="none" w:sz="0" w:space="0" w:color="auto"/>
          </w:divBdr>
        </w:div>
        <w:div w:id="2093500102">
          <w:marLeft w:val="1267"/>
          <w:marRight w:val="0"/>
          <w:marTop w:val="180"/>
          <w:marBottom w:val="0"/>
          <w:divBdr>
            <w:top w:val="none" w:sz="0" w:space="0" w:color="auto"/>
            <w:left w:val="none" w:sz="0" w:space="0" w:color="auto"/>
            <w:bottom w:val="none" w:sz="0" w:space="0" w:color="auto"/>
            <w:right w:val="none" w:sz="0" w:space="0" w:color="auto"/>
          </w:divBdr>
        </w:div>
        <w:div w:id="1527210590">
          <w:marLeft w:val="1267"/>
          <w:marRight w:val="0"/>
          <w:marTop w:val="180"/>
          <w:marBottom w:val="0"/>
          <w:divBdr>
            <w:top w:val="none" w:sz="0" w:space="0" w:color="auto"/>
            <w:left w:val="none" w:sz="0" w:space="0" w:color="auto"/>
            <w:bottom w:val="none" w:sz="0" w:space="0" w:color="auto"/>
            <w:right w:val="none" w:sz="0" w:space="0" w:color="auto"/>
          </w:divBdr>
        </w:div>
      </w:divsChild>
    </w:div>
    <w:div w:id="1467089365">
      <w:bodyDiv w:val="1"/>
      <w:marLeft w:val="0"/>
      <w:marRight w:val="0"/>
      <w:marTop w:val="0"/>
      <w:marBottom w:val="0"/>
      <w:divBdr>
        <w:top w:val="none" w:sz="0" w:space="0" w:color="auto"/>
        <w:left w:val="none" w:sz="0" w:space="0" w:color="auto"/>
        <w:bottom w:val="none" w:sz="0" w:space="0" w:color="auto"/>
        <w:right w:val="none" w:sz="0" w:space="0" w:color="auto"/>
      </w:divBdr>
    </w:div>
    <w:div w:id="1694964115">
      <w:bodyDiv w:val="1"/>
      <w:marLeft w:val="0"/>
      <w:marRight w:val="0"/>
      <w:marTop w:val="0"/>
      <w:marBottom w:val="0"/>
      <w:divBdr>
        <w:top w:val="none" w:sz="0" w:space="0" w:color="auto"/>
        <w:left w:val="none" w:sz="0" w:space="0" w:color="auto"/>
        <w:bottom w:val="none" w:sz="0" w:space="0" w:color="auto"/>
        <w:right w:val="none" w:sz="0" w:space="0" w:color="auto"/>
      </w:divBdr>
    </w:div>
    <w:div w:id="1703163181">
      <w:bodyDiv w:val="1"/>
      <w:marLeft w:val="0"/>
      <w:marRight w:val="0"/>
      <w:marTop w:val="0"/>
      <w:marBottom w:val="0"/>
      <w:divBdr>
        <w:top w:val="none" w:sz="0" w:space="0" w:color="auto"/>
        <w:left w:val="none" w:sz="0" w:space="0" w:color="auto"/>
        <w:bottom w:val="none" w:sz="0" w:space="0" w:color="auto"/>
        <w:right w:val="none" w:sz="0" w:space="0" w:color="auto"/>
      </w:divBdr>
      <w:divsChild>
        <w:div w:id="1119299456">
          <w:marLeft w:val="547"/>
          <w:marRight w:val="0"/>
          <w:marTop w:val="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733112877">
      <w:bodyDiv w:val="1"/>
      <w:marLeft w:val="0"/>
      <w:marRight w:val="0"/>
      <w:marTop w:val="0"/>
      <w:marBottom w:val="0"/>
      <w:divBdr>
        <w:top w:val="none" w:sz="0" w:space="0" w:color="auto"/>
        <w:left w:val="none" w:sz="0" w:space="0" w:color="auto"/>
        <w:bottom w:val="none" w:sz="0" w:space="0" w:color="auto"/>
        <w:right w:val="none" w:sz="0" w:space="0" w:color="auto"/>
      </w:divBdr>
      <w:divsChild>
        <w:div w:id="617689464">
          <w:marLeft w:val="432"/>
          <w:marRight w:val="0"/>
          <w:marTop w:val="240"/>
          <w:marBottom w:val="0"/>
          <w:divBdr>
            <w:top w:val="none" w:sz="0" w:space="0" w:color="auto"/>
            <w:left w:val="none" w:sz="0" w:space="0" w:color="auto"/>
            <w:bottom w:val="none" w:sz="0" w:space="0" w:color="auto"/>
            <w:right w:val="none" w:sz="0" w:space="0" w:color="auto"/>
          </w:divBdr>
        </w:div>
      </w:divsChild>
    </w:div>
    <w:div w:id="1815946993">
      <w:bodyDiv w:val="1"/>
      <w:marLeft w:val="0"/>
      <w:marRight w:val="0"/>
      <w:marTop w:val="0"/>
      <w:marBottom w:val="0"/>
      <w:divBdr>
        <w:top w:val="none" w:sz="0" w:space="0" w:color="auto"/>
        <w:left w:val="none" w:sz="0" w:space="0" w:color="auto"/>
        <w:bottom w:val="none" w:sz="0" w:space="0" w:color="auto"/>
        <w:right w:val="none" w:sz="0" w:space="0" w:color="auto"/>
      </w:divBdr>
      <w:divsChild>
        <w:div w:id="647704779">
          <w:marLeft w:val="547"/>
          <w:marRight w:val="0"/>
          <w:marTop w:val="0"/>
          <w:marBottom w:val="0"/>
          <w:divBdr>
            <w:top w:val="none" w:sz="0" w:space="0" w:color="auto"/>
            <w:left w:val="none" w:sz="0" w:space="0" w:color="auto"/>
            <w:bottom w:val="none" w:sz="0" w:space="0" w:color="auto"/>
            <w:right w:val="none" w:sz="0" w:space="0" w:color="auto"/>
          </w:divBdr>
        </w:div>
      </w:divsChild>
    </w:div>
    <w:div w:id="1862544903">
      <w:bodyDiv w:val="1"/>
      <w:marLeft w:val="0"/>
      <w:marRight w:val="0"/>
      <w:marTop w:val="0"/>
      <w:marBottom w:val="0"/>
      <w:divBdr>
        <w:top w:val="none" w:sz="0" w:space="0" w:color="auto"/>
        <w:left w:val="none" w:sz="0" w:space="0" w:color="auto"/>
        <w:bottom w:val="none" w:sz="0" w:space="0" w:color="auto"/>
        <w:right w:val="none" w:sz="0" w:space="0" w:color="auto"/>
      </w:divBdr>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74017769">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 w:id="2049718916">
      <w:bodyDiv w:val="1"/>
      <w:marLeft w:val="0"/>
      <w:marRight w:val="0"/>
      <w:marTop w:val="0"/>
      <w:marBottom w:val="0"/>
      <w:divBdr>
        <w:top w:val="none" w:sz="0" w:space="0" w:color="auto"/>
        <w:left w:val="none" w:sz="0" w:space="0" w:color="auto"/>
        <w:bottom w:val="none" w:sz="0" w:space="0" w:color="auto"/>
        <w:right w:val="none" w:sz="0" w:space="0" w:color="auto"/>
      </w:divBdr>
      <w:divsChild>
        <w:div w:id="212546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4.xml><?xml version="1.0" encoding="utf-8"?>
<ds:datastoreItem xmlns:ds="http://schemas.openxmlformats.org/officeDocument/2006/customXml" ds:itemID="{0CF041CA-8DAA-477D-9D3F-AA5BD3AAC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12</cp:revision>
  <cp:lastPrinted>2018-11-02T10:25:00Z</cp:lastPrinted>
  <dcterms:created xsi:type="dcterms:W3CDTF">2019-11-08T11:23:00Z</dcterms:created>
  <dcterms:modified xsi:type="dcterms:W3CDTF">2019-11-08T12:25:00Z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