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B1F3" w14:textId="16E04D8F" w:rsidR="000403E2" w:rsidRDefault="000403E2" w:rsidP="000403E2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763973"/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D23FFF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="007516D4">
        <w:rPr>
          <w:rFonts w:ascii="Arial" w:eastAsia="Batang" w:hAnsi="Arial" w:cs="Arial"/>
          <w:b/>
          <w:bCs/>
          <w:sz w:val="28"/>
          <w:szCs w:val="24"/>
          <w:lang w:val="en-GB"/>
        </w:rPr>
        <w:t>b</w:t>
      </w:r>
      <w:r w:rsidR="0019432D">
        <w:rPr>
          <w:rFonts w:ascii="Arial" w:eastAsia="Batang" w:hAnsi="Arial" w:cs="Arial"/>
          <w:b/>
          <w:bCs/>
          <w:sz w:val="28"/>
          <w:szCs w:val="24"/>
          <w:lang w:val="en-GB"/>
        </w:rPr>
        <w:t>is</w:t>
      </w: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E56BFB" w:rsidRPr="00E56BFB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 w:rsidR="000F120C" w:rsidRPr="000F120C">
        <w:rPr>
          <w:rFonts w:ascii="Arial" w:eastAsia="SimSun" w:hAnsi="Arial" w:cs="Arial"/>
          <w:b/>
          <w:bCs/>
          <w:sz w:val="28"/>
          <w:szCs w:val="24"/>
          <w:lang w:val="en-GB" w:eastAsia="zh-CN"/>
        </w:rPr>
        <w:t>1910759</w:t>
      </w:r>
    </w:p>
    <w:p w14:paraId="4744EF52" w14:textId="78CBBA36" w:rsidR="004246DC" w:rsidRPr="0005228D" w:rsidRDefault="007516D4" w:rsidP="0005228D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Chongqing, China, 14</w:t>
      </w:r>
      <w:r w:rsidR="00D23FFF" w:rsidRPr="00BA33B5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20</w:t>
      </w:r>
      <w:r w:rsidR="00D23FFF" w:rsidRPr="00BA33B5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4D0C5E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 xml:space="preserve"> </w:t>
      </w:r>
      <w:r w:rsidR="0019432D">
        <w:rPr>
          <w:rFonts w:ascii="Arial" w:eastAsia="ＭＳ 明朝" w:hAnsi="Arial" w:cs="Arial"/>
          <w:b/>
          <w:bCs/>
          <w:sz w:val="28"/>
          <w:lang w:eastAsia="ja-JP"/>
        </w:rPr>
        <w:t>October</w:t>
      </w:r>
      <w:r w:rsidR="00D23FFF">
        <w:rPr>
          <w:rFonts w:ascii="Arial" w:eastAsia="ＭＳ 明朝" w:hAnsi="Arial" w:cs="Arial"/>
          <w:b/>
          <w:bCs/>
          <w:sz w:val="28"/>
          <w:lang w:eastAsia="ja-JP"/>
        </w:rPr>
        <w:t xml:space="preserve"> 2019</w:t>
      </w:r>
    </w:p>
    <w:bookmarkEnd w:id="0"/>
    <w:p w14:paraId="3A9DFC9F" w14:textId="77777777" w:rsidR="004246DC" w:rsidRPr="004C2F07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59F145D0" w14:textId="5C3273F0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.1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44832B74" w:rsidR="004246DC" w:rsidRDefault="004246DC" w:rsidP="004246DC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05228D">
        <w:rPr>
          <w:rFonts w:eastAsia="ＭＳ 明朝"/>
          <w:b/>
          <w:color w:val="000000" w:themeColor="text1"/>
          <w:kern w:val="2"/>
          <w:sz w:val="24"/>
          <w:lang w:eastAsia="ja-JP"/>
        </w:rPr>
        <w:t>C</w:t>
      </w:r>
      <w:r>
        <w:rPr>
          <w:rFonts w:eastAsia="ＭＳ 明朝"/>
          <w:b/>
          <w:color w:val="000000" w:themeColor="text1"/>
          <w:kern w:val="2"/>
          <w:sz w:val="24"/>
          <w:lang w:eastAsia="ja-JP"/>
        </w:rPr>
        <w:t>hannel access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for </w:t>
      </w:r>
      <w:r>
        <w:rPr>
          <w:b/>
          <w:color w:val="000000" w:themeColor="text1"/>
          <w:kern w:val="2"/>
          <w:sz w:val="24"/>
          <w:lang w:eastAsia="zh-CN"/>
        </w:rPr>
        <w:t>NR unlicensed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operations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25EBD0C2" w14:textId="5523F018" w:rsidR="00BB4F18" w:rsidRPr="00DB7782" w:rsidRDefault="004246DC" w:rsidP="00DB7782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0B232A59" w14:textId="2B8CE08B" w:rsidR="002834D2" w:rsidRDefault="0005228D" w:rsidP="00302EB0">
      <w:pPr>
        <w:overflowPunct w:val="0"/>
        <w:snapToGrid/>
        <w:spacing w:after="0"/>
        <w:textAlignment w:val="baseline"/>
        <w:rPr>
          <w:bCs/>
        </w:rPr>
      </w:pPr>
      <w:r w:rsidRPr="004E6843">
        <w:rPr>
          <w:bCs/>
        </w:rPr>
        <w:t>In RAN</w:t>
      </w:r>
      <w:r w:rsidR="00BB4F18" w:rsidRPr="004E6843">
        <w:rPr>
          <w:bCs/>
        </w:rPr>
        <w:t>1</w:t>
      </w:r>
      <w:r w:rsidR="001854F8">
        <w:rPr>
          <w:bCs/>
        </w:rPr>
        <w:t xml:space="preserve"> ad-hoc#201901 [1],</w:t>
      </w:r>
      <w:r w:rsidR="009B0EED" w:rsidRPr="004E6843">
        <w:rPr>
          <w:bCs/>
        </w:rPr>
        <w:t xml:space="preserve"> </w:t>
      </w:r>
      <w:r w:rsidR="0061626A" w:rsidRPr="004E6843">
        <w:rPr>
          <w:bCs/>
        </w:rPr>
        <w:t xml:space="preserve">several aspects related to channel access for NR-U </w:t>
      </w:r>
      <w:r w:rsidR="002834D2" w:rsidRPr="004E6843">
        <w:rPr>
          <w:bCs/>
        </w:rPr>
        <w:t>w</w:t>
      </w:r>
      <w:r w:rsidR="002834D2">
        <w:rPr>
          <w:bCs/>
        </w:rPr>
        <w:t>ere</w:t>
      </w:r>
      <w:r w:rsidR="002834D2" w:rsidRPr="004E6843">
        <w:rPr>
          <w:bCs/>
        </w:rPr>
        <w:t xml:space="preserve"> </w:t>
      </w:r>
      <w:r w:rsidR="0061626A" w:rsidRPr="004E6843">
        <w:rPr>
          <w:bCs/>
        </w:rPr>
        <w:t>discuss</w:t>
      </w:r>
      <w:r w:rsidR="0061626A" w:rsidRPr="003E73DE">
        <w:rPr>
          <w:bCs/>
        </w:rPr>
        <w:t>ed</w:t>
      </w:r>
      <w:r w:rsidR="002834D2">
        <w:rPr>
          <w:bCs/>
        </w:rPr>
        <w:t>.</w:t>
      </w:r>
    </w:p>
    <w:p w14:paraId="203A6784" w14:textId="10363886" w:rsidR="009B0EED" w:rsidRDefault="0061626A" w:rsidP="00302EB0">
      <w:pPr>
        <w:overflowPunct w:val="0"/>
        <w:snapToGrid/>
        <w:spacing w:after="0"/>
        <w:textAlignment w:val="baseline"/>
        <w:rPr>
          <w:bCs/>
          <w:highlight w:val="yellow"/>
        </w:rPr>
      </w:pPr>
      <w:r w:rsidRPr="003E73DE">
        <w:rPr>
          <w:bCs/>
        </w:rPr>
        <w:t xml:space="preserve"> </w:t>
      </w:r>
    </w:p>
    <w:p w14:paraId="632CA122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  <w:u w:val="single"/>
        </w:rPr>
      </w:pPr>
      <w:r w:rsidRPr="001854F8">
        <w:rPr>
          <w:bCs/>
          <w:u w:val="single"/>
        </w:rPr>
        <w:t>Conclusion:</w:t>
      </w:r>
    </w:p>
    <w:p w14:paraId="422E8419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Cat 2 is not used for initiating a UE transmission outside of a gNB COT for the following channels/signals (or any combination of them):</w:t>
      </w:r>
    </w:p>
    <w:p w14:paraId="0D8E7865" w14:textId="77777777" w:rsidR="001854F8" w:rsidRPr="001854F8" w:rsidRDefault="001854F8" w:rsidP="001854F8">
      <w:pPr>
        <w:numPr>
          <w:ilvl w:val="0"/>
          <w:numId w:val="19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 xml:space="preserve">PUSCH (with or without UCI), </w:t>
      </w:r>
    </w:p>
    <w:p w14:paraId="2DAD6ED8" w14:textId="77777777" w:rsidR="001854F8" w:rsidRPr="001854F8" w:rsidRDefault="001854F8" w:rsidP="001854F8">
      <w:pPr>
        <w:numPr>
          <w:ilvl w:val="0"/>
          <w:numId w:val="19"/>
        </w:numPr>
        <w:overflowPunct w:val="0"/>
        <w:snapToGrid/>
        <w:spacing w:after="0"/>
        <w:textAlignment w:val="baseline"/>
        <w:rPr>
          <w:bCs/>
          <w:lang w:val="fi-FI"/>
        </w:rPr>
      </w:pPr>
      <w:r w:rsidRPr="001854F8">
        <w:rPr>
          <w:bCs/>
          <w:lang w:val="fi-FI"/>
        </w:rPr>
        <w:t xml:space="preserve">SRS-only, </w:t>
      </w:r>
    </w:p>
    <w:p w14:paraId="71821820" w14:textId="77777777" w:rsidR="001854F8" w:rsidRPr="001854F8" w:rsidRDefault="001854F8" w:rsidP="001854F8">
      <w:pPr>
        <w:numPr>
          <w:ilvl w:val="0"/>
          <w:numId w:val="19"/>
        </w:numPr>
        <w:overflowPunct w:val="0"/>
        <w:snapToGrid/>
        <w:spacing w:after="0"/>
        <w:textAlignment w:val="baseline"/>
        <w:rPr>
          <w:bCs/>
          <w:lang w:val="fi-FI"/>
        </w:rPr>
      </w:pPr>
      <w:r w:rsidRPr="001854F8">
        <w:rPr>
          <w:bCs/>
          <w:lang w:val="fi-FI"/>
        </w:rPr>
        <w:t>PUCCH-only</w:t>
      </w:r>
    </w:p>
    <w:p w14:paraId="26E484A7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  <w:lang w:val="fi-FI"/>
        </w:rPr>
      </w:pPr>
      <w:r w:rsidRPr="001854F8">
        <w:rPr>
          <w:bCs/>
          <w:lang w:val="fi-FI"/>
        </w:rPr>
        <w:t xml:space="preserve">Note: </w:t>
      </w:r>
    </w:p>
    <w:p w14:paraId="27C1CC6B" w14:textId="77777777" w:rsidR="001854F8" w:rsidRPr="001854F8" w:rsidRDefault="001854F8" w:rsidP="001854F8">
      <w:pPr>
        <w:numPr>
          <w:ilvl w:val="0"/>
          <w:numId w:val="20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Cat 4 for these channels was already agreed during the study item</w:t>
      </w:r>
    </w:p>
    <w:p w14:paraId="50CBDEDD" w14:textId="77777777" w:rsidR="001854F8" w:rsidRPr="001854F8" w:rsidRDefault="001854F8" w:rsidP="001854F8">
      <w:pPr>
        <w:numPr>
          <w:ilvl w:val="0"/>
          <w:numId w:val="20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 xml:space="preserve">This does not preclude the use of Cat 2 for transmission on </w:t>
      </w:r>
      <w:proofErr w:type="gramStart"/>
      <w:r w:rsidRPr="001854F8">
        <w:rPr>
          <w:bCs/>
        </w:rPr>
        <w:t>a</w:t>
      </w:r>
      <w:proofErr w:type="gramEnd"/>
      <w:r w:rsidRPr="001854F8">
        <w:rPr>
          <w:bCs/>
        </w:rPr>
        <w:t xml:space="preserve"> LBT bandwidth if it is allowed for the case of transmission on multiple LBT bandwidths</w:t>
      </w:r>
    </w:p>
    <w:p w14:paraId="51078D12" w14:textId="29BBCB60" w:rsidR="001854F8" w:rsidRPr="001854F8" w:rsidRDefault="001854F8" w:rsidP="009B0EED">
      <w:pPr>
        <w:overflowPunct w:val="0"/>
        <w:snapToGrid/>
        <w:spacing w:after="0"/>
        <w:textAlignment w:val="baseline"/>
        <w:rPr>
          <w:bCs/>
        </w:rPr>
      </w:pPr>
    </w:p>
    <w:p w14:paraId="6468D346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  <w:highlight w:val="green"/>
        </w:rPr>
        <w:t>Agreement:</w:t>
      </w:r>
    </w:p>
    <w:p w14:paraId="247E1174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LBT other than Cat4 is not considered for UL transmissions that are part of a RACH procedure that initiate a channel occupancy</w:t>
      </w:r>
    </w:p>
    <w:p w14:paraId="13704DA2" w14:textId="77777777" w:rsidR="001854F8" w:rsidRPr="001854F8" w:rsidRDefault="001854F8" w:rsidP="001854F8">
      <w:pPr>
        <w:numPr>
          <w:ilvl w:val="0"/>
          <w:numId w:val="21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 xml:space="preserve">Note: This does not preclude the use of Cat 2 for transmission on </w:t>
      </w:r>
      <w:proofErr w:type="gramStart"/>
      <w:r w:rsidRPr="001854F8">
        <w:rPr>
          <w:bCs/>
        </w:rPr>
        <w:t>a</w:t>
      </w:r>
      <w:proofErr w:type="gramEnd"/>
      <w:r w:rsidRPr="001854F8">
        <w:rPr>
          <w:bCs/>
        </w:rPr>
        <w:t xml:space="preserve"> LBT bandwidth if it is allowed for the case of transmission on multiple LBT bandwidths</w:t>
      </w:r>
    </w:p>
    <w:p w14:paraId="4DB791EF" w14:textId="166657F7" w:rsidR="001854F8" w:rsidRPr="001854F8" w:rsidRDefault="001854F8" w:rsidP="009B0EED">
      <w:pPr>
        <w:overflowPunct w:val="0"/>
        <w:snapToGrid/>
        <w:spacing w:after="0"/>
        <w:textAlignment w:val="baseline"/>
        <w:rPr>
          <w:bCs/>
        </w:rPr>
      </w:pPr>
    </w:p>
    <w:p w14:paraId="1E1BB301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 xml:space="preserve">RAN#84 also endorsed priorities for the remaining work in the NR-U WI in </w:t>
      </w:r>
      <w:hyperlink r:id="rId7" w:history="1">
        <w:r w:rsidRPr="001854F8">
          <w:rPr>
            <w:rStyle w:val="a9"/>
            <w:bCs/>
            <w:i/>
          </w:rPr>
          <w:t>RP-191581</w:t>
        </w:r>
      </w:hyperlink>
      <w:r w:rsidRPr="001854F8">
        <w:rPr>
          <w:bCs/>
          <w:i/>
        </w:rPr>
        <w:t xml:space="preserve">. </w:t>
      </w:r>
      <w:r w:rsidRPr="001854F8">
        <w:rPr>
          <w:bCs/>
        </w:rPr>
        <w:t>For channel access the following points are identified as either essential or optimization:</w:t>
      </w:r>
    </w:p>
    <w:p w14:paraId="27AEFED0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/>
          <w:bCs/>
        </w:rPr>
        <w:t>Essential</w:t>
      </w:r>
    </w:p>
    <w:p w14:paraId="7F72360B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16us cat 2 LBT detailed design</w:t>
      </w:r>
    </w:p>
    <w:p w14:paraId="5B9044F2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bookmarkStart w:id="1" w:name="_Hlk16500867"/>
      <w:r w:rsidRPr="001854F8">
        <w:rPr>
          <w:bCs/>
        </w:rPr>
        <w:t>Signaling support for LBT type/priority indication</w:t>
      </w:r>
    </w:p>
    <w:bookmarkEnd w:id="1"/>
    <w:p w14:paraId="48B1E8FB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CWS adjustment, including reference slot definition, processing timeline, what if no feedback expected or available, CWS adjustment for wideband operation and CG</w:t>
      </w:r>
    </w:p>
    <w:p w14:paraId="6C43C2B1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Channel access mechanism details for FBE</w:t>
      </w:r>
    </w:p>
    <w:p w14:paraId="7E90F483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UE to gNB COT sharing</w:t>
      </w:r>
    </w:p>
    <w:p w14:paraId="1A013B4E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/>
          <w:bCs/>
        </w:rPr>
        <w:t>Optimizations</w:t>
      </w:r>
    </w:p>
    <w:p w14:paraId="3C4CE099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bookmarkStart w:id="2" w:name="_Hlk16756201"/>
      <w:r w:rsidRPr="001854F8">
        <w:rPr>
          <w:bCs/>
        </w:rPr>
        <w:t>Max TX duration follow cat 1 LBT</w:t>
      </w:r>
    </w:p>
    <w:bookmarkEnd w:id="2"/>
    <w:p w14:paraId="6C512F70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Max number of Cat 2 LBT attempts in a 5ms DRS transmission window</w:t>
      </w:r>
    </w:p>
    <w:p w14:paraId="0195BE13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Wideband LBT with common measurement</w:t>
      </w:r>
    </w:p>
    <w:p w14:paraId="68A97F0B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Directional LBT</w:t>
      </w:r>
    </w:p>
    <w:p w14:paraId="497BC647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LBT to facilitate spatial reuse</w:t>
      </w:r>
    </w:p>
    <w:p w14:paraId="2C726BB5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Receiver assisted LBT</w:t>
      </w:r>
    </w:p>
    <w:p w14:paraId="6F4965E9" w14:textId="77777777" w:rsidR="001854F8" w:rsidRDefault="001854F8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</w:p>
    <w:p w14:paraId="01906F36" w14:textId="6E674F26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ＭＳ 明朝" w:hint="eastAsia"/>
          <w:lang w:eastAsia="ja-JP"/>
        </w:rPr>
        <w:t xml:space="preserve"> </w:t>
      </w:r>
      <w:r w:rsidR="004E254D">
        <w:rPr>
          <w:rFonts w:eastAsia="ＭＳ 明朝"/>
          <w:lang w:eastAsia="ja-JP"/>
        </w:rPr>
        <w:t xml:space="preserve">topics related to </w:t>
      </w:r>
      <w:r>
        <w:rPr>
          <w:rFonts w:eastAsia="ＭＳ 明朝"/>
          <w:lang w:eastAsia="ja-JP"/>
        </w:rPr>
        <w:t>channel access</w:t>
      </w:r>
      <w:r>
        <w:rPr>
          <w:rFonts w:eastAsia="ＭＳ 明朝" w:hint="eastAsia"/>
          <w:lang w:eastAsia="ja-JP"/>
        </w:rPr>
        <w:t xml:space="preserve"> procedures</w:t>
      </w:r>
      <w:r>
        <w:t>.</w:t>
      </w:r>
      <w:r w:rsidR="007516D4">
        <w:t xml:space="preserve"> </w:t>
      </w:r>
      <w:r w:rsidR="007516D4" w:rsidRPr="001854F8">
        <w:t>This is a revision of R1-1908765.</w:t>
      </w:r>
      <w:r w:rsidR="007516D4">
        <w:t xml:space="preserve"> </w:t>
      </w:r>
    </w:p>
    <w:p w14:paraId="0176EC8B" w14:textId="77777777" w:rsidR="004E6843" w:rsidRDefault="004E6843" w:rsidP="004246DC">
      <w:pPr>
        <w:autoSpaceDE/>
        <w:autoSpaceDN/>
        <w:adjustRightInd/>
        <w:snapToGrid/>
        <w:spacing w:after="0"/>
      </w:pPr>
    </w:p>
    <w:p w14:paraId="4C01DF5F" w14:textId="607445EF" w:rsidR="005369B8" w:rsidRPr="007A5C57" w:rsidRDefault="004246DC" w:rsidP="007A5C57">
      <w:pPr>
        <w:pStyle w:val="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0A8DE760" w14:textId="6E526526" w:rsidR="001A6AC6" w:rsidRDefault="001A6AC6" w:rsidP="001A6AC6">
      <w:pPr>
        <w:pStyle w:val="2"/>
      </w:pPr>
      <w:r>
        <w:t xml:space="preserve">Channel access relation to </w:t>
      </w:r>
      <w:r w:rsidR="00204698">
        <w:t xml:space="preserve">UE to gNB </w:t>
      </w:r>
      <w:r>
        <w:t>COT sharing</w:t>
      </w:r>
    </w:p>
    <w:p w14:paraId="071A387A" w14:textId="2F383208" w:rsidR="00A64768" w:rsidRDefault="00A64768" w:rsidP="00A64768">
      <w:pPr>
        <w:pStyle w:val="a5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0"/>
        </w:rPr>
        <w:t>The ETSI BRAN harmonized standard allows the channel access initiating device to grant an authorization to one or more associated responding devices to transmit on the current operating channel [</w:t>
      </w:r>
      <w:r w:rsidR="008C27FF">
        <w:rPr>
          <w:rFonts w:ascii="Times New Roman" w:hAnsi="Times New Roman" w:cs="Times New Roman"/>
          <w:sz w:val="22"/>
          <w:szCs w:val="20"/>
        </w:rPr>
        <w:t>2</w:t>
      </w:r>
      <w:r>
        <w:rPr>
          <w:rFonts w:ascii="Times New Roman" w:hAnsi="Times New Roman" w:cs="Times New Roman"/>
          <w:sz w:val="22"/>
          <w:szCs w:val="20"/>
        </w:rPr>
        <w:t>].</w:t>
      </w:r>
      <w:r>
        <w:rPr>
          <w:szCs w:val="20"/>
        </w:rPr>
        <w:t xml:space="preserve"> </w:t>
      </w:r>
      <w:r w:rsidR="001920B2" w:rsidRPr="004E5DB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On the other hands, </w:t>
      </w:r>
      <w:r w:rsidR="001920B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Rel-15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FeLAA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UE to </w:t>
      </w:r>
      <w:proofErr w:type="spellStart"/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>eNB</w:t>
      </w:r>
      <w:proofErr w:type="spellEnd"/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COT sharing is limited to </w:t>
      </w:r>
      <w:r w:rsidR="002834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only </w:t>
      </w:r>
      <w:r w:rsidR="004B172C">
        <w:rPr>
          <w:rFonts w:ascii="Times New Roman" w:hAnsi="Times New Roman" w:cs="Times New Roman"/>
          <w:color w:val="000000" w:themeColor="text1"/>
          <w:sz w:val="22"/>
          <w:szCs w:val="22"/>
        </w:rPr>
        <w:t>support</w:t>
      </w:r>
      <w:r w:rsidR="002834D2">
        <w:rPr>
          <w:rFonts w:ascii="Times New Roman" w:hAnsi="Times New Roman" w:cs="Times New Roman"/>
          <w:color w:val="000000" w:themeColor="text1"/>
          <w:sz w:val="22"/>
          <w:szCs w:val="22"/>
        </w:rPr>
        <w:t>ing</w:t>
      </w:r>
      <w:r w:rsidR="004B172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9522A1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EB32F0">
        <w:rPr>
          <w:rFonts w:ascii="Times New Roman" w:hAnsi="Times New Roman" w:cs="Times New Roman"/>
          <w:color w:val="000000" w:themeColor="text1"/>
          <w:sz w:val="22"/>
          <w:szCs w:val="22"/>
        </w:rPr>
        <w:t>utonomous uplink (</w:t>
      </w:r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>AUL</w:t>
      </w:r>
      <w:r w:rsidR="00EB32F0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operation</w:t>
      </w:r>
      <w:r w:rsidR="004B172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834D2">
        <w:rPr>
          <w:rFonts w:ascii="Times New Roman" w:hAnsi="Times New Roman" w:cs="Times New Roman"/>
          <w:color w:val="000000" w:themeColor="text1"/>
          <w:sz w:val="22"/>
          <w:szCs w:val="22"/>
        </w:rPr>
        <w:t>and has the</w:t>
      </w:r>
      <w:r w:rsidR="009142A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following restrictions: </w:t>
      </w:r>
    </w:p>
    <w:p w14:paraId="13F556CC" w14:textId="1096BAAF" w:rsidR="00A64768" w:rsidRDefault="00A64768" w:rsidP="00A64768">
      <w:pPr>
        <w:pStyle w:val="a5"/>
        <w:numPr>
          <w:ilvl w:val="0"/>
          <w:numId w:val="1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The DL transmission duration is limited to a partial ending subframe of up to 2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OFDM symbol</w:t>
      </w:r>
      <w:r w:rsidR="002834D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length within the UE acquired COT, and only DL control information can be included due to the very limited DL transmission duration. </w:t>
      </w:r>
    </w:p>
    <w:p w14:paraId="460F859C" w14:textId="77777777" w:rsidR="00A64768" w:rsidRDefault="00A64768" w:rsidP="00A64768">
      <w:pPr>
        <w:pStyle w:val="a5"/>
        <w:numPr>
          <w:ilvl w:val="0"/>
          <w:numId w:val="1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last symbol of the AUL burst </w:t>
      </w:r>
      <w:proofErr w:type="gram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has to</w:t>
      </w:r>
      <w:proofErr w:type="gramEnd"/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be dropped with the corresponding AUL transmission duration informed to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</w:rPr>
        <w:t>eNB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by AUL-UCI in order to create enough gap for UL to DL switching.</w:t>
      </w:r>
    </w:p>
    <w:p w14:paraId="5C857FAC" w14:textId="77777777" w:rsidR="00A64768" w:rsidRDefault="00A64768" w:rsidP="00A64768">
      <w:pPr>
        <w:pStyle w:val="a5"/>
        <w:numPr>
          <w:ilvl w:val="0"/>
          <w:numId w:val="1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Only single UL to DL and/or DL to UL switching is supported.</w:t>
      </w:r>
    </w:p>
    <w:p w14:paraId="7E7D9350" w14:textId="038092E9" w:rsidR="001871EA" w:rsidRPr="00A64768" w:rsidRDefault="00A64768" w:rsidP="00FA6D59">
      <w:pPr>
        <w:pStyle w:val="a5"/>
        <w:spacing w:after="120"/>
        <w:ind w:lef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For NR-U operation,</w:t>
      </w:r>
      <w:r w:rsidR="001B5E66">
        <w:rPr>
          <w:rFonts w:ascii="Times New Roman" w:hAnsi="Times New Roman" w:cs="Times New Roman"/>
          <w:sz w:val="22"/>
          <w:szCs w:val="20"/>
        </w:rPr>
        <w:t xml:space="preserve"> thanks</w:t>
      </w:r>
      <w:r>
        <w:rPr>
          <w:rFonts w:ascii="Times New Roman" w:hAnsi="Times New Roman" w:cs="Times New Roman"/>
          <w:sz w:val="22"/>
          <w:szCs w:val="20"/>
        </w:rPr>
        <w:t xml:space="preserve"> to the flexible slot structure</w:t>
      </w:r>
      <w:r w:rsidR="00FA6D59">
        <w:rPr>
          <w:rFonts w:ascii="Times New Roman" w:hAnsi="Times New Roman" w:cs="Times New Roman"/>
          <w:sz w:val="22"/>
          <w:szCs w:val="20"/>
        </w:rPr>
        <w:t>,</w:t>
      </w:r>
      <w:r>
        <w:rPr>
          <w:rFonts w:ascii="Times New Roman" w:hAnsi="Times New Roman" w:cs="Times New Roman"/>
          <w:sz w:val="22"/>
          <w:szCs w:val="20"/>
        </w:rPr>
        <w:t xml:space="preserve"> dynamic format indication</w:t>
      </w:r>
      <w:r w:rsidR="00FA6D59">
        <w:rPr>
          <w:rFonts w:ascii="Times New Roman" w:hAnsi="Times New Roman" w:cs="Times New Roman"/>
          <w:sz w:val="22"/>
          <w:szCs w:val="20"/>
        </w:rPr>
        <w:t>, and multiple and fast switching between UL and DL</w:t>
      </w:r>
      <w:r>
        <w:rPr>
          <w:rFonts w:ascii="Times New Roman" w:hAnsi="Times New Roman" w:cs="Times New Roman"/>
          <w:sz w:val="22"/>
          <w:szCs w:val="20"/>
        </w:rPr>
        <w:t xml:space="preserve">, </w:t>
      </w:r>
      <w:r w:rsidR="00FA6D59">
        <w:rPr>
          <w:rFonts w:ascii="Times New Roman" w:hAnsi="Times New Roman" w:cs="Times New Roman"/>
          <w:sz w:val="22"/>
          <w:szCs w:val="20"/>
        </w:rPr>
        <w:t xml:space="preserve">it would be easily facilitated that </w:t>
      </w:r>
      <w:r w:rsidR="003837FD">
        <w:rPr>
          <w:rFonts w:ascii="Times New Roman" w:hAnsi="Times New Roman" w:cs="Times New Roman"/>
          <w:sz w:val="22"/>
          <w:szCs w:val="20"/>
        </w:rPr>
        <w:t>the UE initiated COT can be shared with gNB for some DL transmissions</w:t>
      </w:r>
      <w:r w:rsidR="00FA6D59">
        <w:rPr>
          <w:rFonts w:ascii="Times New Roman" w:hAnsi="Times New Roman" w:cs="Times New Roman"/>
          <w:sz w:val="22"/>
          <w:szCs w:val="20"/>
        </w:rPr>
        <w:t xml:space="preserve"> with not only control information but also data information.</w:t>
      </w:r>
    </w:p>
    <w:p w14:paraId="2C19D40C" w14:textId="185491E9" w:rsidR="00E85293" w:rsidRDefault="009456AF" w:rsidP="004E5DB2">
      <w:pPr>
        <w:pStyle w:val="a5"/>
        <w:spacing w:after="120"/>
        <w:ind w:left="0"/>
        <w:rPr>
          <w:color w:val="000000" w:themeColor="text1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Observation</w:t>
      </w:r>
      <w:r w:rsidRPr="005811D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 w:rsidR="007C3653" w:rsidRPr="005811D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="00A64768" w:rsidRPr="005811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="003A3FEF"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UE to gNB COT sharing in Rel-16 NR-U could be enhanced from </w:t>
      </w:r>
      <w:r w:rsidR="003A3FEF" w:rsidRPr="00394485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AUL in </w:t>
      </w:r>
      <w:r w:rsidR="003A3FEF"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Rel-15 </w:t>
      </w:r>
      <w:proofErr w:type="spellStart"/>
      <w:r w:rsidR="003A3FEF"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FeLAA</w:t>
      </w:r>
      <w:proofErr w:type="spellEnd"/>
      <w:r w:rsidR="003A3FEF" w:rsidRPr="00394485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.</w:t>
      </w:r>
    </w:p>
    <w:p w14:paraId="53BB7E9D" w14:textId="4D57D695" w:rsidR="009456AF" w:rsidRPr="00223EF0" w:rsidRDefault="000365D0" w:rsidP="000365D0">
      <w:pPr>
        <w:rPr>
          <w:color w:val="000000" w:themeColor="text1"/>
        </w:rPr>
      </w:pPr>
      <w:bookmarkStart w:id="3" w:name="_Hlk21393357"/>
      <w:proofErr w:type="gramStart"/>
      <w:r>
        <w:rPr>
          <w:color w:val="000000" w:themeColor="text1"/>
          <w:lang w:eastAsia="zh-CN"/>
        </w:rPr>
        <w:t>Similar to</w:t>
      </w:r>
      <w:proofErr w:type="gramEnd"/>
      <w:r>
        <w:rPr>
          <w:color w:val="000000" w:themeColor="text1"/>
          <w:lang w:eastAsia="zh-CN"/>
        </w:rPr>
        <w:t xml:space="preserve"> the AUL-UCI of </w:t>
      </w:r>
      <w:proofErr w:type="spellStart"/>
      <w:r>
        <w:rPr>
          <w:color w:val="000000" w:themeColor="text1"/>
          <w:lang w:eastAsia="zh-CN"/>
        </w:rPr>
        <w:t>FeLAA</w:t>
      </w:r>
      <w:proofErr w:type="spellEnd"/>
      <w:r>
        <w:rPr>
          <w:color w:val="000000" w:themeColor="text1"/>
          <w:lang w:eastAsia="zh-CN"/>
        </w:rPr>
        <w:t xml:space="preserve">, UE initiated parameters (i.e., HARQ ID, NDI, RV, COT sharing info. and possibly UE ID) should be included in CG-UCI piggybacked onto PUSCH, to facilitate flexible UL transmission subject to preconfigured resources and transmission periodicity. To further enhance this design in NR-U, an extension of the content of COT sharing information within CG-UCI is required. For example, indicating remaining COT information </w:t>
      </w:r>
      <w:r w:rsidR="00514838">
        <w:rPr>
          <w:color w:val="000000" w:themeColor="text1"/>
          <w:lang w:eastAsia="zh-CN"/>
        </w:rPr>
        <w:t xml:space="preserve">acquired by UE </w:t>
      </w:r>
      <w:r>
        <w:rPr>
          <w:color w:val="000000" w:themeColor="text1"/>
          <w:lang w:eastAsia="zh-CN"/>
        </w:rPr>
        <w:t xml:space="preserve">could help gNB to </w:t>
      </w:r>
      <w:r w:rsidR="00514838">
        <w:rPr>
          <w:color w:val="000000" w:themeColor="text1"/>
          <w:lang w:eastAsia="zh-CN"/>
        </w:rPr>
        <w:t xml:space="preserve">schedule DL signals/channels. </w:t>
      </w:r>
    </w:p>
    <w:p w14:paraId="6D7AEBD3" w14:textId="3DCFE633" w:rsidR="000365D0" w:rsidRDefault="000365D0" w:rsidP="000365D0">
      <w:pPr>
        <w:rPr>
          <w:color w:val="000000" w:themeColor="text1"/>
          <w:lang w:eastAsia="zh-CN"/>
        </w:rPr>
      </w:pPr>
      <w:r w:rsidRPr="0012338B">
        <w:rPr>
          <w:b/>
          <w:color w:val="000000" w:themeColor="text1"/>
          <w:lang w:eastAsia="zh-CN"/>
        </w:rPr>
        <w:t xml:space="preserve">Observation </w:t>
      </w:r>
      <w:r w:rsidR="00F927B1">
        <w:rPr>
          <w:b/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Pr="000A5FD6">
        <w:rPr>
          <w:i/>
          <w:color w:val="000000" w:themeColor="text1"/>
          <w:lang w:eastAsia="zh-CN"/>
        </w:rPr>
        <w:t xml:space="preserve">UE could signal the transmission duration </w:t>
      </w:r>
      <w:r>
        <w:rPr>
          <w:i/>
          <w:color w:val="000000" w:themeColor="text1"/>
          <w:lang w:eastAsia="zh-CN"/>
        </w:rPr>
        <w:t xml:space="preserve">allowed for </w:t>
      </w:r>
      <w:r w:rsidRPr="000A5FD6">
        <w:rPr>
          <w:i/>
          <w:color w:val="000000" w:themeColor="text1"/>
          <w:lang w:eastAsia="zh-CN"/>
        </w:rPr>
        <w:t xml:space="preserve">use by </w:t>
      </w:r>
      <w:r>
        <w:rPr>
          <w:i/>
          <w:color w:val="000000" w:themeColor="text1"/>
          <w:lang w:eastAsia="zh-CN"/>
        </w:rPr>
        <w:t xml:space="preserve">the </w:t>
      </w:r>
      <w:r w:rsidRPr="000A5FD6">
        <w:rPr>
          <w:i/>
          <w:color w:val="000000" w:themeColor="text1"/>
          <w:lang w:eastAsia="zh-CN"/>
        </w:rPr>
        <w:t xml:space="preserve">gNB via CG-UCI. </w:t>
      </w:r>
    </w:p>
    <w:p w14:paraId="1FB5FD7B" w14:textId="05AC0B33" w:rsidR="000365D0" w:rsidRDefault="009456AF" w:rsidP="000365D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addition to signaling of remaining COT information, </w:t>
      </w:r>
      <w:r w:rsidR="000365D0">
        <w:rPr>
          <w:color w:val="000000" w:themeColor="text1"/>
          <w:lang w:eastAsia="zh-CN"/>
        </w:rPr>
        <w:t>The UE should signal to continue its use of the COT to gNB</w:t>
      </w:r>
      <w:r w:rsidR="00F927B1">
        <w:rPr>
          <w:color w:val="000000" w:themeColor="text1"/>
          <w:lang w:eastAsia="zh-CN"/>
        </w:rPr>
        <w:t>.</w:t>
      </w:r>
      <w:r w:rsidR="000365D0">
        <w:rPr>
          <w:color w:val="000000" w:themeColor="text1"/>
          <w:lang w:eastAsia="zh-CN"/>
        </w:rPr>
        <w:t xml:space="preserve"> The benefit of the indication is that there would be no mismatch in understanding of the use of the COT between the UE and gNB.</w:t>
      </w:r>
    </w:p>
    <w:p w14:paraId="23CA2D07" w14:textId="7D928DA4" w:rsidR="000365D0" w:rsidRDefault="000365D0" w:rsidP="000365D0">
      <w:pPr>
        <w:rPr>
          <w:color w:val="000000" w:themeColor="text1"/>
          <w:lang w:eastAsia="zh-CN"/>
        </w:rPr>
      </w:pPr>
      <w:r w:rsidRPr="0012338B">
        <w:rPr>
          <w:b/>
          <w:color w:val="000000" w:themeColor="text1"/>
          <w:lang w:eastAsia="zh-CN"/>
        </w:rPr>
        <w:t xml:space="preserve">Observation </w:t>
      </w:r>
      <w:r w:rsidR="00F927B1">
        <w:rPr>
          <w:b/>
          <w:color w:val="000000" w:themeColor="text1"/>
          <w:lang w:eastAsia="zh-CN"/>
        </w:rPr>
        <w:t>3</w:t>
      </w:r>
      <w:r>
        <w:rPr>
          <w:rFonts w:hint="eastAsia"/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</w:t>
      </w:r>
      <w:r w:rsidRPr="000A5FD6">
        <w:rPr>
          <w:i/>
          <w:color w:val="000000" w:themeColor="text1"/>
          <w:lang w:eastAsia="zh-CN"/>
        </w:rPr>
        <w:t>It is beneficial for the UE to signal</w:t>
      </w:r>
      <w:r w:rsidR="00F927B1">
        <w:rPr>
          <w:i/>
          <w:color w:val="000000" w:themeColor="text1"/>
          <w:lang w:eastAsia="zh-CN"/>
        </w:rPr>
        <w:t xml:space="preserve"> UL transmission duration</w:t>
      </w:r>
      <w:r w:rsidR="001774B8">
        <w:rPr>
          <w:i/>
          <w:color w:val="000000" w:themeColor="text1"/>
          <w:lang w:eastAsia="zh-CN"/>
        </w:rPr>
        <w:t xml:space="preserve"> in order to </w:t>
      </w:r>
      <w:r w:rsidR="00BC4CEF">
        <w:rPr>
          <w:i/>
          <w:color w:val="000000" w:themeColor="text1"/>
          <w:lang w:eastAsia="zh-CN"/>
        </w:rPr>
        <w:t xml:space="preserve">avoid mismatching </w:t>
      </w:r>
      <w:r w:rsidR="001774B8">
        <w:rPr>
          <w:i/>
          <w:color w:val="000000" w:themeColor="text1"/>
          <w:lang w:eastAsia="zh-CN"/>
        </w:rPr>
        <w:t xml:space="preserve">between </w:t>
      </w:r>
      <w:r w:rsidR="00294A5F">
        <w:rPr>
          <w:i/>
          <w:color w:val="000000" w:themeColor="text1"/>
          <w:lang w:eastAsia="zh-CN"/>
        </w:rPr>
        <w:t>UE and gNB</w:t>
      </w:r>
      <w:r w:rsidRPr="000A5FD6">
        <w:rPr>
          <w:i/>
          <w:color w:val="000000" w:themeColor="text1"/>
          <w:lang w:eastAsia="zh-CN"/>
        </w:rPr>
        <w:t xml:space="preserve">. </w:t>
      </w:r>
    </w:p>
    <w:p w14:paraId="1E2E3B1D" w14:textId="0EB63501" w:rsidR="000365D0" w:rsidRDefault="003A3FEF" w:rsidP="000365D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proofErr w:type="spellStart"/>
      <w:r>
        <w:rPr>
          <w:color w:val="000000" w:themeColor="text1"/>
          <w:lang w:eastAsia="zh-CN"/>
        </w:rPr>
        <w:t>FeLAA</w:t>
      </w:r>
      <w:proofErr w:type="spellEnd"/>
      <w:r>
        <w:rPr>
          <w:color w:val="000000" w:themeColor="text1"/>
          <w:lang w:eastAsia="zh-CN"/>
        </w:rPr>
        <w:t>, regardless of LBT priority class of UE acquired COT, the feature of AUL limits the DL transmission duration to up to 2 OFDM symbols within the UE acquired COT</w:t>
      </w:r>
      <w:r w:rsidR="00823770">
        <w:rPr>
          <w:color w:val="000000" w:themeColor="text1"/>
          <w:lang w:eastAsia="zh-CN"/>
        </w:rPr>
        <w:t xml:space="preserve"> since</w:t>
      </w:r>
      <w:r>
        <w:rPr>
          <w:color w:val="000000" w:themeColor="text1"/>
          <w:lang w:eastAsia="zh-CN"/>
        </w:rPr>
        <w:t xml:space="preserve"> only DL control information can be included.</w:t>
      </w:r>
      <w:r w:rsidRPr="00984407">
        <w:rPr>
          <w:color w:val="000000" w:themeColor="text1"/>
          <w:lang w:eastAsia="zh-CN"/>
        </w:rPr>
        <w:t xml:space="preserve"> </w:t>
      </w:r>
      <w:r w:rsidR="00D23EAA">
        <w:rPr>
          <w:color w:val="000000" w:themeColor="text1"/>
          <w:lang w:eastAsia="zh-CN"/>
        </w:rPr>
        <w:t xml:space="preserve">If NR-U could </w:t>
      </w:r>
      <w:r w:rsidR="00FB09CD">
        <w:rPr>
          <w:color w:val="000000" w:themeColor="text1"/>
          <w:lang w:eastAsia="zh-CN"/>
        </w:rPr>
        <w:t xml:space="preserve">allow DL data transmission using shared COT acquired by UE, </w:t>
      </w:r>
      <w:r w:rsidRPr="00984407">
        <w:rPr>
          <w:color w:val="000000" w:themeColor="text1"/>
          <w:lang w:eastAsia="zh-CN"/>
        </w:rPr>
        <w:t xml:space="preserve">it is beneficial for the NR-U UE to signal its priority class once it has acquired the channel, helping PDCCH/PDSCH </w:t>
      </w:r>
      <w:r>
        <w:rPr>
          <w:color w:val="000000" w:themeColor="text1"/>
          <w:lang w:eastAsia="zh-CN"/>
        </w:rPr>
        <w:t>scheduling</w:t>
      </w:r>
      <w:r w:rsidR="00FB09CD">
        <w:rPr>
          <w:color w:val="000000" w:themeColor="text1"/>
          <w:lang w:eastAsia="zh-CN"/>
        </w:rPr>
        <w:t>.</w:t>
      </w:r>
      <w:r w:rsidRPr="00984407">
        <w:rPr>
          <w:color w:val="000000" w:themeColor="text1"/>
          <w:lang w:eastAsia="zh-CN"/>
        </w:rPr>
        <w:t xml:space="preserve"> DL channels </w:t>
      </w:r>
      <w:r w:rsidR="00E639DE">
        <w:rPr>
          <w:color w:val="000000" w:themeColor="text1"/>
          <w:lang w:eastAsia="zh-CN"/>
        </w:rPr>
        <w:t>has to be</w:t>
      </w:r>
      <w:r w:rsidRPr="00984407">
        <w:rPr>
          <w:color w:val="000000" w:themeColor="text1"/>
          <w:lang w:eastAsia="zh-CN"/>
        </w:rPr>
        <w:t xml:space="preserve"> transmitted with equal or higher priority class compared with corresponding PUSCH transmissions from that UE</w:t>
      </w:r>
      <w:r w:rsidR="00E639DE">
        <w:rPr>
          <w:color w:val="000000" w:themeColor="text1"/>
          <w:lang w:eastAsia="zh-CN"/>
        </w:rPr>
        <w:t xml:space="preserve"> since it is prohibited by the ESTI regulation to </w:t>
      </w:r>
      <w:r w:rsidRPr="00984407">
        <w:rPr>
          <w:color w:val="000000" w:themeColor="text1"/>
          <w:lang w:eastAsia="zh-CN"/>
        </w:rPr>
        <w:t xml:space="preserve">transmit </w:t>
      </w:r>
      <w:r w:rsidR="00E639DE">
        <w:rPr>
          <w:color w:val="000000" w:themeColor="text1"/>
          <w:lang w:eastAsia="zh-CN"/>
        </w:rPr>
        <w:t xml:space="preserve">DL channels </w:t>
      </w:r>
      <w:r w:rsidRPr="00984407">
        <w:rPr>
          <w:color w:val="000000" w:themeColor="text1"/>
          <w:lang w:eastAsia="zh-CN"/>
        </w:rPr>
        <w:t xml:space="preserve">with </w:t>
      </w:r>
      <w:r w:rsidR="00E639DE">
        <w:rPr>
          <w:color w:val="000000" w:themeColor="text1"/>
          <w:lang w:eastAsia="zh-CN"/>
        </w:rPr>
        <w:t xml:space="preserve">lower </w:t>
      </w:r>
      <w:r w:rsidRPr="00984407">
        <w:rPr>
          <w:color w:val="000000" w:themeColor="text1"/>
          <w:lang w:eastAsia="zh-CN"/>
        </w:rPr>
        <w:t xml:space="preserve">priority </w:t>
      </w:r>
      <w:proofErr w:type="gramStart"/>
      <w:r w:rsidRPr="00984407">
        <w:rPr>
          <w:color w:val="000000" w:themeColor="text1"/>
          <w:lang w:eastAsia="zh-CN"/>
        </w:rPr>
        <w:t>class .</w:t>
      </w:r>
      <w:proofErr w:type="gramEnd"/>
      <w:r>
        <w:rPr>
          <w:color w:val="000000" w:themeColor="text1"/>
          <w:lang w:eastAsia="zh-CN"/>
        </w:rPr>
        <w:t xml:space="preserve"> In addition, since maximum COT duration is determined by LBT priority class, LBT priority class could indicate implicitly UE-initiated COT duration.</w:t>
      </w:r>
    </w:p>
    <w:p w14:paraId="0D69DCA5" w14:textId="6BCF69E3" w:rsidR="009456AF" w:rsidRDefault="009456AF" w:rsidP="000365D0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Therefore, in the case of UE-to-gNB COT sharing, UE should indicate UL transmission duration </w:t>
      </w:r>
      <w:r w:rsidR="003A3FEF">
        <w:rPr>
          <w:color w:val="000000" w:themeColor="text1"/>
          <w:lang w:eastAsia="ja-JP"/>
        </w:rPr>
        <w:t xml:space="preserve">(e.g. PUSCH start and end point/slot) </w:t>
      </w:r>
      <w:r>
        <w:rPr>
          <w:color w:val="000000" w:themeColor="text1"/>
          <w:lang w:eastAsia="ja-JP"/>
        </w:rPr>
        <w:t xml:space="preserve">and UE-initiated COT duration </w:t>
      </w:r>
      <w:r w:rsidR="003A3FEF">
        <w:rPr>
          <w:color w:val="000000" w:themeColor="text1"/>
          <w:lang w:eastAsia="ja-JP"/>
        </w:rPr>
        <w:t xml:space="preserve">(e.g. LBT priority class) </w:t>
      </w:r>
      <w:r>
        <w:rPr>
          <w:color w:val="000000" w:themeColor="text1"/>
          <w:lang w:eastAsia="ja-JP"/>
        </w:rPr>
        <w:t>to gNB via CG-UCI.</w:t>
      </w:r>
    </w:p>
    <w:p w14:paraId="6E9E8BA4" w14:textId="62245C56" w:rsidR="000365D0" w:rsidRDefault="000365D0" w:rsidP="000365D0">
      <w:pPr>
        <w:pStyle w:val="a5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5811D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39448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5811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Pr="00DC70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UL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transmission </w:t>
      </w:r>
      <w:r w:rsidRPr="00DC70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duration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DC70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(</w:t>
      </w:r>
      <w:proofErr w:type="spellStart"/>
      <w:r w:rsidRPr="00DC70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e.g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DC70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PUSCH start and end point/slot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)</w:t>
      </w:r>
      <w:r w:rsidRPr="00DC70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hAnsi="Times New Roman"/>
          <w:i/>
          <w:color w:val="000000"/>
          <w:sz w:val="22"/>
          <w:szCs w:val="22"/>
          <w:lang w:eastAsia="x-none"/>
        </w:rPr>
        <w:t>and UE-initiated COT duration (e.g. LBT priority class) should be signaled to gNB via CG-UCI.</w:t>
      </w:r>
    </w:p>
    <w:bookmarkEnd w:id="3"/>
    <w:p w14:paraId="6D64683B" w14:textId="77777777" w:rsidR="00A57D0E" w:rsidRPr="000365D0" w:rsidRDefault="00A57D0E" w:rsidP="001A6AC6">
      <w:pPr>
        <w:pStyle w:val="a5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14:paraId="3221FBE7" w14:textId="7FD98374" w:rsidR="001A6AC6" w:rsidRPr="00D66F82" w:rsidRDefault="001A6AC6" w:rsidP="001A6AC6">
      <w:pPr>
        <w:pStyle w:val="2"/>
        <w:rPr>
          <w:lang w:eastAsia="zh-CN"/>
        </w:rPr>
      </w:pPr>
      <w:r>
        <w:t xml:space="preserve">Channel access </w:t>
      </w:r>
      <w:r w:rsidR="00A23E80">
        <w:t xml:space="preserve">mechanism </w:t>
      </w:r>
      <w:r w:rsidR="002A3DEE">
        <w:t>for FBE</w:t>
      </w:r>
    </w:p>
    <w:p w14:paraId="57B7FF71" w14:textId="0C922148" w:rsidR="00F67885" w:rsidRPr="00324BE9" w:rsidRDefault="00560F0C" w:rsidP="00F56661">
      <w:pPr>
        <w:pStyle w:val="a5"/>
        <w:spacing w:after="120"/>
        <w:ind w:left="0"/>
        <w:rPr>
          <w:rFonts w:ascii="Times New Roman" w:eastAsia="SimSun" w:hAnsi="Times New Roman" w:cs="Times New Roman"/>
          <w:b/>
          <w:color w:val="000000" w:themeColor="text1"/>
          <w:sz w:val="22"/>
          <w:szCs w:val="22"/>
        </w:rPr>
      </w:pPr>
      <w:r w:rsidRPr="00560F0C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According to ETSI BRAN [</w:t>
      </w:r>
      <w:r w:rsidR="008C27F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2</w:t>
      </w:r>
      <w:r w:rsidRPr="00560F0C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]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a device can operate on the 5 GHz unlicensed band using the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Fr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ame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B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ased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quipment (FBE) framework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In the FBE framework,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fixed frame period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channel occupancy time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and idle period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are defined as shown in Figure 1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. The fixed frame period </w:t>
      </w:r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could be configurable 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within a range 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of 1 </w:t>
      </w:r>
      <w:proofErr w:type="spellStart"/>
      <w:r w:rsidR="00324BE9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msec</w:t>
      </w:r>
      <w:proofErr w:type="spellEnd"/>
      <w:r w:rsidR="00324BE9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to 10 </w:t>
      </w:r>
      <w:proofErr w:type="spellStart"/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msec</w:t>
      </w:r>
      <w:proofErr w:type="spellEnd"/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324BE9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and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14D6B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idle period shall be </w:t>
      </w:r>
      <w:r w:rsidR="00324BE9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at least 5% of </w:t>
      </w:r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channel occupancy time and a minimum of 100 </w:t>
      </w:r>
      <w:proofErr w:type="spellStart"/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4121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A01B7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9B088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n initiating device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proofErr w:type="gramStart"/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has to</w:t>
      </w:r>
      <w:proofErr w:type="gramEnd"/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perform Cat.2 LBT </w:t>
      </w:r>
      <w:r w:rsidR="008A56DE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(one-shot CCA)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at the time immediately before</w:t>
      </w:r>
      <w:r w:rsidR="009B088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boundary of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fixed frame period. Depending on LBT outcome, the initiating device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acquires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channel could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then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occupy the channel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BF783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the channel occupancy time.</w:t>
      </w:r>
      <w:r w:rsidR="00983C05" w:rsidRP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FC795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he initiating device </w:t>
      </w:r>
      <w:proofErr w:type="gramStart"/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is allowed to</w:t>
      </w:r>
      <w:proofErr w:type="gramEnd"/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transmit signal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C795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during the channel occupancy time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while any signal transmission is prohibited during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idle period.</w:t>
      </w:r>
    </w:p>
    <w:p w14:paraId="1D92EBBD" w14:textId="04B62379" w:rsidR="00D14D6B" w:rsidRDefault="00324BE9" w:rsidP="00324BE9">
      <w:pPr>
        <w:pStyle w:val="a5"/>
        <w:spacing w:after="120"/>
        <w:ind w:left="0"/>
        <w:jc w:val="center"/>
        <w:rPr>
          <w:rFonts w:ascii="Times New Roman" w:eastAsia="SimSun" w:hAnsi="Times New Roman" w:cs="Times New Roman"/>
          <w:b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5B29B367" wp14:editId="69D47040">
            <wp:extent cx="4800600" cy="2352675"/>
            <wp:effectExtent l="0" t="0" r="0" b="0"/>
            <wp:docPr id="1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B9D24" w14:textId="5F58FF96" w:rsidR="00324BE9" w:rsidRPr="00324BE9" w:rsidRDefault="00324BE9" w:rsidP="00324BE9">
      <w:pPr>
        <w:pStyle w:val="a5"/>
        <w:spacing w:after="120"/>
        <w:ind w:left="0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>igure 1</w:t>
      </w:r>
      <w:r w:rsidR="00BA58ED"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>Frame Based Equipment</w:t>
      </w:r>
    </w:p>
    <w:p w14:paraId="3D5EC684" w14:textId="745213BA" w:rsidR="00D17901" w:rsidRDefault="00BF7834" w:rsidP="00F56661">
      <w:pPr>
        <w:pStyle w:val="a5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Two types of channel access mode (LBE and FBE) would be applicable to Rel-16 NR-U. Although gNB can choose channel access mode (LBE or FBE) depending on deployment,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it is necessary to inform the UE of the </w:t>
      </w:r>
      <w:r w:rsidR="0042608C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applied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c</w:t>
      </w:r>
      <w:r w:rsidRPr="009B088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hannel access mode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because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channel access mechanism for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initiating device is different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between LBE and FBE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 For example,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 difference exists between LBE and FBE when 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UE becomes an initiating device</w:t>
      </w:r>
      <w:r w:rsidR="00D17901" w:rsidRPr="00D17901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17901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for PRACH transmission and configured grant transmission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In the case of transmission of these UL channel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Cat.4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LBT must be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applied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for LBE</w:t>
      </w:r>
      <w:r w:rsidR="008A56DE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as agreed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while Cat.2 LBT must be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applied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for FBE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In order to meet ETSI requirement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, the UE </w:t>
      </w:r>
      <w:proofErr w:type="gramStart"/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has to</w:t>
      </w:r>
      <w:proofErr w:type="gramEnd"/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be aware of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C0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channel access mode.</w:t>
      </w:r>
    </w:p>
    <w:p w14:paraId="78BAEC2A" w14:textId="02733E0E" w:rsidR="003452CB" w:rsidRDefault="00A15C93" w:rsidP="00F56661">
      <w:pPr>
        <w:pStyle w:val="a5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In addition to channel access mode, </w:t>
      </w:r>
      <w:r w:rsidR="00A010E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informing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UE of the </w:t>
      </w:r>
      <w:r w:rsidR="00A010E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fixed frame period would be beneficial to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010E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UE. By knowing information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on the </w:t>
      </w:r>
      <w:r w:rsidR="00A010E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fixed frame period (e.g. starting point and duration),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010EF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UE is aware of LBT timing.</w:t>
      </w:r>
    </w:p>
    <w:p w14:paraId="097CCF43" w14:textId="0BCBB88A" w:rsidR="00CC7582" w:rsidRPr="00A010EF" w:rsidRDefault="00A010EF" w:rsidP="00F56661">
      <w:pPr>
        <w:pStyle w:val="a5"/>
        <w:spacing w:after="120"/>
        <w:ind w:left="0"/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Since LBT category and timing </w:t>
      </w:r>
      <w:proofErr w:type="gramStart"/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have to</w:t>
      </w:r>
      <w:proofErr w:type="gramEnd"/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be known before PRACH transmission, these FBE parameters should be indicated to </w:t>
      </w:r>
      <w:r w:rsidR="007C78C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UE through </w:t>
      </w:r>
      <w:r w:rsidR="007F1B8B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ja-JP"/>
        </w:rPr>
        <w:t>RMSI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CC7582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Channel access mode (FBE or LBE) could be implicitly indicated whether FBE related parameters such as the fixed frame period is presence or absence.</w:t>
      </w:r>
    </w:p>
    <w:p w14:paraId="4438FA6D" w14:textId="1973B40E" w:rsidR="000F120C" w:rsidRDefault="007516D4" w:rsidP="00F56661">
      <w:pPr>
        <w:pStyle w:val="a5"/>
        <w:spacing w:after="120"/>
        <w:ind w:left="0"/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</w:pPr>
      <w:r w:rsidRPr="005811D5">
        <w:rPr>
          <w:rFonts w:ascii="Times New Roman" w:eastAsia="SimSun" w:hAnsi="Times New Roman" w:cs="Times New Roman" w:hint="eastAsia"/>
          <w:b/>
          <w:color w:val="000000" w:themeColor="text1"/>
          <w:sz w:val="22"/>
          <w:szCs w:val="22"/>
        </w:rPr>
        <w:t xml:space="preserve">Proposal </w:t>
      </w:r>
      <w:r w:rsidR="00394485">
        <w:rPr>
          <w:rFonts w:ascii="Times New Roman" w:eastAsia="SimSun" w:hAnsi="Times New Roman" w:cs="Times New Roman"/>
          <w:b/>
          <w:color w:val="000000" w:themeColor="text1"/>
          <w:sz w:val="22"/>
          <w:szCs w:val="22"/>
        </w:rPr>
        <w:t>2</w:t>
      </w:r>
      <w:r w:rsidRPr="005811D5">
        <w:rPr>
          <w:rFonts w:ascii="Times New Roman" w:eastAsia="SimSun" w:hAnsi="Times New Roman" w:cs="Times New Roman" w:hint="eastAsia"/>
          <w:b/>
          <w:color w:val="000000" w:themeColor="text1"/>
          <w:sz w:val="22"/>
          <w:szCs w:val="22"/>
        </w:rPr>
        <w:t>:</w:t>
      </w:r>
      <w:r>
        <w:rPr>
          <w:rFonts w:ascii="Times New Roman" w:eastAsia="SimSun" w:hAnsi="Times New Roman" w:cs="Times New Roman"/>
          <w:b/>
          <w:i/>
          <w:color w:val="000000" w:themeColor="text1"/>
          <w:sz w:val="22"/>
          <w:szCs w:val="22"/>
        </w:rPr>
        <w:t xml:space="preserve"> </w:t>
      </w:r>
      <w:r w:rsidR="00A010EF"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  <w:t>P</w:t>
      </w:r>
      <w:r w:rsidR="00A010EF" w:rsidRPr="00A010EF"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  <w:t>arameters of</w:t>
      </w:r>
      <w:r w:rsidR="00A010EF">
        <w:rPr>
          <w:rFonts w:ascii="Times New Roman" w:eastAsia="SimSun" w:hAnsi="Times New Roman" w:cs="Times New Roman"/>
          <w:b/>
          <w:i/>
          <w:color w:val="000000" w:themeColor="text1"/>
          <w:sz w:val="22"/>
          <w:szCs w:val="22"/>
        </w:rPr>
        <w:t xml:space="preserve"> </w:t>
      </w:r>
      <w:r w:rsidR="00A010E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 mode</w:t>
      </w:r>
      <w:r w:rsidR="00A23E8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(FBE or LBE)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A010E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and 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frame period should be indicated to </w:t>
      </w:r>
      <w:r w:rsidR="007C78C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UE </w:t>
      </w:r>
      <w:r w:rsidR="00F6788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through</w:t>
      </w:r>
      <w:r w:rsidR="00A23E8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8A56D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RMSI</w:t>
      </w:r>
      <w:r w:rsidR="00A23E8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F0FAF57" w14:textId="0E4855A7" w:rsidR="000F120C" w:rsidRPr="008A56DE" w:rsidRDefault="008A56DE" w:rsidP="008A56DE">
      <w:pPr>
        <w:pStyle w:val="a5"/>
        <w:numPr>
          <w:ilvl w:val="0"/>
          <w:numId w:val="18"/>
        </w:numPr>
        <w:spacing w:after="120"/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</w:pPr>
      <w:r w:rsidRPr="008A56DE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Presence or absence of FBE related parameters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could </w:t>
      </w:r>
      <w:r w:rsidRPr="008A56DE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indicate channel access mode.</w:t>
      </w:r>
    </w:p>
    <w:p w14:paraId="2BF0C4A5" w14:textId="77777777" w:rsidR="008A56DE" w:rsidRPr="008A56DE" w:rsidRDefault="008A56DE" w:rsidP="00F56661">
      <w:pPr>
        <w:pStyle w:val="a5"/>
        <w:spacing w:after="120"/>
        <w:ind w:left="0"/>
        <w:rPr>
          <w:rFonts w:ascii="Times New Roman" w:eastAsia="SimSun" w:hAnsi="Times New Roman" w:cs="Times New Roman"/>
          <w:b/>
          <w:i/>
          <w:color w:val="000000" w:themeColor="text1"/>
          <w:sz w:val="22"/>
          <w:szCs w:val="22"/>
        </w:rPr>
      </w:pPr>
    </w:p>
    <w:p w14:paraId="637CF1D4" w14:textId="77777777" w:rsidR="008A73F3" w:rsidRPr="00D66F82" w:rsidRDefault="008A73F3" w:rsidP="008A73F3">
      <w:pPr>
        <w:pStyle w:val="2"/>
        <w:rPr>
          <w:lang w:eastAsia="zh-CN"/>
        </w:rPr>
      </w:pPr>
      <w:r>
        <w:t>6</w:t>
      </w:r>
      <w:r>
        <w:rPr>
          <w:rFonts w:hint="eastAsia"/>
          <w:lang w:eastAsia="ja-JP"/>
        </w:rPr>
        <w:t xml:space="preserve"> </w:t>
      </w:r>
      <w:r>
        <w:t>GHz channel access</w:t>
      </w:r>
    </w:p>
    <w:p w14:paraId="49666279" w14:textId="77777777" w:rsidR="008A73F3" w:rsidRDefault="008A73F3" w:rsidP="008A73F3">
      <w:pPr>
        <w:pStyle w:val="3"/>
      </w:pPr>
      <w:r>
        <w:rPr>
          <w:rFonts w:hint="eastAsia"/>
          <w:lang w:eastAsia="ja-JP"/>
        </w:rPr>
        <w:t>Flexibility and rec</w:t>
      </w:r>
      <w:r>
        <w:t>onfigurab</w:t>
      </w:r>
      <w:r>
        <w:rPr>
          <w:rFonts w:hint="eastAsia"/>
          <w:lang w:eastAsia="ja-JP"/>
        </w:rPr>
        <w:t>ility of</w:t>
      </w:r>
      <w:r>
        <w:t xml:space="preserve"> channel access parameters</w:t>
      </w:r>
    </w:p>
    <w:p w14:paraId="77DC96EB" w14:textId="08C9BDCB" w:rsidR="008A73F3" w:rsidRDefault="008A73F3" w:rsidP="008A73F3">
      <w:pPr>
        <w:rPr>
          <w:lang w:eastAsia="ja-JP"/>
        </w:rPr>
      </w:pPr>
      <w:r>
        <w:rPr>
          <w:rFonts w:hint="eastAsia"/>
          <w:lang w:eastAsia="ja-JP"/>
        </w:rPr>
        <w:t>According to the Notice of Proposed Rulemaking (NPRM) issued by FCC [</w:t>
      </w:r>
      <w:r w:rsidR="008C27FF">
        <w:rPr>
          <w:lang w:eastAsia="ja-JP"/>
        </w:rPr>
        <w:t>4</w:t>
      </w:r>
      <w:r>
        <w:rPr>
          <w:rFonts w:hint="eastAsia"/>
          <w:lang w:eastAsia="ja-JP"/>
        </w:rPr>
        <w:t xml:space="preserve">], it has been proposed that access points (e.g.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 xml:space="preserve">) that intend to use U-NII-5 (5,925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6,425 MHz) and U-NII-7 (6,525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6,875 MHz) bands be required to access to an Automated Frequency Coordination (AFC) system prior to initial radio transmission, where the AFC system is defined as </w:t>
      </w:r>
      <w:r>
        <w:rPr>
          <w:lang w:eastAsia="ja-JP"/>
        </w:rPr>
        <w:t>a system that automatically determines and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provides lists of which frequencies are available for use by access points operating in the </w:t>
      </w:r>
      <w:r>
        <w:rPr>
          <w:rFonts w:hint="eastAsia"/>
          <w:lang w:eastAsia="ja-JP"/>
        </w:rPr>
        <w:t>U-NII-5</w:t>
      </w:r>
      <w:r>
        <w:rPr>
          <w:lang w:eastAsia="ja-JP"/>
        </w:rPr>
        <w:t xml:space="preserve"> and </w:t>
      </w:r>
      <w:r>
        <w:rPr>
          <w:rFonts w:hint="eastAsia"/>
          <w:lang w:eastAsia="ja-JP"/>
        </w:rPr>
        <w:t>U-NII-7</w:t>
      </w:r>
      <w:r>
        <w:rPr>
          <w:lang w:eastAsia="ja-JP"/>
        </w:rPr>
        <w:t xml:space="preserve"> bands</w:t>
      </w:r>
      <w:r>
        <w:rPr>
          <w:rFonts w:hint="eastAsia"/>
          <w:lang w:eastAsia="ja-JP"/>
        </w:rPr>
        <w:t xml:space="preserve">, and client devices (e.g. UEs) </w:t>
      </w:r>
      <w:r>
        <w:rPr>
          <w:lang w:eastAsia="ja-JP"/>
        </w:rPr>
        <w:t>that operate in the U-NII-5 and U</w:t>
      </w:r>
      <w:r>
        <w:rPr>
          <w:rFonts w:hint="eastAsia"/>
          <w:lang w:eastAsia="ja-JP"/>
        </w:rPr>
        <w:t>-</w:t>
      </w:r>
      <w:r>
        <w:rPr>
          <w:lang w:eastAsia="ja-JP"/>
        </w:rPr>
        <w:t>NII-7 bands</w:t>
      </w:r>
      <w:r>
        <w:rPr>
          <w:rFonts w:hint="eastAsia"/>
          <w:lang w:eastAsia="ja-JP"/>
        </w:rPr>
        <w:t xml:space="preserve"> are required to be </w:t>
      </w:r>
      <w:r w:rsidRPr="00104830">
        <w:rPr>
          <w:lang w:eastAsia="ja-JP"/>
        </w:rPr>
        <w:t xml:space="preserve">under the control of </w:t>
      </w:r>
      <w:r>
        <w:rPr>
          <w:rFonts w:hint="eastAsia"/>
          <w:lang w:eastAsia="ja-JP"/>
        </w:rPr>
        <w:t>such</w:t>
      </w:r>
      <w:r w:rsidRPr="00104830">
        <w:rPr>
          <w:lang w:eastAsia="ja-JP"/>
        </w:rPr>
        <w:t xml:space="preserve"> access point</w:t>
      </w:r>
      <w:r>
        <w:rPr>
          <w:rFonts w:hint="eastAsia"/>
          <w:lang w:eastAsia="ja-JP"/>
        </w:rPr>
        <w:t>s</w:t>
      </w:r>
      <w:r w:rsidRPr="00104830">
        <w:rPr>
          <w:lang w:eastAsia="ja-JP"/>
        </w:rPr>
        <w:t>.</w:t>
      </w:r>
      <w:r>
        <w:rPr>
          <w:rFonts w:hint="eastAsia"/>
          <w:lang w:eastAsia="ja-JP"/>
        </w:rPr>
        <w:t xml:space="preserve"> These proposed rules would impose </w:t>
      </w:r>
      <w:r w:rsidR="007C78C7">
        <w:rPr>
          <w:lang w:eastAsia="ja-JP"/>
        </w:rPr>
        <w:t xml:space="preserve">a requirement that </w:t>
      </w:r>
      <w:r>
        <w:rPr>
          <w:rFonts w:hint="eastAsia"/>
          <w:lang w:eastAsia="ja-JP"/>
        </w:rPr>
        <w:t xml:space="preserve">NR-U channel access parameters </w:t>
      </w:r>
      <w:r w:rsidR="007C78C7">
        <w:rPr>
          <w:lang w:eastAsia="ja-JP"/>
        </w:rPr>
        <w:t xml:space="preserve">must </w:t>
      </w:r>
      <w:r>
        <w:rPr>
          <w:rFonts w:hint="eastAsia"/>
          <w:lang w:eastAsia="ja-JP"/>
        </w:rPr>
        <w:t xml:space="preserve">be reconfigurable in order to respond to the spectrum availability </w:t>
      </w:r>
      <w:r>
        <w:rPr>
          <w:rFonts w:hint="eastAsia"/>
          <w:lang w:eastAsia="ja-JP"/>
        </w:rPr>
        <w:lastRenderedPageBreak/>
        <w:t xml:space="preserve">information from an AFC system. </w:t>
      </w:r>
      <w:r w:rsidR="007C78C7">
        <w:rPr>
          <w:lang w:eastAsia="ja-JP"/>
        </w:rPr>
        <w:t>I</w:t>
      </w:r>
      <w:r w:rsidR="007C78C7">
        <w:rPr>
          <w:rFonts w:hint="eastAsia"/>
          <w:lang w:eastAsia="ja-JP"/>
        </w:rPr>
        <w:t>n other national regulatory authorities</w:t>
      </w:r>
      <w:r w:rsidR="007C78C7">
        <w:rPr>
          <w:lang w:eastAsia="ja-JP"/>
        </w:rPr>
        <w:t>,</w:t>
      </w:r>
      <w:r w:rsidR="007C78C7">
        <w:rPr>
          <w:rFonts w:hint="eastAsia"/>
          <w:lang w:eastAsia="ja-JP"/>
        </w:rPr>
        <w:t xml:space="preserve"> </w:t>
      </w:r>
      <w:r w:rsidR="007C78C7">
        <w:rPr>
          <w:lang w:eastAsia="ja-JP"/>
        </w:rPr>
        <w:t>n</w:t>
      </w:r>
      <w:r w:rsidR="007C78C7">
        <w:rPr>
          <w:rFonts w:hint="eastAsia"/>
          <w:lang w:eastAsia="ja-JP"/>
        </w:rPr>
        <w:t xml:space="preserve">ot </w:t>
      </w:r>
      <w:r>
        <w:rPr>
          <w:rFonts w:hint="eastAsia"/>
          <w:lang w:eastAsia="ja-JP"/>
        </w:rPr>
        <w:t>only similar but also dissimilar regulatory framework</w:t>
      </w:r>
      <w:r w:rsidR="003766A2">
        <w:rPr>
          <w:lang w:eastAsia="ja-JP"/>
        </w:rPr>
        <w:t>s</w:t>
      </w:r>
      <w:r>
        <w:rPr>
          <w:rFonts w:hint="eastAsia"/>
          <w:lang w:eastAsia="ja-JP"/>
        </w:rPr>
        <w:t xml:space="preserve"> and rules could </w:t>
      </w:r>
      <w:r w:rsidR="003766A2">
        <w:rPr>
          <w:lang w:eastAsia="ja-JP"/>
        </w:rPr>
        <w:t xml:space="preserve">also </w:t>
      </w:r>
      <w:r>
        <w:rPr>
          <w:rFonts w:hint="eastAsia"/>
          <w:lang w:eastAsia="ja-JP"/>
        </w:rPr>
        <w:t>be proposed.</w:t>
      </w:r>
    </w:p>
    <w:p w14:paraId="6496A2D7" w14:textId="5D47B0D5" w:rsidR="008A73F3" w:rsidRDefault="008A73F3" w:rsidP="008A73F3">
      <w:r>
        <w:rPr>
          <w:lang w:eastAsia="ja-JP"/>
        </w:rPr>
        <w:t>It is expected that NR-U operation in 6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GHz will require compliance to such local regulation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[</w:t>
      </w:r>
      <w:r w:rsidR="008C27FF">
        <w:rPr>
          <w:lang w:eastAsia="ja-JP"/>
        </w:rPr>
        <w:t>5</w:t>
      </w:r>
      <w:r>
        <w:rPr>
          <w:lang w:eastAsia="ja-JP"/>
        </w:rPr>
        <w:t>]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 xml:space="preserve">In order to design NR-U with flexibility </w:t>
      </w:r>
      <w:r>
        <w:rPr>
          <w:rFonts w:hint="eastAsia"/>
          <w:lang w:eastAsia="ja-JP"/>
        </w:rPr>
        <w:t xml:space="preserve">and reconfigurability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>support any</w:t>
      </w:r>
      <w:r>
        <w:rPr>
          <w:lang w:eastAsia="ja-JP"/>
        </w:rPr>
        <w:t xml:space="preserve"> regulat</w:t>
      </w:r>
      <w:r>
        <w:rPr>
          <w:rFonts w:hint="eastAsia"/>
          <w:lang w:eastAsia="ja-JP"/>
        </w:rPr>
        <w:t>ory</w:t>
      </w:r>
      <w:r>
        <w:rPr>
          <w:lang w:eastAsia="ja-JP"/>
        </w:rPr>
        <w:t xml:space="preserve"> requirements for channel access</w:t>
      </w:r>
      <w:r w:rsidR="007C78C7">
        <w:rPr>
          <w:lang w:eastAsia="ja-JP"/>
        </w:rPr>
        <w:t>,</w:t>
      </w:r>
      <w:r>
        <w:rPr>
          <w:lang w:eastAsia="ja-JP"/>
        </w:rPr>
        <w:t xml:space="preserve"> we propose that NR-U include</w:t>
      </w:r>
      <w:r w:rsidR="007C78C7">
        <w:rPr>
          <w:lang w:eastAsia="ja-JP"/>
        </w:rPr>
        <w:t>s</w:t>
      </w:r>
      <w:r>
        <w:rPr>
          <w:lang w:eastAsia="ja-JP"/>
        </w:rPr>
        <w:t xml:space="preserve"> functionality to modify</w:t>
      </w:r>
      <w:r>
        <w:rPr>
          <w:rFonts w:hint="eastAsia"/>
          <w:lang w:eastAsia="ja-JP"/>
        </w:rPr>
        <w:t xml:space="preserve"> and reconfigure</w:t>
      </w:r>
      <w:r>
        <w:rPr>
          <w:lang w:eastAsia="ja-JP"/>
        </w:rPr>
        <w:t xml:space="preserve"> channel access parameters </w:t>
      </w:r>
      <w:r>
        <w:rPr>
          <w:rFonts w:hint="eastAsia"/>
          <w:lang w:eastAsia="ja-JP"/>
        </w:rPr>
        <w:t xml:space="preserve">(e.g. </w:t>
      </w:r>
      <w:r>
        <w:rPr>
          <w:lang w:eastAsia="ja-JP"/>
        </w:rPr>
        <w:t>energy</w:t>
      </w:r>
      <w:r>
        <w:rPr>
          <w:rFonts w:hint="eastAsia"/>
          <w:lang w:eastAsia="ja-JP"/>
        </w:rPr>
        <w:t xml:space="preserve"> detection threshold, conducted output power) </w:t>
      </w:r>
      <w:r>
        <w:rPr>
          <w:lang w:eastAsia="ja-JP"/>
        </w:rPr>
        <w:t>for an NR-U cell.</w:t>
      </w:r>
      <w:r w:rsidR="003A036F" w:rsidDel="003A036F">
        <w:rPr>
          <w:lang w:eastAsia="ja-JP"/>
        </w:rPr>
        <w:t xml:space="preserve"> </w:t>
      </w:r>
    </w:p>
    <w:p w14:paraId="01F1FA7C" w14:textId="56B78846" w:rsidR="008A73F3" w:rsidRDefault="007C3653" w:rsidP="008A73F3">
      <w:pPr>
        <w:pStyle w:val="a5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5811D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 w:rsidR="0039448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</w:t>
      </w:r>
      <w:bookmarkStart w:id="4" w:name="_GoBack"/>
      <w:bookmarkEnd w:id="4"/>
      <w:r w:rsidR="008A73F3" w:rsidRPr="005811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8A73F3" w:rsidRPr="00E51DB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="008A73F3" w:rsidRPr="006C70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="008A73F3" w:rsidRPr="00F80AF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="008A73F3" w:rsidRPr="00F80AF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 w:rsidR="008A73F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 w:rsidR="008A73F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have flexibility and reconfigurability in order to be able to support any regulatory requirements</w:t>
      </w:r>
      <w:r w:rsidR="008A73F3" w:rsidRPr="007239A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6F562BE" w14:textId="77777777" w:rsidR="00F56661" w:rsidRPr="008A73F3" w:rsidRDefault="00F56661" w:rsidP="00BE0768">
      <w:pPr>
        <w:pStyle w:val="a5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427FB771" w14:textId="77777777" w:rsidR="004246DC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659CA335" w14:textId="063BB6C6" w:rsidR="00C3754F" w:rsidRDefault="004246DC" w:rsidP="00CF49C3">
      <w:pPr>
        <w:rPr>
          <w:rFonts w:eastAsia="SimSun"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="00580BC2">
        <w:rPr>
          <w:rFonts w:eastAsia="SimSun"/>
          <w:lang w:eastAsia="zh-CN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0FAF96A" w14:textId="77777777" w:rsidR="00394485" w:rsidRDefault="00394485" w:rsidP="00394485">
      <w:pPr>
        <w:pStyle w:val="a5"/>
        <w:spacing w:after="120"/>
        <w:ind w:left="0"/>
        <w:rPr>
          <w:color w:val="000000" w:themeColor="text1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Observation</w:t>
      </w:r>
      <w:r w:rsidRPr="005811D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1</w:t>
      </w:r>
      <w:r w:rsidRPr="005811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UE to gNB COT sharing in Rel-16 NR-U could be enhanced from </w:t>
      </w:r>
      <w:r w:rsidRPr="00394485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AUL in </w:t>
      </w:r>
      <w:r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Rel-15 </w:t>
      </w:r>
      <w:proofErr w:type="spellStart"/>
      <w:r w:rsidRPr="004E5DB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FeLAA</w:t>
      </w:r>
      <w:proofErr w:type="spellEnd"/>
      <w:r w:rsidRPr="00394485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.</w:t>
      </w:r>
    </w:p>
    <w:p w14:paraId="4FA06405" w14:textId="6BB05EB1" w:rsidR="000365D0" w:rsidRDefault="001774B8" w:rsidP="000365D0">
      <w:pPr>
        <w:rPr>
          <w:color w:val="000000" w:themeColor="text1"/>
          <w:lang w:eastAsia="zh-CN"/>
        </w:rPr>
      </w:pPr>
      <w:r w:rsidRPr="0012338B">
        <w:rPr>
          <w:b/>
          <w:color w:val="000000" w:themeColor="text1"/>
          <w:lang w:eastAsia="zh-CN"/>
        </w:rPr>
        <w:t xml:space="preserve">Observation </w:t>
      </w:r>
      <w:r>
        <w:rPr>
          <w:b/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Pr="000A5FD6">
        <w:rPr>
          <w:i/>
          <w:color w:val="000000" w:themeColor="text1"/>
          <w:lang w:eastAsia="zh-CN"/>
        </w:rPr>
        <w:t xml:space="preserve">UE could signal the transmission duration </w:t>
      </w:r>
      <w:r>
        <w:rPr>
          <w:i/>
          <w:color w:val="000000" w:themeColor="text1"/>
          <w:lang w:eastAsia="zh-CN"/>
        </w:rPr>
        <w:t xml:space="preserve">allowed for </w:t>
      </w:r>
      <w:r w:rsidRPr="000A5FD6">
        <w:rPr>
          <w:i/>
          <w:color w:val="000000" w:themeColor="text1"/>
          <w:lang w:eastAsia="zh-CN"/>
        </w:rPr>
        <w:t xml:space="preserve">use by </w:t>
      </w:r>
      <w:r>
        <w:rPr>
          <w:i/>
          <w:color w:val="000000" w:themeColor="text1"/>
          <w:lang w:eastAsia="zh-CN"/>
        </w:rPr>
        <w:t xml:space="preserve">the </w:t>
      </w:r>
      <w:r w:rsidRPr="000A5FD6">
        <w:rPr>
          <w:i/>
          <w:color w:val="000000" w:themeColor="text1"/>
          <w:lang w:eastAsia="zh-CN"/>
        </w:rPr>
        <w:t xml:space="preserve">gNB via CG-UCI. </w:t>
      </w:r>
    </w:p>
    <w:p w14:paraId="766C5B8E" w14:textId="66E568A5" w:rsidR="003C7956" w:rsidRPr="003C7956" w:rsidRDefault="00DD3CB6" w:rsidP="00CF49C3">
      <w:pPr>
        <w:rPr>
          <w:rFonts w:eastAsia="SimSun"/>
          <w:i/>
          <w:color w:val="000000" w:themeColor="text1"/>
          <w:lang w:eastAsia="zh-CN"/>
        </w:rPr>
      </w:pPr>
      <w:r w:rsidRPr="0012338B">
        <w:rPr>
          <w:b/>
          <w:color w:val="000000" w:themeColor="text1"/>
          <w:lang w:eastAsia="zh-CN"/>
        </w:rPr>
        <w:t xml:space="preserve">Observation </w:t>
      </w:r>
      <w:r>
        <w:rPr>
          <w:b/>
          <w:color w:val="000000" w:themeColor="text1"/>
          <w:lang w:eastAsia="zh-CN"/>
        </w:rPr>
        <w:t>3</w:t>
      </w:r>
      <w:r>
        <w:rPr>
          <w:rFonts w:hint="eastAsia"/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</w:t>
      </w:r>
      <w:r w:rsidRPr="000A5FD6">
        <w:rPr>
          <w:i/>
          <w:color w:val="000000" w:themeColor="text1"/>
          <w:lang w:eastAsia="zh-CN"/>
        </w:rPr>
        <w:t>It is beneficial for the UE to signal</w:t>
      </w:r>
      <w:r>
        <w:rPr>
          <w:i/>
          <w:color w:val="000000" w:themeColor="text1"/>
          <w:lang w:eastAsia="zh-CN"/>
        </w:rPr>
        <w:t xml:space="preserve"> UL transmission duration in order to avoid mismatching between UE and gNB</w:t>
      </w:r>
      <w:r w:rsidRPr="000A5FD6">
        <w:rPr>
          <w:i/>
          <w:color w:val="000000" w:themeColor="text1"/>
          <w:lang w:eastAsia="zh-CN"/>
        </w:rPr>
        <w:t xml:space="preserve">. </w:t>
      </w:r>
    </w:p>
    <w:p w14:paraId="0CBB5F5E" w14:textId="4FF2BC2C" w:rsidR="000365D0" w:rsidRDefault="000365D0" w:rsidP="004E5DB2">
      <w:pPr>
        <w:rPr>
          <w:i/>
          <w:color w:val="000000" w:themeColor="text1"/>
        </w:rPr>
      </w:pPr>
      <w:r w:rsidRPr="005811D5">
        <w:rPr>
          <w:rFonts w:eastAsia="ＭＳ 明朝"/>
          <w:b/>
          <w:color w:val="000000" w:themeColor="text1"/>
          <w:lang w:eastAsia="ja-JP"/>
        </w:rPr>
        <w:t xml:space="preserve">Proposal </w:t>
      </w:r>
      <w:r w:rsidR="00394485">
        <w:rPr>
          <w:rFonts w:eastAsia="ＭＳ 明朝"/>
          <w:b/>
          <w:color w:val="000000" w:themeColor="text1"/>
          <w:lang w:eastAsia="ja-JP"/>
        </w:rPr>
        <w:t>1</w:t>
      </w:r>
      <w:r w:rsidRPr="005811D5">
        <w:rPr>
          <w:rFonts w:eastAsia="ＭＳ 明朝" w:hint="eastAsia"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DC7070">
        <w:rPr>
          <w:rFonts w:eastAsia="ＭＳ 明朝"/>
          <w:i/>
          <w:color w:val="000000" w:themeColor="text1"/>
          <w:lang w:eastAsia="ja-JP"/>
        </w:rPr>
        <w:t xml:space="preserve">UL </w:t>
      </w:r>
      <w:r>
        <w:rPr>
          <w:rFonts w:eastAsia="ＭＳ 明朝"/>
          <w:i/>
          <w:color w:val="000000" w:themeColor="text1"/>
          <w:lang w:eastAsia="ja-JP"/>
        </w:rPr>
        <w:t xml:space="preserve">transmission </w:t>
      </w:r>
      <w:r w:rsidRPr="00DC7070">
        <w:rPr>
          <w:rFonts w:eastAsia="ＭＳ 明朝"/>
          <w:i/>
          <w:color w:val="000000" w:themeColor="text1"/>
          <w:lang w:eastAsia="ja-JP"/>
        </w:rPr>
        <w:t>duration</w:t>
      </w:r>
      <w:r>
        <w:rPr>
          <w:rFonts w:eastAsia="ＭＳ 明朝"/>
          <w:color w:val="000000" w:themeColor="text1"/>
          <w:lang w:eastAsia="ja-JP"/>
        </w:rPr>
        <w:t xml:space="preserve"> </w:t>
      </w:r>
      <w:r w:rsidRPr="00DC7070">
        <w:rPr>
          <w:rFonts w:eastAsia="ＭＳ 明朝"/>
          <w:i/>
          <w:color w:val="000000" w:themeColor="text1"/>
          <w:lang w:eastAsia="ja-JP"/>
        </w:rPr>
        <w:t>(</w:t>
      </w:r>
      <w:proofErr w:type="spellStart"/>
      <w:r w:rsidRPr="00DC7070">
        <w:rPr>
          <w:rFonts w:eastAsia="ＭＳ 明朝"/>
          <w:i/>
          <w:color w:val="000000" w:themeColor="text1"/>
          <w:lang w:eastAsia="ja-JP"/>
        </w:rPr>
        <w:t>e.g</w:t>
      </w:r>
      <w:proofErr w:type="spellEnd"/>
      <w:r>
        <w:rPr>
          <w:rFonts w:eastAsia="ＭＳ 明朝"/>
          <w:color w:val="000000" w:themeColor="text1"/>
          <w:lang w:eastAsia="ja-JP"/>
        </w:rPr>
        <w:t xml:space="preserve"> </w:t>
      </w:r>
      <w:r w:rsidRPr="00DC7070">
        <w:rPr>
          <w:rFonts w:eastAsia="ＭＳ 明朝"/>
          <w:i/>
          <w:color w:val="000000" w:themeColor="text1"/>
          <w:lang w:eastAsia="ja-JP"/>
        </w:rPr>
        <w:t>PUSCH start and end point/slot</w:t>
      </w:r>
      <w:r>
        <w:rPr>
          <w:rFonts w:eastAsia="ＭＳ 明朝"/>
          <w:i/>
          <w:color w:val="000000" w:themeColor="text1"/>
          <w:lang w:eastAsia="ja-JP"/>
        </w:rPr>
        <w:t>)</w:t>
      </w:r>
      <w:r w:rsidRPr="00DC7070">
        <w:rPr>
          <w:rFonts w:eastAsia="ＭＳ 明朝"/>
          <w:color w:val="000000" w:themeColor="text1"/>
          <w:lang w:eastAsia="ja-JP"/>
        </w:rPr>
        <w:t xml:space="preserve"> </w:t>
      </w:r>
      <w:r>
        <w:rPr>
          <w:i/>
          <w:color w:val="000000"/>
          <w:lang w:eastAsia="x-none"/>
        </w:rPr>
        <w:t>and UE-initiated COT duration (e.g. LBT priority class) should be signaled to gNB via CG-UCI.</w:t>
      </w:r>
    </w:p>
    <w:p w14:paraId="76D2B240" w14:textId="11B4C137" w:rsidR="00622796" w:rsidRDefault="00622796" w:rsidP="00622796">
      <w:pPr>
        <w:pStyle w:val="a5"/>
        <w:spacing w:after="120"/>
        <w:ind w:left="0"/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</w:pPr>
      <w:r w:rsidRPr="005811D5">
        <w:rPr>
          <w:rFonts w:ascii="Times New Roman" w:eastAsia="SimSun" w:hAnsi="Times New Roman" w:cs="Times New Roman" w:hint="eastAsia"/>
          <w:b/>
          <w:color w:val="000000" w:themeColor="text1"/>
          <w:sz w:val="22"/>
          <w:szCs w:val="22"/>
        </w:rPr>
        <w:t xml:space="preserve">Proposal </w:t>
      </w:r>
      <w:r w:rsidR="00394485">
        <w:rPr>
          <w:rFonts w:ascii="Times New Roman" w:eastAsia="SimSun" w:hAnsi="Times New Roman" w:cs="Times New Roman"/>
          <w:b/>
          <w:color w:val="000000" w:themeColor="text1"/>
          <w:sz w:val="22"/>
          <w:szCs w:val="22"/>
        </w:rPr>
        <w:t>2</w:t>
      </w:r>
      <w:r w:rsidRPr="005811D5">
        <w:rPr>
          <w:rFonts w:ascii="Times New Roman" w:eastAsia="SimSun" w:hAnsi="Times New Roman" w:cs="Times New Roman" w:hint="eastAsia"/>
          <w:b/>
          <w:color w:val="000000" w:themeColor="text1"/>
          <w:sz w:val="22"/>
          <w:szCs w:val="22"/>
        </w:rPr>
        <w:t>:</w:t>
      </w:r>
      <w:r>
        <w:rPr>
          <w:rFonts w:ascii="Times New Roman" w:eastAsia="SimSun" w:hAnsi="Times New Roman" w:cs="Times New Roman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  <w:t>P</w:t>
      </w:r>
      <w:r w:rsidRPr="00A010EF"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  <w:t>arameters of</w:t>
      </w:r>
      <w:r>
        <w:rPr>
          <w:rFonts w:ascii="Times New Roman" w:eastAsia="SimSun" w:hAnsi="Times New Roman" w:cs="Times New Roman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 mode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(FBE or LBE)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and 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frame period should be indicated to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0F120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through RMSI.</w:t>
      </w:r>
    </w:p>
    <w:p w14:paraId="5AD00D6A" w14:textId="77777777" w:rsidR="000365D0" w:rsidRPr="008A56DE" w:rsidRDefault="000365D0" w:rsidP="000365D0">
      <w:pPr>
        <w:pStyle w:val="a5"/>
        <w:numPr>
          <w:ilvl w:val="0"/>
          <w:numId w:val="18"/>
        </w:numPr>
        <w:spacing w:after="120"/>
        <w:rPr>
          <w:rFonts w:ascii="Times New Roman" w:eastAsia="SimSun" w:hAnsi="Times New Roman" w:cs="Times New Roman"/>
          <w:i/>
          <w:color w:val="000000" w:themeColor="text1"/>
          <w:sz w:val="22"/>
          <w:szCs w:val="22"/>
        </w:rPr>
      </w:pPr>
      <w:r w:rsidRPr="008A56DE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Presence or absence of FBE related parameters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could </w:t>
      </w:r>
      <w:r w:rsidRPr="008A56DE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indicate channel access mode.</w:t>
      </w:r>
    </w:p>
    <w:p w14:paraId="0E5DDB1D" w14:textId="6904AC5A" w:rsidR="00496FA8" w:rsidRDefault="00496FA8" w:rsidP="00496FA8">
      <w:pPr>
        <w:pStyle w:val="a5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4D782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 w:rsidR="0039448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</w:t>
      </w:r>
      <w:r w:rsidRPr="004D7829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 w:rsidRPr="00A74344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7C3653" w:rsidRPr="00E51DB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="007C3653" w:rsidRPr="006C70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="007C3653" w:rsidRPr="00F80AF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="007C3653" w:rsidRPr="00F80AF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 w:rsidR="007C365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 w:rsidR="007C365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have flexibility and reconfigurability in order to be able to support any regulatory requirements</w:t>
      </w:r>
      <w:r w:rsidR="007C3653" w:rsidRPr="007239A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3BC088C9" w14:textId="77777777" w:rsidR="004246DC" w:rsidRPr="00F92CF5" w:rsidRDefault="004246DC" w:rsidP="004246DC">
      <w:pPr>
        <w:rPr>
          <w:rFonts w:eastAsia="ＭＳ 明朝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40C1E2B1" w:rsidR="004246DC" w:rsidRPr="005441C8" w:rsidRDefault="003E73DE" w:rsidP="00594F37">
      <w:pPr>
        <w:pStyle w:val="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RAN1 Chairman notes, 3GPP TSG RAN WG1 </w:t>
      </w:r>
      <w:r w:rsidR="008C27FF">
        <w:rPr>
          <w:rFonts w:ascii="Times New Roman" w:hAnsi="Times New Roman" w:cs="Times New Roman"/>
          <w:sz w:val="22"/>
          <w:szCs w:val="22"/>
        </w:rPr>
        <w:t xml:space="preserve">ad-hoc 201901 </w:t>
      </w:r>
      <w:r>
        <w:rPr>
          <w:rFonts w:ascii="Times New Roman" w:hAnsi="Times New Roman" w:cs="Times New Roman"/>
          <w:sz w:val="22"/>
          <w:szCs w:val="22"/>
        </w:rPr>
        <w:t xml:space="preserve">Meeting, </w:t>
      </w:r>
      <w:r w:rsidR="008C27FF">
        <w:rPr>
          <w:rFonts w:ascii="Times New Roman" w:hAnsi="Times New Roman" w:cs="Times New Roman"/>
          <w:sz w:val="22"/>
          <w:szCs w:val="22"/>
        </w:rPr>
        <w:t xml:space="preserve">January </w:t>
      </w:r>
      <w:r>
        <w:rPr>
          <w:rFonts w:ascii="Times New Roman" w:hAnsi="Times New Roman" w:cs="Times New Roman"/>
          <w:sz w:val="22"/>
          <w:szCs w:val="22"/>
        </w:rPr>
        <w:t>2019</w:t>
      </w:r>
      <w:r w:rsidR="00F765D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.</w:t>
      </w:r>
    </w:p>
    <w:p w14:paraId="6CA82384" w14:textId="77777777" w:rsidR="008C27FF" w:rsidRDefault="008C27FF" w:rsidP="008C27FF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1"/>
          <w:szCs w:val="22"/>
        </w:rPr>
      </w:pPr>
      <w:r w:rsidRPr="00B7376C">
        <w:rPr>
          <w:rFonts w:ascii="Times New Roman" w:hAnsi="Times New Roman" w:cs="Times New Roman"/>
          <w:sz w:val="22"/>
        </w:rPr>
        <w:t xml:space="preserve">ETSI EN 301 893 V2.1.0, </w:t>
      </w:r>
      <w:proofErr w:type="gramStart"/>
      <w:r w:rsidRPr="00B7376C">
        <w:rPr>
          <w:rFonts w:ascii="Times New Roman" w:hAnsi="Times New Roman" w:cs="Times New Roman"/>
          <w:sz w:val="22"/>
        </w:rPr>
        <w:t>Mar</w:t>
      </w:r>
      <w:r>
        <w:rPr>
          <w:rFonts w:ascii="Times New Roman" w:hAnsi="Times New Roman" w:cs="Times New Roman" w:hint="eastAsia"/>
          <w:sz w:val="22"/>
        </w:rPr>
        <w:t>ch</w:t>
      </w:r>
      <w:r w:rsidRPr="00B7376C">
        <w:rPr>
          <w:rFonts w:ascii="Times New Roman" w:hAnsi="Times New Roman" w:cs="Times New Roman"/>
          <w:sz w:val="22"/>
        </w:rPr>
        <w:t>,</w:t>
      </w:r>
      <w:proofErr w:type="gramEnd"/>
      <w:r w:rsidRPr="00B7376C">
        <w:rPr>
          <w:rFonts w:ascii="Times New Roman" w:hAnsi="Times New Roman" w:cs="Times New Roman"/>
          <w:sz w:val="22"/>
        </w:rPr>
        <w:t xml:space="preserve"> 2017</w:t>
      </w:r>
      <w:r>
        <w:rPr>
          <w:rFonts w:ascii="Times New Roman" w:hAnsi="Times New Roman" w:cs="Times New Roman" w:hint="eastAsia"/>
          <w:sz w:val="22"/>
        </w:rPr>
        <w:t xml:space="preserve">. </w:t>
      </w:r>
    </w:p>
    <w:p w14:paraId="34CB6E1C" w14:textId="77777777" w:rsidR="008C27FF" w:rsidRDefault="008C27FF" w:rsidP="008C27FF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1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64768">
        <w:rPr>
          <w:rFonts w:ascii="Times New Roman" w:hAnsi="Times New Roman" w:cs="Times New Roman"/>
          <w:sz w:val="22"/>
          <w:szCs w:val="22"/>
        </w:rPr>
        <w:t>Chairman’s Notes,</w:t>
      </w:r>
      <w:proofErr w:type="gramEnd"/>
      <w:r w:rsidRPr="00A64768">
        <w:rPr>
          <w:rFonts w:ascii="Times New Roman" w:hAnsi="Times New Roman" w:cs="Times New Roman"/>
          <w:sz w:val="22"/>
          <w:szCs w:val="22"/>
        </w:rPr>
        <w:t xml:space="preserve"> RAN WG1 #9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6</w:t>
      </w:r>
      <w:r w:rsidRPr="00A6476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March </w:t>
      </w:r>
      <w:r w:rsidRPr="00A6476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9</w:t>
      </w:r>
      <w:r w:rsidRPr="00A64768">
        <w:rPr>
          <w:rFonts w:ascii="Times New Roman" w:eastAsiaTheme="minorEastAsia" w:hAnsi="Times New Roman" w:cs="Times New Roman" w:hint="eastAsia"/>
          <w:sz w:val="22"/>
          <w:szCs w:val="22"/>
        </w:rPr>
        <w:t>.</w:t>
      </w:r>
    </w:p>
    <w:p w14:paraId="02DB08F2" w14:textId="77777777" w:rsidR="001A6AC6" w:rsidRPr="00F6659C" w:rsidRDefault="001A6AC6" w:rsidP="001A6AC6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ET Docket No. </w:t>
      </w:r>
      <w:r w:rsidRPr="00E842E1">
        <w:rPr>
          <w:rFonts w:ascii="Times New Roman" w:hAnsi="Times New Roman" w:cs="Times New Roman"/>
          <w:sz w:val="22"/>
          <w:szCs w:val="22"/>
        </w:rPr>
        <w:t>18-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295: In the Matter of Unlicensed Use of the 6 GHz Band,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E842E1">
        <w:rPr>
          <w:rFonts w:ascii="Times New Roman" w:hAnsi="Times New Roman" w:cs="Times New Roman"/>
          <w:sz w:val="22"/>
          <w:szCs w:val="22"/>
        </w:rPr>
        <w:t>Notice of Proposed Rulemaking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Pr="00E842E1">
        <w:rPr>
          <w:rFonts w:ascii="Times New Roman" w:hAnsi="Times New Roman" w:cs="Times New Roman"/>
          <w:sz w:val="22"/>
          <w:szCs w:val="22"/>
        </w:rPr>
        <w:t xml:space="preserve"> October 2018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.</w:t>
      </w:r>
    </w:p>
    <w:p w14:paraId="0B54663B" w14:textId="4597E6F0" w:rsidR="00342FB0" w:rsidRPr="00A64768" w:rsidRDefault="001A6AC6" w:rsidP="001A6AC6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TR 37.890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v0.4.0,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Feasibility Study on 6 GHz for LTE and NR in Licensed and Unlicensed Operations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December 2018.</w:t>
      </w:r>
    </w:p>
    <w:sectPr w:rsidR="00342FB0" w:rsidRPr="00A64768" w:rsidSect="0009067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49B6" w14:textId="77777777" w:rsidR="00ED33AF" w:rsidRDefault="00ED33AF" w:rsidP="00530B04">
      <w:pPr>
        <w:spacing w:after="0"/>
      </w:pPr>
      <w:r>
        <w:separator/>
      </w:r>
    </w:p>
  </w:endnote>
  <w:endnote w:type="continuationSeparator" w:id="0">
    <w:p w14:paraId="28AFF34B" w14:textId="77777777" w:rsidR="00ED33AF" w:rsidRDefault="00ED33AF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45C2" w14:textId="77777777" w:rsidR="00ED33AF" w:rsidRDefault="00ED33AF" w:rsidP="00530B04">
      <w:pPr>
        <w:spacing w:after="0"/>
      </w:pPr>
      <w:r>
        <w:separator/>
      </w:r>
    </w:p>
  </w:footnote>
  <w:footnote w:type="continuationSeparator" w:id="0">
    <w:p w14:paraId="1BE00389" w14:textId="77777777" w:rsidR="00ED33AF" w:rsidRDefault="00ED33AF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5B21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0CA7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B20D9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BB23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7887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8E421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80EFC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94E4E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253EB"/>
    <w:multiLevelType w:val="hybridMultilevel"/>
    <w:tmpl w:val="FAFE8668"/>
    <w:lvl w:ilvl="0" w:tplc="FB12A4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57553F"/>
    <w:multiLevelType w:val="hybridMultilevel"/>
    <w:tmpl w:val="3E7A4D22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B64D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282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7AA5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36C5B2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B0C2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1642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95C11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94470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C68E4"/>
    <w:multiLevelType w:val="hybridMultilevel"/>
    <w:tmpl w:val="928C6C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2353E2"/>
    <w:multiLevelType w:val="hybridMultilevel"/>
    <w:tmpl w:val="80B8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36275"/>
    <w:multiLevelType w:val="hybridMultilevel"/>
    <w:tmpl w:val="BFDAA05E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4"/>
  </w:num>
  <w:num w:numId="5">
    <w:abstractNumId w:val="17"/>
  </w:num>
  <w:num w:numId="6">
    <w:abstractNumId w:val="2"/>
  </w:num>
  <w:num w:numId="7">
    <w:abstractNumId w:val="9"/>
  </w:num>
  <w:num w:numId="8">
    <w:abstractNumId w:val="18"/>
  </w:num>
  <w:num w:numId="9">
    <w:abstractNumId w:val="13"/>
  </w:num>
  <w:num w:numId="10">
    <w:abstractNumId w:val="5"/>
  </w:num>
  <w:num w:numId="11">
    <w:abstractNumId w:val="7"/>
  </w:num>
  <w:num w:numId="12">
    <w:abstractNumId w:val="19"/>
  </w:num>
  <w:num w:numId="13">
    <w:abstractNumId w:val="15"/>
  </w:num>
  <w:num w:numId="14">
    <w:abstractNumId w:val="21"/>
  </w:num>
  <w:num w:numId="15">
    <w:abstractNumId w:val="16"/>
  </w:num>
  <w:num w:numId="16">
    <w:abstractNumId w:val="4"/>
  </w:num>
  <w:num w:numId="17">
    <w:abstractNumId w:val="20"/>
  </w:num>
  <w:num w:numId="18">
    <w:abstractNumId w:val="10"/>
  </w:num>
  <w:num w:numId="19">
    <w:abstractNumId w:val="11"/>
  </w:num>
  <w:num w:numId="20">
    <w:abstractNumId w:val="1"/>
  </w:num>
  <w:num w:numId="21">
    <w:abstractNumId w:val="8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34ED6"/>
    <w:rsid w:val="00035863"/>
    <w:rsid w:val="000365D0"/>
    <w:rsid w:val="000403E2"/>
    <w:rsid w:val="00051643"/>
    <w:rsid w:val="0005228D"/>
    <w:rsid w:val="000546AA"/>
    <w:rsid w:val="00065397"/>
    <w:rsid w:val="000720D0"/>
    <w:rsid w:val="00074007"/>
    <w:rsid w:val="000760F3"/>
    <w:rsid w:val="00084DFD"/>
    <w:rsid w:val="0009067B"/>
    <w:rsid w:val="00094ABA"/>
    <w:rsid w:val="000A4B68"/>
    <w:rsid w:val="000A5898"/>
    <w:rsid w:val="000A69FB"/>
    <w:rsid w:val="000C0AAD"/>
    <w:rsid w:val="000C100E"/>
    <w:rsid w:val="000C226E"/>
    <w:rsid w:val="000C380B"/>
    <w:rsid w:val="000C68DA"/>
    <w:rsid w:val="000E1E6D"/>
    <w:rsid w:val="000F120C"/>
    <w:rsid w:val="00100000"/>
    <w:rsid w:val="00104830"/>
    <w:rsid w:val="00131FBE"/>
    <w:rsid w:val="001325C9"/>
    <w:rsid w:val="00134CA4"/>
    <w:rsid w:val="001354AF"/>
    <w:rsid w:val="00141E1E"/>
    <w:rsid w:val="001461C7"/>
    <w:rsid w:val="0015155E"/>
    <w:rsid w:val="001531E7"/>
    <w:rsid w:val="00167BA9"/>
    <w:rsid w:val="001702D8"/>
    <w:rsid w:val="001774B8"/>
    <w:rsid w:val="001854F8"/>
    <w:rsid w:val="001871EA"/>
    <w:rsid w:val="001920B2"/>
    <w:rsid w:val="0019432D"/>
    <w:rsid w:val="001A0B47"/>
    <w:rsid w:val="001A2CBC"/>
    <w:rsid w:val="001A6AC6"/>
    <w:rsid w:val="001B5E66"/>
    <w:rsid w:val="001B7FDA"/>
    <w:rsid w:val="001D4785"/>
    <w:rsid w:val="001D6398"/>
    <w:rsid w:val="001E2E0B"/>
    <w:rsid w:val="001E6B6C"/>
    <w:rsid w:val="001F5DA6"/>
    <w:rsid w:val="002016B0"/>
    <w:rsid w:val="00204698"/>
    <w:rsid w:val="0020493E"/>
    <w:rsid w:val="00225077"/>
    <w:rsid w:val="00242F08"/>
    <w:rsid w:val="00255D7E"/>
    <w:rsid w:val="00265C71"/>
    <w:rsid w:val="0027504A"/>
    <w:rsid w:val="00276E34"/>
    <w:rsid w:val="002834D2"/>
    <w:rsid w:val="00286E12"/>
    <w:rsid w:val="00287FC2"/>
    <w:rsid w:val="00292726"/>
    <w:rsid w:val="00294A5F"/>
    <w:rsid w:val="002A3DEE"/>
    <w:rsid w:val="002B4CC2"/>
    <w:rsid w:val="002C654F"/>
    <w:rsid w:val="002D2F34"/>
    <w:rsid w:val="002D71B7"/>
    <w:rsid w:val="00302EB0"/>
    <w:rsid w:val="003040E4"/>
    <w:rsid w:val="003173CA"/>
    <w:rsid w:val="00324BE9"/>
    <w:rsid w:val="00342FB0"/>
    <w:rsid w:val="003452CB"/>
    <w:rsid w:val="00350FC8"/>
    <w:rsid w:val="003759B8"/>
    <w:rsid w:val="003766A2"/>
    <w:rsid w:val="003837FD"/>
    <w:rsid w:val="003850FC"/>
    <w:rsid w:val="003873D5"/>
    <w:rsid w:val="00390498"/>
    <w:rsid w:val="00394485"/>
    <w:rsid w:val="00396B27"/>
    <w:rsid w:val="003A036F"/>
    <w:rsid w:val="003A3FEF"/>
    <w:rsid w:val="003A7597"/>
    <w:rsid w:val="003B3634"/>
    <w:rsid w:val="003B373D"/>
    <w:rsid w:val="003B490F"/>
    <w:rsid w:val="003B7FD7"/>
    <w:rsid w:val="003C1B32"/>
    <w:rsid w:val="003C626D"/>
    <w:rsid w:val="003C7956"/>
    <w:rsid w:val="003E73DE"/>
    <w:rsid w:val="003E7AD5"/>
    <w:rsid w:val="003F00AD"/>
    <w:rsid w:val="0040012C"/>
    <w:rsid w:val="0040242B"/>
    <w:rsid w:val="004024A6"/>
    <w:rsid w:val="004048CB"/>
    <w:rsid w:val="00411DA3"/>
    <w:rsid w:val="0041217F"/>
    <w:rsid w:val="004146CC"/>
    <w:rsid w:val="004152BC"/>
    <w:rsid w:val="00423C9B"/>
    <w:rsid w:val="004246DC"/>
    <w:rsid w:val="0042608C"/>
    <w:rsid w:val="0043142C"/>
    <w:rsid w:val="004435D3"/>
    <w:rsid w:val="0045094D"/>
    <w:rsid w:val="00460371"/>
    <w:rsid w:val="00464A4F"/>
    <w:rsid w:val="00465669"/>
    <w:rsid w:val="00471BE6"/>
    <w:rsid w:val="00496FA8"/>
    <w:rsid w:val="004B172C"/>
    <w:rsid w:val="004B2E3C"/>
    <w:rsid w:val="004B31E1"/>
    <w:rsid w:val="004C4068"/>
    <w:rsid w:val="004D0C5E"/>
    <w:rsid w:val="004D46BE"/>
    <w:rsid w:val="004D7829"/>
    <w:rsid w:val="004E254D"/>
    <w:rsid w:val="004E3171"/>
    <w:rsid w:val="004E5969"/>
    <w:rsid w:val="004E5DB2"/>
    <w:rsid w:val="004E6843"/>
    <w:rsid w:val="004E7E02"/>
    <w:rsid w:val="00501A99"/>
    <w:rsid w:val="00514838"/>
    <w:rsid w:val="00530B04"/>
    <w:rsid w:val="00530D16"/>
    <w:rsid w:val="005369B8"/>
    <w:rsid w:val="005405C5"/>
    <w:rsid w:val="005440C1"/>
    <w:rsid w:val="005441C8"/>
    <w:rsid w:val="0055721F"/>
    <w:rsid w:val="005603EF"/>
    <w:rsid w:val="00560F0C"/>
    <w:rsid w:val="00580BC2"/>
    <w:rsid w:val="005811D5"/>
    <w:rsid w:val="00586D7A"/>
    <w:rsid w:val="00587F9B"/>
    <w:rsid w:val="00592986"/>
    <w:rsid w:val="00594F37"/>
    <w:rsid w:val="005B7ECD"/>
    <w:rsid w:val="005C09FE"/>
    <w:rsid w:val="005C0E12"/>
    <w:rsid w:val="005D1FAA"/>
    <w:rsid w:val="005D309E"/>
    <w:rsid w:val="005E70AF"/>
    <w:rsid w:val="005F0908"/>
    <w:rsid w:val="005F1734"/>
    <w:rsid w:val="005F63D2"/>
    <w:rsid w:val="0061626A"/>
    <w:rsid w:val="00622796"/>
    <w:rsid w:val="0064152A"/>
    <w:rsid w:val="006418AE"/>
    <w:rsid w:val="00646AEF"/>
    <w:rsid w:val="00646B7C"/>
    <w:rsid w:val="006474CC"/>
    <w:rsid w:val="00657190"/>
    <w:rsid w:val="00670B27"/>
    <w:rsid w:val="006740B4"/>
    <w:rsid w:val="00681739"/>
    <w:rsid w:val="00696312"/>
    <w:rsid w:val="006C0E50"/>
    <w:rsid w:val="006C5075"/>
    <w:rsid w:val="006C6263"/>
    <w:rsid w:val="006C70EB"/>
    <w:rsid w:val="006D5E2A"/>
    <w:rsid w:val="006E2C76"/>
    <w:rsid w:val="006F5283"/>
    <w:rsid w:val="007010D9"/>
    <w:rsid w:val="00707CEB"/>
    <w:rsid w:val="0071385C"/>
    <w:rsid w:val="007239AE"/>
    <w:rsid w:val="0073591B"/>
    <w:rsid w:val="007516D4"/>
    <w:rsid w:val="00760AAA"/>
    <w:rsid w:val="007A3C3B"/>
    <w:rsid w:val="007A4791"/>
    <w:rsid w:val="007A5C57"/>
    <w:rsid w:val="007B3846"/>
    <w:rsid w:val="007B5402"/>
    <w:rsid w:val="007C3653"/>
    <w:rsid w:val="007C78C7"/>
    <w:rsid w:val="007D455E"/>
    <w:rsid w:val="007D4DFA"/>
    <w:rsid w:val="007E067C"/>
    <w:rsid w:val="007E4BD0"/>
    <w:rsid w:val="007E602E"/>
    <w:rsid w:val="007F1B8B"/>
    <w:rsid w:val="00803B1B"/>
    <w:rsid w:val="00806A6F"/>
    <w:rsid w:val="00806DDD"/>
    <w:rsid w:val="00823770"/>
    <w:rsid w:val="00825EFC"/>
    <w:rsid w:val="00826F3F"/>
    <w:rsid w:val="008369B8"/>
    <w:rsid w:val="0085208F"/>
    <w:rsid w:val="0085472E"/>
    <w:rsid w:val="0085768E"/>
    <w:rsid w:val="00865697"/>
    <w:rsid w:val="00881175"/>
    <w:rsid w:val="00896B0A"/>
    <w:rsid w:val="008A2C42"/>
    <w:rsid w:val="008A56DE"/>
    <w:rsid w:val="008A6637"/>
    <w:rsid w:val="008A73F3"/>
    <w:rsid w:val="008B0295"/>
    <w:rsid w:val="008B6D60"/>
    <w:rsid w:val="008C27FF"/>
    <w:rsid w:val="008C6975"/>
    <w:rsid w:val="008D59A1"/>
    <w:rsid w:val="008E25FE"/>
    <w:rsid w:val="008E2BD5"/>
    <w:rsid w:val="008E715F"/>
    <w:rsid w:val="009126CB"/>
    <w:rsid w:val="00913C8B"/>
    <w:rsid w:val="009142A6"/>
    <w:rsid w:val="009150D5"/>
    <w:rsid w:val="009456AF"/>
    <w:rsid w:val="009522A1"/>
    <w:rsid w:val="0095231A"/>
    <w:rsid w:val="00963AF7"/>
    <w:rsid w:val="00964812"/>
    <w:rsid w:val="00964E43"/>
    <w:rsid w:val="00977ECE"/>
    <w:rsid w:val="00981616"/>
    <w:rsid w:val="00981D2C"/>
    <w:rsid w:val="00983C05"/>
    <w:rsid w:val="009966AF"/>
    <w:rsid w:val="0099789F"/>
    <w:rsid w:val="009A08B4"/>
    <w:rsid w:val="009B0884"/>
    <w:rsid w:val="009B0EED"/>
    <w:rsid w:val="009C08E4"/>
    <w:rsid w:val="009C2B05"/>
    <w:rsid w:val="009C6BC3"/>
    <w:rsid w:val="009F3650"/>
    <w:rsid w:val="009F7C27"/>
    <w:rsid w:val="00A010EF"/>
    <w:rsid w:val="00A01B7F"/>
    <w:rsid w:val="00A0336C"/>
    <w:rsid w:val="00A12697"/>
    <w:rsid w:val="00A159AA"/>
    <w:rsid w:val="00A15C93"/>
    <w:rsid w:val="00A22768"/>
    <w:rsid w:val="00A23E80"/>
    <w:rsid w:val="00A24886"/>
    <w:rsid w:val="00A24DC7"/>
    <w:rsid w:val="00A25CE6"/>
    <w:rsid w:val="00A503FC"/>
    <w:rsid w:val="00A53B1C"/>
    <w:rsid w:val="00A57D0E"/>
    <w:rsid w:val="00A64768"/>
    <w:rsid w:val="00A6477E"/>
    <w:rsid w:val="00A65AFB"/>
    <w:rsid w:val="00A74344"/>
    <w:rsid w:val="00A85482"/>
    <w:rsid w:val="00A85BB1"/>
    <w:rsid w:val="00A864FC"/>
    <w:rsid w:val="00A917C1"/>
    <w:rsid w:val="00A936F7"/>
    <w:rsid w:val="00A93ADC"/>
    <w:rsid w:val="00A93CF8"/>
    <w:rsid w:val="00AA03CF"/>
    <w:rsid w:val="00AA4E0B"/>
    <w:rsid w:val="00AA77CA"/>
    <w:rsid w:val="00AC2C24"/>
    <w:rsid w:val="00AC415D"/>
    <w:rsid w:val="00AD6A52"/>
    <w:rsid w:val="00B25D18"/>
    <w:rsid w:val="00B412F4"/>
    <w:rsid w:val="00B53BF7"/>
    <w:rsid w:val="00B70303"/>
    <w:rsid w:val="00B707EF"/>
    <w:rsid w:val="00B758BF"/>
    <w:rsid w:val="00B76FB5"/>
    <w:rsid w:val="00B83E67"/>
    <w:rsid w:val="00B865D9"/>
    <w:rsid w:val="00B95BEA"/>
    <w:rsid w:val="00BA58ED"/>
    <w:rsid w:val="00BA6E30"/>
    <w:rsid w:val="00BB4F18"/>
    <w:rsid w:val="00BC2173"/>
    <w:rsid w:val="00BC4CEF"/>
    <w:rsid w:val="00BC5972"/>
    <w:rsid w:val="00BC5A24"/>
    <w:rsid w:val="00BE0768"/>
    <w:rsid w:val="00BE576A"/>
    <w:rsid w:val="00BF4C36"/>
    <w:rsid w:val="00BF7834"/>
    <w:rsid w:val="00C0027D"/>
    <w:rsid w:val="00C076BF"/>
    <w:rsid w:val="00C257E1"/>
    <w:rsid w:val="00C272A1"/>
    <w:rsid w:val="00C320B3"/>
    <w:rsid w:val="00C3754F"/>
    <w:rsid w:val="00C81E5B"/>
    <w:rsid w:val="00C8500D"/>
    <w:rsid w:val="00C87538"/>
    <w:rsid w:val="00C92114"/>
    <w:rsid w:val="00C928D3"/>
    <w:rsid w:val="00C92A04"/>
    <w:rsid w:val="00CB6BE5"/>
    <w:rsid w:val="00CC7582"/>
    <w:rsid w:val="00CD3764"/>
    <w:rsid w:val="00CD6847"/>
    <w:rsid w:val="00CF04F9"/>
    <w:rsid w:val="00CF49C3"/>
    <w:rsid w:val="00D01DBE"/>
    <w:rsid w:val="00D110CC"/>
    <w:rsid w:val="00D14D6B"/>
    <w:rsid w:val="00D15763"/>
    <w:rsid w:val="00D17901"/>
    <w:rsid w:val="00D2036F"/>
    <w:rsid w:val="00D23EAA"/>
    <w:rsid w:val="00D23FFF"/>
    <w:rsid w:val="00D3542C"/>
    <w:rsid w:val="00D42C7A"/>
    <w:rsid w:val="00D56CBA"/>
    <w:rsid w:val="00D61948"/>
    <w:rsid w:val="00D66F44"/>
    <w:rsid w:val="00D71331"/>
    <w:rsid w:val="00D739F4"/>
    <w:rsid w:val="00D7604F"/>
    <w:rsid w:val="00D85324"/>
    <w:rsid w:val="00DA3435"/>
    <w:rsid w:val="00DA67BA"/>
    <w:rsid w:val="00DB003E"/>
    <w:rsid w:val="00DB3E5A"/>
    <w:rsid w:val="00DB7782"/>
    <w:rsid w:val="00DC67D8"/>
    <w:rsid w:val="00DD3CB6"/>
    <w:rsid w:val="00E04552"/>
    <w:rsid w:val="00E04D79"/>
    <w:rsid w:val="00E07936"/>
    <w:rsid w:val="00E21DB6"/>
    <w:rsid w:val="00E21F1F"/>
    <w:rsid w:val="00E25566"/>
    <w:rsid w:val="00E349DE"/>
    <w:rsid w:val="00E36734"/>
    <w:rsid w:val="00E4107C"/>
    <w:rsid w:val="00E4142B"/>
    <w:rsid w:val="00E430EA"/>
    <w:rsid w:val="00E462A7"/>
    <w:rsid w:val="00E46B31"/>
    <w:rsid w:val="00E51DBF"/>
    <w:rsid w:val="00E56BFB"/>
    <w:rsid w:val="00E56F8A"/>
    <w:rsid w:val="00E639DE"/>
    <w:rsid w:val="00E642A4"/>
    <w:rsid w:val="00E67452"/>
    <w:rsid w:val="00E842E1"/>
    <w:rsid w:val="00E85293"/>
    <w:rsid w:val="00EA14B9"/>
    <w:rsid w:val="00EB32F0"/>
    <w:rsid w:val="00EB61DE"/>
    <w:rsid w:val="00EB628D"/>
    <w:rsid w:val="00EC6D7E"/>
    <w:rsid w:val="00ED33AF"/>
    <w:rsid w:val="00EF113E"/>
    <w:rsid w:val="00EF6C5E"/>
    <w:rsid w:val="00F11ACB"/>
    <w:rsid w:val="00F1468D"/>
    <w:rsid w:val="00F17012"/>
    <w:rsid w:val="00F17E21"/>
    <w:rsid w:val="00F21693"/>
    <w:rsid w:val="00F23574"/>
    <w:rsid w:val="00F277BD"/>
    <w:rsid w:val="00F30F37"/>
    <w:rsid w:val="00F37121"/>
    <w:rsid w:val="00F516C7"/>
    <w:rsid w:val="00F56661"/>
    <w:rsid w:val="00F6659C"/>
    <w:rsid w:val="00F67885"/>
    <w:rsid w:val="00F7198A"/>
    <w:rsid w:val="00F765D7"/>
    <w:rsid w:val="00F76DB2"/>
    <w:rsid w:val="00F80356"/>
    <w:rsid w:val="00F80AF6"/>
    <w:rsid w:val="00F861AF"/>
    <w:rsid w:val="00F927B1"/>
    <w:rsid w:val="00F95181"/>
    <w:rsid w:val="00FA6D59"/>
    <w:rsid w:val="00FA7E31"/>
    <w:rsid w:val="00FB09CD"/>
    <w:rsid w:val="00FC0A56"/>
    <w:rsid w:val="00FC7955"/>
    <w:rsid w:val="00FD1B1F"/>
    <w:rsid w:val="00FD4FA8"/>
    <w:rsid w:val="00FE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5FB42F"/>
  <w15:docId w15:val="{072265DC-A875-461C-B7C4-DEF889E2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20">
    <w:name w:val="見出し 2 (文字)"/>
    <w:basedOn w:val="a0"/>
    <w:link w:val="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30">
    <w:name w:val="見出し 3 (文字)"/>
    <w:basedOn w:val="a0"/>
    <w:link w:val="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40">
    <w:name w:val="見出し 4 (文字)"/>
    <w:basedOn w:val="a0"/>
    <w:link w:val="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50">
    <w:name w:val="見出し 5 (文字)"/>
    <w:basedOn w:val="a0"/>
    <w:link w:val="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60">
    <w:name w:val="見出し 6 (文字)"/>
    <w:basedOn w:val="a0"/>
    <w:link w:val="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70">
    <w:name w:val="見出し 7 (文字)"/>
    <w:basedOn w:val="a0"/>
    <w:link w:val="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80">
    <w:name w:val="見出し 8 (文字)"/>
    <w:basedOn w:val="a0"/>
    <w:link w:val="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90">
    <w:name w:val="見出し 9 (文字)"/>
    <w:aliases w:val="Figure Heading (文字),FH (文字)"/>
    <w:basedOn w:val="a0"/>
    <w:link w:val="9"/>
    <w:rsid w:val="004246DC"/>
    <w:rPr>
      <w:rFonts w:ascii="Arial" w:eastAsiaTheme="minorEastAsia" w:hAnsi="Arial" w:cs="Arial"/>
      <w:lang w:val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4246DC"/>
    <w:pPr>
      <w:tabs>
        <w:tab w:val="center" w:pos="4680"/>
        <w:tab w:val="right" w:pos="9360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4246DC"/>
    <w:rPr>
      <w:rFonts w:ascii="Times New Roman" w:eastAsiaTheme="minorEastAsia" w:hAnsi="Times New Roman" w:cs="Times New Roman"/>
      <w:lang w:val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a"/>
    <w:link w:val="a6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a6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"/>
    <w:link w:val="a5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a"/>
    <w:rsid w:val="004246DC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/>
    </w:rPr>
  </w:style>
  <w:style w:type="paragraph" w:styleId="Web">
    <w:name w:val="Normal (Web)"/>
    <w:basedOn w:val="a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a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a7">
    <w:name w:val="footer"/>
    <w:basedOn w:val="a"/>
    <w:link w:val="a8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a8">
    <w:name w:val="フッター (文字)"/>
    <w:basedOn w:val="a0"/>
    <w:link w:val="a7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a9">
    <w:name w:val="Hyperlink"/>
    <w:uiPriority w:val="99"/>
    <w:rsid w:val="00E3673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646A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46AEF"/>
    <w:rPr>
      <w:sz w:val="20"/>
      <w:szCs w:val="20"/>
    </w:rPr>
  </w:style>
  <w:style w:type="character" w:customStyle="1" w:styleId="ac">
    <w:name w:val="コメント文字列 (文字)"/>
    <w:basedOn w:val="a0"/>
    <w:link w:val="ab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6AE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f">
    <w:name w:val="Revision"/>
    <w:hidden/>
    <w:uiPriority w:val="99"/>
    <w:semiHidden/>
    <w:rsid w:val="00646AE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a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a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21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3040E4"/>
    <w:pPr>
      <w:ind w:left="566" w:hanging="283"/>
      <w:contextualSpacing/>
    </w:pPr>
  </w:style>
  <w:style w:type="paragraph" w:styleId="22">
    <w:name w:val="toc 2"/>
    <w:basedOn w:val="1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D3542C"/>
    <w:pPr>
      <w:spacing w:after="100"/>
    </w:pPr>
  </w:style>
  <w:style w:type="character" w:styleId="af2">
    <w:name w:val="Unresolved Mention"/>
    <w:basedOn w:val="a0"/>
    <w:uiPriority w:val="99"/>
    <w:semiHidden/>
    <w:unhideWhenUsed/>
    <w:rsid w:val="00185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4/Docs/RP-19158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54</cp:revision>
  <cp:lastPrinted>2018-09-24T06:57:00Z</cp:lastPrinted>
  <dcterms:created xsi:type="dcterms:W3CDTF">2019-08-14T09:47:00Z</dcterms:created>
  <dcterms:modified xsi:type="dcterms:W3CDTF">2019-10-07T17:41:00Z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