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4F8E6C1"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CE09E9">
        <w:rPr>
          <w:bCs/>
          <w:noProof w:val="0"/>
          <w:sz w:val="24"/>
          <w:szCs w:val="24"/>
        </w:rPr>
        <w:t>N WG1 Meeting #96</w:t>
      </w:r>
      <w:r w:rsidR="002D5518">
        <w:rPr>
          <w:bCs/>
          <w:noProof w:val="0"/>
          <w:sz w:val="24"/>
          <w:szCs w:val="24"/>
        </w:rPr>
        <w:t>bis</w:t>
      </w:r>
      <w:r w:rsidR="001348FE">
        <w:rPr>
          <w:bCs/>
          <w:noProof w:val="0"/>
          <w:sz w:val="24"/>
          <w:szCs w:val="24"/>
        </w:rPr>
        <w:tab/>
      </w:r>
      <w:r w:rsidR="00BA1872">
        <w:rPr>
          <w:bCs/>
          <w:noProof w:val="0"/>
          <w:sz w:val="24"/>
          <w:szCs w:val="24"/>
        </w:rPr>
        <w:t>R1-19</w:t>
      </w:r>
      <w:r w:rsidR="00224A85">
        <w:rPr>
          <w:bCs/>
          <w:noProof w:val="0"/>
          <w:sz w:val="24"/>
          <w:szCs w:val="24"/>
        </w:rPr>
        <w:t>05336</w:t>
      </w:r>
    </w:p>
    <w:p w14:paraId="30E02940" w14:textId="28BA94F5" w:rsidR="00CA26CE" w:rsidRDefault="002D5518" w:rsidP="00CA26CE">
      <w:pPr>
        <w:pStyle w:val="Header"/>
        <w:rPr>
          <w:bCs/>
          <w:noProof w:val="0"/>
          <w:sz w:val="24"/>
          <w:szCs w:val="24"/>
        </w:rPr>
      </w:pPr>
      <w:r>
        <w:rPr>
          <w:bCs/>
          <w:noProof w:val="0"/>
          <w:sz w:val="24"/>
          <w:szCs w:val="24"/>
        </w:rPr>
        <w:t>Xi’an</w:t>
      </w:r>
      <w:r w:rsidR="00CE09E9">
        <w:rPr>
          <w:bCs/>
          <w:noProof w:val="0"/>
          <w:sz w:val="24"/>
          <w:szCs w:val="24"/>
        </w:rPr>
        <w:t xml:space="preserve">, </w:t>
      </w:r>
      <w:r>
        <w:rPr>
          <w:bCs/>
          <w:noProof w:val="0"/>
          <w:sz w:val="24"/>
          <w:szCs w:val="24"/>
        </w:rPr>
        <w:t>China</w:t>
      </w:r>
      <w:r w:rsidR="00BA1872">
        <w:rPr>
          <w:bCs/>
          <w:noProof w:val="0"/>
          <w:sz w:val="24"/>
          <w:szCs w:val="24"/>
        </w:rPr>
        <w:t xml:space="preserve">, </w:t>
      </w:r>
      <w:r>
        <w:rPr>
          <w:bCs/>
          <w:noProof w:val="0"/>
          <w:sz w:val="24"/>
          <w:szCs w:val="24"/>
        </w:rPr>
        <w:t>8</w:t>
      </w:r>
      <w:r w:rsidR="00CE09E9" w:rsidRPr="00CE09E9">
        <w:rPr>
          <w:bCs/>
          <w:noProof w:val="0"/>
          <w:sz w:val="24"/>
          <w:szCs w:val="24"/>
        </w:rPr>
        <w:t>th – 1</w:t>
      </w:r>
      <w:r>
        <w:rPr>
          <w:bCs/>
          <w:noProof w:val="0"/>
          <w:sz w:val="24"/>
          <w:szCs w:val="24"/>
        </w:rPr>
        <w:t>2</w:t>
      </w:r>
      <w:r w:rsidR="00CE09E9" w:rsidRPr="00CE09E9">
        <w:rPr>
          <w:bCs/>
          <w:noProof w:val="0"/>
          <w:sz w:val="24"/>
          <w:szCs w:val="24"/>
        </w:rPr>
        <w:t>t</w:t>
      </w:r>
      <w:r>
        <w:rPr>
          <w:bCs/>
          <w:noProof w:val="0"/>
          <w:sz w:val="24"/>
          <w:szCs w:val="24"/>
        </w:rPr>
        <w:t>h</w:t>
      </w:r>
      <w:r w:rsidR="00CE09E9" w:rsidRPr="00CE09E9">
        <w:rPr>
          <w:bCs/>
          <w:noProof w:val="0"/>
          <w:sz w:val="24"/>
          <w:szCs w:val="24"/>
        </w:rPr>
        <w:t xml:space="preserve"> </w:t>
      </w:r>
      <w:r>
        <w:rPr>
          <w:bCs/>
          <w:noProof w:val="0"/>
          <w:sz w:val="24"/>
          <w:szCs w:val="24"/>
        </w:rPr>
        <w:t>April</w:t>
      </w:r>
      <w:r w:rsidR="00CE09E9">
        <w:rPr>
          <w:bCs/>
          <w:noProof w:val="0"/>
          <w:sz w:val="24"/>
          <w:szCs w:val="24"/>
        </w:rPr>
        <w:t>,</w:t>
      </w:r>
      <w:r w:rsidR="00CE09E9" w:rsidRPr="00CE09E9">
        <w:rPr>
          <w:bCs/>
          <w:noProof w:val="0"/>
          <w:sz w:val="24"/>
          <w:szCs w:val="24"/>
        </w:rPr>
        <w:t xml:space="preserve"> </w:t>
      </w:r>
      <w:r w:rsidR="00BA1872">
        <w:rPr>
          <w:bCs/>
          <w:noProof w:val="0"/>
          <w:sz w:val="24"/>
          <w:szCs w:val="24"/>
        </w:rPr>
        <w:t>2019</w:t>
      </w:r>
    </w:p>
    <w:p w14:paraId="2CFE1919" w14:textId="77777777" w:rsidR="00850D96" w:rsidRPr="00850D96" w:rsidRDefault="00850D96" w:rsidP="00CA26CE">
      <w:pPr>
        <w:pStyle w:val="Header"/>
        <w:rPr>
          <w:bCs/>
          <w:noProof w:val="0"/>
          <w:sz w:val="24"/>
          <w:lang w:val="en-GB" w:eastAsia="ja-JP"/>
        </w:rPr>
      </w:pPr>
    </w:p>
    <w:p w14:paraId="30E02941" w14:textId="5071C25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224A85">
        <w:rPr>
          <w:rFonts w:cs="Arial"/>
          <w:b/>
          <w:bCs/>
          <w:sz w:val="24"/>
          <w:szCs w:val="24"/>
        </w:rPr>
        <w:t>7</w:t>
      </w:r>
      <w:r w:rsidR="0052773A" w:rsidRPr="00224A85">
        <w:rPr>
          <w:rFonts w:cs="Arial"/>
          <w:b/>
          <w:bCs/>
          <w:sz w:val="24"/>
          <w:szCs w:val="24"/>
        </w:rPr>
        <w:t>.</w:t>
      </w:r>
      <w:r w:rsidR="00BA1872" w:rsidRPr="00224A85">
        <w:rPr>
          <w:rFonts w:cs="Arial"/>
          <w:b/>
          <w:bCs/>
          <w:sz w:val="24"/>
          <w:szCs w:val="24"/>
        </w:rPr>
        <w:t>2</w:t>
      </w:r>
      <w:r w:rsidR="00B12A5F" w:rsidRPr="00224A85">
        <w:rPr>
          <w:rFonts w:cs="Arial"/>
          <w:b/>
          <w:bCs/>
          <w:sz w:val="24"/>
          <w:szCs w:val="24"/>
        </w:rPr>
        <w:t>.4.</w:t>
      </w:r>
      <w:r w:rsidR="00224A85" w:rsidRPr="00224A85">
        <w:rPr>
          <w:rFonts w:cs="Arial"/>
          <w:b/>
          <w:bCs/>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E05145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12A5F" w:rsidRPr="00B12A5F">
        <w:rPr>
          <w:rFonts w:ascii="Arial" w:hAnsi="Arial" w:cs="Arial"/>
          <w:b/>
          <w:bCs/>
          <w:sz w:val="24"/>
        </w:rPr>
        <w:t>Discussion o</w:t>
      </w:r>
      <w:r w:rsidR="00224A85">
        <w:rPr>
          <w:rFonts w:ascii="Arial" w:hAnsi="Arial" w:cs="Arial"/>
          <w:b/>
          <w:bCs/>
          <w:sz w:val="24"/>
        </w:rPr>
        <w:t>f In-device</w:t>
      </w:r>
      <w:r w:rsidR="00B12A5F" w:rsidRPr="00B12A5F">
        <w:rPr>
          <w:rFonts w:ascii="Arial" w:hAnsi="Arial" w:cs="Arial"/>
          <w:b/>
          <w:bCs/>
          <w:sz w:val="24"/>
        </w:rPr>
        <w:t xml:space="preserve"> coexistence between LTE </w:t>
      </w:r>
      <w:r w:rsidR="00224A85">
        <w:rPr>
          <w:rFonts w:ascii="Arial" w:hAnsi="Arial" w:cs="Arial"/>
          <w:b/>
          <w:bCs/>
          <w:sz w:val="24"/>
        </w:rPr>
        <w:t xml:space="preserve">and NR </w:t>
      </w:r>
      <w:r w:rsidR="00B12A5F" w:rsidRPr="00B12A5F">
        <w:rPr>
          <w:rFonts w:ascii="Arial" w:hAnsi="Arial" w:cs="Arial"/>
          <w:b/>
          <w:bCs/>
          <w:sz w:val="24"/>
        </w:rPr>
        <w:t>sidelink</w:t>
      </w:r>
      <w:r w:rsidR="00224A85">
        <w:rPr>
          <w:rFonts w:ascii="Arial" w:hAnsi="Arial" w:cs="Arial"/>
          <w:b/>
          <w:bCs/>
          <w:sz w:val="24"/>
        </w:rPr>
        <w: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59322554" w14:textId="0D39541D" w:rsidR="0019780F" w:rsidRPr="00D84526" w:rsidRDefault="0019780F" w:rsidP="00A64A6E">
      <w:pPr>
        <w:rPr>
          <w:sz w:val="24"/>
          <w:szCs w:val="24"/>
        </w:rPr>
      </w:pPr>
      <w:bookmarkStart w:id="1" w:name="_Hlk510705081"/>
      <w:r w:rsidRPr="00D84526">
        <w:rPr>
          <w:sz w:val="24"/>
          <w:szCs w:val="24"/>
        </w:rPr>
        <w:t xml:space="preserve">According to the WID </w:t>
      </w:r>
      <w:r w:rsidR="00224A85" w:rsidRPr="00D84526">
        <w:rPr>
          <w:sz w:val="24"/>
          <w:szCs w:val="24"/>
        </w:rPr>
        <w:fldChar w:fldCharType="begin"/>
      </w:r>
      <w:r w:rsidR="00224A85" w:rsidRPr="00D84526">
        <w:rPr>
          <w:sz w:val="24"/>
          <w:szCs w:val="24"/>
        </w:rPr>
        <w:instrText xml:space="preserve"> REF _Ref5021526 \r \h </w:instrText>
      </w:r>
      <w:r w:rsidR="00D84526">
        <w:rPr>
          <w:sz w:val="24"/>
          <w:szCs w:val="24"/>
        </w:rPr>
        <w:instrText xml:space="preserve"> \* MERGEFORMAT </w:instrText>
      </w:r>
      <w:r w:rsidR="00224A85" w:rsidRPr="00D84526">
        <w:rPr>
          <w:sz w:val="24"/>
          <w:szCs w:val="24"/>
        </w:rPr>
      </w:r>
      <w:r w:rsidR="00224A85" w:rsidRPr="00D84526">
        <w:rPr>
          <w:sz w:val="24"/>
          <w:szCs w:val="24"/>
        </w:rPr>
        <w:fldChar w:fldCharType="separate"/>
      </w:r>
      <w:r w:rsidR="00224A85" w:rsidRPr="00D84526">
        <w:rPr>
          <w:sz w:val="24"/>
          <w:szCs w:val="24"/>
        </w:rPr>
        <w:t>[1]</w:t>
      </w:r>
      <w:r w:rsidR="00224A85" w:rsidRPr="00D84526">
        <w:rPr>
          <w:sz w:val="24"/>
          <w:szCs w:val="24"/>
        </w:rPr>
        <w:fldChar w:fldCharType="end"/>
      </w:r>
      <w:r w:rsidR="00BF1988" w:rsidRPr="00D84526">
        <w:rPr>
          <w:sz w:val="24"/>
          <w:szCs w:val="24"/>
        </w:rPr>
        <w:t xml:space="preserve"> </w:t>
      </w:r>
      <w:r w:rsidRPr="00D84526">
        <w:rPr>
          <w:sz w:val="24"/>
          <w:szCs w:val="24"/>
        </w:rPr>
        <w:t>the following objectives have been defined for the specification of the in-device coexistence of NR SL and LTE SL.</w:t>
      </w:r>
    </w:p>
    <w:p w14:paraId="439F30C8" w14:textId="77777777" w:rsidR="0019780F" w:rsidRPr="00D84526" w:rsidRDefault="0019780F" w:rsidP="0019780F">
      <w:pPr>
        <w:numPr>
          <w:ilvl w:val="0"/>
          <w:numId w:val="24"/>
        </w:numPr>
        <w:jc w:val="both"/>
        <w:textAlignment w:val="auto"/>
        <w:rPr>
          <w:i/>
          <w:sz w:val="24"/>
          <w:szCs w:val="24"/>
          <w:lang w:eastAsia="ko-KR"/>
        </w:rPr>
      </w:pPr>
      <w:r w:rsidRPr="00D84526">
        <w:rPr>
          <w:i/>
          <w:sz w:val="24"/>
          <w:szCs w:val="24"/>
          <w:lang w:eastAsia="ko-KR"/>
        </w:rPr>
        <w:t>Solutions for ‘not co-channel’ in-device coexistence between LTE and NR sidelinks</w:t>
      </w:r>
    </w:p>
    <w:p w14:paraId="4D1F47E4" w14:textId="77777777" w:rsidR="0019780F" w:rsidRPr="00D84526" w:rsidRDefault="0019780F" w:rsidP="0019780F">
      <w:pPr>
        <w:numPr>
          <w:ilvl w:val="1"/>
          <w:numId w:val="24"/>
        </w:numPr>
        <w:jc w:val="both"/>
        <w:textAlignment w:val="auto"/>
        <w:rPr>
          <w:i/>
          <w:sz w:val="24"/>
          <w:szCs w:val="24"/>
          <w:lang w:eastAsia="ko-KR"/>
        </w:rPr>
      </w:pPr>
      <w:r w:rsidRPr="00D84526">
        <w:rPr>
          <w:i/>
          <w:sz w:val="24"/>
          <w:szCs w:val="24"/>
          <w:lang w:eastAsia="ko-KR"/>
        </w:rPr>
        <w:t>TDM-based solutions as per the study outcome [RAN1, RAN2, RAN4]</w:t>
      </w:r>
    </w:p>
    <w:p w14:paraId="4415CA7F" w14:textId="77777777" w:rsidR="0019780F" w:rsidRPr="00D84526" w:rsidRDefault="0019780F" w:rsidP="0019780F">
      <w:pPr>
        <w:numPr>
          <w:ilvl w:val="1"/>
          <w:numId w:val="24"/>
        </w:numPr>
        <w:jc w:val="both"/>
        <w:textAlignment w:val="auto"/>
        <w:rPr>
          <w:i/>
          <w:sz w:val="24"/>
          <w:szCs w:val="24"/>
          <w:lang w:eastAsia="ko-KR"/>
        </w:rPr>
      </w:pPr>
      <w:r w:rsidRPr="00D84526">
        <w:rPr>
          <w:i/>
          <w:sz w:val="24"/>
          <w:szCs w:val="24"/>
          <w:lang w:eastAsia="ko-KR"/>
        </w:rPr>
        <w:t>FDM-based solutions with static power allocation as per the study outcome [RAN4]</w:t>
      </w:r>
    </w:p>
    <w:p w14:paraId="13064DB8" w14:textId="77777777" w:rsidR="0019780F" w:rsidRPr="00D84526" w:rsidRDefault="0019780F" w:rsidP="0019780F">
      <w:pPr>
        <w:numPr>
          <w:ilvl w:val="2"/>
          <w:numId w:val="24"/>
        </w:numPr>
        <w:jc w:val="both"/>
        <w:textAlignment w:val="auto"/>
        <w:rPr>
          <w:i/>
          <w:sz w:val="24"/>
          <w:szCs w:val="24"/>
          <w:lang w:eastAsia="ko-KR"/>
        </w:rPr>
      </w:pPr>
      <w:r w:rsidRPr="00D84526">
        <w:rPr>
          <w:i/>
          <w:sz w:val="24"/>
          <w:szCs w:val="24"/>
          <w:lang w:eastAsia="ko-KR"/>
        </w:rPr>
        <w:t>This will not consider the case where LTE and NR sidelinks are in the same frequency band.</w:t>
      </w:r>
    </w:p>
    <w:p w14:paraId="72FAD40C" w14:textId="711E90E9" w:rsidR="00266446" w:rsidRPr="00D84526" w:rsidRDefault="0019780F" w:rsidP="00A64A6E">
      <w:pPr>
        <w:numPr>
          <w:ilvl w:val="1"/>
          <w:numId w:val="24"/>
        </w:numPr>
        <w:jc w:val="both"/>
        <w:textAlignment w:val="auto"/>
        <w:rPr>
          <w:i/>
          <w:sz w:val="24"/>
          <w:szCs w:val="24"/>
          <w:lang w:eastAsia="ko-KR"/>
        </w:rPr>
      </w:pPr>
      <w:r w:rsidRPr="00D84526">
        <w:rPr>
          <w:i/>
          <w:sz w:val="24"/>
          <w:szCs w:val="24"/>
          <w:lang w:eastAsia="ko-KR"/>
        </w:rPr>
        <w:t>No impact to LTE specifications at least from RAN1 and RAN2 perspective.</w:t>
      </w:r>
    </w:p>
    <w:p w14:paraId="2CE68AE9" w14:textId="55DD197D" w:rsidR="00B12A5F" w:rsidRPr="00D84526" w:rsidRDefault="00B12A5F" w:rsidP="00A64A6E">
      <w:pPr>
        <w:rPr>
          <w:sz w:val="24"/>
          <w:szCs w:val="24"/>
        </w:rPr>
      </w:pPr>
      <w:r w:rsidRPr="00D84526">
        <w:rPr>
          <w:sz w:val="24"/>
          <w:szCs w:val="24"/>
        </w:rPr>
        <w:t xml:space="preserve">In this contribution we discuss details of </w:t>
      </w:r>
      <w:r w:rsidR="00BF1988" w:rsidRPr="00D84526">
        <w:rPr>
          <w:sz w:val="24"/>
          <w:szCs w:val="24"/>
        </w:rPr>
        <w:t xml:space="preserve">the TDM and FDM-based </w:t>
      </w:r>
      <w:r w:rsidRPr="00D84526">
        <w:rPr>
          <w:sz w:val="24"/>
          <w:szCs w:val="24"/>
        </w:rPr>
        <w:t xml:space="preserve">coexistence </w:t>
      </w:r>
      <w:r w:rsidR="00BF1988" w:rsidRPr="00D84526">
        <w:rPr>
          <w:sz w:val="24"/>
          <w:szCs w:val="24"/>
        </w:rPr>
        <w:t>solutions for</w:t>
      </w:r>
      <w:r w:rsidRPr="00D84526">
        <w:rPr>
          <w:sz w:val="24"/>
          <w:szCs w:val="24"/>
        </w:rPr>
        <w:t xml:space="preserve"> NR and LTE sidelink</w:t>
      </w:r>
      <w:r w:rsidR="00BF1988" w:rsidRPr="00D84526">
        <w:rPr>
          <w:sz w:val="24"/>
          <w:szCs w:val="24"/>
        </w:rPr>
        <w:t>s</w:t>
      </w:r>
      <w:r w:rsidRPr="00D84526">
        <w:rPr>
          <w:sz w:val="24"/>
          <w:szCs w:val="24"/>
        </w:rPr>
        <w:t>.</w:t>
      </w:r>
    </w:p>
    <w:p w14:paraId="2DE189C7" w14:textId="6647C9D3" w:rsidR="001B25D0" w:rsidRPr="00D84526" w:rsidRDefault="007820D0" w:rsidP="006A0DD3">
      <w:pPr>
        <w:pStyle w:val="Heading1"/>
      </w:pPr>
      <w:r>
        <w:t>Discussion</w:t>
      </w:r>
    </w:p>
    <w:p w14:paraId="33390CF9" w14:textId="1762AFF7" w:rsidR="00AF0942" w:rsidRDefault="00F978C8" w:rsidP="00AF0942">
      <w:pPr>
        <w:pStyle w:val="Heading2"/>
      </w:pPr>
      <w:r>
        <w:t>TDM solutions</w:t>
      </w:r>
    </w:p>
    <w:p w14:paraId="26CE7B7D" w14:textId="20E5EF11" w:rsidR="0019780F" w:rsidRPr="00D84526" w:rsidRDefault="0019780F" w:rsidP="006A0DD3">
      <w:pPr>
        <w:rPr>
          <w:sz w:val="24"/>
          <w:szCs w:val="24"/>
        </w:rPr>
      </w:pPr>
      <w:r w:rsidRPr="00D84526">
        <w:rPr>
          <w:sz w:val="24"/>
          <w:szCs w:val="24"/>
        </w:rPr>
        <w:t>The following agreement was made during study item:</w:t>
      </w:r>
    </w:p>
    <w:p w14:paraId="1B4473FD" w14:textId="77777777" w:rsidR="0019780F" w:rsidRPr="00D84526" w:rsidRDefault="0019780F" w:rsidP="0019780F">
      <w:pPr>
        <w:overflowPunct/>
        <w:autoSpaceDE/>
        <w:autoSpaceDN/>
        <w:adjustRightInd/>
        <w:spacing w:after="0"/>
        <w:textAlignment w:val="auto"/>
        <w:rPr>
          <w:rFonts w:ascii="Times" w:eastAsia="Batang" w:hAnsi="Times"/>
          <w:b/>
          <w:i/>
          <w:sz w:val="24"/>
          <w:szCs w:val="24"/>
          <w:lang w:eastAsia="x-none"/>
        </w:rPr>
      </w:pPr>
      <w:r w:rsidRPr="00D84526">
        <w:rPr>
          <w:rFonts w:ascii="Times" w:eastAsia="Batang" w:hAnsi="Times"/>
          <w:i/>
          <w:sz w:val="24"/>
          <w:szCs w:val="24"/>
          <w:highlight w:val="green"/>
          <w:lang w:eastAsia="x-none"/>
        </w:rPr>
        <w:t>Agreements</w:t>
      </w:r>
      <w:r w:rsidRPr="00D84526">
        <w:rPr>
          <w:rFonts w:ascii="Times" w:eastAsia="Batang" w:hAnsi="Times"/>
          <w:b/>
          <w:i/>
          <w:sz w:val="24"/>
          <w:szCs w:val="24"/>
          <w:lang w:eastAsia="x-none"/>
        </w:rPr>
        <w:t>:</w:t>
      </w:r>
    </w:p>
    <w:p w14:paraId="2C2266DC" w14:textId="77777777" w:rsidR="0019780F" w:rsidRPr="00D84526" w:rsidRDefault="0019780F" w:rsidP="0019780F">
      <w:pPr>
        <w:numPr>
          <w:ilvl w:val="0"/>
          <w:numId w:val="20"/>
        </w:numPr>
        <w:overflowPunct/>
        <w:autoSpaceDE/>
        <w:autoSpaceDN/>
        <w:adjustRightInd/>
        <w:spacing w:after="0"/>
        <w:contextualSpacing/>
        <w:textAlignment w:val="auto"/>
        <w:rPr>
          <w:rFonts w:ascii="Times" w:eastAsia="Batang" w:hAnsi="Times"/>
          <w:i/>
          <w:color w:val="000000"/>
          <w:sz w:val="24"/>
          <w:szCs w:val="24"/>
          <w:lang w:eastAsia="x-none"/>
        </w:rPr>
      </w:pPr>
      <w:r w:rsidRPr="00D84526">
        <w:rPr>
          <w:rFonts w:ascii="Times" w:eastAsia="Batang" w:hAnsi="Times"/>
          <w:i/>
          <w:color w:val="000000"/>
          <w:sz w:val="24"/>
          <w:szCs w:val="24"/>
          <w:lang w:eastAsia="x-none"/>
        </w:rPr>
        <w:t>For TDM solutions for in-device coexistence between LTE and NR V2X:</w:t>
      </w:r>
    </w:p>
    <w:p w14:paraId="3ED0D75F" w14:textId="77777777" w:rsidR="0019780F" w:rsidRPr="00D84526" w:rsidRDefault="0019780F" w:rsidP="0019780F">
      <w:pPr>
        <w:numPr>
          <w:ilvl w:val="1"/>
          <w:numId w:val="20"/>
        </w:numPr>
        <w:overflowPunct/>
        <w:autoSpaceDE/>
        <w:autoSpaceDN/>
        <w:adjustRightInd/>
        <w:spacing w:after="0"/>
        <w:contextualSpacing/>
        <w:textAlignment w:val="auto"/>
        <w:rPr>
          <w:rFonts w:ascii="Times" w:eastAsia="Batang" w:hAnsi="Times"/>
          <w:i/>
          <w:color w:val="000000"/>
          <w:sz w:val="24"/>
          <w:szCs w:val="24"/>
          <w:lang w:eastAsia="x-none"/>
        </w:rPr>
      </w:pPr>
      <w:r w:rsidRPr="00D84526">
        <w:rPr>
          <w:rFonts w:ascii="Times" w:eastAsia="Batang" w:hAnsi="Times"/>
          <w:i/>
          <w:color w:val="000000"/>
          <w:sz w:val="24"/>
          <w:szCs w:val="24"/>
          <w:lang w:eastAsia="x-none"/>
        </w:rPr>
        <w:t>Time Alignment</w:t>
      </w:r>
    </w:p>
    <w:p w14:paraId="6CE31BFE" w14:textId="77777777" w:rsidR="0019780F" w:rsidRPr="00D84526" w:rsidRDefault="0019780F" w:rsidP="0019780F">
      <w:pPr>
        <w:numPr>
          <w:ilvl w:val="2"/>
          <w:numId w:val="20"/>
        </w:numPr>
        <w:overflowPunct/>
        <w:autoSpaceDE/>
        <w:autoSpaceDN/>
        <w:adjustRightInd/>
        <w:spacing w:after="0"/>
        <w:contextualSpacing/>
        <w:textAlignment w:val="auto"/>
        <w:rPr>
          <w:rFonts w:ascii="Times" w:hAnsi="Times"/>
          <w:i/>
          <w:color w:val="000000"/>
          <w:sz w:val="24"/>
          <w:szCs w:val="24"/>
        </w:rPr>
      </w:pPr>
      <w:r w:rsidRPr="00D84526">
        <w:rPr>
          <w:rFonts w:ascii="Times" w:eastAsia="DengXian" w:hAnsi="Times"/>
          <w:i/>
          <w:sz w:val="24"/>
          <w:szCs w:val="24"/>
          <w:lang w:eastAsia="zh-CN"/>
        </w:rPr>
        <w:t xml:space="preserve">Subframe boundary </w:t>
      </w:r>
      <w:r w:rsidRPr="00D84526">
        <w:rPr>
          <w:rFonts w:ascii="Times" w:eastAsia="DengXian" w:hAnsi="Times" w:hint="eastAsia"/>
          <w:i/>
          <w:sz w:val="24"/>
          <w:szCs w:val="24"/>
          <w:lang w:eastAsia="zh-CN"/>
        </w:rPr>
        <w:t>alignment</w:t>
      </w:r>
      <w:r w:rsidRPr="00D84526">
        <w:rPr>
          <w:rFonts w:ascii="Times" w:eastAsia="DengXian" w:hAnsi="Times"/>
          <w:i/>
          <w:sz w:val="24"/>
          <w:szCs w:val="24"/>
          <w:lang w:eastAsia="zh-CN"/>
        </w:rPr>
        <w:t xml:space="preserve"> is required between LTE and NR V2X sidelinks</w:t>
      </w:r>
    </w:p>
    <w:p w14:paraId="5FB5E039" w14:textId="77777777" w:rsidR="0019780F" w:rsidRPr="00D84526" w:rsidRDefault="0019780F" w:rsidP="0019780F">
      <w:pPr>
        <w:numPr>
          <w:ilvl w:val="2"/>
          <w:numId w:val="20"/>
        </w:numPr>
        <w:overflowPunct/>
        <w:autoSpaceDE/>
        <w:autoSpaceDN/>
        <w:adjustRightInd/>
        <w:spacing w:after="0"/>
        <w:contextualSpacing/>
        <w:textAlignment w:val="auto"/>
        <w:rPr>
          <w:rFonts w:ascii="Times" w:eastAsia="Batang" w:hAnsi="Times"/>
          <w:i/>
          <w:color w:val="000000"/>
          <w:sz w:val="24"/>
          <w:szCs w:val="24"/>
          <w:lang w:eastAsia="x-none"/>
        </w:rPr>
      </w:pPr>
      <w:r w:rsidRPr="00D84526">
        <w:rPr>
          <w:rFonts w:ascii="Times" w:eastAsia="DengXian" w:hAnsi="Times"/>
          <w:i/>
          <w:sz w:val="24"/>
          <w:szCs w:val="24"/>
          <w:lang w:eastAsia="zh-CN"/>
        </w:rPr>
        <w:t>Both LTE and NR V2X sidelinks are aware of the time resource index (e.g., DFN for LTE) in both carriers</w:t>
      </w:r>
    </w:p>
    <w:p w14:paraId="0AAC36F3" w14:textId="77777777" w:rsidR="0019780F" w:rsidRPr="00D84526" w:rsidRDefault="0019780F" w:rsidP="006A0DD3">
      <w:pPr>
        <w:rPr>
          <w:sz w:val="24"/>
          <w:szCs w:val="24"/>
        </w:rPr>
      </w:pPr>
    </w:p>
    <w:p w14:paraId="6E64A506" w14:textId="51581EEB" w:rsidR="009E32D0" w:rsidRPr="00D84526" w:rsidRDefault="0019780F" w:rsidP="006A0DD3">
      <w:pPr>
        <w:rPr>
          <w:sz w:val="24"/>
          <w:szCs w:val="24"/>
        </w:rPr>
      </w:pPr>
      <w:r w:rsidRPr="00D84526">
        <w:rPr>
          <w:sz w:val="24"/>
          <w:szCs w:val="24"/>
        </w:rPr>
        <w:t>When GNSS is used as the timing source for NR and LTE SL transmission</w:t>
      </w:r>
      <w:r w:rsidR="00DB3A7D" w:rsidRPr="00D84526">
        <w:rPr>
          <w:sz w:val="24"/>
          <w:szCs w:val="24"/>
        </w:rPr>
        <w:t>, it can be assumed that the accuracy of subframe boundary alignment between NR and LTE SL transmission</w:t>
      </w:r>
      <w:r w:rsidR="009E32D0" w:rsidRPr="00D84526">
        <w:rPr>
          <w:sz w:val="24"/>
          <w:szCs w:val="24"/>
        </w:rPr>
        <w:t xml:space="preserve"> is good</w:t>
      </w:r>
      <w:r w:rsidR="00DB3A7D" w:rsidRPr="00D84526">
        <w:rPr>
          <w:sz w:val="24"/>
          <w:szCs w:val="24"/>
        </w:rPr>
        <w:t>. It is likely that there is no need for time gap between transmissions to avoid potential overlap of</w:t>
      </w:r>
      <w:r w:rsidR="0086255D">
        <w:rPr>
          <w:sz w:val="24"/>
          <w:szCs w:val="24"/>
        </w:rPr>
        <w:t xml:space="preserve"> LTE and NR</w:t>
      </w:r>
      <w:r w:rsidR="00DB3A7D" w:rsidRPr="00D84526">
        <w:rPr>
          <w:sz w:val="24"/>
          <w:szCs w:val="24"/>
        </w:rPr>
        <w:t xml:space="preserve"> SL transmissions. </w:t>
      </w:r>
      <w:r w:rsidR="00E747BF" w:rsidRPr="00D84526">
        <w:rPr>
          <w:sz w:val="24"/>
          <w:szCs w:val="24"/>
        </w:rPr>
        <w:t xml:space="preserve">If UE cannot receive GNSS directly but it has to use SLSS from other UEs, the accuracy decreases. At the moment it is not clear </w:t>
      </w:r>
      <w:r w:rsidR="009E32D0" w:rsidRPr="00D84526">
        <w:rPr>
          <w:sz w:val="24"/>
          <w:szCs w:val="24"/>
        </w:rPr>
        <w:t xml:space="preserve">if </w:t>
      </w:r>
      <w:r w:rsidR="0086255D">
        <w:rPr>
          <w:sz w:val="24"/>
          <w:szCs w:val="24"/>
        </w:rPr>
        <w:t xml:space="preserve">the </w:t>
      </w:r>
      <w:r w:rsidR="00E747BF" w:rsidRPr="00D84526">
        <w:rPr>
          <w:sz w:val="24"/>
          <w:szCs w:val="24"/>
        </w:rPr>
        <w:t>UE can use the same SLSS for synchronizing both LTE and NR SL</w:t>
      </w:r>
      <w:r w:rsidR="009E32D0" w:rsidRPr="00D84526">
        <w:rPr>
          <w:sz w:val="24"/>
          <w:szCs w:val="24"/>
        </w:rPr>
        <w:t xml:space="preserve"> or different SLSS need to be used for NR SL and LTE SL.</w:t>
      </w:r>
      <w:r w:rsidR="0086255D">
        <w:rPr>
          <w:sz w:val="24"/>
          <w:szCs w:val="24"/>
        </w:rPr>
        <w:t xml:space="preserve"> </w:t>
      </w:r>
      <w:r w:rsidR="0095289E">
        <w:rPr>
          <w:sz w:val="24"/>
          <w:szCs w:val="24"/>
        </w:rPr>
        <w:t>The WID says that changes to LTE specifications are not in the scope. This implies that LTE SL can only use SLSS from LTE SL UEs.</w:t>
      </w:r>
    </w:p>
    <w:p w14:paraId="22BAB3A0" w14:textId="1E7901A4" w:rsidR="00E20375" w:rsidRPr="00D84526" w:rsidRDefault="00DB3A7D" w:rsidP="006A0DD3">
      <w:pPr>
        <w:rPr>
          <w:sz w:val="24"/>
          <w:szCs w:val="24"/>
        </w:rPr>
      </w:pPr>
      <w:r w:rsidRPr="00D84526">
        <w:rPr>
          <w:sz w:val="24"/>
          <w:szCs w:val="24"/>
        </w:rPr>
        <w:lastRenderedPageBreak/>
        <w:t>When network based timing is used so that LTE SL is synchronized to eNB operating in the same carrier</w:t>
      </w:r>
      <w:r w:rsidR="00224A85" w:rsidRPr="00D84526">
        <w:rPr>
          <w:sz w:val="24"/>
          <w:szCs w:val="24"/>
        </w:rPr>
        <w:t xml:space="preserve"> as LTE SL</w:t>
      </w:r>
      <w:r w:rsidRPr="00D84526">
        <w:rPr>
          <w:sz w:val="24"/>
          <w:szCs w:val="24"/>
        </w:rPr>
        <w:t xml:space="preserve"> and NR SL is synchronized to gNB operating in the same carrier </w:t>
      </w:r>
      <w:r w:rsidR="00224A85" w:rsidRPr="00D84526">
        <w:rPr>
          <w:sz w:val="24"/>
          <w:szCs w:val="24"/>
        </w:rPr>
        <w:t xml:space="preserve">as the NR SL </w:t>
      </w:r>
      <w:r w:rsidRPr="00D84526">
        <w:rPr>
          <w:sz w:val="24"/>
          <w:szCs w:val="24"/>
        </w:rPr>
        <w:t xml:space="preserve">the accuracy of subframe </w:t>
      </w:r>
      <w:r w:rsidR="00E20375" w:rsidRPr="00D84526">
        <w:rPr>
          <w:sz w:val="24"/>
          <w:szCs w:val="24"/>
        </w:rPr>
        <w:t>boundary alignment cannot be assumed to be perfect. If eNB and gNB are not collocated propagation delay difference can be larger than e.g. cyclic prefix of SL transmissions. In this case some guard period should be defined between NR and LTE SL transmissions so that overlapping transmissions can be avoided.</w:t>
      </w:r>
    </w:p>
    <w:p w14:paraId="30111AF8" w14:textId="7AC10D6C" w:rsidR="0019780F" w:rsidRPr="00D84526" w:rsidRDefault="00E20375" w:rsidP="006A0DD3">
      <w:pPr>
        <w:rPr>
          <w:b/>
          <w:sz w:val="24"/>
          <w:szCs w:val="24"/>
        </w:rPr>
      </w:pPr>
      <w:r w:rsidRPr="00D84526">
        <w:rPr>
          <w:b/>
          <w:sz w:val="24"/>
          <w:szCs w:val="24"/>
        </w:rPr>
        <w:t>Proposal 1</w:t>
      </w:r>
      <w:r w:rsidR="00E747BF" w:rsidRPr="00D84526">
        <w:rPr>
          <w:b/>
          <w:sz w:val="24"/>
          <w:szCs w:val="24"/>
        </w:rPr>
        <w:t>:</w:t>
      </w:r>
      <w:r w:rsidRPr="00D84526">
        <w:rPr>
          <w:b/>
          <w:sz w:val="24"/>
          <w:szCs w:val="24"/>
        </w:rPr>
        <w:t xml:space="preserve"> The</w:t>
      </w:r>
      <w:r w:rsidR="006C2096" w:rsidRPr="00D84526">
        <w:rPr>
          <w:b/>
          <w:sz w:val="24"/>
          <w:szCs w:val="24"/>
        </w:rPr>
        <w:t xml:space="preserve"> achievable</w:t>
      </w:r>
      <w:r w:rsidRPr="00D84526">
        <w:rPr>
          <w:b/>
          <w:sz w:val="24"/>
          <w:szCs w:val="24"/>
        </w:rPr>
        <w:t xml:space="preserve"> accuracy of subframe boundary alignment in case of GNSS based and network based synchronization </w:t>
      </w:r>
      <w:r w:rsidR="006C2096" w:rsidRPr="00D84526">
        <w:rPr>
          <w:b/>
          <w:sz w:val="24"/>
          <w:szCs w:val="24"/>
        </w:rPr>
        <w:t>is</w:t>
      </w:r>
      <w:r w:rsidRPr="00D84526">
        <w:rPr>
          <w:b/>
          <w:sz w:val="24"/>
          <w:szCs w:val="24"/>
        </w:rPr>
        <w:t xml:space="preserve"> studied.</w:t>
      </w:r>
      <w:r w:rsidR="006C2096" w:rsidRPr="00D84526">
        <w:rPr>
          <w:b/>
          <w:sz w:val="24"/>
          <w:szCs w:val="24"/>
        </w:rPr>
        <w:t xml:space="preserve"> RAN4 may be better group to study this issue.</w:t>
      </w:r>
      <w:r w:rsidR="00E747BF" w:rsidRPr="00D84526">
        <w:rPr>
          <w:b/>
          <w:sz w:val="24"/>
          <w:szCs w:val="24"/>
        </w:rPr>
        <w:t xml:space="preserve"> </w:t>
      </w:r>
    </w:p>
    <w:p w14:paraId="2E671871" w14:textId="479983EF" w:rsidR="0019780F" w:rsidRPr="00D84526" w:rsidRDefault="001860E1" w:rsidP="006A0DD3">
      <w:pPr>
        <w:rPr>
          <w:sz w:val="24"/>
          <w:szCs w:val="24"/>
        </w:rPr>
      </w:pPr>
      <w:r w:rsidRPr="00D84526">
        <w:rPr>
          <w:sz w:val="24"/>
          <w:szCs w:val="24"/>
        </w:rPr>
        <w:t>In short term TDM solutions potential overlaps of different SL transmissions are handled so that LTE SL or NR SL transmission is dropped. Prioritization of overlapping transmissions is needed to determine which transmission is dropped. Simple rule like always prioritizing LTE is likely easily implementable solution for Tx/Tx co-existence. In the last meeting the following agreement was made on short term TDM solutions:</w:t>
      </w:r>
    </w:p>
    <w:p w14:paraId="7508FC61" w14:textId="77777777" w:rsidR="001860E1" w:rsidRPr="00D84526" w:rsidRDefault="001860E1" w:rsidP="001860E1">
      <w:pPr>
        <w:spacing w:after="0"/>
        <w:rPr>
          <w:i/>
          <w:sz w:val="24"/>
          <w:szCs w:val="24"/>
          <w:lang w:eastAsia="x-none"/>
        </w:rPr>
      </w:pPr>
      <w:r w:rsidRPr="00D84526">
        <w:rPr>
          <w:i/>
          <w:sz w:val="24"/>
          <w:szCs w:val="24"/>
          <w:highlight w:val="green"/>
          <w:lang w:eastAsia="x-none"/>
        </w:rPr>
        <w:t>Agreements</w:t>
      </w:r>
      <w:r w:rsidRPr="00D84526">
        <w:rPr>
          <w:i/>
          <w:sz w:val="24"/>
          <w:szCs w:val="24"/>
          <w:lang w:eastAsia="x-none"/>
        </w:rPr>
        <w:t>:</w:t>
      </w:r>
    </w:p>
    <w:p w14:paraId="74C71DAE" w14:textId="77777777" w:rsidR="001860E1" w:rsidRPr="00D84526" w:rsidRDefault="001860E1" w:rsidP="001860E1">
      <w:pPr>
        <w:pStyle w:val="ListParagraph"/>
        <w:numPr>
          <w:ilvl w:val="0"/>
          <w:numId w:val="25"/>
        </w:numPr>
        <w:spacing w:after="180"/>
        <w:rPr>
          <w:i/>
          <w:lang w:val="en-GB"/>
        </w:rPr>
      </w:pPr>
      <w:r w:rsidRPr="00D84526">
        <w:rPr>
          <w:i/>
          <w:lang w:val="en-GB"/>
        </w:rPr>
        <w:t>From RAN1 point of view, short term TDM solutions for NR and LTE V2X in-device coexistence is considered to be feasible for a UE when the load for the UE from LTE side and from NR side is at or below an acceptable level</w:t>
      </w:r>
    </w:p>
    <w:p w14:paraId="15CA9393" w14:textId="77777777" w:rsidR="001860E1" w:rsidRPr="00D84526" w:rsidRDefault="001860E1" w:rsidP="001860E1">
      <w:pPr>
        <w:pStyle w:val="ListParagraph"/>
        <w:numPr>
          <w:ilvl w:val="0"/>
          <w:numId w:val="25"/>
        </w:numPr>
        <w:spacing w:after="180"/>
        <w:rPr>
          <w:i/>
          <w:color w:val="000000"/>
          <w:lang w:val="en-GB"/>
        </w:rPr>
      </w:pPr>
      <w:r w:rsidRPr="00D84526">
        <w:rPr>
          <w:i/>
          <w:color w:val="000000"/>
          <w:lang w:val="en-GB"/>
        </w:rPr>
        <w:t>For each occurrence of Tx/Tx overlap and of Tx/Rx  overlap, one RAT is prioritized over another</w:t>
      </w:r>
    </w:p>
    <w:p w14:paraId="4A2B2A77" w14:textId="4318CECC" w:rsidR="001860E1" w:rsidRPr="00D84526" w:rsidRDefault="001860E1" w:rsidP="006A0DD3">
      <w:pPr>
        <w:pStyle w:val="ListParagraph"/>
        <w:numPr>
          <w:ilvl w:val="1"/>
          <w:numId w:val="25"/>
        </w:numPr>
        <w:spacing w:after="180"/>
        <w:rPr>
          <w:i/>
          <w:color w:val="000000"/>
          <w:lang w:val="en-GB"/>
        </w:rPr>
      </w:pPr>
      <w:r w:rsidRPr="00D84526">
        <w:rPr>
          <w:i/>
          <w:color w:val="000000"/>
          <w:lang w:val="en-GB"/>
        </w:rPr>
        <w:t>High-level principles of prioritization (e.g., BSM is deemed to have a higher priority, etc.) of LTE/NR can be discussed during the WI phase, while it is expected that detailed solutions may be left for implementation</w:t>
      </w:r>
    </w:p>
    <w:p w14:paraId="5ACA6847" w14:textId="220F62EE" w:rsidR="009E32D0" w:rsidRPr="00D84526" w:rsidRDefault="009E32D0" w:rsidP="006A0DD3">
      <w:pPr>
        <w:rPr>
          <w:b/>
          <w:sz w:val="24"/>
          <w:szCs w:val="24"/>
        </w:rPr>
      </w:pPr>
      <w:r w:rsidRPr="00D84526">
        <w:rPr>
          <w:b/>
          <w:sz w:val="24"/>
          <w:szCs w:val="24"/>
        </w:rPr>
        <w:t>Proposal 2: Study further how common priority level definition between NR SL and LTE SL transmissions should be specified.</w:t>
      </w:r>
    </w:p>
    <w:p w14:paraId="4EB2F570" w14:textId="45921ECE" w:rsidR="0019780F" w:rsidRPr="00D84526" w:rsidRDefault="009E32D0" w:rsidP="006A0DD3">
      <w:pPr>
        <w:rPr>
          <w:sz w:val="24"/>
          <w:szCs w:val="24"/>
        </w:rPr>
      </w:pPr>
      <w:r w:rsidRPr="00D84526">
        <w:rPr>
          <w:sz w:val="24"/>
          <w:szCs w:val="24"/>
        </w:rPr>
        <w:t>Regarding long term time scale solutions for coexistence, in the January ad-hoc meeting the following agreement was made:</w:t>
      </w:r>
    </w:p>
    <w:p w14:paraId="5B490CB9" w14:textId="77777777" w:rsidR="009E32D0" w:rsidRPr="00D84526" w:rsidRDefault="009E32D0" w:rsidP="009E32D0">
      <w:pPr>
        <w:overflowPunct/>
        <w:autoSpaceDE/>
        <w:autoSpaceDN/>
        <w:adjustRightInd/>
        <w:spacing w:after="0"/>
        <w:textAlignment w:val="auto"/>
        <w:rPr>
          <w:rFonts w:ascii="Times" w:eastAsia="Batang" w:hAnsi="Times"/>
          <w:b/>
          <w:i/>
          <w:sz w:val="24"/>
          <w:szCs w:val="24"/>
          <w:lang w:eastAsia="x-none"/>
        </w:rPr>
      </w:pPr>
      <w:r w:rsidRPr="00D84526">
        <w:rPr>
          <w:rFonts w:ascii="Times" w:eastAsia="Batang" w:hAnsi="Times"/>
          <w:i/>
          <w:sz w:val="24"/>
          <w:szCs w:val="24"/>
          <w:highlight w:val="green"/>
          <w:lang w:eastAsia="x-none"/>
        </w:rPr>
        <w:t>Agreements</w:t>
      </w:r>
      <w:r w:rsidRPr="00D84526">
        <w:rPr>
          <w:rFonts w:ascii="Times" w:eastAsia="Batang" w:hAnsi="Times"/>
          <w:b/>
          <w:i/>
          <w:sz w:val="24"/>
          <w:szCs w:val="24"/>
          <w:lang w:eastAsia="x-none"/>
        </w:rPr>
        <w:t>:</w:t>
      </w:r>
    </w:p>
    <w:p w14:paraId="1C79F797" w14:textId="77777777" w:rsidR="009E32D0" w:rsidRPr="00D84526" w:rsidRDefault="009E32D0" w:rsidP="009E32D0">
      <w:pPr>
        <w:numPr>
          <w:ilvl w:val="0"/>
          <w:numId w:val="20"/>
        </w:numPr>
        <w:overflowPunct/>
        <w:autoSpaceDE/>
        <w:autoSpaceDN/>
        <w:adjustRightInd/>
        <w:spacing w:after="0"/>
        <w:contextualSpacing/>
        <w:textAlignment w:val="auto"/>
        <w:rPr>
          <w:rFonts w:ascii="Times" w:eastAsia="Batang" w:hAnsi="Times"/>
          <w:i/>
          <w:color w:val="000000"/>
          <w:sz w:val="24"/>
          <w:szCs w:val="24"/>
          <w:lang w:eastAsia="x-none"/>
        </w:rPr>
      </w:pPr>
      <w:r w:rsidRPr="00D84526">
        <w:rPr>
          <w:rFonts w:ascii="Times" w:eastAsia="Batang" w:hAnsi="Times"/>
          <w:i/>
          <w:color w:val="000000"/>
          <w:sz w:val="24"/>
          <w:szCs w:val="24"/>
          <w:lang w:eastAsia="x-none"/>
        </w:rPr>
        <w:t>For long term time scale TDM solutions for in-device coexistence between LTE and NR V2X:</w:t>
      </w:r>
    </w:p>
    <w:p w14:paraId="0E1C224B" w14:textId="77777777" w:rsidR="009E32D0" w:rsidRPr="00D84526" w:rsidRDefault="009E32D0" w:rsidP="009E32D0">
      <w:pPr>
        <w:numPr>
          <w:ilvl w:val="1"/>
          <w:numId w:val="21"/>
        </w:numPr>
        <w:overflowPunct/>
        <w:autoSpaceDE/>
        <w:autoSpaceDN/>
        <w:adjustRightInd/>
        <w:spacing w:after="0"/>
        <w:contextualSpacing/>
        <w:textAlignment w:val="auto"/>
        <w:rPr>
          <w:rFonts w:ascii="Times" w:eastAsia="Batang" w:hAnsi="Times"/>
          <w:i/>
          <w:sz w:val="24"/>
          <w:szCs w:val="24"/>
          <w:lang w:eastAsia="zh-CN"/>
        </w:rPr>
      </w:pPr>
      <w:r w:rsidRPr="00D84526">
        <w:rPr>
          <w:rFonts w:ascii="Times" w:eastAsia="Batang" w:hAnsi="Times"/>
          <w:i/>
          <w:color w:val="000000"/>
          <w:sz w:val="24"/>
          <w:szCs w:val="24"/>
          <w:lang w:eastAsia="x-none"/>
        </w:rPr>
        <w:t>For a UE with coexistence impact, non-overlapping</w:t>
      </w:r>
      <w:r w:rsidRPr="00D84526">
        <w:rPr>
          <w:rFonts w:ascii="Times" w:eastAsia="Batang" w:hAnsi="Times"/>
          <w:i/>
          <w:sz w:val="24"/>
          <w:szCs w:val="24"/>
          <w:lang w:eastAsia="zh-CN"/>
        </w:rPr>
        <w:t xml:space="preserve"> (in time domain) resource pools are (pre-)configured for NR V2X and LTE V2X sidelinks</w:t>
      </w:r>
    </w:p>
    <w:p w14:paraId="685C40D4" w14:textId="77777777" w:rsidR="009E32D0" w:rsidRPr="00D84526" w:rsidRDefault="009E32D0" w:rsidP="009E32D0">
      <w:pPr>
        <w:numPr>
          <w:ilvl w:val="2"/>
          <w:numId w:val="20"/>
        </w:numPr>
        <w:overflowPunct/>
        <w:autoSpaceDE/>
        <w:autoSpaceDN/>
        <w:adjustRightInd/>
        <w:spacing w:after="0"/>
        <w:contextualSpacing/>
        <w:textAlignment w:val="auto"/>
        <w:rPr>
          <w:rFonts w:ascii="Times" w:eastAsia="Batang" w:hAnsi="Times"/>
          <w:i/>
          <w:sz w:val="24"/>
          <w:szCs w:val="24"/>
          <w:lang w:eastAsia="zh-CN"/>
        </w:rPr>
      </w:pPr>
      <w:r w:rsidRPr="00D84526">
        <w:rPr>
          <w:rFonts w:ascii="Times" w:eastAsia="Batang" w:hAnsi="Times"/>
          <w:i/>
          <w:sz w:val="24"/>
          <w:szCs w:val="24"/>
          <w:lang w:eastAsia="x-none"/>
        </w:rPr>
        <w:t>No information is exchanged between LTE and NR sidelinks within the UE</w:t>
      </w:r>
    </w:p>
    <w:p w14:paraId="362FFDF3" w14:textId="77777777" w:rsidR="009E32D0" w:rsidRPr="00D84526" w:rsidRDefault="009E32D0" w:rsidP="009E32D0">
      <w:pPr>
        <w:numPr>
          <w:ilvl w:val="0"/>
          <w:numId w:val="20"/>
        </w:numPr>
        <w:overflowPunct/>
        <w:autoSpaceDE/>
        <w:autoSpaceDN/>
        <w:adjustRightInd/>
        <w:spacing w:after="0"/>
        <w:contextualSpacing/>
        <w:textAlignment w:val="auto"/>
        <w:rPr>
          <w:rFonts w:ascii="Times" w:eastAsia="Batang" w:hAnsi="Times"/>
          <w:i/>
          <w:sz w:val="24"/>
          <w:szCs w:val="24"/>
          <w:lang w:eastAsia="x-none"/>
        </w:rPr>
      </w:pPr>
      <w:r w:rsidRPr="00D84526">
        <w:rPr>
          <w:rFonts w:ascii="Times" w:eastAsia="Batang" w:hAnsi="Times"/>
          <w:i/>
          <w:sz w:val="24"/>
          <w:szCs w:val="24"/>
          <w:lang w:eastAsia="x-none"/>
        </w:rPr>
        <w:t>Long term time scale TDM solution is feasible from RAN1 point of view</w:t>
      </w:r>
    </w:p>
    <w:p w14:paraId="6A2E338F" w14:textId="77777777" w:rsidR="009E32D0" w:rsidRPr="00D84526" w:rsidRDefault="009E32D0" w:rsidP="009E32D0">
      <w:pPr>
        <w:numPr>
          <w:ilvl w:val="1"/>
          <w:numId w:val="20"/>
        </w:numPr>
        <w:overflowPunct/>
        <w:autoSpaceDE/>
        <w:autoSpaceDN/>
        <w:adjustRightInd/>
        <w:spacing w:after="0"/>
        <w:contextualSpacing/>
        <w:textAlignment w:val="auto"/>
        <w:rPr>
          <w:rFonts w:ascii="Times" w:eastAsia="Batang" w:hAnsi="Times"/>
          <w:i/>
          <w:sz w:val="24"/>
          <w:szCs w:val="24"/>
          <w:lang w:eastAsia="x-none"/>
        </w:rPr>
      </w:pPr>
      <w:r w:rsidRPr="00D84526">
        <w:rPr>
          <w:rFonts w:ascii="Times" w:eastAsia="Batang" w:hAnsi="Times"/>
          <w:i/>
          <w:sz w:val="24"/>
          <w:szCs w:val="24"/>
          <w:lang w:eastAsia="x-none"/>
        </w:rPr>
        <w:t xml:space="preserve">Note: although feasible, it is expected that such a solution may have impact on latency, reliability and data rate requirements for some applications </w:t>
      </w:r>
    </w:p>
    <w:p w14:paraId="097CDE74" w14:textId="77777777" w:rsidR="009E32D0" w:rsidRPr="00D84526" w:rsidRDefault="009E32D0" w:rsidP="009E32D0">
      <w:pPr>
        <w:numPr>
          <w:ilvl w:val="1"/>
          <w:numId w:val="20"/>
        </w:numPr>
        <w:overflowPunct/>
        <w:autoSpaceDE/>
        <w:autoSpaceDN/>
        <w:adjustRightInd/>
        <w:spacing w:after="0"/>
        <w:contextualSpacing/>
        <w:textAlignment w:val="auto"/>
        <w:rPr>
          <w:rFonts w:ascii="Times" w:eastAsia="Batang" w:hAnsi="Times"/>
          <w:i/>
          <w:sz w:val="24"/>
          <w:szCs w:val="24"/>
          <w:lang w:eastAsia="x-none"/>
        </w:rPr>
      </w:pPr>
      <w:r w:rsidRPr="00D84526">
        <w:rPr>
          <w:rFonts w:ascii="Times" w:eastAsia="Batang" w:hAnsi="Times"/>
          <w:i/>
          <w:sz w:val="24"/>
          <w:szCs w:val="24"/>
          <w:lang w:eastAsia="x-none"/>
        </w:rPr>
        <w:t>No additional modifications to LTE specifications are needed</w:t>
      </w:r>
    </w:p>
    <w:p w14:paraId="11B4AC77" w14:textId="77777777" w:rsidR="009E32D0" w:rsidRPr="00D84526" w:rsidRDefault="009E32D0" w:rsidP="006A0DD3">
      <w:pPr>
        <w:rPr>
          <w:sz w:val="24"/>
          <w:szCs w:val="24"/>
        </w:rPr>
      </w:pPr>
    </w:p>
    <w:p w14:paraId="433B9F56" w14:textId="4C0EAEF9" w:rsidR="006C2096" w:rsidRPr="00D84526" w:rsidRDefault="009E32D0" w:rsidP="006A0DD3">
      <w:pPr>
        <w:rPr>
          <w:sz w:val="24"/>
          <w:szCs w:val="24"/>
        </w:rPr>
      </w:pPr>
      <w:r w:rsidRPr="00D84526">
        <w:rPr>
          <w:sz w:val="24"/>
          <w:szCs w:val="24"/>
        </w:rPr>
        <w:t xml:space="preserve">Coexistence of NR and LTE SL is based on (pre)configuration of resource pools. </w:t>
      </w:r>
      <w:r w:rsidR="00B701D3" w:rsidRPr="00D84526">
        <w:rPr>
          <w:sz w:val="24"/>
          <w:szCs w:val="24"/>
        </w:rPr>
        <w:t>We think that further RAN1 work is not needed</w:t>
      </w:r>
      <w:r w:rsidR="00D84526" w:rsidRPr="00D84526">
        <w:rPr>
          <w:sz w:val="24"/>
          <w:szCs w:val="24"/>
        </w:rPr>
        <w:t xml:space="preserve"> to support long term time scale TDM solutions.</w:t>
      </w:r>
    </w:p>
    <w:p w14:paraId="04A1C960" w14:textId="77777777" w:rsidR="006F078B" w:rsidRPr="006F078B" w:rsidRDefault="006F078B" w:rsidP="006A0DD3"/>
    <w:p w14:paraId="115B6B9C" w14:textId="354E05CA" w:rsidR="00F54033" w:rsidRDefault="00F54033" w:rsidP="00F54033">
      <w:pPr>
        <w:pStyle w:val="Heading2"/>
      </w:pPr>
      <w:r>
        <w:t>FDM solutions for coexistence</w:t>
      </w:r>
    </w:p>
    <w:p w14:paraId="642EE0EB" w14:textId="6727E181" w:rsidR="00B701D3" w:rsidRPr="00D84526" w:rsidRDefault="00B701D3" w:rsidP="006A0DD3">
      <w:pPr>
        <w:rPr>
          <w:sz w:val="24"/>
          <w:szCs w:val="24"/>
        </w:rPr>
      </w:pPr>
      <w:r w:rsidRPr="00D84526">
        <w:rPr>
          <w:sz w:val="24"/>
          <w:szCs w:val="24"/>
        </w:rPr>
        <w:t>According to the WID FDM solutions are only considered for interband case. In the January ad-hoc meeting the following was agreed:</w:t>
      </w:r>
    </w:p>
    <w:p w14:paraId="0F211BA3" w14:textId="77777777" w:rsidR="00B701D3" w:rsidRPr="00D84526" w:rsidRDefault="00B701D3" w:rsidP="00B701D3">
      <w:pPr>
        <w:overflowPunct/>
        <w:autoSpaceDE/>
        <w:autoSpaceDN/>
        <w:adjustRightInd/>
        <w:spacing w:after="0"/>
        <w:textAlignment w:val="auto"/>
        <w:rPr>
          <w:rFonts w:ascii="Times" w:eastAsia="Batang" w:hAnsi="Times"/>
          <w:b/>
          <w:i/>
          <w:sz w:val="24"/>
          <w:szCs w:val="24"/>
          <w:lang w:eastAsia="x-none"/>
        </w:rPr>
      </w:pPr>
      <w:r w:rsidRPr="00D84526">
        <w:rPr>
          <w:rFonts w:ascii="Times" w:eastAsia="Batang" w:hAnsi="Times"/>
          <w:i/>
          <w:sz w:val="24"/>
          <w:szCs w:val="24"/>
          <w:highlight w:val="green"/>
          <w:lang w:eastAsia="x-none"/>
        </w:rPr>
        <w:t>Agreements</w:t>
      </w:r>
      <w:r w:rsidRPr="00D84526">
        <w:rPr>
          <w:rFonts w:ascii="Times" w:eastAsia="Batang" w:hAnsi="Times"/>
          <w:b/>
          <w:i/>
          <w:sz w:val="24"/>
          <w:szCs w:val="24"/>
          <w:lang w:eastAsia="x-none"/>
        </w:rPr>
        <w:t>:</w:t>
      </w:r>
    </w:p>
    <w:p w14:paraId="042DFFF5" w14:textId="77777777" w:rsidR="00B701D3" w:rsidRPr="00D84526" w:rsidRDefault="00B701D3" w:rsidP="00B701D3">
      <w:pPr>
        <w:numPr>
          <w:ilvl w:val="0"/>
          <w:numId w:val="16"/>
        </w:numPr>
        <w:overflowPunct/>
        <w:autoSpaceDE/>
        <w:autoSpaceDN/>
        <w:adjustRightInd/>
        <w:spacing w:after="0"/>
        <w:contextualSpacing/>
        <w:textAlignment w:val="auto"/>
        <w:rPr>
          <w:rFonts w:ascii="Times" w:eastAsia="Batang" w:hAnsi="Times"/>
          <w:i/>
          <w:sz w:val="24"/>
          <w:szCs w:val="24"/>
          <w:lang w:eastAsia="x-none"/>
        </w:rPr>
      </w:pPr>
      <w:r w:rsidRPr="00D84526">
        <w:rPr>
          <w:rFonts w:ascii="Times" w:eastAsia="Batang" w:hAnsi="Times"/>
          <w:i/>
          <w:sz w:val="24"/>
          <w:szCs w:val="24"/>
          <w:lang w:eastAsia="x-none"/>
        </w:rPr>
        <w:lastRenderedPageBreak/>
        <w:t>Inter-band FDM Solutions for coexistence</w:t>
      </w:r>
    </w:p>
    <w:p w14:paraId="73C0FCBB" w14:textId="77777777" w:rsidR="00B701D3" w:rsidRPr="00D84526" w:rsidRDefault="00B701D3" w:rsidP="00B701D3">
      <w:pPr>
        <w:numPr>
          <w:ilvl w:val="1"/>
          <w:numId w:val="16"/>
        </w:numPr>
        <w:overflowPunct/>
        <w:autoSpaceDE/>
        <w:autoSpaceDN/>
        <w:adjustRightInd/>
        <w:spacing w:after="0"/>
        <w:contextualSpacing/>
        <w:textAlignment w:val="auto"/>
        <w:rPr>
          <w:rFonts w:ascii="Times" w:eastAsia="Batang" w:hAnsi="Times"/>
          <w:i/>
          <w:sz w:val="24"/>
          <w:szCs w:val="24"/>
          <w:lang w:eastAsia="x-none"/>
        </w:rPr>
      </w:pPr>
      <w:r w:rsidRPr="00D84526">
        <w:rPr>
          <w:rFonts w:ascii="Times" w:eastAsia="Batang" w:hAnsi="Times"/>
          <w:i/>
          <w:sz w:val="24"/>
          <w:szCs w:val="24"/>
          <w:lang w:eastAsia="x-none"/>
        </w:rPr>
        <w:t xml:space="preserve">For static power </w:t>
      </w:r>
      <w:r w:rsidRPr="00D84526">
        <w:rPr>
          <w:rFonts w:ascii="Times" w:eastAsia="DengXian" w:hAnsi="Times"/>
          <w:i/>
          <w:sz w:val="24"/>
          <w:szCs w:val="24"/>
          <w:lang w:eastAsia="zh-CN"/>
        </w:rPr>
        <w:t>assignment of Pc,max for each carrier</w:t>
      </w:r>
    </w:p>
    <w:p w14:paraId="4DAC8642" w14:textId="77777777" w:rsidR="00B701D3" w:rsidRPr="00D84526" w:rsidRDefault="00B701D3" w:rsidP="00B701D3">
      <w:pPr>
        <w:numPr>
          <w:ilvl w:val="2"/>
          <w:numId w:val="16"/>
        </w:numPr>
        <w:overflowPunct/>
        <w:autoSpaceDE/>
        <w:autoSpaceDN/>
        <w:adjustRightInd/>
        <w:spacing w:after="0"/>
        <w:contextualSpacing/>
        <w:textAlignment w:val="auto"/>
        <w:rPr>
          <w:rFonts w:ascii="Times" w:eastAsia="Batang" w:hAnsi="Times"/>
          <w:i/>
          <w:sz w:val="24"/>
          <w:szCs w:val="24"/>
          <w:lang w:eastAsia="x-none"/>
        </w:rPr>
      </w:pPr>
      <w:r w:rsidRPr="00D84526">
        <w:rPr>
          <w:rFonts w:ascii="Times" w:eastAsia="DengXian" w:hAnsi="Times"/>
          <w:i/>
          <w:sz w:val="24"/>
          <w:szCs w:val="24"/>
          <w:lang w:eastAsia="zh-CN"/>
        </w:rPr>
        <w:t>Synchronization is not assumed for</w:t>
      </w:r>
      <w:r w:rsidRPr="00D84526">
        <w:rPr>
          <w:rFonts w:ascii="Times" w:eastAsia="Batang" w:hAnsi="Times"/>
          <w:i/>
          <w:sz w:val="24"/>
          <w:szCs w:val="24"/>
          <w:lang w:eastAsia="x-none"/>
        </w:rPr>
        <w:t xml:space="preserve"> </w:t>
      </w:r>
      <w:r w:rsidRPr="00D84526">
        <w:rPr>
          <w:rFonts w:ascii="Times" w:eastAsia="DengXian" w:hAnsi="Times"/>
          <w:i/>
          <w:sz w:val="24"/>
          <w:szCs w:val="24"/>
          <w:lang w:eastAsia="zh-CN"/>
        </w:rPr>
        <w:t>inter-band coexistence of NR sidelink and LTE sidelink.</w:t>
      </w:r>
    </w:p>
    <w:p w14:paraId="6EA77EFF" w14:textId="77777777" w:rsidR="00B701D3" w:rsidRPr="00D84526" w:rsidRDefault="00B701D3" w:rsidP="00B701D3">
      <w:pPr>
        <w:numPr>
          <w:ilvl w:val="2"/>
          <w:numId w:val="16"/>
        </w:numPr>
        <w:overflowPunct/>
        <w:autoSpaceDE/>
        <w:autoSpaceDN/>
        <w:adjustRightInd/>
        <w:spacing w:after="0"/>
        <w:contextualSpacing/>
        <w:textAlignment w:val="auto"/>
        <w:rPr>
          <w:rFonts w:ascii="Times" w:eastAsia="Batang" w:hAnsi="Times"/>
          <w:i/>
          <w:sz w:val="24"/>
          <w:szCs w:val="24"/>
          <w:lang w:eastAsia="x-none"/>
        </w:rPr>
      </w:pPr>
      <w:r w:rsidRPr="00D84526">
        <w:rPr>
          <w:rFonts w:ascii="Times" w:eastAsia="DengXian" w:hAnsi="Times"/>
          <w:i/>
          <w:sz w:val="24"/>
          <w:szCs w:val="24"/>
          <w:lang w:eastAsia="zh-CN"/>
        </w:rPr>
        <w:t>This FDM solution is feasible for resolution of Tx/Tx coexistence conflicts</w:t>
      </w:r>
    </w:p>
    <w:p w14:paraId="2ABFE17E" w14:textId="77777777" w:rsidR="00B701D3" w:rsidRPr="00D84526" w:rsidRDefault="00B701D3" w:rsidP="00B701D3">
      <w:pPr>
        <w:numPr>
          <w:ilvl w:val="2"/>
          <w:numId w:val="16"/>
        </w:numPr>
        <w:overflowPunct/>
        <w:autoSpaceDE/>
        <w:autoSpaceDN/>
        <w:adjustRightInd/>
        <w:spacing w:after="0"/>
        <w:contextualSpacing/>
        <w:textAlignment w:val="auto"/>
        <w:rPr>
          <w:rFonts w:ascii="Times" w:eastAsia="Batang" w:hAnsi="Times"/>
          <w:i/>
          <w:sz w:val="24"/>
          <w:szCs w:val="24"/>
          <w:lang w:eastAsia="x-none"/>
        </w:rPr>
      </w:pPr>
      <w:r w:rsidRPr="00D84526">
        <w:rPr>
          <w:rFonts w:ascii="Times" w:eastAsia="DengXian" w:hAnsi="Times"/>
          <w:i/>
          <w:sz w:val="24"/>
          <w:szCs w:val="24"/>
          <w:lang w:eastAsia="zh-CN"/>
        </w:rPr>
        <w:t>If the band separation is large enough (based on RAN4 indication), then this FDM solution for coexistence is feasible for Tx/Rx coexistence</w:t>
      </w:r>
    </w:p>
    <w:p w14:paraId="1E3A6522" w14:textId="77777777" w:rsidR="00B701D3" w:rsidRPr="00D84526" w:rsidRDefault="00B701D3" w:rsidP="00B701D3">
      <w:pPr>
        <w:numPr>
          <w:ilvl w:val="2"/>
          <w:numId w:val="16"/>
        </w:numPr>
        <w:overflowPunct/>
        <w:autoSpaceDE/>
        <w:autoSpaceDN/>
        <w:adjustRightInd/>
        <w:spacing w:after="0"/>
        <w:contextualSpacing/>
        <w:textAlignment w:val="auto"/>
        <w:rPr>
          <w:rFonts w:ascii="Times" w:eastAsia="Batang" w:hAnsi="Times"/>
          <w:i/>
          <w:sz w:val="24"/>
          <w:szCs w:val="24"/>
          <w:lang w:eastAsia="x-none"/>
        </w:rPr>
      </w:pPr>
      <w:r w:rsidRPr="00D84526">
        <w:rPr>
          <w:rFonts w:ascii="Times" w:eastAsia="DengXian" w:hAnsi="Times"/>
          <w:i/>
          <w:sz w:val="24"/>
          <w:szCs w:val="24"/>
          <w:lang w:eastAsia="zh-CN"/>
        </w:rPr>
        <w:t>If the band separation is NOT large enough, then this FDM solution is not feasible for resolution of Tx/Rx coexistence conflicts</w:t>
      </w:r>
    </w:p>
    <w:p w14:paraId="41469255" w14:textId="77777777" w:rsidR="00B701D3" w:rsidRPr="00D84526" w:rsidRDefault="00B701D3" w:rsidP="00B701D3">
      <w:pPr>
        <w:numPr>
          <w:ilvl w:val="1"/>
          <w:numId w:val="16"/>
        </w:numPr>
        <w:overflowPunct/>
        <w:autoSpaceDE/>
        <w:autoSpaceDN/>
        <w:adjustRightInd/>
        <w:spacing w:after="0"/>
        <w:contextualSpacing/>
        <w:textAlignment w:val="auto"/>
        <w:rPr>
          <w:rFonts w:ascii="Times" w:eastAsia="Batang" w:hAnsi="Times"/>
          <w:i/>
          <w:sz w:val="24"/>
          <w:szCs w:val="24"/>
          <w:lang w:eastAsia="x-none"/>
        </w:rPr>
      </w:pPr>
      <w:r w:rsidRPr="00D84526">
        <w:rPr>
          <w:rFonts w:ascii="Times" w:eastAsia="Batang" w:hAnsi="Times"/>
          <w:i/>
          <w:sz w:val="24"/>
          <w:szCs w:val="24"/>
          <w:lang w:eastAsia="x-none"/>
        </w:rPr>
        <w:t xml:space="preserve">For dynamic power sharing between carriers, </w:t>
      </w:r>
    </w:p>
    <w:p w14:paraId="4B689D92" w14:textId="77777777" w:rsidR="00B701D3" w:rsidRPr="00D84526" w:rsidRDefault="00B701D3" w:rsidP="00B701D3">
      <w:pPr>
        <w:numPr>
          <w:ilvl w:val="2"/>
          <w:numId w:val="16"/>
        </w:numPr>
        <w:overflowPunct/>
        <w:autoSpaceDE/>
        <w:autoSpaceDN/>
        <w:adjustRightInd/>
        <w:spacing w:after="0"/>
        <w:contextualSpacing/>
        <w:textAlignment w:val="auto"/>
        <w:rPr>
          <w:rFonts w:ascii="Times" w:eastAsia="Batang" w:hAnsi="Times"/>
          <w:i/>
          <w:sz w:val="24"/>
          <w:szCs w:val="24"/>
          <w:lang w:eastAsia="x-none"/>
        </w:rPr>
      </w:pPr>
      <w:r w:rsidRPr="00D84526">
        <w:rPr>
          <w:rFonts w:ascii="Times" w:eastAsia="Batang" w:hAnsi="Times"/>
          <w:i/>
          <w:sz w:val="24"/>
          <w:szCs w:val="24"/>
          <w:lang w:eastAsia="x-none"/>
        </w:rPr>
        <w:t>FFS details of FDM solutions and whether they are feasible</w:t>
      </w:r>
    </w:p>
    <w:p w14:paraId="0003069B" w14:textId="0771C9F3" w:rsidR="00B701D3" w:rsidRPr="00D84526" w:rsidRDefault="00B701D3" w:rsidP="006A0DD3">
      <w:pPr>
        <w:rPr>
          <w:sz w:val="24"/>
          <w:szCs w:val="24"/>
        </w:rPr>
      </w:pPr>
    </w:p>
    <w:p w14:paraId="335D35F0" w14:textId="40B7F634" w:rsidR="00B701D3" w:rsidRPr="00D84526" w:rsidRDefault="00B701D3" w:rsidP="006A0DD3">
      <w:pPr>
        <w:rPr>
          <w:sz w:val="24"/>
          <w:szCs w:val="24"/>
        </w:rPr>
      </w:pPr>
      <w:r w:rsidRPr="00D84526">
        <w:rPr>
          <w:sz w:val="24"/>
          <w:szCs w:val="24"/>
        </w:rPr>
        <w:t xml:space="preserve">The agreement above and WID discuss about static power sharing. </w:t>
      </w:r>
      <w:r w:rsidR="00266446" w:rsidRPr="00D84526">
        <w:rPr>
          <w:sz w:val="24"/>
          <w:szCs w:val="24"/>
        </w:rPr>
        <w:t>We think that power sharing could be semi-statically (pre)configured for the UE so that some adaptation to the transmissions taking place in NR</w:t>
      </w:r>
      <w:r w:rsidRPr="00D84526">
        <w:rPr>
          <w:sz w:val="24"/>
          <w:szCs w:val="24"/>
        </w:rPr>
        <w:t xml:space="preserve"> </w:t>
      </w:r>
      <w:r w:rsidR="00266446" w:rsidRPr="00D84526">
        <w:rPr>
          <w:sz w:val="24"/>
          <w:szCs w:val="24"/>
        </w:rPr>
        <w:t>SL and LTE SL is possibl</w:t>
      </w:r>
      <w:r w:rsidR="00D84526" w:rsidRPr="00D84526">
        <w:rPr>
          <w:sz w:val="24"/>
          <w:szCs w:val="24"/>
        </w:rPr>
        <w:t>e</w:t>
      </w:r>
      <w:r w:rsidR="00266446" w:rsidRPr="00D84526">
        <w:rPr>
          <w:sz w:val="24"/>
          <w:szCs w:val="24"/>
        </w:rPr>
        <w:t xml:space="preserve">. In RAN1 specification this is not necessarily visible at all but Pc,max of each SL carrier is </w:t>
      </w:r>
      <w:r w:rsidR="0095289E">
        <w:rPr>
          <w:sz w:val="24"/>
          <w:szCs w:val="24"/>
        </w:rPr>
        <w:t>defined</w:t>
      </w:r>
      <w:r w:rsidR="00266446" w:rsidRPr="00D84526">
        <w:rPr>
          <w:sz w:val="24"/>
          <w:szCs w:val="24"/>
        </w:rPr>
        <w:t xml:space="preserve"> in the RAN4 specifications</w:t>
      </w:r>
      <w:r w:rsidR="0095289E">
        <w:rPr>
          <w:sz w:val="24"/>
          <w:szCs w:val="24"/>
        </w:rPr>
        <w:t xml:space="preserve"> and RAN1 specifications just refer to the parameter defined in RAN4.</w:t>
      </w:r>
    </w:p>
    <w:p w14:paraId="143660EC" w14:textId="03B8F9E0" w:rsidR="00266446" w:rsidRPr="00D84526" w:rsidRDefault="00266446" w:rsidP="006A0DD3">
      <w:pPr>
        <w:rPr>
          <w:b/>
          <w:sz w:val="24"/>
          <w:szCs w:val="24"/>
        </w:rPr>
      </w:pPr>
      <w:r w:rsidRPr="00D84526">
        <w:rPr>
          <w:b/>
          <w:sz w:val="24"/>
          <w:szCs w:val="24"/>
        </w:rPr>
        <w:t xml:space="preserve">Proposal 3: For inter-band FDM operation semi-static configuration of maximum </w:t>
      </w:r>
      <w:r w:rsidR="0095289E">
        <w:rPr>
          <w:b/>
          <w:sz w:val="24"/>
          <w:szCs w:val="24"/>
        </w:rPr>
        <w:t xml:space="preserve">Tx </w:t>
      </w:r>
      <w:r w:rsidRPr="00D84526">
        <w:rPr>
          <w:b/>
          <w:sz w:val="24"/>
          <w:szCs w:val="24"/>
        </w:rPr>
        <w:t xml:space="preserve">power </w:t>
      </w:r>
      <w:r w:rsidR="0095289E">
        <w:rPr>
          <w:b/>
          <w:sz w:val="24"/>
          <w:szCs w:val="24"/>
        </w:rPr>
        <w:t>of</w:t>
      </w:r>
      <w:r w:rsidRPr="00D84526">
        <w:rPr>
          <w:b/>
          <w:sz w:val="24"/>
          <w:szCs w:val="24"/>
        </w:rPr>
        <w:t xml:space="preserve"> each </w:t>
      </w:r>
      <w:r w:rsidR="00D84526">
        <w:rPr>
          <w:b/>
          <w:sz w:val="24"/>
          <w:szCs w:val="24"/>
        </w:rPr>
        <w:t xml:space="preserve">NR </w:t>
      </w:r>
      <w:r w:rsidRPr="00D84526">
        <w:rPr>
          <w:b/>
          <w:sz w:val="24"/>
          <w:szCs w:val="24"/>
        </w:rPr>
        <w:t xml:space="preserve">SL carrier is supported. </w:t>
      </w:r>
    </w:p>
    <w:p w14:paraId="06CE01C9" w14:textId="77777777" w:rsidR="00B701D3" w:rsidRDefault="00B701D3" w:rsidP="006A0DD3"/>
    <w:bookmarkEnd w:id="1"/>
    <w:p w14:paraId="2FB21F28" w14:textId="1C37819E" w:rsidR="00A23DCA" w:rsidRPr="001F22D5" w:rsidRDefault="00A23DCA" w:rsidP="006A0DD3"/>
    <w:p w14:paraId="10445A01" w14:textId="480CC7E1" w:rsidR="00885580" w:rsidRDefault="007820D0" w:rsidP="00885580">
      <w:pPr>
        <w:pStyle w:val="Heading1"/>
      </w:pPr>
      <w:r>
        <w:t>Conclusion</w:t>
      </w:r>
    </w:p>
    <w:p w14:paraId="3BD989DE" w14:textId="46F81573" w:rsidR="00885580" w:rsidRDefault="009F28A2" w:rsidP="00885580">
      <w:pPr>
        <w:rPr>
          <w:sz w:val="24"/>
          <w:szCs w:val="24"/>
        </w:rPr>
      </w:pPr>
      <w:r w:rsidRPr="00D84526">
        <w:rPr>
          <w:sz w:val="24"/>
          <w:szCs w:val="24"/>
        </w:rPr>
        <w:t>In this contribution, issues related to coexistence of NR SL and LTE SL have been discussed. Based on the discussion, the following proposals were made:</w:t>
      </w:r>
    </w:p>
    <w:p w14:paraId="3122FBCD" w14:textId="77777777" w:rsidR="00D84526" w:rsidRPr="00D84526" w:rsidRDefault="00D84526" w:rsidP="00D84526">
      <w:pPr>
        <w:rPr>
          <w:b/>
          <w:sz w:val="24"/>
          <w:szCs w:val="24"/>
        </w:rPr>
      </w:pPr>
      <w:r w:rsidRPr="00D84526">
        <w:rPr>
          <w:b/>
          <w:sz w:val="24"/>
          <w:szCs w:val="24"/>
        </w:rPr>
        <w:t xml:space="preserve">Proposal 1: The achievable accuracy of subframe boundary alignment in case of GNSS based and network based synchronization is studied. RAN4 may be better group to study this issue. </w:t>
      </w:r>
    </w:p>
    <w:p w14:paraId="1CE65CAE" w14:textId="77777777" w:rsidR="00D84526" w:rsidRPr="00D84526" w:rsidRDefault="00D84526" w:rsidP="00D84526">
      <w:pPr>
        <w:rPr>
          <w:b/>
          <w:sz w:val="24"/>
          <w:szCs w:val="24"/>
        </w:rPr>
      </w:pPr>
      <w:r w:rsidRPr="00D84526">
        <w:rPr>
          <w:b/>
          <w:sz w:val="24"/>
          <w:szCs w:val="24"/>
        </w:rPr>
        <w:t>Proposal 2: Study further how common priority level definition between NR SL and LTE SL transmissions should be specified.</w:t>
      </w:r>
    </w:p>
    <w:p w14:paraId="4F570B16" w14:textId="5731AFD7" w:rsidR="003061A0" w:rsidRDefault="00D84526" w:rsidP="00885580">
      <w:pPr>
        <w:rPr>
          <w:b/>
          <w:sz w:val="24"/>
          <w:szCs w:val="24"/>
        </w:rPr>
      </w:pPr>
      <w:r w:rsidRPr="00D84526">
        <w:rPr>
          <w:b/>
          <w:sz w:val="24"/>
          <w:szCs w:val="24"/>
        </w:rPr>
        <w:t xml:space="preserve">Proposal 3: For inter-band FDM operation semi-static configuration of maximum </w:t>
      </w:r>
      <w:r w:rsidR="0095289E">
        <w:rPr>
          <w:b/>
          <w:sz w:val="24"/>
          <w:szCs w:val="24"/>
        </w:rPr>
        <w:t xml:space="preserve">TX </w:t>
      </w:r>
      <w:r w:rsidRPr="00D84526">
        <w:rPr>
          <w:b/>
          <w:sz w:val="24"/>
          <w:szCs w:val="24"/>
        </w:rPr>
        <w:t xml:space="preserve">power </w:t>
      </w:r>
      <w:r w:rsidR="0095289E">
        <w:rPr>
          <w:b/>
          <w:sz w:val="24"/>
          <w:szCs w:val="24"/>
        </w:rPr>
        <w:t>of</w:t>
      </w:r>
      <w:r w:rsidRPr="00D84526">
        <w:rPr>
          <w:b/>
          <w:sz w:val="24"/>
          <w:szCs w:val="24"/>
        </w:rPr>
        <w:t xml:space="preserve"> each </w:t>
      </w:r>
      <w:r>
        <w:rPr>
          <w:b/>
          <w:sz w:val="24"/>
          <w:szCs w:val="24"/>
        </w:rPr>
        <w:t xml:space="preserve">NR </w:t>
      </w:r>
      <w:r w:rsidRPr="00D84526">
        <w:rPr>
          <w:b/>
          <w:sz w:val="24"/>
          <w:szCs w:val="24"/>
        </w:rPr>
        <w:t xml:space="preserve">SL carrier is supported. </w:t>
      </w:r>
    </w:p>
    <w:p w14:paraId="553A94D3" w14:textId="77777777" w:rsidR="00D84526" w:rsidRPr="00D84526" w:rsidRDefault="00D84526" w:rsidP="00885580">
      <w:pPr>
        <w:rPr>
          <w:b/>
          <w:sz w:val="24"/>
          <w:szCs w:val="24"/>
        </w:rPr>
      </w:pPr>
    </w:p>
    <w:p w14:paraId="53CD9119" w14:textId="77777777" w:rsidR="00885580" w:rsidRPr="00ED1327" w:rsidRDefault="00885580" w:rsidP="00885580">
      <w:pPr>
        <w:pStyle w:val="Heading1"/>
        <w:numPr>
          <w:ilvl w:val="0"/>
          <w:numId w:val="0"/>
        </w:numPr>
      </w:pPr>
      <w:r>
        <w:t>References</w:t>
      </w:r>
    </w:p>
    <w:p w14:paraId="2DD0420A" w14:textId="38BDA18E" w:rsidR="00224A85" w:rsidRPr="00D84526" w:rsidRDefault="00224A85" w:rsidP="00112168">
      <w:pPr>
        <w:pStyle w:val="ListParagraph"/>
        <w:numPr>
          <w:ilvl w:val="0"/>
          <w:numId w:val="12"/>
        </w:numPr>
        <w:rPr>
          <w:lang w:val="en-US"/>
        </w:rPr>
      </w:pPr>
      <w:bookmarkStart w:id="2" w:name="_Ref5021526"/>
      <w:r w:rsidRPr="00D84526">
        <w:rPr>
          <w:lang w:val="en-US"/>
        </w:rPr>
        <w:t>RP-190766, New WID on 5G V2X with NR sidelink, LG Electronics, Huawei</w:t>
      </w:r>
      <w:bookmarkEnd w:id="2"/>
    </w:p>
    <w:p w14:paraId="42585CD1" w14:textId="3FDFBB02" w:rsidR="00366C1B" w:rsidRPr="00D84526" w:rsidRDefault="00BA1872" w:rsidP="00112168">
      <w:pPr>
        <w:pStyle w:val="ListParagraph"/>
        <w:numPr>
          <w:ilvl w:val="0"/>
          <w:numId w:val="12"/>
        </w:numPr>
        <w:rPr>
          <w:lang w:val="en-US"/>
        </w:rPr>
      </w:pPr>
      <w:r w:rsidRPr="00D84526">
        <w:rPr>
          <w:lang w:val="en-US"/>
        </w:rPr>
        <w:t>R1-</w:t>
      </w:r>
      <w:r w:rsidR="00112168" w:rsidRPr="00D84526">
        <w:rPr>
          <w:lang w:val="en-US"/>
        </w:rPr>
        <w:t>190</w:t>
      </w:r>
      <w:r w:rsidR="00224A85" w:rsidRPr="00D84526">
        <w:rPr>
          <w:lang w:val="en-US"/>
        </w:rPr>
        <w:t>3594</w:t>
      </w:r>
      <w:r w:rsidR="00366C1B" w:rsidRPr="00D84526">
        <w:rPr>
          <w:lang w:val="en-US"/>
        </w:rPr>
        <w:t xml:space="preserve">, </w:t>
      </w:r>
      <w:r w:rsidR="00224A85" w:rsidRPr="00D84526">
        <w:rPr>
          <w:lang w:val="en-US"/>
        </w:rPr>
        <w:t>Summary of Coexistence Aspects in NR-V2X Study (AI 7.2.4.5)</w:t>
      </w:r>
      <w:r w:rsidR="00366C1B" w:rsidRPr="00D84526">
        <w:rPr>
          <w:lang w:val="en-US"/>
        </w:rPr>
        <w:t xml:space="preserve">, </w:t>
      </w:r>
      <w:r w:rsidR="00412912" w:rsidRPr="00D84526">
        <w:rPr>
          <w:lang w:val="en-US"/>
        </w:rPr>
        <w:t xml:space="preserve">Qualcomm </w:t>
      </w:r>
      <w:r w:rsidR="00224A85" w:rsidRPr="00D84526">
        <w:rPr>
          <w:lang w:val="en-US"/>
        </w:rPr>
        <w:t>Incorporated</w:t>
      </w:r>
    </w:p>
    <w:sectPr w:rsidR="00366C1B" w:rsidRPr="00D8452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E0408" w14:textId="77777777" w:rsidR="005F0FC4" w:rsidRDefault="005F0FC4">
      <w:r>
        <w:separator/>
      </w:r>
    </w:p>
  </w:endnote>
  <w:endnote w:type="continuationSeparator" w:id="0">
    <w:p w14:paraId="3F8B401F" w14:textId="77777777" w:rsidR="005F0FC4" w:rsidRDefault="005F0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5DD09" w14:textId="77777777" w:rsidR="005F0FC4" w:rsidRDefault="005F0FC4">
      <w:r>
        <w:separator/>
      </w:r>
    </w:p>
  </w:footnote>
  <w:footnote w:type="continuationSeparator" w:id="0">
    <w:p w14:paraId="1CAC5115" w14:textId="77777777" w:rsidR="005F0FC4" w:rsidRDefault="005F0F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37A68"/>
    <w:multiLevelType w:val="hybridMultilevel"/>
    <w:tmpl w:val="74DA68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0" w15:restartNumberingAfterBreak="0">
    <w:nsid w:val="68205AF2"/>
    <w:multiLevelType w:val="hybridMultilevel"/>
    <w:tmpl w:val="FC18E3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3F2224"/>
    <w:multiLevelType w:val="hybridMultilevel"/>
    <w:tmpl w:val="F4866F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8"/>
  </w:num>
  <w:num w:numId="3">
    <w:abstractNumId w:val="0"/>
  </w:num>
  <w:num w:numId="4">
    <w:abstractNumId w:val="1"/>
  </w:num>
  <w:num w:numId="5">
    <w:abstractNumId w:val="11"/>
  </w:num>
  <w:num w:numId="6">
    <w:abstractNumId w:val="19"/>
  </w:num>
  <w:num w:numId="7">
    <w:abstractNumId w:val="14"/>
  </w:num>
  <w:num w:numId="8">
    <w:abstractNumId w:val="10"/>
  </w:num>
  <w:num w:numId="9">
    <w:abstractNumId w:val="23"/>
  </w:num>
  <w:num w:numId="10">
    <w:abstractNumId w:val="4"/>
  </w:num>
  <w:num w:numId="11">
    <w:abstractNumId w:val="15"/>
  </w:num>
  <w:num w:numId="12">
    <w:abstractNumId w:val="3"/>
  </w:num>
  <w:num w:numId="13">
    <w:abstractNumId w:val="8"/>
  </w:num>
  <w:num w:numId="14">
    <w:abstractNumId w:val="16"/>
  </w:num>
  <w:num w:numId="15">
    <w:abstractNumId w:val="2"/>
  </w:num>
  <w:num w:numId="16">
    <w:abstractNumId w:val="12"/>
  </w:num>
  <w:num w:numId="17">
    <w:abstractNumId w:val="7"/>
  </w:num>
  <w:num w:numId="18">
    <w:abstractNumId w:val="24"/>
  </w:num>
  <w:num w:numId="19">
    <w:abstractNumId w:val="20"/>
  </w:num>
  <w:num w:numId="20">
    <w:abstractNumId w:val="13"/>
  </w:num>
  <w:num w:numId="21">
    <w:abstractNumId w:val="6"/>
  </w:num>
  <w:num w:numId="22">
    <w:abstractNumId w:val="21"/>
  </w:num>
  <w:num w:numId="23">
    <w:abstractNumId w:val="9"/>
  </w:num>
  <w:num w:numId="24">
    <w:abstractNumId w:val="22"/>
  </w:num>
  <w:num w:numId="2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487"/>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16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BCE"/>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23E"/>
    <w:rsid w:val="0016381F"/>
    <w:rsid w:val="00163D1D"/>
    <w:rsid w:val="00164171"/>
    <w:rsid w:val="00164E58"/>
    <w:rsid w:val="00165033"/>
    <w:rsid w:val="001665EB"/>
    <w:rsid w:val="001670EA"/>
    <w:rsid w:val="001674A0"/>
    <w:rsid w:val="00170A50"/>
    <w:rsid w:val="00174463"/>
    <w:rsid w:val="00174FFD"/>
    <w:rsid w:val="00175365"/>
    <w:rsid w:val="001759CA"/>
    <w:rsid w:val="0017726A"/>
    <w:rsid w:val="00177DD3"/>
    <w:rsid w:val="00180278"/>
    <w:rsid w:val="001807F2"/>
    <w:rsid w:val="001818A7"/>
    <w:rsid w:val="00182725"/>
    <w:rsid w:val="001829C8"/>
    <w:rsid w:val="00185D78"/>
    <w:rsid w:val="001860E1"/>
    <w:rsid w:val="00186904"/>
    <w:rsid w:val="00186B0A"/>
    <w:rsid w:val="001905BD"/>
    <w:rsid w:val="00192FE6"/>
    <w:rsid w:val="0019360B"/>
    <w:rsid w:val="00193986"/>
    <w:rsid w:val="00193B08"/>
    <w:rsid w:val="00194570"/>
    <w:rsid w:val="00195DA2"/>
    <w:rsid w:val="00196BF4"/>
    <w:rsid w:val="001972DA"/>
    <w:rsid w:val="001976AA"/>
    <w:rsid w:val="0019780F"/>
    <w:rsid w:val="001A02F6"/>
    <w:rsid w:val="001A15C6"/>
    <w:rsid w:val="001A5510"/>
    <w:rsid w:val="001A5C7B"/>
    <w:rsid w:val="001A5E19"/>
    <w:rsid w:val="001A63D8"/>
    <w:rsid w:val="001B01FA"/>
    <w:rsid w:val="001B0832"/>
    <w:rsid w:val="001B18A7"/>
    <w:rsid w:val="001B25D0"/>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6EF"/>
    <w:rsid w:val="001F1987"/>
    <w:rsid w:val="001F21BC"/>
    <w:rsid w:val="001F22D5"/>
    <w:rsid w:val="001F231B"/>
    <w:rsid w:val="001F2379"/>
    <w:rsid w:val="001F23BD"/>
    <w:rsid w:val="001F34DA"/>
    <w:rsid w:val="001F4DAC"/>
    <w:rsid w:val="001F5019"/>
    <w:rsid w:val="001F51C5"/>
    <w:rsid w:val="001F65B0"/>
    <w:rsid w:val="001F67AA"/>
    <w:rsid w:val="001F6AFD"/>
    <w:rsid w:val="001F738D"/>
    <w:rsid w:val="001F7599"/>
    <w:rsid w:val="00201C6A"/>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4A85"/>
    <w:rsid w:val="00225217"/>
    <w:rsid w:val="002256D9"/>
    <w:rsid w:val="00226577"/>
    <w:rsid w:val="0022687C"/>
    <w:rsid w:val="002306F8"/>
    <w:rsid w:val="002312F4"/>
    <w:rsid w:val="002313A2"/>
    <w:rsid w:val="002319B2"/>
    <w:rsid w:val="00231FC7"/>
    <w:rsid w:val="00232930"/>
    <w:rsid w:val="00232A95"/>
    <w:rsid w:val="00232C3F"/>
    <w:rsid w:val="00232DD9"/>
    <w:rsid w:val="0023308F"/>
    <w:rsid w:val="00233403"/>
    <w:rsid w:val="00233440"/>
    <w:rsid w:val="00233D0E"/>
    <w:rsid w:val="00234E13"/>
    <w:rsid w:val="00235BAE"/>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446"/>
    <w:rsid w:val="002667A8"/>
    <w:rsid w:val="00267587"/>
    <w:rsid w:val="002675C8"/>
    <w:rsid w:val="00267760"/>
    <w:rsid w:val="002714DD"/>
    <w:rsid w:val="00271589"/>
    <w:rsid w:val="00273177"/>
    <w:rsid w:val="0027455B"/>
    <w:rsid w:val="00275074"/>
    <w:rsid w:val="002763E9"/>
    <w:rsid w:val="00276736"/>
    <w:rsid w:val="00276F4E"/>
    <w:rsid w:val="0027773D"/>
    <w:rsid w:val="002815FA"/>
    <w:rsid w:val="002824C2"/>
    <w:rsid w:val="00283BF9"/>
    <w:rsid w:val="00284E32"/>
    <w:rsid w:val="002851EB"/>
    <w:rsid w:val="00285510"/>
    <w:rsid w:val="00285BD1"/>
    <w:rsid w:val="00285DE2"/>
    <w:rsid w:val="0028616D"/>
    <w:rsid w:val="00286965"/>
    <w:rsid w:val="0029136E"/>
    <w:rsid w:val="00292399"/>
    <w:rsid w:val="00292450"/>
    <w:rsid w:val="00294445"/>
    <w:rsid w:val="00294B4D"/>
    <w:rsid w:val="0029537E"/>
    <w:rsid w:val="002960D5"/>
    <w:rsid w:val="00297926"/>
    <w:rsid w:val="002A02C9"/>
    <w:rsid w:val="002A1062"/>
    <w:rsid w:val="002A116C"/>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3B1"/>
    <w:rsid w:val="002C770F"/>
    <w:rsid w:val="002C7CFF"/>
    <w:rsid w:val="002D0BC6"/>
    <w:rsid w:val="002D12DB"/>
    <w:rsid w:val="002D17C5"/>
    <w:rsid w:val="002D365F"/>
    <w:rsid w:val="002D51DF"/>
    <w:rsid w:val="002D5518"/>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4C5"/>
    <w:rsid w:val="003048D7"/>
    <w:rsid w:val="00304A1B"/>
    <w:rsid w:val="00304AD2"/>
    <w:rsid w:val="00304EAA"/>
    <w:rsid w:val="00305297"/>
    <w:rsid w:val="003061A0"/>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636"/>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33F6"/>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519"/>
    <w:rsid w:val="003B2E9B"/>
    <w:rsid w:val="003B2F8D"/>
    <w:rsid w:val="003B3C64"/>
    <w:rsid w:val="003B4FAA"/>
    <w:rsid w:val="003B547A"/>
    <w:rsid w:val="003B6EC0"/>
    <w:rsid w:val="003B75B9"/>
    <w:rsid w:val="003C087B"/>
    <w:rsid w:val="003C0DA2"/>
    <w:rsid w:val="003C1A18"/>
    <w:rsid w:val="003C26CC"/>
    <w:rsid w:val="003C5C41"/>
    <w:rsid w:val="003C669D"/>
    <w:rsid w:val="003C6877"/>
    <w:rsid w:val="003C7062"/>
    <w:rsid w:val="003C7461"/>
    <w:rsid w:val="003C76A4"/>
    <w:rsid w:val="003D0788"/>
    <w:rsid w:val="003D132A"/>
    <w:rsid w:val="003D1517"/>
    <w:rsid w:val="003D1D50"/>
    <w:rsid w:val="003D232D"/>
    <w:rsid w:val="003D286B"/>
    <w:rsid w:val="003D2938"/>
    <w:rsid w:val="003D3DC7"/>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2912"/>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904"/>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EDC"/>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5C54"/>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4F2"/>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0FC4"/>
    <w:rsid w:val="005F21A5"/>
    <w:rsid w:val="005F2470"/>
    <w:rsid w:val="005F28C6"/>
    <w:rsid w:val="005F3F16"/>
    <w:rsid w:val="005F52CC"/>
    <w:rsid w:val="005F5E6F"/>
    <w:rsid w:val="005F679E"/>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0813"/>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7EC"/>
    <w:rsid w:val="00644A21"/>
    <w:rsid w:val="00645C9F"/>
    <w:rsid w:val="00646305"/>
    <w:rsid w:val="00646864"/>
    <w:rsid w:val="00646A6C"/>
    <w:rsid w:val="006475E6"/>
    <w:rsid w:val="006508B9"/>
    <w:rsid w:val="00650CA1"/>
    <w:rsid w:val="0065143C"/>
    <w:rsid w:val="00651854"/>
    <w:rsid w:val="00651A98"/>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DF0"/>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27A"/>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096"/>
    <w:rsid w:val="006C3AB0"/>
    <w:rsid w:val="006C4FC1"/>
    <w:rsid w:val="006C51A5"/>
    <w:rsid w:val="006C529D"/>
    <w:rsid w:val="006C52D2"/>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078B"/>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B79"/>
    <w:rsid w:val="00791A00"/>
    <w:rsid w:val="00791DDB"/>
    <w:rsid w:val="00792CEE"/>
    <w:rsid w:val="007936A8"/>
    <w:rsid w:val="007962B4"/>
    <w:rsid w:val="007965C2"/>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870"/>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6AB5"/>
    <w:rsid w:val="007E79C5"/>
    <w:rsid w:val="007F2845"/>
    <w:rsid w:val="007F2A69"/>
    <w:rsid w:val="007F3626"/>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887"/>
    <w:rsid w:val="00854895"/>
    <w:rsid w:val="00855B86"/>
    <w:rsid w:val="00856D47"/>
    <w:rsid w:val="00860874"/>
    <w:rsid w:val="008609A3"/>
    <w:rsid w:val="00862008"/>
    <w:rsid w:val="0086255D"/>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1DF2"/>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25B"/>
    <w:rsid w:val="008E5657"/>
    <w:rsid w:val="008E5E51"/>
    <w:rsid w:val="008E7383"/>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1793"/>
    <w:rsid w:val="0095285B"/>
    <w:rsid w:val="0095289E"/>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526B"/>
    <w:rsid w:val="00996258"/>
    <w:rsid w:val="00996306"/>
    <w:rsid w:val="00996744"/>
    <w:rsid w:val="009976C2"/>
    <w:rsid w:val="00997CF4"/>
    <w:rsid w:val="009A1169"/>
    <w:rsid w:val="009A164C"/>
    <w:rsid w:val="009A1AAC"/>
    <w:rsid w:val="009A2CB8"/>
    <w:rsid w:val="009A3789"/>
    <w:rsid w:val="009A45A2"/>
    <w:rsid w:val="009A6919"/>
    <w:rsid w:val="009A6AC7"/>
    <w:rsid w:val="009B0408"/>
    <w:rsid w:val="009B0843"/>
    <w:rsid w:val="009B0DEE"/>
    <w:rsid w:val="009B108D"/>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2D0"/>
    <w:rsid w:val="009E33D7"/>
    <w:rsid w:val="009E3CD1"/>
    <w:rsid w:val="009E5520"/>
    <w:rsid w:val="009E5AF5"/>
    <w:rsid w:val="009E5EB5"/>
    <w:rsid w:val="009E74F0"/>
    <w:rsid w:val="009F0768"/>
    <w:rsid w:val="009F102A"/>
    <w:rsid w:val="009F151C"/>
    <w:rsid w:val="009F28A2"/>
    <w:rsid w:val="009F2A19"/>
    <w:rsid w:val="009F514E"/>
    <w:rsid w:val="009F7867"/>
    <w:rsid w:val="009F7D66"/>
    <w:rsid w:val="00A0018C"/>
    <w:rsid w:val="00A00BD2"/>
    <w:rsid w:val="00A00E56"/>
    <w:rsid w:val="00A0214B"/>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07E1"/>
    <w:rsid w:val="00A6351F"/>
    <w:rsid w:val="00A63809"/>
    <w:rsid w:val="00A64278"/>
    <w:rsid w:val="00A64A6E"/>
    <w:rsid w:val="00A6519F"/>
    <w:rsid w:val="00A65384"/>
    <w:rsid w:val="00A65463"/>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3D8"/>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72B"/>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0942"/>
    <w:rsid w:val="00AF2D54"/>
    <w:rsid w:val="00AF3458"/>
    <w:rsid w:val="00AF3F7B"/>
    <w:rsid w:val="00AF42B4"/>
    <w:rsid w:val="00AF4B8A"/>
    <w:rsid w:val="00AF4F1B"/>
    <w:rsid w:val="00AF5EC6"/>
    <w:rsid w:val="00AF6C38"/>
    <w:rsid w:val="00AF6E8A"/>
    <w:rsid w:val="00AF7213"/>
    <w:rsid w:val="00AF7771"/>
    <w:rsid w:val="00AF7D92"/>
    <w:rsid w:val="00B005D9"/>
    <w:rsid w:val="00B011CC"/>
    <w:rsid w:val="00B04048"/>
    <w:rsid w:val="00B04F3D"/>
    <w:rsid w:val="00B05702"/>
    <w:rsid w:val="00B06DD9"/>
    <w:rsid w:val="00B07CD6"/>
    <w:rsid w:val="00B07E52"/>
    <w:rsid w:val="00B10010"/>
    <w:rsid w:val="00B11775"/>
    <w:rsid w:val="00B12A5F"/>
    <w:rsid w:val="00B12F75"/>
    <w:rsid w:val="00B1302D"/>
    <w:rsid w:val="00B1513F"/>
    <w:rsid w:val="00B15B89"/>
    <w:rsid w:val="00B1746F"/>
    <w:rsid w:val="00B20725"/>
    <w:rsid w:val="00B2087E"/>
    <w:rsid w:val="00B20B11"/>
    <w:rsid w:val="00B20B94"/>
    <w:rsid w:val="00B21788"/>
    <w:rsid w:val="00B248D0"/>
    <w:rsid w:val="00B2628E"/>
    <w:rsid w:val="00B266B0"/>
    <w:rsid w:val="00B2684C"/>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01D3"/>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2BD"/>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5A39"/>
    <w:rsid w:val="00BE631E"/>
    <w:rsid w:val="00BE6BEC"/>
    <w:rsid w:val="00BF0CCF"/>
    <w:rsid w:val="00BF0FC5"/>
    <w:rsid w:val="00BF10BC"/>
    <w:rsid w:val="00BF1988"/>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8E4"/>
    <w:rsid w:val="00C84D39"/>
    <w:rsid w:val="00C85277"/>
    <w:rsid w:val="00C85806"/>
    <w:rsid w:val="00C85D76"/>
    <w:rsid w:val="00C873AC"/>
    <w:rsid w:val="00C87DA6"/>
    <w:rsid w:val="00C91857"/>
    <w:rsid w:val="00C91A5B"/>
    <w:rsid w:val="00C9213B"/>
    <w:rsid w:val="00C925A2"/>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9E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E4E"/>
    <w:rsid w:val="00D73077"/>
    <w:rsid w:val="00D736A2"/>
    <w:rsid w:val="00D73C57"/>
    <w:rsid w:val="00D742FF"/>
    <w:rsid w:val="00D758B3"/>
    <w:rsid w:val="00D76ADC"/>
    <w:rsid w:val="00D77413"/>
    <w:rsid w:val="00D80B04"/>
    <w:rsid w:val="00D81F10"/>
    <w:rsid w:val="00D82798"/>
    <w:rsid w:val="00D82BF2"/>
    <w:rsid w:val="00D84526"/>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24"/>
    <w:rsid w:val="00DA418E"/>
    <w:rsid w:val="00DA4419"/>
    <w:rsid w:val="00DA451D"/>
    <w:rsid w:val="00DA470D"/>
    <w:rsid w:val="00DA4CC5"/>
    <w:rsid w:val="00DA56DB"/>
    <w:rsid w:val="00DA6452"/>
    <w:rsid w:val="00DA6CBA"/>
    <w:rsid w:val="00DA6FE9"/>
    <w:rsid w:val="00DA7925"/>
    <w:rsid w:val="00DB031E"/>
    <w:rsid w:val="00DB040B"/>
    <w:rsid w:val="00DB0AB8"/>
    <w:rsid w:val="00DB0D2A"/>
    <w:rsid w:val="00DB11CD"/>
    <w:rsid w:val="00DB1DAB"/>
    <w:rsid w:val="00DB39D4"/>
    <w:rsid w:val="00DB3A47"/>
    <w:rsid w:val="00DB3A7D"/>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0D9"/>
    <w:rsid w:val="00E031BB"/>
    <w:rsid w:val="00E0417B"/>
    <w:rsid w:val="00E0576C"/>
    <w:rsid w:val="00E0623E"/>
    <w:rsid w:val="00E068BC"/>
    <w:rsid w:val="00E073F0"/>
    <w:rsid w:val="00E10761"/>
    <w:rsid w:val="00E10FF3"/>
    <w:rsid w:val="00E11D7A"/>
    <w:rsid w:val="00E11EEB"/>
    <w:rsid w:val="00E128F2"/>
    <w:rsid w:val="00E12DE8"/>
    <w:rsid w:val="00E13E5A"/>
    <w:rsid w:val="00E13EE4"/>
    <w:rsid w:val="00E14742"/>
    <w:rsid w:val="00E16463"/>
    <w:rsid w:val="00E16F82"/>
    <w:rsid w:val="00E17F6F"/>
    <w:rsid w:val="00E20375"/>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7BF"/>
    <w:rsid w:val="00E74F5D"/>
    <w:rsid w:val="00E76034"/>
    <w:rsid w:val="00E76A95"/>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DC7"/>
    <w:rsid w:val="00EA4240"/>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1F6"/>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6646"/>
    <w:rsid w:val="00F27FA6"/>
    <w:rsid w:val="00F33DC8"/>
    <w:rsid w:val="00F34444"/>
    <w:rsid w:val="00F378F1"/>
    <w:rsid w:val="00F403A1"/>
    <w:rsid w:val="00F403DB"/>
    <w:rsid w:val="00F4065A"/>
    <w:rsid w:val="00F4275C"/>
    <w:rsid w:val="00F434B2"/>
    <w:rsid w:val="00F45693"/>
    <w:rsid w:val="00F51237"/>
    <w:rsid w:val="00F52339"/>
    <w:rsid w:val="00F5277A"/>
    <w:rsid w:val="00F532E8"/>
    <w:rsid w:val="00F537FF"/>
    <w:rsid w:val="00F54033"/>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5BF0"/>
    <w:rsid w:val="00F76BD9"/>
    <w:rsid w:val="00F7748E"/>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78C8"/>
    <w:rsid w:val="00FA31E7"/>
    <w:rsid w:val="00FA413A"/>
    <w:rsid w:val="00FA4144"/>
    <w:rsid w:val="00FA4DDF"/>
    <w:rsid w:val="00FA645E"/>
    <w:rsid w:val="00FA6E7F"/>
    <w:rsid w:val="00FA7114"/>
    <w:rsid w:val="00FB052D"/>
    <w:rsid w:val="00FB0B78"/>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5E95"/>
    <w:rsid w:val="00FD6564"/>
    <w:rsid w:val="00FD6B74"/>
    <w:rsid w:val="00FD70AE"/>
    <w:rsid w:val="00FD7E49"/>
    <w:rsid w:val="00FE002E"/>
    <w:rsid w:val="00FE2398"/>
    <w:rsid w:val="00FE515A"/>
    <w:rsid w:val="00FE5421"/>
    <w:rsid w:val="00FE5624"/>
    <w:rsid w:val="00FE5D2C"/>
    <w:rsid w:val="00FE5FBF"/>
    <w:rsid w:val="00FE6949"/>
    <w:rsid w:val="00FE6C25"/>
    <w:rsid w:val="00FF033A"/>
    <w:rsid w:val="00FF0964"/>
    <w:rsid w:val="00FF0CA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76A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4932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1017</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2019-04-02T18:45:00Z</dcterms:created>
  <dcterms:modified xsi:type="dcterms:W3CDTF">2019-04-02T18:46:00Z</dcterms:modified>
</cp:coreProperties>
</file>