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CA5161F" w:rsidR="00F110CD" w:rsidRPr="00B112AB" w:rsidRDefault="00F110CD" w:rsidP="00F110CD">
      <w:pPr>
        <w:pStyle w:val="Header"/>
        <w:tabs>
          <w:tab w:val="right" w:pos="9639"/>
        </w:tabs>
        <w:rPr>
          <w:bCs/>
          <w:noProof w:val="0"/>
          <w:sz w:val="24"/>
          <w:szCs w:val="24"/>
          <w:lang w:val="en-GB"/>
        </w:rPr>
      </w:pPr>
      <w:r w:rsidRPr="00B112AB">
        <w:rPr>
          <w:bCs/>
          <w:noProof w:val="0"/>
          <w:sz w:val="24"/>
          <w:szCs w:val="24"/>
          <w:lang w:val="en-GB"/>
        </w:rPr>
        <w:t>3GPP TSG RA</w:t>
      </w:r>
      <w:r w:rsidR="00BA1872" w:rsidRPr="00B112AB">
        <w:rPr>
          <w:bCs/>
          <w:noProof w:val="0"/>
          <w:sz w:val="24"/>
          <w:szCs w:val="24"/>
          <w:lang w:val="en-GB"/>
        </w:rPr>
        <w:t xml:space="preserve">N WG1 </w:t>
      </w:r>
      <w:r w:rsidR="0065263C">
        <w:rPr>
          <w:bCs/>
          <w:noProof w:val="0"/>
          <w:sz w:val="24"/>
          <w:szCs w:val="24"/>
          <w:lang w:val="en-GB"/>
        </w:rPr>
        <w:t xml:space="preserve">meeting </w:t>
      </w:r>
      <w:r w:rsidR="00ED6941">
        <w:rPr>
          <w:bCs/>
          <w:noProof w:val="0"/>
          <w:sz w:val="24"/>
          <w:szCs w:val="24"/>
          <w:lang w:val="en-GB"/>
        </w:rPr>
        <w:t>#</w:t>
      </w:r>
      <w:r w:rsidR="00B65452" w:rsidRPr="00B112AB">
        <w:rPr>
          <w:bCs/>
          <w:noProof w:val="0"/>
          <w:sz w:val="24"/>
          <w:szCs w:val="24"/>
          <w:lang w:val="en-GB"/>
        </w:rPr>
        <w:t>96</w:t>
      </w:r>
      <w:r w:rsidR="001348FE" w:rsidRPr="00B112AB">
        <w:rPr>
          <w:bCs/>
          <w:noProof w:val="0"/>
          <w:sz w:val="24"/>
          <w:szCs w:val="24"/>
          <w:lang w:val="en-GB"/>
        </w:rPr>
        <w:tab/>
      </w:r>
      <w:r w:rsidR="00BA1872" w:rsidRPr="00B112AB">
        <w:rPr>
          <w:bCs/>
          <w:noProof w:val="0"/>
          <w:sz w:val="24"/>
          <w:szCs w:val="24"/>
          <w:lang w:val="en-GB"/>
        </w:rPr>
        <w:t>R1-19</w:t>
      </w:r>
      <w:r w:rsidR="00D35AC2">
        <w:rPr>
          <w:bCs/>
          <w:noProof w:val="0"/>
          <w:sz w:val="24"/>
          <w:szCs w:val="24"/>
          <w:lang w:val="en-GB"/>
        </w:rPr>
        <w:t>05224</w:t>
      </w:r>
    </w:p>
    <w:p w14:paraId="30E02940" w14:textId="1AF49CC8" w:rsidR="00CA26CE" w:rsidRPr="00B112AB" w:rsidRDefault="0065263C" w:rsidP="00CA26CE">
      <w:pPr>
        <w:pStyle w:val="Header"/>
        <w:rPr>
          <w:bCs/>
          <w:noProof w:val="0"/>
          <w:sz w:val="24"/>
          <w:szCs w:val="24"/>
          <w:lang w:val="en-GB"/>
        </w:rPr>
      </w:pPr>
      <w:r w:rsidRPr="0065263C">
        <w:rPr>
          <w:bCs/>
          <w:noProof w:val="0"/>
          <w:sz w:val="24"/>
          <w:szCs w:val="24"/>
          <w:lang w:val="en-GB"/>
        </w:rPr>
        <w:t>Xi’an, China, 8</w:t>
      </w:r>
      <w:r w:rsidRPr="0065263C">
        <w:rPr>
          <w:bCs/>
          <w:noProof w:val="0"/>
          <w:sz w:val="24"/>
          <w:szCs w:val="24"/>
          <w:vertAlign w:val="superscript"/>
          <w:lang w:val="en-GB"/>
        </w:rPr>
        <w:t>th</w:t>
      </w:r>
      <w:r w:rsidRPr="0065263C">
        <w:rPr>
          <w:bCs/>
          <w:noProof w:val="0"/>
          <w:sz w:val="24"/>
          <w:szCs w:val="24"/>
          <w:lang w:val="en-GB"/>
        </w:rPr>
        <w:t xml:space="preserve"> – 12</w:t>
      </w:r>
      <w:r w:rsidRPr="0065263C">
        <w:rPr>
          <w:bCs/>
          <w:noProof w:val="0"/>
          <w:sz w:val="24"/>
          <w:szCs w:val="24"/>
          <w:vertAlign w:val="superscript"/>
          <w:lang w:val="en-GB"/>
        </w:rPr>
        <w:t>th</w:t>
      </w:r>
      <w:r>
        <w:rPr>
          <w:bCs/>
          <w:noProof w:val="0"/>
          <w:sz w:val="24"/>
          <w:szCs w:val="24"/>
          <w:lang w:val="en-GB"/>
        </w:rPr>
        <w:t xml:space="preserve"> </w:t>
      </w:r>
      <w:proofErr w:type="gramStart"/>
      <w:r w:rsidRPr="0065263C">
        <w:rPr>
          <w:bCs/>
          <w:noProof w:val="0"/>
          <w:sz w:val="24"/>
          <w:szCs w:val="24"/>
          <w:lang w:val="en-GB"/>
        </w:rPr>
        <w:t>April,</w:t>
      </w:r>
      <w:proofErr w:type="gramEnd"/>
      <w:r w:rsidRPr="0065263C">
        <w:rPr>
          <w:bCs/>
          <w:noProof w:val="0"/>
          <w:sz w:val="24"/>
          <w:szCs w:val="24"/>
          <w:lang w:val="en-GB"/>
        </w:rPr>
        <w:t xml:space="preserve"> </w:t>
      </w:r>
      <w:r w:rsidR="00BA1872" w:rsidRPr="00B112AB">
        <w:rPr>
          <w:bCs/>
          <w:noProof w:val="0"/>
          <w:sz w:val="24"/>
          <w:szCs w:val="24"/>
          <w:lang w:val="en-GB"/>
        </w:rPr>
        <w:t>2019</w:t>
      </w:r>
    </w:p>
    <w:p w14:paraId="2CFE1919" w14:textId="77777777" w:rsidR="00850D96" w:rsidRPr="00B112AB" w:rsidRDefault="00850D96" w:rsidP="00CA26CE">
      <w:pPr>
        <w:pStyle w:val="Header"/>
        <w:rPr>
          <w:bCs/>
          <w:noProof w:val="0"/>
          <w:sz w:val="24"/>
          <w:lang w:val="en-GB" w:eastAsia="ja-JP"/>
        </w:rPr>
      </w:pPr>
    </w:p>
    <w:p w14:paraId="30E02941" w14:textId="468DCA9D" w:rsidR="0034111C" w:rsidRPr="00B112AB" w:rsidRDefault="0034111C" w:rsidP="16512788">
      <w:pPr>
        <w:pStyle w:val="CRCoverPage"/>
        <w:rPr>
          <w:rFonts w:cs="Arial"/>
          <w:b/>
          <w:bCs/>
          <w:sz w:val="24"/>
          <w:szCs w:val="24"/>
          <w:lang w:eastAsia="ja-JP"/>
        </w:rPr>
      </w:pPr>
      <w:r w:rsidRPr="00B112AB">
        <w:rPr>
          <w:rFonts w:cs="Arial"/>
          <w:b/>
          <w:bCs/>
          <w:sz w:val="24"/>
          <w:szCs w:val="24"/>
        </w:rPr>
        <w:t>Agenda item:</w:t>
      </w:r>
      <w:r w:rsidRPr="00B112AB">
        <w:rPr>
          <w:rFonts w:cs="Arial"/>
          <w:b/>
          <w:bCs/>
          <w:sz w:val="24"/>
        </w:rPr>
        <w:tab/>
      </w:r>
      <w:r w:rsidRPr="00B112AB">
        <w:rPr>
          <w:rFonts w:cs="Arial"/>
          <w:b/>
          <w:bCs/>
          <w:sz w:val="24"/>
        </w:rPr>
        <w:tab/>
      </w:r>
      <w:r w:rsidR="000B4207" w:rsidRPr="00B112AB">
        <w:rPr>
          <w:rFonts w:cs="Arial"/>
          <w:b/>
          <w:bCs/>
          <w:sz w:val="24"/>
          <w:szCs w:val="24"/>
        </w:rPr>
        <w:t>7</w:t>
      </w:r>
      <w:r w:rsidR="0052773A" w:rsidRPr="00B112AB">
        <w:rPr>
          <w:rFonts w:cs="Arial"/>
          <w:b/>
          <w:bCs/>
          <w:sz w:val="24"/>
          <w:szCs w:val="24"/>
        </w:rPr>
        <w:t>.</w:t>
      </w:r>
      <w:r w:rsidR="00BA1872" w:rsidRPr="00B112AB">
        <w:rPr>
          <w:rFonts w:cs="Arial"/>
          <w:b/>
          <w:bCs/>
          <w:sz w:val="24"/>
          <w:szCs w:val="24"/>
        </w:rPr>
        <w:t>2</w:t>
      </w:r>
      <w:r w:rsidR="00671655" w:rsidRPr="00B112AB">
        <w:rPr>
          <w:rFonts w:cs="Arial"/>
          <w:b/>
          <w:bCs/>
          <w:sz w:val="24"/>
          <w:szCs w:val="24"/>
        </w:rPr>
        <w:t>.12</w:t>
      </w:r>
      <w:r w:rsidR="00C80144">
        <w:rPr>
          <w:rFonts w:cs="Arial"/>
          <w:b/>
          <w:bCs/>
          <w:sz w:val="24"/>
          <w:szCs w:val="24"/>
        </w:rPr>
        <w:t>.2</w:t>
      </w:r>
    </w:p>
    <w:p w14:paraId="30E02942" w14:textId="11CBDC88" w:rsidR="00E128F2" w:rsidRPr="00B112AB" w:rsidRDefault="0034111C" w:rsidP="16512788">
      <w:pPr>
        <w:tabs>
          <w:tab w:val="left" w:pos="1985"/>
        </w:tabs>
        <w:spacing w:after="120"/>
        <w:ind w:left="1985" w:hanging="1985"/>
        <w:rPr>
          <w:rFonts w:ascii="Arial" w:hAnsi="Arial" w:cs="Arial"/>
          <w:b/>
          <w:bCs/>
          <w:sz w:val="24"/>
          <w:szCs w:val="24"/>
          <w:lang w:val="en-GB"/>
        </w:rPr>
      </w:pPr>
      <w:r w:rsidRPr="00B112AB">
        <w:rPr>
          <w:rFonts w:ascii="Arial" w:hAnsi="Arial" w:cs="Arial"/>
          <w:b/>
          <w:bCs/>
          <w:sz w:val="24"/>
          <w:szCs w:val="24"/>
          <w:lang w:val="en-GB"/>
        </w:rPr>
        <w:t>Source:</w:t>
      </w:r>
      <w:r w:rsidRPr="00B112AB">
        <w:rPr>
          <w:rFonts w:ascii="Arial" w:hAnsi="Arial" w:cs="Arial"/>
          <w:b/>
          <w:bCs/>
          <w:sz w:val="24"/>
          <w:lang w:val="en-GB"/>
        </w:rPr>
        <w:tab/>
      </w:r>
      <w:r w:rsidR="00013455" w:rsidRPr="00B112AB">
        <w:rPr>
          <w:rFonts w:ascii="Arial" w:hAnsi="Arial" w:cs="Arial"/>
          <w:b/>
          <w:bCs/>
          <w:sz w:val="24"/>
          <w:szCs w:val="24"/>
          <w:lang w:val="en-GB"/>
        </w:rPr>
        <w:t xml:space="preserve">Nokia, </w:t>
      </w:r>
      <w:r w:rsidR="00E67802" w:rsidRPr="00B112AB">
        <w:rPr>
          <w:rFonts w:ascii="Arial" w:hAnsi="Arial" w:cs="Arial"/>
          <w:b/>
          <w:bCs/>
          <w:sz w:val="24"/>
          <w:szCs w:val="24"/>
          <w:lang w:val="en-GB"/>
        </w:rPr>
        <w:t>Nokia</w:t>
      </w:r>
      <w:r w:rsidR="00013455" w:rsidRPr="00B112AB">
        <w:rPr>
          <w:rFonts w:ascii="Arial" w:hAnsi="Arial" w:cs="Arial"/>
          <w:b/>
          <w:bCs/>
          <w:sz w:val="24"/>
          <w:szCs w:val="24"/>
          <w:lang w:val="en-GB"/>
        </w:rPr>
        <w:t xml:space="preserve"> Shanghai Bell</w:t>
      </w:r>
    </w:p>
    <w:p w14:paraId="30E02943" w14:textId="54B2535A" w:rsidR="0034111C" w:rsidRPr="00B112AB" w:rsidRDefault="0034111C" w:rsidP="16512788">
      <w:pPr>
        <w:ind w:left="1985" w:hanging="1985"/>
        <w:rPr>
          <w:rFonts w:ascii="Arial" w:hAnsi="Arial" w:cs="Arial"/>
          <w:b/>
          <w:bCs/>
          <w:sz w:val="24"/>
          <w:szCs w:val="24"/>
          <w:lang w:val="en-GB"/>
        </w:rPr>
      </w:pPr>
      <w:r w:rsidRPr="00B112AB">
        <w:rPr>
          <w:rFonts w:ascii="Arial" w:hAnsi="Arial" w:cs="Arial"/>
          <w:b/>
          <w:bCs/>
          <w:sz w:val="24"/>
          <w:szCs w:val="24"/>
          <w:lang w:val="en-GB"/>
        </w:rPr>
        <w:t>Title:</w:t>
      </w:r>
      <w:r w:rsidRPr="00B112AB">
        <w:rPr>
          <w:rFonts w:ascii="Arial" w:hAnsi="Arial" w:cs="Arial"/>
          <w:b/>
          <w:bCs/>
          <w:sz w:val="24"/>
          <w:lang w:val="en-GB"/>
        </w:rPr>
        <w:tab/>
      </w:r>
      <w:r w:rsidR="009D13A2" w:rsidRPr="00B112AB">
        <w:rPr>
          <w:rFonts w:ascii="Arial" w:hAnsi="Arial" w:cs="Arial"/>
          <w:b/>
          <w:bCs/>
          <w:sz w:val="24"/>
          <w:lang w:val="en-GB"/>
        </w:rPr>
        <w:t xml:space="preserve">On </w:t>
      </w:r>
      <w:r w:rsidR="00DF4F98">
        <w:rPr>
          <w:rFonts w:ascii="Arial" w:hAnsi="Arial" w:cs="Arial"/>
          <w:b/>
          <w:bCs/>
          <w:sz w:val="24"/>
          <w:lang w:val="en-GB"/>
        </w:rPr>
        <w:t>simultaneous connectivity</w:t>
      </w:r>
      <w:bookmarkStart w:id="0" w:name="_GoBack"/>
      <w:bookmarkEnd w:id="0"/>
    </w:p>
    <w:p w14:paraId="30E02944" w14:textId="60B6B0C7" w:rsidR="0034111C" w:rsidRPr="00B112AB" w:rsidRDefault="0034111C" w:rsidP="16512788">
      <w:pPr>
        <w:rPr>
          <w:rFonts w:ascii="Arial" w:hAnsi="Arial" w:cs="Arial"/>
          <w:b/>
          <w:bCs/>
          <w:sz w:val="24"/>
          <w:szCs w:val="24"/>
          <w:lang w:val="en-GB"/>
        </w:rPr>
      </w:pPr>
      <w:r w:rsidRPr="00B112AB">
        <w:rPr>
          <w:rFonts w:ascii="Arial" w:hAnsi="Arial" w:cs="Arial"/>
          <w:b/>
          <w:bCs/>
          <w:sz w:val="24"/>
          <w:szCs w:val="24"/>
          <w:lang w:val="en-GB"/>
        </w:rPr>
        <w:t xml:space="preserve">Document </w:t>
      </w:r>
      <w:r w:rsidR="3E61DC49" w:rsidRPr="00B112AB">
        <w:rPr>
          <w:rFonts w:ascii="Arial" w:hAnsi="Arial" w:cs="Arial"/>
          <w:b/>
          <w:bCs/>
          <w:sz w:val="24"/>
          <w:szCs w:val="24"/>
          <w:lang w:val="en-GB"/>
        </w:rPr>
        <w:t>for:</w:t>
      </w:r>
      <w:r w:rsidRPr="00B112AB">
        <w:rPr>
          <w:rFonts w:ascii="Arial" w:hAnsi="Arial" w:cs="Arial"/>
          <w:b/>
          <w:bCs/>
          <w:sz w:val="24"/>
          <w:lang w:val="en-GB"/>
        </w:rPr>
        <w:tab/>
      </w:r>
      <w:r w:rsidR="00220615" w:rsidRPr="00B112AB">
        <w:rPr>
          <w:rFonts w:ascii="Arial" w:hAnsi="Arial" w:cs="Arial"/>
          <w:b/>
          <w:bCs/>
          <w:sz w:val="24"/>
          <w:lang w:val="en-GB"/>
        </w:rPr>
        <w:tab/>
      </w:r>
      <w:r w:rsidRPr="00B112AB">
        <w:rPr>
          <w:rFonts w:ascii="Arial" w:hAnsi="Arial" w:cs="Arial"/>
          <w:b/>
          <w:bCs/>
          <w:sz w:val="24"/>
          <w:szCs w:val="24"/>
          <w:lang w:val="en-GB"/>
        </w:rPr>
        <w:t>Discussion and Decision</w:t>
      </w:r>
    </w:p>
    <w:p w14:paraId="7CF7938E" w14:textId="7E19F756" w:rsidR="00ED1327" w:rsidRPr="00B112AB" w:rsidRDefault="00EE7FA7" w:rsidP="00ED1327">
      <w:pPr>
        <w:pStyle w:val="Heading1"/>
      </w:pPr>
      <w:r w:rsidRPr="00B112AB">
        <w:t>Introduction</w:t>
      </w:r>
    </w:p>
    <w:p w14:paraId="3F9F87EF" w14:textId="5604643B" w:rsidR="00671655" w:rsidRPr="00B112AB" w:rsidRDefault="00671655" w:rsidP="00A64A6E">
      <w:pPr>
        <w:rPr>
          <w:lang w:val="en-GB"/>
        </w:rPr>
      </w:pPr>
      <w:bookmarkStart w:id="1" w:name="_Hlk510705081"/>
      <w:r w:rsidRPr="00B112AB">
        <w:rPr>
          <w:lang w:val="en-GB"/>
        </w:rPr>
        <w:t xml:space="preserve">A new WID on NR mobility enhancements was agreed in RAN Plenary meeting #80 </w:t>
      </w:r>
      <w:r w:rsidRPr="00B112AB">
        <w:rPr>
          <w:lang w:val="en-GB"/>
        </w:rPr>
        <w:fldChar w:fldCharType="begin"/>
      </w:r>
      <w:r w:rsidRPr="00B112AB">
        <w:rPr>
          <w:lang w:val="en-GB"/>
        </w:rPr>
        <w:instrText xml:space="preserve"> REF _Ref769929 \r \h </w:instrText>
      </w:r>
      <w:r w:rsidRPr="00B112AB">
        <w:rPr>
          <w:lang w:val="en-GB"/>
        </w:rPr>
      </w:r>
      <w:r w:rsidRPr="00B112AB">
        <w:rPr>
          <w:lang w:val="en-GB"/>
        </w:rPr>
        <w:fldChar w:fldCharType="separate"/>
      </w:r>
      <w:r w:rsidR="00526F82" w:rsidRPr="00B112AB">
        <w:rPr>
          <w:lang w:val="en-GB"/>
        </w:rPr>
        <w:t>[1]</w:t>
      </w:r>
      <w:r w:rsidRPr="00B112AB">
        <w:rPr>
          <w:lang w:val="en-GB"/>
        </w:rPr>
        <w:fldChar w:fldCharType="end"/>
      </w:r>
      <w:r w:rsidRPr="00B112AB">
        <w:rPr>
          <w:lang w:val="en-GB"/>
        </w:rPr>
        <w:t>. The objectives</w:t>
      </w:r>
      <w:r w:rsidR="00703C15" w:rsidRPr="00B112AB">
        <w:rPr>
          <w:lang w:val="en-GB"/>
        </w:rPr>
        <w:t xml:space="preserve"> to be considered in the</w:t>
      </w:r>
      <w:r w:rsidRPr="00B112AB">
        <w:rPr>
          <w:lang w:val="en-GB"/>
        </w:rPr>
        <w:t xml:space="preserve"> work item are as follows:</w:t>
      </w:r>
    </w:p>
    <w:tbl>
      <w:tblPr>
        <w:tblStyle w:val="TableGrid"/>
        <w:tblW w:w="0" w:type="auto"/>
        <w:tblLook w:val="04A0" w:firstRow="1" w:lastRow="0" w:firstColumn="1" w:lastColumn="0" w:noHBand="0" w:noVBand="1"/>
      </w:tblPr>
      <w:tblGrid>
        <w:gridCol w:w="9629"/>
      </w:tblGrid>
      <w:tr w:rsidR="00671655" w:rsidRPr="00B112AB" w14:paraId="2578D495" w14:textId="77777777" w:rsidTr="00671655">
        <w:tc>
          <w:tcPr>
            <w:tcW w:w="9629" w:type="dxa"/>
          </w:tcPr>
          <w:p w14:paraId="6C28D243" w14:textId="77777777" w:rsidR="00671655" w:rsidRPr="00B112AB" w:rsidRDefault="00671655" w:rsidP="00671655">
            <w:pPr>
              <w:numPr>
                <w:ilvl w:val="0"/>
                <w:numId w:val="15"/>
              </w:numPr>
              <w:rPr>
                <w:rFonts w:eastAsia="MS Mincho"/>
                <w:lang w:val="en-GB" w:eastAsia="ja-JP"/>
              </w:rPr>
            </w:pPr>
            <w:r w:rsidRPr="00B112AB">
              <w:rPr>
                <w:rFonts w:eastAsia="MS Mincho"/>
                <w:lang w:val="en-GB" w:eastAsia="ja-JP"/>
              </w:rPr>
              <w:t xml:space="preserve">To study solution(s) to reduce interruption time during HO/SCG change focusing on the following identified solutions but not limited. </w:t>
            </w:r>
          </w:p>
          <w:p w14:paraId="75174B19" w14:textId="77777777" w:rsidR="00671655" w:rsidRPr="00B112AB" w:rsidRDefault="00671655" w:rsidP="00671655">
            <w:pPr>
              <w:numPr>
                <w:ilvl w:val="1"/>
                <w:numId w:val="15"/>
              </w:numPr>
              <w:rPr>
                <w:rFonts w:eastAsia="MS Mincho"/>
                <w:lang w:val="en-GB" w:eastAsia="ja-JP"/>
              </w:rPr>
            </w:pPr>
            <w:r w:rsidRPr="00B112AB">
              <w:rPr>
                <w:rFonts w:eastAsia="MS Mincho"/>
                <w:lang w:val="en-GB" w:eastAsia="ja-JP"/>
              </w:rPr>
              <w:t xml:space="preserve">Handover/SCG change with simultaneous connectivity with source cell and target cell. </w:t>
            </w:r>
          </w:p>
          <w:p w14:paraId="19A8FA8A" w14:textId="77777777" w:rsidR="00671655" w:rsidRPr="00B112AB" w:rsidRDefault="00671655" w:rsidP="00671655">
            <w:pPr>
              <w:numPr>
                <w:ilvl w:val="1"/>
                <w:numId w:val="15"/>
              </w:numPr>
              <w:rPr>
                <w:rFonts w:eastAsia="MS Mincho"/>
                <w:lang w:val="en-GB" w:eastAsia="ja-JP"/>
              </w:rPr>
            </w:pPr>
            <w:r w:rsidRPr="00B112AB">
              <w:rPr>
                <w:rFonts w:eastAsia="MS Mincho"/>
                <w:lang w:val="en-GB" w:eastAsia="ja-JP"/>
              </w:rPr>
              <w:t xml:space="preserve">Make-before-break </w:t>
            </w:r>
          </w:p>
          <w:p w14:paraId="02A04EBD" w14:textId="77777777" w:rsidR="00671655" w:rsidRPr="00B112AB" w:rsidRDefault="00671655" w:rsidP="00671655">
            <w:pPr>
              <w:numPr>
                <w:ilvl w:val="1"/>
                <w:numId w:val="15"/>
              </w:numPr>
              <w:rPr>
                <w:rFonts w:eastAsia="MS Mincho"/>
                <w:lang w:val="en-GB" w:eastAsia="ja-JP"/>
              </w:rPr>
            </w:pPr>
            <w:r w:rsidRPr="00B112AB">
              <w:rPr>
                <w:rFonts w:eastAsia="MS Mincho" w:cs="Calibri"/>
                <w:bCs/>
                <w:lang w:val="en-GB" w:eastAsia="zh-CN"/>
              </w:rPr>
              <w:t xml:space="preserve">RACH-less handover </w:t>
            </w:r>
          </w:p>
          <w:p w14:paraId="5AF94A87" w14:textId="77777777" w:rsidR="00671655" w:rsidRPr="00B112AB" w:rsidRDefault="00671655" w:rsidP="00671655">
            <w:pPr>
              <w:numPr>
                <w:ilvl w:val="0"/>
                <w:numId w:val="15"/>
              </w:numPr>
              <w:rPr>
                <w:rFonts w:eastAsia="MS Mincho"/>
                <w:lang w:val="en-GB" w:eastAsia="ja-JP"/>
              </w:rPr>
            </w:pPr>
            <w:r w:rsidRPr="00B112AB">
              <w:rPr>
                <w:rFonts w:eastAsia="MS Mincho"/>
                <w:lang w:val="en-GB" w:eastAsia="ja-JP"/>
              </w:rPr>
              <w:t xml:space="preserve">To study solution(s) to improve HO/SCG change reliability and robustness especially considering challenges in high/med frequency focusing on the following identified solutions but not limited. </w:t>
            </w:r>
          </w:p>
          <w:p w14:paraId="28ACFAC8" w14:textId="77777777" w:rsidR="00671655" w:rsidRPr="00B112AB" w:rsidRDefault="00671655" w:rsidP="00671655">
            <w:pPr>
              <w:numPr>
                <w:ilvl w:val="1"/>
                <w:numId w:val="15"/>
              </w:numPr>
              <w:rPr>
                <w:rFonts w:eastAsia="MS Mincho"/>
                <w:lang w:val="en-GB" w:eastAsia="ja-JP"/>
              </w:rPr>
            </w:pPr>
            <w:r w:rsidRPr="00B112AB">
              <w:rPr>
                <w:rFonts w:eastAsia="MS Mincho"/>
                <w:lang w:val="en-GB" w:eastAsia="ja-JP"/>
              </w:rPr>
              <w:t xml:space="preserve">Conditional handover </w:t>
            </w:r>
          </w:p>
          <w:p w14:paraId="0F1D9E0E" w14:textId="77777777" w:rsidR="00671655" w:rsidRPr="00B112AB" w:rsidRDefault="00671655" w:rsidP="00671655">
            <w:pPr>
              <w:numPr>
                <w:ilvl w:val="1"/>
                <w:numId w:val="15"/>
              </w:numPr>
              <w:rPr>
                <w:rFonts w:eastAsia="MS Mincho"/>
                <w:lang w:val="en-GB" w:eastAsia="ja-JP"/>
              </w:rPr>
            </w:pPr>
            <w:r w:rsidRPr="00B112AB">
              <w:rPr>
                <w:rFonts w:eastAsia="MS Mincho"/>
                <w:lang w:val="en-GB" w:eastAsia="ja-JP"/>
              </w:rPr>
              <w:t xml:space="preserve">Fast handover failure recovery </w:t>
            </w:r>
          </w:p>
          <w:p w14:paraId="7E4538ED" w14:textId="77777777" w:rsidR="00671655" w:rsidRPr="00B112AB" w:rsidRDefault="00671655" w:rsidP="00671655">
            <w:pPr>
              <w:ind w:left="568" w:hanging="284"/>
              <w:rPr>
                <w:rFonts w:eastAsia="MS Mincho"/>
                <w:lang w:val="en-GB" w:eastAsia="ja-JP"/>
              </w:rPr>
            </w:pPr>
            <w:r w:rsidRPr="00B112AB">
              <w:rPr>
                <w:rFonts w:eastAsia="MS Mincho"/>
                <w:lang w:val="en-GB" w:eastAsia="ja-JP"/>
              </w:rPr>
              <w:t xml:space="preserve">RAN2 should avoid increasing signalling overhead. </w:t>
            </w:r>
          </w:p>
          <w:p w14:paraId="6700D1AD" w14:textId="0FAE0B92" w:rsidR="00671655" w:rsidRPr="00B112AB" w:rsidRDefault="00671655" w:rsidP="00671655">
            <w:pPr>
              <w:ind w:left="568" w:hanging="284"/>
              <w:rPr>
                <w:rFonts w:eastAsia="MS Mincho" w:cs="Calibri"/>
                <w:lang w:val="en-GB" w:eastAsia="zh-CN"/>
              </w:rPr>
            </w:pPr>
            <w:r w:rsidRPr="00B112AB">
              <w:rPr>
                <w:rFonts w:eastAsia="MS Mincho" w:cs="Calibri"/>
                <w:lang w:val="en-GB" w:eastAsia="zh-CN"/>
              </w:rPr>
              <w:t xml:space="preserve">Note: LTE mobility enhancements should be used for baseline for fast handover failure recovery, Make-before-break and RACH-less handover. </w:t>
            </w:r>
          </w:p>
        </w:tc>
      </w:tr>
    </w:tbl>
    <w:p w14:paraId="40FA923B" w14:textId="6CC4CBEA" w:rsidR="00671655" w:rsidRPr="00B112AB" w:rsidRDefault="00671655" w:rsidP="00A64A6E">
      <w:pPr>
        <w:rPr>
          <w:lang w:val="en-GB"/>
        </w:rPr>
      </w:pPr>
    </w:p>
    <w:p w14:paraId="3F621760" w14:textId="066711D1" w:rsidR="00703C15" w:rsidRPr="00B112AB" w:rsidRDefault="00703C15" w:rsidP="00A64A6E">
      <w:pPr>
        <w:rPr>
          <w:lang w:val="en-GB"/>
        </w:rPr>
      </w:pPr>
      <w:r w:rsidRPr="00B112AB">
        <w:rPr>
          <w:lang w:val="en-GB"/>
        </w:rPr>
        <w:t>In this contribution we discuss</w:t>
      </w:r>
      <w:r w:rsidR="00823A7D">
        <w:rPr>
          <w:lang w:val="en-GB"/>
        </w:rPr>
        <w:t xml:space="preserve"> </w:t>
      </w:r>
      <w:r w:rsidR="009E419D">
        <w:rPr>
          <w:lang w:val="en-GB"/>
        </w:rPr>
        <w:t>the feasibility of simultaneous connectivity.</w:t>
      </w:r>
    </w:p>
    <w:p w14:paraId="71230483" w14:textId="26BD8499" w:rsidR="00305297" w:rsidRPr="00B112AB" w:rsidRDefault="00526F82" w:rsidP="00A23DCA">
      <w:pPr>
        <w:pStyle w:val="Heading1"/>
      </w:pPr>
      <w:r w:rsidRPr="00B112AB">
        <w:t>Feasibility of simultaneous connectivity</w:t>
      </w:r>
    </w:p>
    <w:bookmarkEnd w:id="1"/>
    <w:p w14:paraId="50FDDAAC" w14:textId="080C1C42" w:rsidR="00BC1AF1" w:rsidRPr="00B112AB" w:rsidRDefault="001F4032" w:rsidP="006A0DD3">
      <w:pPr>
        <w:rPr>
          <w:lang w:val="en-GB"/>
        </w:rPr>
      </w:pPr>
      <w:r w:rsidRPr="00B112AB">
        <w:rPr>
          <w:lang w:val="en-GB"/>
        </w:rPr>
        <w:t xml:space="preserve">RAN2 has sent </w:t>
      </w:r>
      <w:proofErr w:type="gramStart"/>
      <w:r w:rsidRPr="00B112AB">
        <w:rPr>
          <w:lang w:val="en-GB"/>
        </w:rPr>
        <w:t>an</w:t>
      </w:r>
      <w:proofErr w:type="gramEnd"/>
      <w:r w:rsidRPr="00B112AB">
        <w:rPr>
          <w:lang w:val="en-GB"/>
        </w:rPr>
        <w:t xml:space="preserve"> LS to RAN1 in relation to the feasibility of simultaneous connectivity</w:t>
      </w:r>
      <w:r w:rsidR="009E419D">
        <w:rPr>
          <w:lang w:val="en-GB"/>
        </w:rPr>
        <w:t xml:space="preserve"> </w:t>
      </w:r>
      <w:r w:rsidR="009E419D">
        <w:rPr>
          <w:lang w:val="en-GB"/>
        </w:rPr>
        <w:fldChar w:fldCharType="begin"/>
      </w:r>
      <w:r w:rsidR="009E419D">
        <w:rPr>
          <w:lang w:val="en-GB"/>
        </w:rPr>
        <w:instrText xml:space="preserve"> REF _Ref4763489 \r \h </w:instrText>
      </w:r>
      <w:r w:rsidR="009E419D">
        <w:rPr>
          <w:lang w:val="en-GB"/>
        </w:rPr>
      </w:r>
      <w:r w:rsidR="009E419D">
        <w:rPr>
          <w:lang w:val="en-GB"/>
        </w:rPr>
        <w:fldChar w:fldCharType="separate"/>
      </w:r>
      <w:r w:rsidR="009E419D">
        <w:rPr>
          <w:lang w:val="en-GB"/>
        </w:rPr>
        <w:t>[2]</w:t>
      </w:r>
      <w:r w:rsidR="009E419D">
        <w:rPr>
          <w:lang w:val="en-GB"/>
        </w:rPr>
        <w:fldChar w:fldCharType="end"/>
      </w:r>
      <w:r w:rsidRPr="00B112AB">
        <w:rPr>
          <w:lang w:val="en-GB"/>
        </w:rPr>
        <w:t xml:space="preserve">. As indicated in LS, this aspect has been discussed already in context of LTE, and the main question from RAN2 is whether the </w:t>
      </w:r>
      <w:r w:rsidR="0062484A">
        <w:rPr>
          <w:lang w:val="en-GB"/>
        </w:rPr>
        <w:t xml:space="preserve">earlier </w:t>
      </w:r>
      <w:proofErr w:type="spellStart"/>
      <w:r w:rsidR="0062484A">
        <w:rPr>
          <w:lang w:val="en-GB"/>
        </w:rPr>
        <w:t>r</w:t>
      </w:r>
      <w:r w:rsidRPr="00B112AB">
        <w:rPr>
          <w:lang w:val="en-GB"/>
        </w:rPr>
        <w:t>esponces</w:t>
      </w:r>
      <w:proofErr w:type="spellEnd"/>
      <w:r w:rsidR="0062484A">
        <w:rPr>
          <w:lang w:val="en-GB"/>
        </w:rPr>
        <w:t xml:space="preserve"> from RAN1 in context of LTE </w:t>
      </w:r>
      <w:proofErr w:type="spellStart"/>
      <w:r w:rsidR="0062484A">
        <w:rPr>
          <w:lang w:val="en-GB"/>
        </w:rPr>
        <w:t>applie</w:t>
      </w:r>
      <w:proofErr w:type="spellEnd"/>
      <w:r w:rsidRPr="00B112AB">
        <w:rPr>
          <w:lang w:val="en-GB"/>
        </w:rPr>
        <w:t xml:space="preserve"> </w:t>
      </w:r>
      <w:r w:rsidR="0062484A">
        <w:rPr>
          <w:lang w:val="en-GB"/>
        </w:rPr>
        <w:fldChar w:fldCharType="begin"/>
      </w:r>
      <w:r w:rsidR="0062484A">
        <w:rPr>
          <w:lang w:val="en-GB"/>
        </w:rPr>
        <w:instrText xml:space="preserve"> REF _Ref4763572 \r \h </w:instrText>
      </w:r>
      <w:r w:rsidR="0062484A">
        <w:rPr>
          <w:lang w:val="en-GB"/>
        </w:rPr>
      </w:r>
      <w:r w:rsidR="0062484A">
        <w:rPr>
          <w:lang w:val="en-GB"/>
        </w:rPr>
        <w:fldChar w:fldCharType="separate"/>
      </w:r>
      <w:r w:rsidR="0062484A">
        <w:rPr>
          <w:lang w:val="en-GB"/>
        </w:rPr>
        <w:t>[3]</w:t>
      </w:r>
      <w:r w:rsidR="0062484A">
        <w:rPr>
          <w:lang w:val="en-GB"/>
        </w:rPr>
        <w:fldChar w:fldCharType="end"/>
      </w:r>
      <w:r w:rsidR="0062484A">
        <w:rPr>
          <w:lang w:val="en-GB"/>
        </w:rPr>
        <w:t>.</w:t>
      </w:r>
      <w:r w:rsidRPr="00B112AB">
        <w:rPr>
          <w:lang w:val="en-GB"/>
        </w:rPr>
        <w:t xml:space="preserve"> </w:t>
      </w:r>
    </w:p>
    <w:p w14:paraId="3EE170AB" w14:textId="3ED7C5F6" w:rsidR="00CC1D2F" w:rsidRDefault="00CC1D2F" w:rsidP="006A0DD3">
      <w:pPr>
        <w:rPr>
          <w:lang w:val="en-GB"/>
        </w:rPr>
      </w:pPr>
      <w:r w:rsidRPr="00B112AB">
        <w:rPr>
          <w:lang w:val="en-GB"/>
        </w:rPr>
        <w:t xml:space="preserve">In following we consider the </w:t>
      </w:r>
      <w:proofErr w:type="spellStart"/>
      <w:r w:rsidRPr="00B112AB">
        <w:rPr>
          <w:lang w:val="en-GB"/>
        </w:rPr>
        <w:t>simultaneus</w:t>
      </w:r>
      <w:proofErr w:type="spellEnd"/>
      <w:r w:rsidRPr="00B112AB">
        <w:rPr>
          <w:lang w:val="en-GB"/>
        </w:rPr>
        <w:t xml:space="preserve"> reception for intra-frequency and inter-frequency cases, in </w:t>
      </w:r>
      <w:proofErr w:type="spellStart"/>
      <w:r w:rsidRPr="00B112AB">
        <w:rPr>
          <w:lang w:val="en-GB"/>
        </w:rPr>
        <w:t>synchornous</w:t>
      </w:r>
      <w:proofErr w:type="spellEnd"/>
      <w:r w:rsidRPr="00B112AB">
        <w:rPr>
          <w:lang w:val="en-GB"/>
        </w:rPr>
        <w:t xml:space="preserve"> and asynchronous cases</w:t>
      </w:r>
      <w:r w:rsidR="001269BF">
        <w:rPr>
          <w:lang w:val="en-GB"/>
        </w:rPr>
        <w:t xml:space="preserve"> from the perspective of NR</w:t>
      </w:r>
      <w:r w:rsidRPr="00B112AB">
        <w:rPr>
          <w:lang w:val="en-GB"/>
        </w:rPr>
        <w:t>.</w:t>
      </w:r>
      <w:r w:rsidR="00145818">
        <w:rPr>
          <w:lang w:val="en-GB"/>
        </w:rPr>
        <w:t xml:space="preserve"> </w:t>
      </w:r>
      <w:r w:rsidR="001269BF">
        <w:rPr>
          <w:lang w:val="en-GB"/>
        </w:rPr>
        <w:t>T</w:t>
      </w:r>
      <w:r w:rsidR="00145818">
        <w:rPr>
          <w:lang w:val="en-GB"/>
        </w:rPr>
        <w:t xml:space="preserve">he </w:t>
      </w:r>
      <w:proofErr w:type="spellStart"/>
      <w:r w:rsidR="00145818">
        <w:rPr>
          <w:lang w:val="en-GB"/>
        </w:rPr>
        <w:t>excat</w:t>
      </w:r>
      <w:proofErr w:type="spellEnd"/>
      <w:r w:rsidR="00145818">
        <w:rPr>
          <w:lang w:val="en-GB"/>
        </w:rPr>
        <w:t xml:space="preserve"> timing and power difference related requirements </w:t>
      </w:r>
      <w:r w:rsidR="00823A7D">
        <w:rPr>
          <w:lang w:val="en-GB"/>
        </w:rPr>
        <w:t xml:space="preserve">for simultaneous reception and transmission </w:t>
      </w:r>
      <w:r w:rsidR="00145818">
        <w:rPr>
          <w:lang w:val="en-GB"/>
        </w:rPr>
        <w:t xml:space="preserve">are more under the RAN4 </w:t>
      </w:r>
      <w:proofErr w:type="spellStart"/>
      <w:r w:rsidR="00145818">
        <w:rPr>
          <w:lang w:val="en-GB"/>
        </w:rPr>
        <w:t>jurisidiction</w:t>
      </w:r>
      <w:proofErr w:type="spellEnd"/>
      <w:r w:rsidR="00823A7D">
        <w:rPr>
          <w:lang w:val="en-GB"/>
        </w:rPr>
        <w:t xml:space="preserve"> and could be seen to be party covered by existing CA requirements</w:t>
      </w:r>
      <w:r w:rsidR="00145818">
        <w:rPr>
          <w:lang w:val="en-GB"/>
        </w:rPr>
        <w:t xml:space="preserve">, we focus more to the impact of </w:t>
      </w:r>
      <w:proofErr w:type="spellStart"/>
      <w:r w:rsidR="00145818">
        <w:rPr>
          <w:lang w:val="en-GB"/>
        </w:rPr>
        <w:t>numberology</w:t>
      </w:r>
      <w:proofErr w:type="spellEnd"/>
      <w:r w:rsidR="00145818">
        <w:rPr>
          <w:lang w:val="en-GB"/>
        </w:rPr>
        <w:t xml:space="preserve"> and BWP of each cell.</w:t>
      </w:r>
    </w:p>
    <w:p w14:paraId="4A03EBF4" w14:textId="4E649D9E" w:rsidR="003A1AF2" w:rsidRPr="00B112AB" w:rsidRDefault="003A1AF2" w:rsidP="003A1AF2">
      <w:pPr>
        <w:pStyle w:val="Heading2"/>
      </w:pPr>
      <w:r>
        <w:t>Intra-frequency</w:t>
      </w:r>
    </w:p>
    <w:p w14:paraId="15466E58" w14:textId="77777777" w:rsidR="003A1AF2" w:rsidRPr="00B112AB" w:rsidRDefault="003A1AF2" w:rsidP="006A0DD3">
      <w:pPr>
        <w:rPr>
          <w:lang w:val="en-GB"/>
        </w:rPr>
      </w:pPr>
    </w:p>
    <w:p w14:paraId="5AADB120" w14:textId="33A34333" w:rsidR="00BC1AF1" w:rsidRPr="00B112AB" w:rsidRDefault="00CC1D2F" w:rsidP="006A0DD3">
      <w:pPr>
        <w:rPr>
          <w:b/>
          <w:lang w:val="en-GB"/>
        </w:rPr>
      </w:pPr>
      <w:r w:rsidRPr="00B112AB">
        <w:rPr>
          <w:b/>
          <w:lang w:val="en-GB"/>
        </w:rPr>
        <w:lastRenderedPageBreak/>
        <w:t xml:space="preserve">Simultaneous connectivity for </w:t>
      </w:r>
      <w:r w:rsidR="00A667FB">
        <w:rPr>
          <w:b/>
          <w:lang w:val="en-GB"/>
        </w:rPr>
        <w:t xml:space="preserve">synchronous </w:t>
      </w:r>
      <w:r w:rsidRPr="00B112AB">
        <w:rPr>
          <w:b/>
          <w:lang w:val="en-GB"/>
        </w:rPr>
        <w:t>i</w:t>
      </w:r>
      <w:r w:rsidR="00D45E00" w:rsidRPr="00B112AB">
        <w:rPr>
          <w:b/>
          <w:lang w:val="en-GB"/>
        </w:rPr>
        <w:t xml:space="preserve">ntra-frequency </w:t>
      </w:r>
      <w:r w:rsidR="00A667FB">
        <w:rPr>
          <w:b/>
          <w:lang w:val="en-GB"/>
        </w:rPr>
        <w:t>cells</w:t>
      </w:r>
    </w:p>
    <w:p w14:paraId="54B34CC6" w14:textId="0DBDDE01" w:rsidR="00A667FB" w:rsidRDefault="00CC1D2F" w:rsidP="006A0DD3">
      <w:pPr>
        <w:rPr>
          <w:lang w:val="en-GB"/>
        </w:rPr>
      </w:pPr>
      <w:r w:rsidRPr="00B112AB">
        <w:rPr>
          <w:lang w:val="en-GB"/>
        </w:rPr>
        <w:t xml:space="preserve">Simultaneous reception from two cells could </w:t>
      </w:r>
      <w:proofErr w:type="gramStart"/>
      <w:r w:rsidRPr="00B112AB">
        <w:rPr>
          <w:lang w:val="en-GB"/>
        </w:rPr>
        <w:t>be considered to be</w:t>
      </w:r>
      <w:proofErr w:type="gramEnd"/>
      <w:r w:rsidRPr="00B112AB">
        <w:rPr>
          <w:lang w:val="en-GB"/>
        </w:rPr>
        <w:t xml:space="preserve"> feasible for UE using single receiver chain assuming that the cells are synchronous and with the requirement that sufficient base-band processing capability is supported</w:t>
      </w:r>
      <w:r w:rsidR="00B112AB">
        <w:rPr>
          <w:lang w:val="en-GB"/>
        </w:rPr>
        <w:t xml:space="preserve"> (and available)</w:t>
      </w:r>
      <w:r w:rsidR="00EF2C5B">
        <w:rPr>
          <w:lang w:val="en-GB"/>
        </w:rPr>
        <w:t>, covering PDCCH and PDSCH reception related capabilities</w:t>
      </w:r>
      <w:r w:rsidRPr="00B112AB">
        <w:rPr>
          <w:lang w:val="en-GB"/>
        </w:rPr>
        <w:t>.</w:t>
      </w:r>
      <w:r w:rsidR="00B112AB">
        <w:rPr>
          <w:lang w:val="en-GB"/>
        </w:rPr>
        <w:t xml:space="preserve"> </w:t>
      </w:r>
      <w:r w:rsidR="00145818">
        <w:rPr>
          <w:lang w:val="en-GB"/>
        </w:rPr>
        <w:t xml:space="preserve">When receiving from two cells, it could be considered to simplify the </w:t>
      </w:r>
      <w:r w:rsidR="00AA5890">
        <w:rPr>
          <w:lang w:val="en-GB"/>
        </w:rPr>
        <w:t xml:space="preserve">single receiver chain UE </w:t>
      </w:r>
      <w:r w:rsidR="00145818">
        <w:rPr>
          <w:lang w:val="en-GB"/>
        </w:rPr>
        <w:t xml:space="preserve">operation if equal size and </w:t>
      </w:r>
      <w:r w:rsidR="00EF2C5B">
        <w:rPr>
          <w:lang w:val="en-GB"/>
        </w:rPr>
        <w:t xml:space="preserve">full </w:t>
      </w:r>
      <w:r w:rsidR="00145818">
        <w:rPr>
          <w:lang w:val="en-GB"/>
        </w:rPr>
        <w:t>overlap</w:t>
      </w:r>
      <w:r w:rsidR="00AA5890">
        <w:rPr>
          <w:lang w:val="en-GB"/>
        </w:rPr>
        <w:t xml:space="preserve"> on BWPs</w:t>
      </w:r>
      <w:r w:rsidR="00145818">
        <w:rPr>
          <w:lang w:val="en-GB"/>
        </w:rPr>
        <w:t xml:space="preserve"> can be assumed on both cells. </w:t>
      </w:r>
      <w:proofErr w:type="gramStart"/>
      <w:r w:rsidR="00145818">
        <w:rPr>
          <w:lang w:val="en-GB"/>
        </w:rPr>
        <w:t>However</w:t>
      </w:r>
      <w:proofErr w:type="gramEnd"/>
      <w:r w:rsidR="00145818">
        <w:rPr>
          <w:lang w:val="en-GB"/>
        </w:rPr>
        <w:t xml:space="preserve"> this is not seen absolutely necessary, as UE could configure the rece</w:t>
      </w:r>
      <w:r w:rsidR="00867461">
        <w:rPr>
          <w:lang w:val="en-GB"/>
        </w:rPr>
        <w:t>ption based on the widest BWP as long as the total BW is within the UE capability</w:t>
      </w:r>
      <w:r w:rsidR="00145818">
        <w:rPr>
          <w:lang w:val="en-GB"/>
        </w:rPr>
        <w:t>.</w:t>
      </w:r>
      <w:r w:rsidR="00867461">
        <w:rPr>
          <w:lang w:val="en-GB"/>
        </w:rPr>
        <w:t xml:space="preserve"> </w:t>
      </w:r>
      <w:r w:rsidR="00A667FB">
        <w:rPr>
          <w:lang w:val="en-GB"/>
        </w:rPr>
        <w:t xml:space="preserve">If UE does support simultaneous reception of multi-numerology, it also could be considered that it would be possible, while not typical, that the </w:t>
      </w:r>
      <w:proofErr w:type="spellStart"/>
      <w:r w:rsidR="00A667FB">
        <w:rPr>
          <w:lang w:val="en-GB"/>
        </w:rPr>
        <w:t>numberologies</w:t>
      </w:r>
      <w:proofErr w:type="spellEnd"/>
      <w:r w:rsidR="00A667FB">
        <w:rPr>
          <w:lang w:val="en-GB"/>
        </w:rPr>
        <w:t xml:space="preserve"> configured for the BWP in each </w:t>
      </w:r>
      <w:proofErr w:type="gramStart"/>
      <w:r w:rsidR="00A667FB">
        <w:rPr>
          <w:lang w:val="en-GB"/>
        </w:rPr>
        <w:t>cells</w:t>
      </w:r>
      <w:proofErr w:type="gramEnd"/>
      <w:r w:rsidR="00A667FB">
        <w:rPr>
          <w:lang w:val="en-GB"/>
        </w:rPr>
        <w:t xml:space="preserve"> could be different. If UE does not support reception of different numerologies, the numerologies applied in both cells should be the same. In this case it would also seem rather likely that the BWPs would be same as well. Note that for the </w:t>
      </w:r>
      <w:r w:rsidR="00EF2C5B">
        <w:rPr>
          <w:lang w:val="en-GB"/>
        </w:rPr>
        <w:t xml:space="preserve">synchronous </w:t>
      </w:r>
      <w:r w:rsidR="00A667FB">
        <w:rPr>
          <w:lang w:val="en-GB"/>
        </w:rPr>
        <w:t xml:space="preserve">intra-frequency it is assumed that the sub-carrier </w:t>
      </w:r>
      <w:proofErr w:type="spellStart"/>
      <w:r w:rsidR="00A667FB">
        <w:rPr>
          <w:lang w:val="en-GB"/>
        </w:rPr>
        <w:t>rasters</w:t>
      </w:r>
      <w:proofErr w:type="spellEnd"/>
      <w:r w:rsidR="00A667FB">
        <w:rPr>
          <w:lang w:val="en-GB"/>
        </w:rPr>
        <w:t xml:space="preserve"> are aligned between the cells, while the </w:t>
      </w:r>
      <w:proofErr w:type="spellStart"/>
      <w:r w:rsidR="00A667FB">
        <w:rPr>
          <w:lang w:val="en-GB"/>
        </w:rPr>
        <w:t>scs</w:t>
      </w:r>
      <w:proofErr w:type="spellEnd"/>
      <w:r w:rsidR="00A667FB">
        <w:rPr>
          <w:lang w:val="en-GB"/>
        </w:rPr>
        <w:t xml:space="preserve">-carrier </w:t>
      </w:r>
      <w:proofErr w:type="spellStart"/>
      <w:r w:rsidR="00A667FB">
        <w:rPr>
          <w:lang w:val="en-GB"/>
        </w:rPr>
        <w:t>defintions</w:t>
      </w:r>
      <w:proofErr w:type="spellEnd"/>
      <w:r w:rsidR="00A667FB">
        <w:rPr>
          <w:lang w:val="en-GB"/>
        </w:rPr>
        <w:t xml:space="preserve"> (and </w:t>
      </w:r>
      <w:proofErr w:type="spellStart"/>
      <w:r w:rsidR="00A667FB">
        <w:rPr>
          <w:lang w:val="en-GB"/>
        </w:rPr>
        <w:t>pointA</w:t>
      </w:r>
      <w:proofErr w:type="spellEnd"/>
      <w:r w:rsidR="00A667FB">
        <w:rPr>
          <w:lang w:val="en-GB"/>
        </w:rPr>
        <w:t xml:space="preserve"> location) could be different for different cells.</w:t>
      </w:r>
      <w:r w:rsidR="00EF2C5B">
        <w:rPr>
          <w:lang w:val="en-GB"/>
        </w:rPr>
        <w:t xml:space="preserve"> </w:t>
      </w:r>
    </w:p>
    <w:p w14:paraId="57F53007" w14:textId="653A0F69" w:rsidR="00037F49" w:rsidRDefault="003A1AF2" w:rsidP="006A0DD3">
      <w:pPr>
        <w:rPr>
          <w:lang w:val="en-GB"/>
        </w:rPr>
      </w:pPr>
      <w:r>
        <w:rPr>
          <w:lang w:val="en-GB"/>
        </w:rPr>
        <w:t>From transmission perspective simultaneous connectivity is also feasible, with certain side conditions. I</w:t>
      </w:r>
      <w:r w:rsidR="00EF2C5B">
        <w:rPr>
          <w:lang w:val="en-GB"/>
        </w:rPr>
        <w:t xml:space="preserve">t is evident that for single transmitter chain UE some TDM pattern is required to enable simultaneous connectivity. TDM pattern could also benefit and simplify the operation of dual transmitter UE, by not requiring </w:t>
      </w:r>
      <w:proofErr w:type="gramStart"/>
      <w:r w:rsidR="00EF2C5B">
        <w:rPr>
          <w:lang w:val="en-GB"/>
        </w:rPr>
        <w:t>to consider</w:t>
      </w:r>
      <w:proofErr w:type="gramEnd"/>
      <w:r w:rsidR="00EF2C5B">
        <w:rPr>
          <w:lang w:val="en-GB"/>
        </w:rPr>
        <w:t xml:space="preserve"> the power sharing. </w:t>
      </w:r>
      <w:r w:rsidR="00880B29">
        <w:rPr>
          <w:lang w:val="en-GB"/>
        </w:rPr>
        <w:t>It would simplify the operation from UE perspective if the numerology and BWP can be assumed to be the same.</w:t>
      </w:r>
      <w:r w:rsidR="00AF5BEA">
        <w:rPr>
          <w:lang w:val="en-GB"/>
        </w:rPr>
        <w:t xml:space="preserve"> Accounting TDM based transmission, to two cells the applied UL timing should be aligned (to avoid GPs). </w:t>
      </w:r>
    </w:p>
    <w:p w14:paraId="7C2BCACB" w14:textId="16317BCC" w:rsidR="001269BF" w:rsidRPr="001269BF" w:rsidRDefault="003A1AF2" w:rsidP="006A0DD3">
      <w:pPr>
        <w:rPr>
          <w:lang w:val="en-GB"/>
        </w:rPr>
      </w:pPr>
      <w:r>
        <w:rPr>
          <w:lang w:val="en-GB"/>
        </w:rPr>
        <w:t xml:space="preserve">Spatial domain impact would need to be accounted also for reception (and transmission) in FR2, if UE is not able to receive from multiple antenna panels simultaneously. For ‘single panel’ UEs this could be solved by applying TDM pattern for reception. </w:t>
      </w:r>
    </w:p>
    <w:p w14:paraId="5529ACD1" w14:textId="3AD7AEE3" w:rsidR="00A667FB" w:rsidRPr="00B112AB" w:rsidRDefault="00A667FB" w:rsidP="00A667FB">
      <w:pPr>
        <w:rPr>
          <w:b/>
          <w:lang w:val="en-GB"/>
        </w:rPr>
      </w:pPr>
      <w:r w:rsidRPr="00B112AB">
        <w:rPr>
          <w:b/>
          <w:lang w:val="en-GB"/>
        </w:rPr>
        <w:t xml:space="preserve">Simultaneous connectivity for </w:t>
      </w:r>
      <w:r>
        <w:rPr>
          <w:b/>
          <w:lang w:val="en-GB"/>
        </w:rPr>
        <w:t xml:space="preserve">asynchronous </w:t>
      </w:r>
      <w:r w:rsidRPr="00B112AB">
        <w:rPr>
          <w:b/>
          <w:lang w:val="en-GB"/>
        </w:rPr>
        <w:t xml:space="preserve">intra-frequency </w:t>
      </w:r>
      <w:r>
        <w:rPr>
          <w:b/>
          <w:lang w:val="en-GB"/>
        </w:rPr>
        <w:t>cells</w:t>
      </w:r>
    </w:p>
    <w:p w14:paraId="00DDB9B3" w14:textId="45ACB50C" w:rsidR="00A667FB" w:rsidRDefault="00A667FB" w:rsidP="006A0DD3">
      <w:pPr>
        <w:rPr>
          <w:lang w:val="en-GB"/>
        </w:rPr>
      </w:pPr>
      <w:r>
        <w:rPr>
          <w:lang w:val="en-GB"/>
        </w:rPr>
        <w:t xml:space="preserve">When the cells are asynchronous, i.e. timing difference between the cells is undefined and may drift freely, </w:t>
      </w:r>
      <w:r w:rsidR="00880B29">
        <w:rPr>
          <w:lang w:val="en-GB"/>
        </w:rPr>
        <w:t xml:space="preserve">in order to UE to be able to have simultaneous reception, </w:t>
      </w:r>
      <w:r>
        <w:rPr>
          <w:lang w:val="en-GB"/>
        </w:rPr>
        <w:t xml:space="preserve">it could be seen to require allocating independent receiver chains for each </w:t>
      </w:r>
      <w:proofErr w:type="gramStart"/>
      <w:r>
        <w:rPr>
          <w:lang w:val="en-GB"/>
        </w:rPr>
        <w:t>cells</w:t>
      </w:r>
      <w:proofErr w:type="gramEnd"/>
      <w:r>
        <w:rPr>
          <w:lang w:val="en-GB"/>
        </w:rPr>
        <w:t xml:space="preserve">, at least </w:t>
      </w:r>
      <w:r w:rsidR="00880B29">
        <w:rPr>
          <w:lang w:val="en-GB"/>
        </w:rPr>
        <w:t>from base-band up-to</w:t>
      </w:r>
      <w:r>
        <w:rPr>
          <w:lang w:val="en-GB"/>
        </w:rPr>
        <w:t xml:space="preserve"> having independent FFT processing</w:t>
      </w:r>
      <w:r w:rsidR="00880B29">
        <w:rPr>
          <w:lang w:val="en-GB"/>
        </w:rPr>
        <w:t xml:space="preserve"> for each cell</w:t>
      </w:r>
      <w:r w:rsidR="00EF2C5B">
        <w:rPr>
          <w:lang w:val="en-GB"/>
        </w:rPr>
        <w:t xml:space="preserve">. </w:t>
      </w:r>
      <w:r w:rsidR="00AA5890">
        <w:rPr>
          <w:lang w:val="en-GB"/>
        </w:rPr>
        <w:t>As the processing of each cell can be considered to be more independent</w:t>
      </w:r>
      <w:r w:rsidR="00880B29">
        <w:rPr>
          <w:lang w:val="en-GB"/>
        </w:rPr>
        <w:t xml:space="preserve"> in this case</w:t>
      </w:r>
      <w:r w:rsidR="00AA5890">
        <w:rPr>
          <w:lang w:val="en-GB"/>
        </w:rPr>
        <w:t>, t</w:t>
      </w:r>
      <w:r w:rsidR="00EF2C5B">
        <w:rPr>
          <w:lang w:val="en-GB"/>
        </w:rPr>
        <w:t xml:space="preserve">he BWP on each cell could be different and non-overlapping (as long as limited to total UE capability), and numerologies of the cells could also </w:t>
      </w:r>
      <w:proofErr w:type="gramStart"/>
      <w:r w:rsidR="00EF2C5B">
        <w:rPr>
          <w:lang w:val="en-GB"/>
        </w:rPr>
        <w:t>considered</w:t>
      </w:r>
      <w:proofErr w:type="gramEnd"/>
      <w:r w:rsidR="00EF2C5B">
        <w:rPr>
          <w:lang w:val="en-GB"/>
        </w:rPr>
        <w:t xml:space="preserve"> to be independent. </w:t>
      </w:r>
    </w:p>
    <w:p w14:paraId="2886F07D" w14:textId="751C783F" w:rsidR="00AF5BEA" w:rsidRDefault="00AF5BEA" w:rsidP="006A0DD3">
      <w:pPr>
        <w:rPr>
          <w:lang w:val="en-GB"/>
        </w:rPr>
      </w:pPr>
      <w:r>
        <w:rPr>
          <w:lang w:val="en-GB"/>
        </w:rPr>
        <w:t xml:space="preserve">For asynchronous transmission to two cells, UE would be required to support </w:t>
      </w:r>
      <w:r w:rsidR="00DC0F56">
        <w:rPr>
          <w:lang w:val="en-GB"/>
        </w:rPr>
        <w:t xml:space="preserve">two fully independent transmitted chains and the power would need to be limited. There can be also further intermodulation related issues e.g. due to transmissions not sharing same frequency and timing source. </w:t>
      </w:r>
    </w:p>
    <w:p w14:paraId="44DBCC7E" w14:textId="3E4FC3AA" w:rsidR="0040472B" w:rsidRDefault="0040472B" w:rsidP="0040472B">
      <w:pPr>
        <w:rPr>
          <w:lang w:val="en-GB"/>
        </w:rPr>
      </w:pPr>
      <w:r>
        <w:rPr>
          <w:lang w:val="en-GB"/>
        </w:rPr>
        <w:t xml:space="preserve">For </w:t>
      </w:r>
      <w:proofErr w:type="spellStart"/>
      <w:r>
        <w:rPr>
          <w:lang w:val="en-GB"/>
        </w:rPr>
        <w:t>asychornous</w:t>
      </w:r>
      <w:proofErr w:type="spellEnd"/>
      <w:r>
        <w:rPr>
          <w:lang w:val="en-GB"/>
        </w:rPr>
        <w:t xml:space="preserve"> case, in FR2, the UE should be able to receive (and transmit to simultaneous) spatial directions simultaneously</w:t>
      </w:r>
      <w:r w:rsidR="009B17A3">
        <w:rPr>
          <w:lang w:val="en-GB"/>
        </w:rPr>
        <w:t>/independently</w:t>
      </w:r>
      <w:r>
        <w:rPr>
          <w:lang w:val="en-GB"/>
        </w:rPr>
        <w:t xml:space="preserve">. </w:t>
      </w:r>
    </w:p>
    <w:p w14:paraId="603DFB3A" w14:textId="7A660102" w:rsidR="0040472B" w:rsidRPr="001269BF" w:rsidRDefault="001269BF" w:rsidP="006A0DD3">
      <w:pPr>
        <w:rPr>
          <w:lang w:val="en-GB"/>
        </w:rPr>
      </w:pPr>
      <w:r w:rsidRPr="001269BF">
        <w:rPr>
          <w:b/>
          <w:lang w:val="en-GB"/>
        </w:rPr>
        <w:t>Observation:</w:t>
      </w:r>
      <w:r>
        <w:rPr>
          <w:b/>
          <w:lang w:val="en-GB"/>
        </w:rPr>
        <w:t xml:space="preserve"> </w:t>
      </w:r>
      <w:r w:rsidRPr="001269BF">
        <w:rPr>
          <w:lang w:val="en-GB"/>
        </w:rPr>
        <w:t xml:space="preserve">For </w:t>
      </w:r>
      <w:r>
        <w:rPr>
          <w:lang w:val="en-GB"/>
        </w:rPr>
        <w:t xml:space="preserve">UE with single </w:t>
      </w:r>
      <w:r w:rsidR="00C87190">
        <w:rPr>
          <w:lang w:val="en-GB"/>
        </w:rPr>
        <w:t>receiver</w:t>
      </w:r>
      <w:r>
        <w:rPr>
          <w:lang w:val="en-GB"/>
        </w:rPr>
        <w:t xml:space="preserve"> chain simultaneous reception from two </w:t>
      </w:r>
      <w:r w:rsidR="001E0E8B">
        <w:rPr>
          <w:lang w:val="en-GB"/>
        </w:rPr>
        <w:t xml:space="preserve">intra-frequency </w:t>
      </w:r>
      <w:r>
        <w:rPr>
          <w:lang w:val="en-GB"/>
        </w:rPr>
        <w:t xml:space="preserve">cells can </w:t>
      </w:r>
      <w:proofErr w:type="gramStart"/>
      <w:r>
        <w:rPr>
          <w:lang w:val="en-GB"/>
        </w:rPr>
        <w:t>be considered to be</w:t>
      </w:r>
      <w:proofErr w:type="gramEnd"/>
      <w:r>
        <w:rPr>
          <w:lang w:val="en-GB"/>
        </w:rPr>
        <w:t xml:space="preserve"> feasible, assuming that the UE has sufficient baseband processing capability and that the cells are sufficiently synchronized, further facilitated if the sub-carrier spacing of the cells is same. </w:t>
      </w:r>
      <w:r w:rsidR="00C87190">
        <w:rPr>
          <w:lang w:val="en-GB"/>
        </w:rPr>
        <w:t>For UEs with full dual receiver chain, simultaneous reception from two</w:t>
      </w:r>
      <w:r w:rsidR="001E0E8B">
        <w:rPr>
          <w:lang w:val="en-GB"/>
        </w:rPr>
        <w:t xml:space="preserve"> intra-frequency</w:t>
      </w:r>
      <w:r w:rsidR="00C87190">
        <w:rPr>
          <w:lang w:val="en-GB"/>
        </w:rPr>
        <w:t xml:space="preserve"> cells is feasible even if the cells are asynchronous. For single transmitted chain </w:t>
      </w:r>
      <w:proofErr w:type="gramStart"/>
      <w:r w:rsidR="00C87190">
        <w:rPr>
          <w:lang w:val="en-GB"/>
        </w:rPr>
        <w:t>UE</w:t>
      </w:r>
      <w:proofErr w:type="gramEnd"/>
      <w:r w:rsidR="00C87190">
        <w:rPr>
          <w:lang w:val="en-GB"/>
        </w:rPr>
        <w:t xml:space="preserve"> the support of simultaneous connectivity to two </w:t>
      </w:r>
      <w:r w:rsidR="001E0E8B">
        <w:rPr>
          <w:lang w:val="en-GB"/>
        </w:rPr>
        <w:t xml:space="preserve">intra-frequency </w:t>
      </w:r>
      <w:r w:rsidR="00C87190">
        <w:rPr>
          <w:lang w:val="en-GB"/>
        </w:rPr>
        <w:t xml:space="preserve">cells would require that some TDM pattern is defined and that the UL timing is sufficiently aligned. For UEs supporting two </w:t>
      </w:r>
      <w:proofErr w:type="spellStart"/>
      <w:r w:rsidR="00C87190">
        <w:rPr>
          <w:lang w:val="en-GB"/>
        </w:rPr>
        <w:t>transmited</w:t>
      </w:r>
      <w:proofErr w:type="spellEnd"/>
      <w:r w:rsidR="00C87190">
        <w:rPr>
          <w:lang w:val="en-GB"/>
        </w:rPr>
        <w:t xml:space="preserve"> chains, simultaneous transmission to two </w:t>
      </w:r>
      <w:r w:rsidR="001E0E8B">
        <w:rPr>
          <w:lang w:val="en-GB"/>
        </w:rPr>
        <w:t xml:space="preserve">intra-frequency </w:t>
      </w:r>
      <w:r w:rsidR="00C87190">
        <w:rPr>
          <w:lang w:val="en-GB"/>
        </w:rPr>
        <w:t>cells would be feasible if the power is split, but it would be preferable to have some level of synchronisation between the cells.</w:t>
      </w:r>
    </w:p>
    <w:p w14:paraId="084A53BF" w14:textId="230C2A23" w:rsidR="00AF5BEA" w:rsidRPr="00B112AB" w:rsidRDefault="00AF5BEA" w:rsidP="00AF5BEA">
      <w:pPr>
        <w:pStyle w:val="Heading2"/>
      </w:pPr>
      <w:r>
        <w:lastRenderedPageBreak/>
        <w:t>Inter-frequency</w:t>
      </w:r>
    </w:p>
    <w:p w14:paraId="39277E0B" w14:textId="58662456" w:rsidR="00817A3C" w:rsidRDefault="00817A3C" w:rsidP="006A0DD3">
      <w:pPr>
        <w:rPr>
          <w:lang w:val="en-GB"/>
        </w:rPr>
      </w:pPr>
      <w:r>
        <w:rPr>
          <w:lang w:val="en-GB"/>
        </w:rPr>
        <w:t xml:space="preserve">To enable simultaneous reception in inter-frequency cases, UE would need to support </w:t>
      </w:r>
      <w:r w:rsidR="00E555FE">
        <w:rPr>
          <w:lang w:val="en-GB"/>
        </w:rPr>
        <w:t xml:space="preserve">DL </w:t>
      </w:r>
      <w:r>
        <w:rPr>
          <w:lang w:val="en-GB"/>
        </w:rPr>
        <w:t xml:space="preserve">CA </w:t>
      </w:r>
      <w:r w:rsidR="00E555FE">
        <w:rPr>
          <w:lang w:val="en-GB"/>
        </w:rPr>
        <w:t>in</w:t>
      </w:r>
      <w:r>
        <w:rPr>
          <w:lang w:val="en-GB"/>
        </w:rPr>
        <w:t xml:space="preserve"> the frequencies of the two cells</w:t>
      </w:r>
      <w:r w:rsidR="00E555FE">
        <w:rPr>
          <w:lang w:val="en-GB"/>
        </w:rPr>
        <w:t xml:space="preserve"> in question</w:t>
      </w:r>
      <w:r>
        <w:rPr>
          <w:lang w:val="en-GB"/>
        </w:rPr>
        <w:t>.</w:t>
      </w:r>
      <w:r w:rsidR="00823A7D">
        <w:rPr>
          <w:lang w:val="en-GB"/>
        </w:rPr>
        <w:t xml:space="preserve"> </w:t>
      </w:r>
      <w:proofErr w:type="gramStart"/>
      <w:r w:rsidR="00823A7D">
        <w:rPr>
          <w:lang w:val="en-GB"/>
        </w:rPr>
        <w:t>Thus</w:t>
      </w:r>
      <w:proofErr w:type="gramEnd"/>
      <w:r w:rsidR="00823A7D">
        <w:rPr>
          <w:lang w:val="en-GB"/>
        </w:rPr>
        <w:t xml:space="preserve"> assuming that the </w:t>
      </w:r>
      <w:r w:rsidR="007E3A93">
        <w:rPr>
          <w:lang w:val="en-GB"/>
        </w:rPr>
        <w:t xml:space="preserve">UE has capability support CA between the said cells, and that this capability is not in use, it could be </w:t>
      </w:r>
      <w:proofErr w:type="spellStart"/>
      <w:r w:rsidR="002E418F">
        <w:rPr>
          <w:lang w:val="en-GB"/>
        </w:rPr>
        <w:t>considerd</w:t>
      </w:r>
      <w:proofErr w:type="spellEnd"/>
      <w:r w:rsidR="002E418F">
        <w:rPr>
          <w:lang w:val="en-GB"/>
        </w:rPr>
        <w:t xml:space="preserve"> to be feasible to support simultaneous reception, with certain side conditions.</w:t>
      </w:r>
      <w:r>
        <w:rPr>
          <w:lang w:val="en-GB"/>
        </w:rPr>
        <w:t xml:space="preserve"> For inter-band </w:t>
      </w:r>
      <w:r w:rsidR="00E555FE">
        <w:rPr>
          <w:lang w:val="en-GB"/>
        </w:rPr>
        <w:t xml:space="preserve">and intra-band simultaneous reception cases, </w:t>
      </w:r>
      <w:r>
        <w:rPr>
          <w:lang w:val="en-GB"/>
        </w:rPr>
        <w:t>it c</w:t>
      </w:r>
      <w:r w:rsidR="00E555FE">
        <w:rPr>
          <w:lang w:val="en-GB"/>
        </w:rPr>
        <w:t xml:space="preserve">ould be assumed that the timing requirements would follow those that have been defined for corresponding CA cases (in 38.133). </w:t>
      </w:r>
      <w:proofErr w:type="gramStart"/>
      <w:r w:rsidR="00E555FE">
        <w:rPr>
          <w:lang w:val="en-GB"/>
        </w:rPr>
        <w:t>Also</w:t>
      </w:r>
      <w:proofErr w:type="gramEnd"/>
      <w:r w:rsidR="00E555FE">
        <w:rPr>
          <w:lang w:val="en-GB"/>
        </w:rPr>
        <w:t xml:space="preserve"> similarly as in CA operation, the configurations of the BWPs on the two cells could be considered independent (BW and numerology).</w:t>
      </w:r>
    </w:p>
    <w:p w14:paraId="246315DC" w14:textId="663DA1D9" w:rsidR="00AF5BEA" w:rsidRDefault="002E418F" w:rsidP="006A0DD3">
      <w:pPr>
        <w:rPr>
          <w:lang w:val="en-GB"/>
        </w:rPr>
      </w:pPr>
      <w:r>
        <w:rPr>
          <w:lang w:val="en-GB"/>
        </w:rPr>
        <w:t xml:space="preserve">Correspondingly, from transmission perspective, simultaneous connectivity would require UE to support </w:t>
      </w:r>
      <w:r w:rsidR="00074314">
        <w:rPr>
          <w:lang w:val="en-GB"/>
        </w:rPr>
        <w:t xml:space="preserve">UL CA between the said cells/frequencies. For UE with single UL support only, some TDM operation could be envisioned, but if large timing difference between cells needs to be supported, this may not be feasible. As for DL, the UL BWPs could </w:t>
      </w:r>
      <w:proofErr w:type="gramStart"/>
      <w:r w:rsidR="00074314">
        <w:rPr>
          <w:lang w:val="en-GB"/>
        </w:rPr>
        <w:t>considered</w:t>
      </w:r>
      <w:proofErr w:type="gramEnd"/>
      <w:r w:rsidR="00074314">
        <w:rPr>
          <w:lang w:val="en-GB"/>
        </w:rPr>
        <w:t xml:space="preserve"> to be independent.</w:t>
      </w:r>
    </w:p>
    <w:p w14:paraId="6576FBBD" w14:textId="4022130C" w:rsidR="001E0E8B" w:rsidRDefault="001E0E8B" w:rsidP="006A0DD3">
      <w:pPr>
        <w:rPr>
          <w:lang w:val="en-GB"/>
        </w:rPr>
      </w:pPr>
      <w:r w:rsidRPr="001269BF">
        <w:rPr>
          <w:b/>
          <w:lang w:val="en-GB"/>
        </w:rPr>
        <w:t>Observation:</w:t>
      </w:r>
      <w:r>
        <w:rPr>
          <w:b/>
          <w:lang w:val="en-GB"/>
        </w:rPr>
        <w:t xml:space="preserve"> </w:t>
      </w:r>
      <w:r w:rsidRPr="001269BF">
        <w:rPr>
          <w:lang w:val="en-GB"/>
        </w:rPr>
        <w:t xml:space="preserve">For </w:t>
      </w:r>
      <w:r>
        <w:rPr>
          <w:lang w:val="en-GB"/>
        </w:rPr>
        <w:t xml:space="preserve">UE supporting corresponding DL CA capability, the simultaneous reception from two inter-frequency cells is feasible </w:t>
      </w:r>
      <w:proofErr w:type="gramStart"/>
      <w:r>
        <w:rPr>
          <w:lang w:val="en-GB"/>
        </w:rPr>
        <w:t>as long as</w:t>
      </w:r>
      <w:proofErr w:type="gramEnd"/>
      <w:r>
        <w:rPr>
          <w:lang w:val="en-GB"/>
        </w:rPr>
        <w:t xml:space="preserve"> the cells are sufficiently synchronized. Correspondingly, UE supporting corresponding UL CA capability, the simultaneous transmission can be supported </w:t>
      </w:r>
      <w:proofErr w:type="gramStart"/>
      <w:r>
        <w:rPr>
          <w:lang w:val="en-GB"/>
        </w:rPr>
        <w:t>as long as</w:t>
      </w:r>
      <w:proofErr w:type="gramEnd"/>
      <w:r>
        <w:rPr>
          <w:lang w:val="en-GB"/>
        </w:rPr>
        <w:t xml:space="preserve"> the cells have sufficiently aligned UL timing. </w:t>
      </w:r>
    </w:p>
    <w:p w14:paraId="5F620C1F" w14:textId="77777777" w:rsidR="001E0E8B" w:rsidRPr="00B112AB" w:rsidRDefault="001E0E8B" w:rsidP="006A0DD3">
      <w:pPr>
        <w:rPr>
          <w:lang w:val="en-GB"/>
        </w:rPr>
      </w:pPr>
    </w:p>
    <w:p w14:paraId="10445A01" w14:textId="4B2163E6" w:rsidR="00885580" w:rsidRPr="00B112AB" w:rsidRDefault="007820D0" w:rsidP="00885580">
      <w:pPr>
        <w:pStyle w:val="Heading1"/>
      </w:pPr>
      <w:r w:rsidRPr="00B112AB">
        <w:t>Conclusion</w:t>
      </w:r>
    </w:p>
    <w:p w14:paraId="474D383A" w14:textId="69068E05" w:rsidR="00F2352A" w:rsidRPr="00B112AB" w:rsidRDefault="00F2352A" w:rsidP="00885580">
      <w:pPr>
        <w:rPr>
          <w:lang w:val="en-GB"/>
        </w:rPr>
      </w:pPr>
      <w:r w:rsidRPr="00B112AB">
        <w:rPr>
          <w:lang w:val="en-GB"/>
        </w:rPr>
        <w:t xml:space="preserve">In this contribution we </w:t>
      </w:r>
      <w:r w:rsidR="00845634">
        <w:rPr>
          <w:lang w:val="en-GB"/>
        </w:rPr>
        <w:t xml:space="preserve">discussed </w:t>
      </w:r>
      <w:r w:rsidR="001E0E8B">
        <w:rPr>
          <w:lang w:val="en-GB"/>
        </w:rPr>
        <w:t xml:space="preserve">the feasibility of the simultaneous connectivity as raised in RAN2 LS </w:t>
      </w:r>
      <w:r w:rsidR="001E0E8B">
        <w:rPr>
          <w:lang w:val="en-GB"/>
        </w:rPr>
        <w:fldChar w:fldCharType="begin"/>
      </w:r>
      <w:r w:rsidR="001E0E8B">
        <w:rPr>
          <w:lang w:val="en-GB"/>
        </w:rPr>
        <w:instrText xml:space="preserve"> REF _Ref4763489 \r \h </w:instrText>
      </w:r>
      <w:r w:rsidR="001E0E8B">
        <w:rPr>
          <w:lang w:val="en-GB"/>
        </w:rPr>
      </w:r>
      <w:r w:rsidR="001E0E8B">
        <w:rPr>
          <w:lang w:val="en-GB"/>
        </w:rPr>
        <w:fldChar w:fldCharType="separate"/>
      </w:r>
      <w:r w:rsidR="001E0E8B">
        <w:rPr>
          <w:lang w:val="en-GB"/>
        </w:rPr>
        <w:t>[2]</w:t>
      </w:r>
      <w:r w:rsidR="001E0E8B">
        <w:rPr>
          <w:lang w:val="en-GB"/>
        </w:rPr>
        <w:fldChar w:fldCharType="end"/>
      </w:r>
      <w:r w:rsidR="001E0E8B">
        <w:rPr>
          <w:lang w:val="en-GB"/>
        </w:rPr>
        <w:t>. We make following</w:t>
      </w:r>
      <w:r w:rsidRPr="00B112AB">
        <w:rPr>
          <w:lang w:val="en-GB"/>
        </w:rPr>
        <w:t xml:space="preserve"> observations </w:t>
      </w:r>
      <w:r w:rsidR="001E0E8B">
        <w:rPr>
          <w:lang w:val="en-GB"/>
        </w:rPr>
        <w:t>and propose that they are accounted in possible LS response to RAN</w:t>
      </w:r>
      <w:proofErr w:type="gramStart"/>
      <w:r w:rsidR="001E0E8B">
        <w:rPr>
          <w:lang w:val="en-GB"/>
        </w:rPr>
        <w:t>4</w:t>
      </w:r>
      <w:r w:rsidRPr="00B112AB">
        <w:rPr>
          <w:lang w:val="en-GB"/>
        </w:rPr>
        <w:t>:-</w:t>
      </w:r>
      <w:proofErr w:type="gramEnd"/>
    </w:p>
    <w:p w14:paraId="20B69BB1" w14:textId="77777777" w:rsidR="001E0E8B" w:rsidRPr="001269BF" w:rsidRDefault="001E0E8B" w:rsidP="001E0E8B">
      <w:pPr>
        <w:rPr>
          <w:lang w:val="en-GB"/>
        </w:rPr>
      </w:pPr>
      <w:r w:rsidRPr="001269BF">
        <w:rPr>
          <w:b/>
          <w:lang w:val="en-GB"/>
        </w:rPr>
        <w:t>Observation:</w:t>
      </w:r>
      <w:r>
        <w:rPr>
          <w:b/>
          <w:lang w:val="en-GB"/>
        </w:rPr>
        <w:t xml:space="preserve"> </w:t>
      </w:r>
      <w:r w:rsidRPr="001269BF">
        <w:rPr>
          <w:lang w:val="en-GB"/>
        </w:rPr>
        <w:t xml:space="preserve">For </w:t>
      </w:r>
      <w:r>
        <w:rPr>
          <w:lang w:val="en-GB"/>
        </w:rPr>
        <w:t xml:space="preserve">UE with single receiver chain simultaneous reception from two intra-frequency cells can </w:t>
      </w:r>
      <w:proofErr w:type="gramStart"/>
      <w:r>
        <w:rPr>
          <w:lang w:val="en-GB"/>
        </w:rPr>
        <w:t>be considered to be</w:t>
      </w:r>
      <w:proofErr w:type="gramEnd"/>
      <w:r>
        <w:rPr>
          <w:lang w:val="en-GB"/>
        </w:rPr>
        <w:t xml:space="preserve"> feasible, assuming that the UE has sufficient baseband processing capability and that the cells are sufficiently synchronized, further facilitated if the sub-carrier spacing of the cells is same. For UEs with full dual receiver chain, simultaneous reception from two intra-frequency cells is feasible even if the cells are asynchronous. For single transmitted chain </w:t>
      </w:r>
      <w:proofErr w:type="gramStart"/>
      <w:r>
        <w:rPr>
          <w:lang w:val="en-GB"/>
        </w:rPr>
        <w:t>UE</w:t>
      </w:r>
      <w:proofErr w:type="gramEnd"/>
      <w:r>
        <w:rPr>
          <w:lang w:val="en-GB"/>
        </w:rPr>
        <w:t xml:space="preserve"> the support of simultaneous connectivity to two intra-frequency cells would require that some TDM pattern is defined and that the UL timing is sufficiently aligned. For UEs supporting two </w:t>
      </w:r>
      <w:proofErr w:type="spellStart"/>
      <w:r>
        <w:rPr>
          <w:lang w:val="en-GB"/>
        </w:rPr>
        <w:t>transmited</w:t>
      </w:r>
      <w:proofErr w:type="spellEnd"/>
      <w:r>
        <w:rPr>
          <w:lang w:val="en-GB"/>
        </w:rPr>
        <w:t xml:space="preserve"> chains, simultaneous transmission to two intra-frequency cells would be feasible if the power is split, but it would be preferable to have some level of synchronisation between the cells.</w:t>
      </w:r>
    </w:p>
    <w:p w14:paraId="72191028" w14:textId="77777777" w:rsidR="001E0E8B" w:rsidRDefault="001E0E8B" w:rsidP="001E0E8B">
      <w:pPr>
        <w:rPr>
          <w:lang w:val="en-GB"/>
        </w:rPr>
      </w:pPr>
      <w:r w:rsidRPr="001269BF">
        <w:rPr>
          <w:b/>
          <w:lang w:val="en-GB"/>
        </w:rPr>
        <w:t>Observation:</w:t>
      </w:r>
      <w:r>
        <w:rPr>
          <w:b/>
          <w:lang w:val="en-GB"/>
        </w:rPr>
        <w:t xml:space="preserve"> </w:t>
      </w:r>
      <w:r w:rsidRPr="001269BF">
        <w:rPr>
          <w:lang w:val="en-GB"/>
        </w:rPr>
        <w:t xml:space="preserve">For </w:t>
      </w:r>
      <w:r>
        <w:rPr>
          <w:lang w:val="en-GB"/>
        </w:rPr>
        <w:t xml:space="preserve">UE supporting corresponding DL CA capability, the simultaneous reception from two inter-frequency cells is feasible </w:t>
      </w:r>
      <w:proofErr w:type="gramStart"/>
      <w:r>
        <w:rPr>
          <w:lang w:val="en-GB"/>
        </w:rPr>
        <w:t>as long as</w:t>
      </w:r>
      <w:proofErr w:type="gramEnd"/>
      <w:r>
        <w:rPr>
          <w:lang w:val="en-GB"/>
        </w:rPr>
        <w:t xml:space="preserve"> the cells are sufficiently synchronized. Correspondingly, UE supporting corresponding UL CA capability, the simultaneous transmission can be supported </w:t>
      </w:r>
      <w:proofErr w:type="gramStart"/>
      <w:r>
        <w:rPr>
          <w:lang w:val="en-GB"/>
        </w:rPr>
        <w:t>as long as</w:t>
      </w:r>
      <w:proofErr w:type="gramEnd"/>
      <w:r>
        <w:rPr>
          <w:lang w:val="en-GB"/>
        </w:rPr>
        <w:t xml:space="preserve"> the cells have sufficiently aligned UL timing. </w:t>
      </w:r>
    </w:p>
    <w:p w14:paraId="0FACC9CC" w14:textId="77777777" w:rsidR="00F2352A" w:rsidRPr="00B112AB" w:rsidRDefault="00F2352A" w:rsidP="00885580">
      <w:pPr>
        <w:rPr>
          <w:lang w:val="en-GB"/>
        </w:rPr>
      </w:pPr>
    </w:p>
    <w:p w14:paraId="53CD9119" w14:textId="77777777" w:rsidR="00885580" w:rsidRPr="00B112AB" w:rsidRDefault="00885580" w:rsidP="00885580">
      <w:pPr>
        <w:pStyle w:val="Heading1"/>
        <w:numPr>
          <w:ilvl w:val="0"/>
          <w:numId w:val="0"/>
        </w:numPr>
      </w:pPr>
      <w:r w:rsidRPr="00B112AB">
        <w:t>References</w:t>
      </w:r>
    </w:p>
    <w:p w14:paraId="42585CD1" w14:textId="50CC0B7A" w:rsidR="00366C1B" w:rsidRPr="00B112AB" w:rsidRDefault="00671655" w:rsidP="007820D0">
      <w:pPr>
        <w:pStyle w:val="ListParagraph"/>
        <w:numPr>
          <w:ilvl w:val="0"/>
          <w:numId w:val="12"/>
        </w:numPr>
        <w:rPr>
          <w:sz w:val="20"/>
          <w:lang w:val="en-GB"/>
        </w:rPr>
      </w:pPr>
      <w:bookmarkStart w:id="2" w:name="_Ref769929"/>
      <w:r w:rsidRPr="00B112AB">
        <w:rPr>
          <w:sz w:val="20"/>
          <w:lang w:val="en-GB"/>
        </w:rPr>
        <w:t>RP-181433</w:t>
      </w:r>
      <w:r w:rsidR="00366C1B" w:rsidRPr="00B112AB">
        <w:rPr>
          <w:sz w:val="20"/>
          <w:lang w:val="en-GB"/>
        </w:rPr>
        <w:t xml:space="preserve">, </w:t>
      </w:r>
      <w:r w:rsidRPr="00B112AB">
        <w:rPr>
          <w:sz w:val="20"/>
          <w:lang w:val="en-GB"/>
        </w:rPr>
        <w:t>New WID: NR mobility enhancements, 3GPP TSG RAN#80</w:t>
      </w:r>
      <w:bookmarkEnd w:id="2"/>
    </w:p>
    <w:p w14:paraId="3EE12CED" w14:textId="5A39CFE8" w:rsidR="001F4032" w:rsidRDefault="009E419D" w:rsidP="007820D0">
      <w:pPr>
        <w:pStyle w:val="ListParagraph"/>
        <w:numPr>
          <w:ilvl w:val="0"/>
          <w:numId w:val="12"/>
        </w:numPr>
        <w:rPr>
          <w:sz w:val="20"/>
          <w:lang w:val="en-GB"/>
        </w:rPr>
      </w:pPr>
      <w:bookmarkStart w:id="3" w:name="_Ref4763489"/>
      <w:r w:rsidRPr="009E419D">
        <w:rPr>
          <w:sz w:val="20"/>
          <w:lang w:val="en-GB"/>
        </w:rPr>
        <w:t>R1-1903863</w:t>
      </w:r>
      <w:r w:rsidR="001F4032" w:rsidRPr="00B112AB">
        <w:rPr>
          <w:sz w:val="20"/>
          <w:lang w:val="en-GB"/>
        </w:rPr>
        <w:t>,</w:t>
      </w:r>
      <w:r>
        <w:rPr>
          <w:sz w:val="20"/>
          <w:lang w:val="en-GB"/>
        </w:rPr>
        <w:t xml:space="preserve"> </w:t>
      </w:r>
      <w:r w:rsidRPr="009E419D">
        <w:rPr>
          <w:sz w:val="20"/>
          <w:lang w:val="en-GB"/>
        </w:rPr>
        <w:t>LS on NR mobility enhancements</w:t>
      </w:r>
      <w:r>
        <w:rPr>
          <w:sz w:val="20"/>
          <w:lang w:val="en-GB"/>
        </w:rPr>
        <w:t>, RAN2</w:t>
      </w:r>
      <w:bookmarkEnd w:id="3"/>
    </w:p>
    <w:p w14:paraId="76E9D430" w14:textId="243CDB38" w:rsidR="009E419D" w:rsidRPr="00B112AB" w:rsidRDefault="009E419D" w:rsidP="007820D0">
      <w:pPr>
        <w:pStyle w:val="ListParagraph"/>
        <w:numPr>
          <w:ilvl w:val="0"/>
          <w:numId w:val="12"/>
        </w:numPr>
        <w:rPr>
          <w:sz w:val="20"/>
          <w:lang w:val="en-GB"/>
        </w:rPr>
      </w:pPr>
      <w:bookmarkStart w:id="4" w:name="_Ref4763572"/>
      <w:r w:rsidRPr="009E419D">
        <w:rPr>
          <w:sz w:val="20"/>
          <w:lang w:val="en-GB"/>
        </w:rPr>
        <w:t>R1-1814411</w:t>
      </w:r>
      <w:r>
        <w:rPr>
          <w:sz w:val="20"/>
          <w:lang w:val="en-GB"/>
        </w:rPr>
        <w:t xml:space="preserve">, </w:t>
      </w:r>
      <w:r w:rsidRPr="009E419D">
        <w:rPr>
          <w:sz w:val="20"/>
          <w:lang w:val="en-GB"/>
        </w:rPr>
        <w:t>Reply LS on the Interruption time during mobility in LTE</w:t>
      </w:r>
      <w:r>
        <w:rPr>
          <w:sz w:val="20"/>
          <w:lang w:val="en-GB"/>
        </w:rPr>
        <w:t>, RAN1</w:t>
      </w:r>
      <w:bookmarkEnd w:id="4"/>
    </w:p>
    <w:p w14:paraId="7FF5F37B" w14:textId="7A1BE7F4" w:rsidR="00961EE9" w:rsidRPr="00B112AB" w:rsidRDefault="00961EE9" w:rsidP="00D37A1A">
      <w:pPr>
        <w:rPr>
          <w:lang w:val="en-GB"/>
        </w:rPr>
      </w:pPr>
    </w:p>
    <w:p w14:paraId="1B9E7387" w14:textId="77777777" w:rsidR="00626BE0" w:rsidRPr="00B112AB" w:rsidRDefault="00626BE0" w:rsidP="00D37A1A">
      <w:pPr>
        <w:rPr>
          <w:lang w:val="en-GB"/>
        </w:rPr>
      </w:pPr>
    </w:p>
    <w:sectPr w:rsidR="00626BE0" w:rsidRPr="00B112A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B8F2A" w14:textId="77777777" w:rsidR="00B46286" w:rsidRDefault="00B46286">
      <w:r>
        <w:separator/>
      </w:r>
    </w:p>
  </w:endnote>
  <w:endnote w:type="continuationSeparator" w:id="0">
    <w:p w14:paraId="0A343D35" w14:textId="77777777" w:rsidR="00B46286" w:rsidRDefault="00B46286">
      <w:r>
        <w:continuationSeparator/>
      </w:r>
    </w:p>
  </w:endnote>
  <w:endnote w:type="continuationNotice" w:id="1">
    <w:p w14:paraId="19D3A7AF" w14:textId="77777777" w:rsidR="00B46286" w:rsidRDefault="00B46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E3738" w14:textId="77777777" w:rsidR="00B46286" w:rsidRDefault="00B46286">
      <w:r>
        <w:separator/>
      </w:r>
    </w:p>
  </w:footnote>
  <w:footnote w:type="continuationSeparator" w:id="0">
    <w:p w14:paraId="19FF4738" w14:textId="77777777" w:rsidR="00B46286" w:rsidRDefault="00B46286">
      <w:r>
        <w:continuationSeparator/>
      </w:r>
    </w:p>
  </w:footnote>
  <w:footnote w:type="continuationNotice" w:id="1">
    <w:p w14:paraId="6F2D2C08" w14:textId="77777777" w:rsidR="00B46286" w:rsidRDefault="00B462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0"/>
  </w:num>
  <w:num w:numId="4">
    <w:abstractNumId w:val="1"/>
  </w:num>
  <w:num w:numId="5">
    <w:abstractNumId w:val="8"/>
  </w:num>
  <w:num w:numId="6">
    <w:abstractNumId w:val="13"/>
  </w:num>
  <w:num w:numId="7">
    <w:abstractNumId w:val="9"/>
  </w:num>
  <w:num w:numId="8">
    <w:abstractNumId w:val="7"/>
  </w:num>
  <w:num w:numId="9">
    <w:abstractNumId w:val="14"/>
  </w:num>
  <w:num w:numId="10">
    <w:abstractNumId w:val="4"/>
  </w:num>
  <w:num w:numId="11">
    <w:abstractNumId w:val="10"/>
  </w:num>
  <w:num w:numId="12">
    <w:abstractNumId w:val="2"/>
  </w:num>
  <w:num w:numId="13">
    <w:abstractNumId w:val="6"/>
  </w:num>
  <w:num w:numId="14">
    <w:abstractNumId w:val="11"/>
  </w:num>
  <w:num w:numId="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7D0"/>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37F49"/>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4314"/>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1F2"/>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E7EA2"/>
    <w:rsid w:val="000F15B2"/>
    <w:rsid w:val="000F19DE"/>
    <w:rsid w:val="000F2E1F"/>
    <w:rsid w:val="000F37B0"/>
    <w:rsid w:val="000F4595"/>
    <w:rsid w:val="000F4CB2"/>
    <w:rsid w:val="000F4E44"/>
    <w:rsid w:val="000F4E90"/>
    <w:rsid w:val="000F53C2"/>
    <w:rsid w:val="000F568D"/>
    <w:rsid w:val="000F68D0"/>
    <w:rsid w:val="000F6B15"/>
    <w:rsid w:val="000F6D8E"/>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69BF"/>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818"/>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E8B"/>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032"/>
    <w:rsid w:val="001F4DAC"/>
    <w:rsid w:val="001F5019"/>
    <w:rsid w:val="001F51C5"/>
    <w:rsid w:val="001F65B0"/>
    <w:rsid w:val="001F67AA"/>
    <w:rsid w:val="001F6AFD"/>
    <w:rsid w:val="001F738D"/>
    <w:rsid w:val="001F7599"/>
    <w:rsid w:val="00202F4E"/>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947"/>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1F83"/>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18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116"/>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0A2C"/>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1AF2"/>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472B"/>
    <w:rsid w:val="00406B4D"/>
    <w:rsid w:val="004100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08E"/>
    <w:rsid w:val="00452CA7"/>
    <w:rsid w:val="00453341"/>
    <w:rsid w:val="004545C6"/>
    <w:rsid w:val="00454DCA"/>
    <w:rsid w:val="00454E26"/>
    <w:rsid w:val="00456544"/>
    <w:rsid w:val="00456649"/>
    <w:rsid w:val="004567B7"/>
    <w:rsid w:val="00456856"/>
    <w:rsid w:val="004571EF"/>
    <w:rsid w:val="00457DEE"/>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06E6D"/>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6F82"/>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84A"/>
    <w:rsid w:val="00624BA1"/>
    <w:rsid w:val="0062661B"/>
    <w:rsid w:val="00626BE0"/>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63C"/>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655"/>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1603"/>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C15"/>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377"/>
    <w:rsid w:val="00735C6F"/>
    <w:rsid w:val="00737A31"/>
    <w:rsid w:val="00742A6A"/>
    <w:rsid w:val="00742B44"/>
    <w:rsid w:val="0074656E"/>
    <w:rsid w:val="007472D5"/>
    <w:rsid w:val="00752B03"/>
    <w:rsid w:val="00753454"/>
    <w:rsid w:val="00753BB5"/>
    <w:rsid w:val="007544F1"/>
    <w:rsid w:val="00755E4A"/>
    <w:rsid w:val="00756169"/>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3A93"/>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0762A"/>
    <w:rsid w:val="008100AC"/>
    <w:rsid w:val="00810C05"/>
    <w:rsid w:val="0081151E"/>
    <w:rsid w:val="00812498"/>
    <w:rsid w:val="008127E6"/>
    <w:rsid w:val="0081336E"/>
    <w:rsid w:val="00813928"/>
    <w:rsid w:val="008154EC"/>
    <w:rsid w:val="00817A3C"/>
    <w:rsid w:val="00820DC7"/>
    <w:rsid w:val="00820FFB"/>
    <w:rsid w:val="00821698"/>
    <w:rsid w:val="008221FE"/>
    <w:rsid w:val="00822BF5"/>
    <w:rsid w:val="00823A7D"/>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5634"/>
    <w:rsid w:val="00846292"/>
    <w:rsid w:val="00847AE7"/>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461"/>
    <w:rsid w:val="00867651"/>
    <w:rsid w:val="00867B5A"/>
    <w:rsid w:val="00874009"/>
    <w:rsid w:val="00874158"/>
    <w:rsid w:val="008743F3"/>
    <w:rsid w:val="0087444A"/>
    <w:rsid w:val="00875139"/>
    <w:rsid w:val="00875410"/>
    <w:rsid w:val="00880B29"/>
    <w:rsid w:val="00880EDF"/>
    <w:rsid w:val="008811FD"/>
    <w:rsid w:val="00882DE6"/>
    <w:rsid w:val="00883A20"/>
    <w:rsid w:val="00883D4D"/>
    <w:rsid w:val="00884B59"/>
    <w:rsid w:val="008850BA"/>
    <w:rsid w:val="00885580"/>
    <w:rsid w:val="00885876"/>
    <w:rsid w:val="00886185"/>
    <w:rsid w:val="008861D9"/>
    <w:rsid w:val="0088638C"/>
    <w:rsid w:val="00886627"/>
    <w:rsid w:val="00886EDF"/>
    <w:rsid w:val="008908E5"/>
    <w:rsid w:val="00891216"/>
    <w:rsid w:val="00892F0D"/>
    <w:rsid w:val="00894B58"/>
    <w:rsid w:val="00894FDC"/>
    <w:rsid w:val="008957D3"/>
    <w:rsid w:val="00896414"/>
    <w:rsid w:val="0089716F"/>
    <w:rsid w:val="00897C71"/>
    <w:rsid w:val="008A0F54"/>
    <w:rsid w:val="008A16F9"/>
    <w:rsid w:val="008A1D3E"/>
    <w:rsid w:val="008A3038"/>
    <w:rsid w:val="008A34F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9CB"/>
    <w:rsid w:val="008C2CFD"/>
    <w:rsid w:val="008C3FDC"/>
    <w:rsid w:val="008C47AD"/>
    <w:rsid w:val="008C603A"/>
    <w:rsid w:val="008C71C8"/>
    <w:rsid w:val="008D0825"/>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37EA"/>
    <w:rsid w:val="009A45A2"/>
    <w:rsid w:val="009A6919"/>
    <w:rsid w:val="009A6AC7"/>
    <w:rsid w:val="009B0408"/>
    <w:rsid w:val="009B0843"/>
    <w:rsid w:val="009B0DEE"/>
    <w:rsid w:val="009B1335"/>
    <w:rsid w:val="009B176D"/>
    <w:rsid w:val="009B17A3"/>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3A2"/>
    <w:rsid w:val="009D19BC"/>
    <w:rsid w:val="009D2348"/>
    <w:rsid w:val="009D2EA8"/>
    <w:rsid w:val="009D2F0C"/>
    <w:rsid w:val="009D3102"/>
    <w:rsid w:val="009D3306"/>
    <w:rsid w:val="009D3578"/>
    <w:rsid w:val="009D3A5F"/>
    <w:rsid w:val="009D4F88"/>
    <w:rsid w:val="009D5193"/>
    <w:rsid w:val="009D5C32"/>
    <w:rsid w:val="009D5C56"/>
    <w:rsid w:val="009D6472"/>
    <w:rsid w:val="009D79F4"/>
    <w:rsid w:val="009D7D19"/>
    <w:rsid w:val="009E126D"/>
    <w:rsid w:val="009E33D7"/>
    <w:rsid w:val="009E3CD1"/>
    <w:rsid w:val="009E419D"/>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7FB"/>
    <w:rsid w:val="00A66F36"/>
    <w:rsid w:val="00A676D9"/>
    <w:rsid w:val="00A67EFC"/>
    <w:rsid w:val="00A7031E"/>
    <w:rsid w:val="00A71140"/>
    <w:rsid w:val="00A71CA4"/>
    <w:rsid w:val="00A7205E"/>
    <w:rsid w:val="00A74692"/>
    <w:rsid w:val="00A74CA8"/>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890"/>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BEA"/>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2AB"/>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286"/>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5454"/>
    <w:rsid w:val="00B76BCD"/>
    <w:rsid w:val="00B76EE9"/>
    <w:rsid w:val="00B77231"/>
    <w:rsid w:val="00B77880"/>
    <w:rsid w:val="00B80D90"/>
    <w:rsid w:val="00B82451"/>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78"/>
    <w:rsid w:val="00B96413"/>
    <w:rsid w:val="00B97CA3"/>
    <w:rsid w:val="00BA1872"/>
    <w:rsid w:val="00BA1913"/>
    <w:rsid w:val="00BA2AC4"/>
    <w:rsid w:val="00BA2BC9"/>
    <w:rsid w:val="00BA4641"/>
    <w:rsid w:val="00BA4A54"/>
    <w:rsid w:val="00BA76A9"/>
    <w:rsid w:val="00BB0595"/>
    <w:rsid w:val="00BB2F36"/>
    <w:rsid w:val="00BB3E2B"/>
    <w:rsid w:val="00BB5D1C"/>
    <w:rsid w:val="00BB6552"/>
    <w:rsid w:val="00BB65E0"/>
    <w:rsid w:val="00BB6B9B"/>
    <w:rsid w:val="00BB754F"/>
    <w:rsid w:val="00BB7F07"/>
    <w:rsid w:val="00BC0058"/>
    <w:rsid w:val="00BC07D4"/>
    <w:rsid w:val="00BC0A5D"/>
    <w:rsid w:val="00BC0BE3"/>
    <w:rsid w:val="00BC1AD9"/>
    <w:rsid w:val="00BC1AF1"/>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2C2F"/>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2A7"/>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B1C"/>
    <w:rsid w:val="00C61D4B"/>
    <w:rsid w:val="00C62B0A"/>
    <w:rsid w:val="00C63C52"/>
    <w:rsid w:val="00C63F08"/>
    <w:rsid w:val="00C6528C"/>
    <w:rsid w:val="00C6608A"/>
    <w:rsid w:val="00C661E8"/>
    <w:rsid w:val="00C70084"/>
    <w:rsid w:val="00C7090B"/>
    <w:rsid w:val="00C7235B"/>
    <w:rsid w:val="00C72E18"/>
    <w:rsid w:val="00C731AD"/>
    <w:rsid w:val="00C7380B"/>
    <w:rsid w:val="00C74421"/>
    <w:rsid w:val="00C747A7"/>
    <w:rsid w:val="00C75F2F"/>
    <w:rsid w:val="00C75FEE"/>
    <w:rsid w:val="00C76804"/>
    <w:rsid w:val="00C76F1D"/>
    <w:rsid w:val="00C77937"/>
    <w:rsid w:val="00C77CA4"/>
    <w:rsid w:val="00C77D26"/>
    <w:rsid w:val="00C80144"/>
    <w:rsid w:val="00C80BDF"/>
    <w:rsid w:val="00C815DF"/>
    <w:rsid w:val="00C81819"/>
    <w:rsid w:val="00C82FEE"/>
    <w:rsid w:val="00C84D39"/>
    <w:rsid w:val="00C85277"/>
    <w:rsid w:val="00C85806"/>
    <w:rsid w:val="00C85D76"/>
    <w:rsid w:val="00C87190"/>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3E2"/>
    <w:rsid w:val="00CB1CAC"/>
    <w:rsid w:val="00CB1DE8"/>
    <w:rsid w:val="00CB1E3B"/>
    <w:rsid w:val="00CB1F1D"/>
    <w:rsid w:val="00CB6795"/>
    <w:rsid w:val="00CB71F8"/>
    <w:rsid w:val="00CC180A"/>
    <w:rsid w:val="00CC1D2F"/>
    <w:rsid w:val="00CC26DB"/>
    <w:rsid w:val="00CC300C"/>
    <w:rsid w:val="00CC3201"/>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AC2"/>
    <w:rsid w:val="00D35F97"/>
    <w:rsid w:val="00D36964"/>
    <w:rsid w:val="00D37A1A"/>
    <w:rsid w:val="00D4081B"/>
    <w:rsid w:val="00D413C3"/>
    <w:rsid w:val="00D42240"/>
    <w:rsid w:val="00D427C3"/>
    <w:rsid w:val="00D42EB8"/>
    <w:rsid w:val="00D43D3C"/>
    <w:rsid w:val="00D43E0B"/>
    <w:rsid w:val="00D441E2"/>
    <w:rsid w:val="00D44932"/>
    <w:rsid w:val="00D45E00"/>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6EC5"/>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F56"/>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6A04"/>
    <w:rsid w:val="00DE18A3"/>
    <w:rsid w:val="00DE1904"/>
    <w:rsid w:val="00DE1DAA"/>
    <w:rsid w:val="00DE3DBB"/>
    <w:rsid w:val="00DE43A2"/>
    <w:rsid w:val="00DE4A74"/>
    <w:rsid w:val="00DE4B05"/>
    <w:rsid w:val="00DE541C"/>
    <w:rsid w:val="00DE737B"/>
    <w:rsid w:val="00DF100B"/>
    <w:rsid w:val="00DF11B7"/>
    <w:rsid w:val="00DF4359"/>
    <w:rsid w:val="00DF4F98"/>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55FE"/>
    <w:rsid w:val="00E564C4"/>
    <w:rsid w:val="00E567C9"/>
    <w:rsid w:val="00E57E1A"/>
    <w:rsid w:val="00E604C4"/>
    <w:rsid w:val="00E60809"/>
    <w:rsid w:val="00E61300"/>
    <w:rsid w:val="00E61A5D"/>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3F8C"/>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941"/>
    <w:rsid w:val="00ED6D4A"/>
    <w:rsid w:val="00ED721A"/>
    <w:rsid w:val="00ED738C"/>
    <w:rsid w:val="00ED7918"/>
    <w:rsid w:val="00ED7FD3"/>
    <w:rsid w:val="00EE0E5D"/>
    <w:rsid w:val="00EE11C2"/>
    <w:rsid w:val="00EE2183"/>
    <w:rsid w:val="00EE2A61"/>
    <w:rsid w:val="00EE3663"/>
    <w:rsid w:val="00EE41C4"/>
    <w:rsid w:val="00EE5A27"/>
    <w:rsid w:val="00EE6E77"/>
    <w:rsid w:val="00EE76A9"/>
    <w:rsid w:val="00EE799E"/>
    <w:rsid w:val="00EE7CA8"/>
    <w:rsid w:val="00EE7FA7"/>
    <w:rsid w:val="00EF0322"/>
    <w:rsid w:val="00EF1093"/>
    <w:rsid w:val="00EF1FCB"/>
    <w:rsid w:val="00EF21C3"/>
    <w:rsid w:val="00EF2C5B"/>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1481"/>
    <w:rsid w:val="00F12351"/>
    <w:rsid w:val="00F15193"/>
    <w:rsid w:val="00F16739"/>
    <w:rsid w:val="00F16DE2"/>
    <w:rsid w:val="00F2052B"/>
    <w:rsid w:val="00F22183"/>
    <w:rsid w:val="00F2260F"/>
    <w:rsid w:val="00F2352A"/>
    <w:rsid w:val="00F242AD"/>
    <w:rsid w:val="00F247F2"/>
    <w:rsid w:val="00F2518F"/>
    <w:rsid w:val="00F252A8"/>
    <w:rsid w:val="00F25FDA"/>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5A2DA7"/>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5AC2"/>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D35A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5AC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FChar">
    <w:name w:val="TF Char"/>
    <w:link w:val="TF"/>
    <w:rsid w:val="00E61A5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183848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010782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0819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953004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B8D25-30A4-4B06-9285-32009B022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1015</Words>
  <Characters>8224</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2019-03-29T15:19:00Z</dcterms:created>
  <dcterms:modified xsi:type="dcterms:W3CDTF">2019-03-29T15:19:00Z</dcterms:modified>
</cp:coreProperties>
</file>