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454C8" w14:textId="7D91AE32" w:rsidR="003B16AB" w:rsidRDefault="003B16AB" w:rsidP="003B16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WG1 Meeting #96bis</w:t>
      </w:r>
      <w:r>
        <w:rPr>
          <w:rFonts w:cs="Arial"/>
          <w:b/>
          <w:noProof/>
          <w:sz w:val="24"/>
          <w:szCs w:val="24"/>
        </w:rPr>
        <w:tab/>
      </w:r>
      <w:r w:rsidR="006503F5">
        <w:rPr>
          <w:rFonts w:cs="Arial"/>
          <w:b/>
          <w:bCs/>
          <w:sz w:val="26"/>
          <w:szCs w:val="26"/>
        </w:rPr>
        <w:t>R1-1905134</w:t>
      </w:r>
    </w:p>
    <w:p w14:paraId="0235409F" w14:textId="6B2BC1A8" w:rsidR="003B16AB" w:rsidRDefault="002775FE" w:rsidP="003B16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Xi’An, </w:t>
      </w:r>
      <w:r w:rsidR="003B16AB">
        <w:rPr>
          <w:rFonts w:cs="Arial"/>
          <w:b/>
          <w:noProof/>
          <w:sz w:val="24"/>
          <w:szCs w:val="24"/>
        </w:rPr>
        <w:t>China, 8th</w:t>
      </w:r>
      <w:r w:rsidR="003B16AB" w:rsidRPr="007C59AF">
        <w:rPr>
          <w:rFonts w:cs="Arial"/>
          <w:b/>
          <w:noProof/>
          <w:sz w:val="24"/>
          <w:szCs w:val="24"/>
        </w:rPr>
        <w:t xml:space="preserve"> </w:t>
      </w:r>
      <w:r w:rsidR="003B16AB">
        <w:rPr>
          <w:rFonts w:cs="Arial"/>
          <w:b/>
          <w:noProof/>
          <w:sz w:val="24"/>
          <w:szCs w:val="24"/>
        </w:rPr>
        <w:t>April – 12th April, 2019</w:t>
      </w:r>
      <w:r w:rsidR="003B16AB">
        <w:rPr>
          <w:rFonts w:cs="Arial"/>
          <w:b/>
          <w:noProof/>
          <w:sz w:val="24"/>
          <w:szCs w:val="24"/>
        </w:rPr>
        <w:tab/>
      </w:r>
    </w:p>
    <w:p w14:paraId="4FFCBD92" w14:textId="77777777" w:rsidR="003B16AB" w:rsidRPr="00155924" w:rsidRDefault="003B16AB" w:rsidP="003B16AB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  <w:bookmarkStart w:id="0" w:name="_GoBack"/>
      <w:bookmarkEnd w:id="0"/>
    </w:p>
    <w:p w14:paraId="2E017185" w14:textId="77777777" w:rsidR="003B16AB" w:rsidRPr="00474F96" w:rsidRDefault="003B16AB" w:rsidP="003B16AB">
      <w:pPr>
        <w:ind w:left="1988" w:hanging="1988"/>
        <w:jc w:val="both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 w:cs="Arial"/>
          <w:sz w:val="24"/>
          <w:szCs w:val="24"/>
        </w:rPr>
        <w:t>TDD Timing on FDD Bands for Dual Uplink</w:t>
      </w:r>
      <w:r w:rsidRPr="00A02759">
        <w:rPr>
          <w:rFonts w:ascii="Arial" w:hAnsi="Arial" w:cs="Arial"/>
          <w:sz w:val="24"/>
          <w:szCs w:val="24"/>
        </w:rPr>
        <w:t> </w:t>
      </w:r>
    </w:p>
    <w:p w14:paraId="086CBFE1" w14:textId="2B220B52" w:rsidR="003B16AB" w:rsidRDefault="003B16AB" w:rsidP="003B16A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14:paraId="4F09D5EE" w14:textId="0111ACA9" w:rsidR="003B16AB" w:rsidRPr="00036934" w:rsidRDefault="003B16AB" w:rsidP="003B16A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14731E">
        <w:rPr>
          <w:rFonts w:ascii="Arial" w:hAnsi="Arial"/>
          <w:sz w:val="24"/>
        </w:rPr>
        <w:t>7.2.13.5</w:t>
      </w:r>
    </w:p>
    <w:p w14:paraId="4760F855" w14:textId="77777777" w:rsidR="003B16AB" w:rsidRPr="0093681E" w:rsidRDefault="003B16AB" w:rsidP="003B16A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Discussion/Decision </w:t>
      </w:r>
    </w:p>
    <w:p w14:paraId="6E23ABCB" w14:textId="77777777" w:rsidR="003B16AB" w:rsidRPr="00874684" w:rsidRDefault="006C0AC6" w:rsidP="003B16AB">
      <w:pPr>
        <w:pStyle w:val="Heading1"/>
        <w:ind w:left="284" w:hanging="284"/>
      </w:pPr>
      <w:r>
        <w:t xml:space="preserve">    </w:t>
      </w:r>
      <w:r w:rsidR="003B16AB" w:rsidRPr="00874684">
        <w:t xml:space="preserve">Introduction </w:t>
      </w:r>
    </w:p>
    <w:p w14:paraId="69827F8F" w14:textId="69FE8132" w:rsidR="003B16AB" w:rsidRPr="00B47ED6" w:rsidRDefault="00D66139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purpose of this contribution paper is to </w:t>
      </w:r>
      <w:r w:rsidR="00054CE4">
        <w:rPr>
          <w:sz w:val="20"/>
          <w:szCs w:val="20"/>
        </w:rPr>
        <w:t>discuss</w:t>
      </w:r>
      <w:r w:rsidR="007C2AC5">
        <w:rPr>
          <w:sz w:val="20"/>
          <w:szCs w:val="20"/>
        </w:rPr>
        <w:t xml:space="preserve"> the harmonics</w:t>
      </w:r>
      <w:r>
        <w:rPr>
          <w:sz w:val="20"/>
          <w:szCs w:val="20"/>
        </w:rPr>
        <w:t xml:space="preserve"> problem with the current setup of FDD/TDD bands for dual connectivity and propose a </w:t>
      </w:r>
      <w:r w:rsidR="00054CE4">
        <w:rPr>
          <w:sz w:val="20"/>
          <w:szCs w:val="20"/>
        </w:rPr>
        <w:t xml:space="preserve">potential </w:t>
      </w:r>
      <w:r>
        <w:rPr>
          <w:sz w:val="20"/>
          <w:szCs w:val="20"/>
        </w:rPr>
        <w:t>solution to this problem</w:t>
      </w:r>
      <w:r w:rsidR="00054CE4">
        <w:rPr>
          <w:sz w:val="20"/>
          <w:szCs w:val="20"/>
        </w:rPr>
        <w:t xml:space="preserve"> for consideration </w:t>
      </w:r>
      <w:r w:rsidR="00594234">
        <w:rPr>
          <w:sz w:val="20"/>
          <w:szCs w:val="20"/>
        </w:rPr>
        <w:t>in</w:t>
      </w:r>
      <w:r w:rsidR="00054CE4">
        <w:rPr>
          <w:sz w:val="20"/>
          <w:szCs w:val="20"/>
        </w:rPr>
        <w:t xml:space="preserve"> </w:t>
      </w:r>
      <w:r w:rsidR="00ED7099">
        <w:rPr>
          <w:sz w:val="20"/>
          <w:szCs w:val="20"/>
        </w:rPr>
        <w:t>this WI</w:t>
      </w:r>
      <w:r>
        <w:rPr>
          <w:sz w:val="20"/>
          <w:szCs w:val="20"/>
        </w:rPr>
        <w:t xml:space="preserve">. The proposals describe how the solution could be implemented in the context of dual uplink DC. </w:t>
      </w:r>
    </w:p>
    <w:p w14:paraId="4E6471AE" w14:textId="77777777" w:rsidR="003B16AB" w:rsidRPr="0093681E" w:rsidRDefault="003B16AB" w:rsidP="003B16AB">
      <w:pPr>
        <w:pStyle w:val="Heading1"/>
        <w:ind w:left="709" w:hanging="709"/>
      </w:pPr>
      <w:r w:rsidRPr="0093681E">
        <w:t>Discussion o</w:t>
      </w:r>
      <w:r w:rsidR="00D64336">
        <w:t>f the Observed Problem</w:t>
      </w:r>
    </w:p>
    <w:p w14:paraId="4587956B" w14:textId="56E7951A" w:rsidR="003B16AB" w:rsidRDefault="00D64336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>It is anticipated that one significant scenario for the dual connectivity bands would be 1.8 GHz</w:t>
      </w:r>
      <w:r w:rsidR="00D76F9E">
        <w:rPr>
          <w:sz w:val="20"/>
          <w:szCs w:val="20"/>
        </w:rPr>
        <w:t xml:space="preserve"> FDD</w:t>
      </w:r>
      <w:r>
        <w:rPr>
          <w:sz w:val="20"/>
          <w:szCs w:val="20"/>
        </w:rPr>
        <w:t xml:space="preserve"> </w:t>
      </w:r>
      <w:r w:rsidR="0040742C">
        <w:rPr>
          <w:sz w:val="20"/>
          <w:szCs w:val="20"/>
        </w:rPr>
        <w:t xml:space="preserve">(Band 3) </w:t>
      </w:r>
      <w:r>
        <w:rPr>
          <w:sz w:val="20"/>
          <w:szCs w:val="20"/>
        </w:rPr>
        <w:t>for LTE and 3.</w:t>
      </w:r>
      <w:r w:rsidR="0040742C"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GHz </w:t>
      </w:r>
      <w:r w:rsidR="00D76F9E">
        <w:rPr>
          <w:sz w:val="20"/>
          <w:szCs w:val="20"/>
        </w:rPr>
        <w:t xml:space="preserve">TDD </w:t>
      </w:r>
      <w:r w:rsidR="0040742C">
        <w:rPr>
          <w:sz w:val="20"/>
          <w:szCs w:val="20"/>
        </w:rPr>
        <w:t xml:space="preserve">(Band n77/n78) </w:t>
      </w:r>
      <w:r>
        <w:rPr>
          <w:sz w:val="20"/>
          <w:szCs w:val="20"/>
        </w:rPr>
        <w:t>for NR.</w:t>
      </w:r>
      <w:r w:rsidR="00A84FB8">
        <w:rPr>
          <w:sz w:val="20"/>
          <w:szCs w:val="20"/>
        </w:rPr>
        <w:t xml:space="preserve"> He</w:t>
      </w:r>
      <w:r w:rsidR="00D76F9E">
        <w:rPr>
          <w:sz w:val="20"/>
          <w:szCs w:val="20"/>
        </w:rPr>
        <w:t>r</w:t>
      </w:r>
      <w:r w:rsidR="00A84FB8">
        <w:rPr>
          <w:sz w:val="20"/>
          <w:szCs w:val="20"/>
        </w:rPr>
        <w:t xml:space="preserve">e, the simultaneous (same time-slot) </w:t>
      </w:r>
      <w:r w:rsidR="0040742C">
        <w:rPr>
          <w:sz w:val="20"/>
          <w:szCs w:val="20"/>
        </w:rPr>
        <w:t xml:space="preserve">operation </w:t>
      </w:r>
      <w:r w:rsidR="00A84FB8">
        <w:rPr>
          <w:sz w:val="20"/>
          <w:szCs w:val="20"/>
        </w:rPr>
        <w:t xml:space="preserve">of </w:t>
      </w:r>
      <w:r w:rsidR="0040742C">
        <w:rPr>
          <w:sz w:val="20"/>
          <w:szCs w:val="20"/>
        </w:rPr>
        <w:t xml:space="preserve">UL </w:t>
      </w:r>
      <w:r w:rsidR="00A84FB8">
        <w:rPr>
          <w:sz w:val="20"/>
          <w:szCs w:val="20"/>
        </w:rPr>
        <w:t xml:space="preserve">in 1.8 GHz with </w:t>
      </w:r>
      <w:r w:rsidR="0040742C">
        <w:rPr>
          <w:sz w:val="20"/>
          <w:szCs w:val="20"/>
        </w:rPr>
        <w:t>DL</w:t>
      </w:r>
      <w:r w:rsidR="00A84FB8">
        <w:rPr>
          <w:sz w:val="20"/>
          <w:szCs w:val="20"/>
        </w:rPr>
        <w:t xml:space="preserve"> </w:t>
      </w:r>
      <w:r w:rsidR="0040742C">
        <w:rPr>
          <w:sz w:val="20"/>
          <w:szCs w:val="20"/>
        </w:rPr>
        <w:t>in</w:t>
      </w:r>
      <w:r w:rsidR="00A84FB8">
        <w:rPr>
          <w:sz w:val="20"/>
          <w:szCs w:val="20"/>
        </w:rPr>
        <w:t xml:space="preserve"> 3.</w:t>
      </w:r>
      <w:r w:rsidR="0040742C">
        <w:rPr>
          <w:sz w:val="20"/>
          <w:szCs w:val="20"/>
        </w:rPr>
        <w:t>5</w:t>
      </w:r>
      <w:r w:rsidR="00A84FB8">
        <w:rPr>
          <w:sz w:val="20"/>
          <w:szCs w:val="20"/>
        </w:rPr>
        <w:t xml:space="preserve"> GHz (twice the fundamental frequency) </w:t>
      </w:r>
      <w:r w:rsidR="0040742C">
        <w:rPr>
          <w:sz w:val="20"/>
          <w:szCs w:val="20"/>
        </w:rPr>
        <w:t>may</w:t>
      </w:r>
      <w:r w:rsidR="007C2AC5">
        <w:rPr>
          <w:sz w:val="20"/>
          <w:szCs w:val="20"/>
        </w:rPr>
        <w:t xml:space="preserve"> cause harmonic interference</w:t>
      </w:r>
      <w:r w:rsidR="0040742C">
        <w:rPr>
          <w:sz w:val="20"/>
          <w:szCs w:val="20"/>
        </w:rPr>
        <w:t xml:space="preserve">. </w:t>
      </w:r>
      <w:r w:rsidR="00A84FB8">
        <w:rPr>
          <w:sz w:val="20"/>
          <w:szCs w:val="20"/>
        </w:rPr>
        <w:t>The current setup</w:t>
      </w:r>
      <w:r w:rsidR="0069132E">
        <w:rPr>
          <w:sz w:val="20"/>
          <w:szCs w:val="20"/>
        </w:rPr>
        <w:t xml:space="preserve"> as shown below</w:t>
      </w:r>
      <w:r w:rsidR="00FA4E17">
        <w:rPr>
          <w:sz w:val="20"/>
          <w:szCs w:val="20"/>
        </w:rPr>
        <w:t xml:space="preserve"> in Figure 1</w:t>
      </w:r>
      <w:r w:rsidR="0069132E">
        <w:rPr>
          <w:sz w:val="20"/>
          <w:szCs w:val="20"/>
        </w:rPr>
        <w:t xml:space="preserve"> may be used to</w:t>
      </w:r>
      <w:r w:rsidR="00A84FB8">
        <w:rPr>
          <w:sz w:val="20"/>
          <w:szCs w:val="20"/>
        </w:rPr>
        <w:t xml:space="preserve"> avoid the harmonic interference effect: </w:t>
      </w:r>
      <w:r>
        <w:rPr>
          <w:sz w:val="20"/>
          <w:szCs w:val="20"/>
        </w:rPr>
        <w:t xml:space="preserve"> </w:t>
      </w:r>
    </w:p>
    <w:p w14:paraId="1130EA2A" w14:textId="77777777" w:rsidR="00594234" w:rsidRDefault="00594234" w:rsidP="003B16AB">
      <w:pPr>
        <w:jc w:val="both"/>
        <w:rPr>
          <w:sz w:val="20"/>
          <w:szCs w:val="20"/>
        </w:rPr>
      </w:pPr>
    </w:p>
    <w:p w14:paraId="0EF21619" w14:textId="77777777" w:rsidR="009C3597" w:rsidRDefault="00381B19" w:rsidP="009C3597">
      <w:pPr>
        <w:keepNext/>
        <w:jc w:val="both"/>
      </w:pPr>
      <w:r>
        <w:rPr>
          <w:noProof/>
          <w:lang w:eastAsia="zh-CN"/>
        </w:rPr>
        <w:drawing>
          <wp:inline distT="0" distB="0" distL="0" distR="0" wp14:anchorId="1FEB290A" wp14:editId="379A95DD">
            <wp:extent cx="5731510" cy="219075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1863" b="22789"/>
                    <a:stretch/>
                  </pic:blipFill>
                  <pic:spPr bwMode="auto">
                    <a:xfrm>
                      <a:off x="0" y="0"/>
                      <a:ext cx="5731510" cy="219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3532C" w14:textId="04D8B5AE" w:rsidR="00381B19" w:rsidRDefault="009C3597" w:rsidP="009C3597">
      <w:pPr>
        <w:pStyle w:val="Caption"/>
        <w:jc w:val="both"/>
        <w:rPr>
          <w:sz w:val="20"/>
          <w:szCs w:val="20"/>
        </w:rPr>
      </w:pPr>
      <w:r>
        <w:t xml:space="preserve">Figure </w:t>
      </w:r>
      <w:r w:rsidR="00566BE4">
        <w:rPr>
          <w:noProof/>
        </w:rPr>
        <w:fldChar w:fldCharType="begin"/>
      </w:r>
      <w:r w:rsidR="00566BE4">
        <w:rPr>
          <w:noProof/>
        </w:rPr>
        <w:instrText xml:space="preserve"> SEQ Figure \* ARABIC </w:instrText>
      </w:r>
      <w:r w:rsidR="00566BE4">
        <w:rPr>
          <w:noProof/>
        </w:rPr>
        <w:fldChar w:fldCharType="separate"/>
      </w:r>
      <w:r>
        <w:rPr>
          <w:noProof/>
        </w:rPr>
        <w:t>1</w:t>
      </w:r>
      <w:r w:rsidR="00566BE4">
        <w:rPr>
          <w:noProof/>
        </w:rPr>
        <w:fldChar w:fldCharType="end"/>
      </w:r>
    </w:p>
    <w:p w14:paraId="71DB28F2" w14:textId="735AF871" w:rsidR="0077408F" w:rsidRDefault="0077408F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ratio of </w:t>
      </w:r>
      <w:r w:rsidR="006C0AC6">
        <w:rPr>
          <w:sz w:val="20"/>
          <w:szCs w:val="20"/>
        </w:rPr>
        <w:t>DL:UL</w:t>
      </w:r>
      <w:r>
        <w:rPr>
          <w:sz w:val="20"/>
          <w:szCs w:val="20"/>
        </w:rPr>
        <w:t xml:space="preserve"> transmissions in the TDD band follows a set configuration. </w:t>
      </w:r>
      <w:r w:rsidR="007E51D9">
        <w:rPr>
          <w:sz w:val="20"/>
          <w:szCs w:val="20"/>
        </w:rPr>
        <w:t xml:space="preserve">Let us assume for this example </w:t>
      </w:r>
      <w:r>
        <w:rPr>
          <w:sz w:val="20"/>
          <w:szCs w:val="20"/>
        </w:rPr>
        <w:t xml:space="preserve">the ratio is 3:1. </w:t>
      </w:r>
      <w:r w:rsidR="007E51D9">
        <w:rPr>
          <w:sz w:val="20"/>
          <w:szCs w:val="20"/>
        </w:rPr>
        <w:t xml:space="preserve">To prevent the harmonic interference effects disrupting the </w:t>
      </w:r>
      <w:r w:rsidR="00690492">
        <w:rPr>
          <w:sz w:val="20"/>
          <w:szCs w:val="20"/>
        </w:rPr>
        <w:t>downlink reception</w:t>
      </w:r>
      <w:r w:rsidR="007E51D9">
        <w:rPr>
          <w:sz w:val="20"/>
          <w:szCs w:val="20"/>
        </w:rPr>
        <w:t xml:space="preserve">, the </w:t>
      </w:r>
      <w:r w:rsidR="00D76F9E">
        <w:rPr>
          <w:sz w:val="20"/>
          <w:szCs w:val="20"/>
        </w:rPr>
        <w:t>UE</w:t>
      </w:r>
      <w:r w:rsidR="007E51D9">
        <w:rPr>
          <w:sz w:val="20"/>
          <w:szCs w:val="20"/>
        </w:rPr>
        <w:t xml:space="preserve"> is only allowed to transmit in a</w:t>
      </w:r>
      <w:r w:rsidR="00D76F9E">
        <w:rPr>
          <w:sz w:val="20"/>
          <w:szCs w:val="20"/>
        </w:rPr>
        <w:t>n UL FDD</w:t>
      </w:r>
      <w:r w:rsidR="007E51D9">
        <w:rPr>
          <w:sz w:val="20"/>
          <w:szCs w:val="20"/>
        </w:rPr>
        <w:t xml:space="preserve"> subframe in the same time</w:t>
      </w:r>
      <w:r w:rsidR="00D76F9E">
        <w:rPr>
          <w:sz w:val="20"/>
          <w:szCs w:val="20"/>
        </w:rPr>
        <w:t xml:space="preserve"> instance</w:t>
      </w:r>
      <w:r w:rsidR="007E51D9">
        <w:rPr>
          <w:sz w:val="20"/>
          <w:szCs w:val="20"/>
        </w:rPr>
        <w:t xml:space="preserve"> as the UL subframe in the TDD band. This means that the </w:t>
      </w:r>
      <w:r w:rsidR="00690492">
        <w:rPr>
          <w:sz w:val="20"/>
          <w:szCs w:val="20"/>
        </w:rPr>
        <w:t xml:space="preserve">UE only transmits in UL on the </w:t>
      </w:r>
      <w:r w:rsidR="007E51D9">
        <w:rPr>
          <w:sz w:val="20"/>
          <w:szCs w:val="20"/>
        </w:rPr>
        <w:t xml:space="preserve">1.8 GHz band when </w:t>
      </w:r>
      <w:r w:rsidR="00690492">
        <w:rPr>
          <w:sz w:val="20"/>
          <w:szCs w:val="20"/>
        </w:rPr>
        <w:t xml:space="preserve">it is either transmitting UL in </w:t>
      </w:r>
      <w:r w:rsidR="007E51D9">
        <w:rPr>
          <w:sz w:val="20"/>
          <w:szCs w:val="20"/>
        </w:rPr>
        <w:t>the 3.</w:t>
      </w:r>
      <w:r w:rsidR="0069132E">
        <w:rPr>
          <w:sz w:val="20"/>
          <w:szCs w:val="20"/>
        </w:rPr>
        <w:t xml:space="preserve">5 </w:t>
      </w:r>
      <w:r w:rsidR="007E51D9">
        <w:rPr>
          <w:sz w:val="20"/>
          <w:szCs w:val="20"/>
        </w:rPr>
        <w:t>GHz band</w:t>
      </w:r>
      <w:r w:rsidR="00690492">
        <w:rPr>
          <w:sz w:val="20"/>
          <w:szCs w:val="20"/>
        </w:rPr>
        <w:t>, or when it is not required to receive in the 3.5GHz band</w:t>
      </w:r>
      <w:r w:rsidR="007E51D9">
        <w:rPr>
          <w:sz w:val="20"/>
          <w:szCs w:val="20"/>
        </w:rPr>
        <w:t xml:space="preserve">. </w:t>
      </w:r>
    </w:p>
    <w:p w14:paraId="7FBED315" w14:textId="3C1496D4" w:rsidR="00EF3D0A" w:rsidRDefault="007E51D9" w:rsidP="003B16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Although the current setup solves the problem of harmonic interference effects, it introduces a loss of </w:t>
      </w:r>
      <w:r w:rsidR="00690492">
        <w:rPr>
          <w:sz w:val="20"/>
          <w:szCs w:val="20"/>
        </w:rPr>
        <w:t xml:space="preserve">peak </w:t>
      </w:r>
      <w:r>
        <w:rPr>
          <w:sz w:val="20"/>
          <w:szCs w:val="20"/>
        </w:rPr>
        <w:t xml:space="preserve">DL throughput. This is because the </w:t>
      </w:r>
      <w:r w:rsidR="00690492">
        <w:rPr>
          <w:sz w:val="20"/>
          <w:szCs w:val="20"/>
        </w:rPr>
        <w:t>number of subframes over which LTE HARQ ACK/NACK can be transmitted on the FDD uplink are restricted, which in turn limits the peak data rate achievable in the downlink on the same band</w:t>
      </w:r>
      <w:r w:rsidR="00BF5076">
        <w:rPr>
          <w:sz w:val="20"/>
          <w:szCs w:val="20"/>
        </w:rPr>
        <w:t xml:space="preserve">. </w:t>
      </w:r>
    </w:p>
    <w:p w14:paraId="56B4C08B" w14:textId="221123A3" w:rsidR="00BF5076" w:rsidRPr="00EF3D0A" w:rsidRDefault="00BF5076" w:rsidP="003B16AB">
      <w:pPr>
        <w:jc w:val="both"/>
        <w:rPr>
          <w:sz w:val="20"/>
          <w:szCs w:val="20"/>
        </w:rPr>
      </w:pPr>
      <w:r>
        <w:rPr>
          <w:b/>
          <w:i/>
          <w:sz w:val="20"/>
          <w:szCs w:val="20"/>
          <w:u w:val="single"/>
        </w:rPr>
        <w:lastRenderedPageBreak/>
        <w:t xml:space="preserve">Observation 1: </w:t>
      </w:r>
      <w:r w:rsidR="00690492">
        <w:rPr>
          <w:b/>
          <w:sz w:val="20"/>
          <w:szCs w:val="20"/>
        </w:rPr>
        <w:t>For EN-DC, aligning</w:t>
      </w:r>
      <w:r>
        <w:rPr>
          <w:b/>
          <w:sz w:val="20"/>
          <w:szCs w:val="20"/>
        </w:rPr>
        <w:t xml:space="preserve"> UL </w:t>
      </w:r>
      <w:r w:rsidR="00690492">
        <w:rPr>
          <w:b/>
          <w:sz w:val="20"/>
          <w:szCs w:val="20"/>
        </w:rPr>
        <w:t xml:space="preserve">transmissions </w:t>
      </w:r>
      <w:r>
        <w:rPr>
          <w:b/>
          <w:sz w:val="20"/>
          <w:szCs w:val="20"/>
        </w:rPr>
        <w:t xml:space="preserve">on both the </w:t>
      </w:r>
      <w:r w:rsidR="00690492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 xml:space="preserve">TDD and </w:t>
      </w:r>
      <w:r w:rsidR="00690492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FDD bands to prevent harmonic interference </w:t>
      </w:r>
      <w:r w:rsidR="00690492">
        <w:rPr>
          <w:b/>
          <w:sz w:val="20"/>
          <w:szCs w:val="20"/>
        </w:rPr>
        <w:t>from FDD UL into TDD DL</w:t>
      </w:r>
      <w:r>
        <w:rPr>
          <w:b/>
          <w:sz w:val="20"/>
          <w:szCs w:val="20"/>
        </w:rPr>
        <w:t xml:space="preserve"> degrades the maximum allowed </w:t>
      </w:r>
      <w:r w:rsidR="00F75E71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DL throughput. </w:t>
      </w:r>
    </w:p>
    <w:p w14:paraId="6F4B6E55" w14:textId="77777777" w:rsidR="003B16AB" w:rsidRPr="00D71CBD" w:rsidRDefault="006C0AC6" w:rsidP="003B16AB">
      <w:pPr>
        <w:pStyle w:val="Heading1"/>
        <w:ind w:left="0" w:firstLine="0"/>
      </w:pPr>
      <w:r>
        <w:t>Description of Proposed Solution</w:t>
      </w:r>
    </w:p>
    <w:p w14:paraId="68ADAC8C" w14:textId="420D49EB" w:rsidR="00F75E71" w:rsidRDefault="00F75E71" w:rsidP="00B94DBA">
      <w:pPr>
        <w:jc w:val="both"/>
        <w:rPr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The </w:t>
      </w:r>
      <w:r w:rsidR="0069132E">
        <w:rPr>
          <w:rFonts w:cstheme="minorHAnsi"/>
          <w:color w:val="000000" w:themeColor="text1"/>
          <w:sz w:val="20"/>
          <w:szCs w:val="20"/>
        </w:rPr>
        <w:t xml:space="preserve">proposed </w:t>
      </w:r>
      <w:r>
        <w:rPr>
          <w:rFonts w:cstheme="minorHAnsi"/>
          <w:color w:val="000000" w:themeColor="text1"/>
          <w:sz w:val="20"/>
          <w:szCs w:val="20"/>
        </w:rPr>
        <w:t xml:space="preserve">solution is to </w:t>
      </w:r>
      <w:r w:rsidR="00B94DBA">
        <w:rPr>
          <w:rFonts w:cstheme="minorHAnsi"/>
          <w:color w:val="000000" w:themeColor="text1"/>
          <w:sz w:val="20"/>
          <w:szCs w:val="20"/>
        </w:rPr>
        <w:t xml:space="preserve">enable the </w:t>
      </w:r>
      <w:r w:rsidR="00334AAC">
        <w:rPr>
          <w:rFonts w:cstheme="minorHAnsi"/>
          <w:color w:val="000000" w:themeColor="text1"/>
          <w:sz w:val="20"/>
          <w:szCs w:val="20"/>
        </w:rPr>
        <w:t xml:space="preserve">HARQ timing </w:t>
      </w:r>
      <w:r w:rsidR="00334AAC" w:rsidRPr="00594234">
        <w:rPr>
          <w:rFonts w:cstheme="minorHAnsi"/>
          <w:sz w:val="20"/>
          <w:lang w:val="en-US" w:eastAsia="ja-JP"/>
        </w:rPr>
        <w:t>configuration defined for “LTE-FDD-SCell in LTE-TDD-FDD CA with LTE-TDD-PCell”</w:t>
      </w:r>
      <w:r w:rsidR="001658FB">
        <w:rPr>
          <w:rFonts w:cstheme="minorHAnsi"/>
          <w:sz w:val="20"/>
          <w:lang w:val="en-US" w:eastAsia="ja-JP"/>
        </w:rPr>
        <w:t xml:space="preserve"> [1]</w:t>
      </w:r>
      <w:r w:rsidR="00334AAC" w:rsidRPr="00594234">
        <w:rPr>
          <w:rFonts w:ascii="Arial" w:hAnsi="Arial" w:cs="Arial"/>
          <w:sz w:val="18"/>
          <w:lang w:val="en-US" w:eastAsia="ja-JP"/>
        </w:rPr>
        <w:t xml:space="preserve"> </w:t>
      </w:r>
      <w:r w:rsidR="00B94DBA">
        <w:rPr>
          <w:rFonts w:cstheme="minorHAnsi"/>
          <w:color w:val="000000" w:themeColor="text1"/>
          <w:sz w:val="20"/>
          <w:szCs w:val="20"/>
        </w:rPr>
        <w:t>to be used in LTE FDD bands also for the case where the UE is transmitting simultaneously on both uplinks</w:t>
      </w:r>
      <w:r>
        <w:rPr>
          <w:rFonts w:cstheme="minorHAnsi"/>
          <w:color w:val="000000" w:themeColor="text1"/>
          <w:sz w:val="20"/>
          <w:szCs w:val="20"/>
        </w:rPr>
        <w:t>. This will avoid the harmonic interference problem and maximise the DL throughput on the LTE FDD band</w:t>
      </w:r>
      <w:r w:rsidR="00B94DBA">
        <w:rPr>
          <w:rFonts w:cstheme="minorHAnsi"/>
          <w:color w:val="000000" w:themeColor="text1"/>
          <w:sz w:val="20"/>
          <w:szCs w:val="20"/>
        </w:rPr>
        <w:t>, due to the ability to bundle HARQ ACK/NACKs into the same uplink subframe, as</w:t>
      </w:r>
      <w:r>
        <w:rPr>
          <w:sz w:val="20"/>
          <w:szCs w:val="20"/>
        </w:rPr>
        <w:t xml:space="preserve"> shown</w:t>
      </w:r>
      <w:r w:rsidR="00FA4E17">
        <w:rPr>
          <w:sz w:val="20"/>
          <w:szCs w:val="20"/>
        </w:rPr>
        <w:t xml:space="preserve"> in Figure 2</w:t>
      </w:r>
      <w:r>
        <w:rPr>
          <w:sz w:val="20"/>
          <w:szCs w:val="20"/>
        </w:rPr>
        <w:t xml:space="preserve"> below:  </w:t>
      </w:r>
    </w:p>
    <w:p w14:paraId="6D9ED08E" w14:textId="77777777" w:rsidR="00594234" w:rsidRDefault="00594234" w:rsidP="00B94DBA">
      <w:pPr>
        <w:jc w:val="both"/>
        <w:rPr>
          <w:sz w:val="20"/>
          <w:szCs w:val="20"/>
        </w:rPr>
      </w:pPr>
    </w:p>
    <w:p w14:paraId="2CB0988D" w14:textId="77777777" w:rsidR="009C3597" w:rsidRDefault="00381B19" w:rsidP="009C3597">
      <w:pPr>
        <w:keepNext/>
        <w:jc w:val="both"/>
      </w:pPr>
      <w:r>
        <w:rPr>
          <w:noProof/>
          <w:lang w:eastAsia="zh-CN"/>
        </w:rPr>
        <w:drawing>
          <wp:inline distT="0" distB="0" distL="0" distR="0" wp14:anchorId="756BC705" wp14:editId="396ABDC6">
            <wp:extent cx="5731510" cy="221615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9303" b="20228"/>
                    <a:stretch/>
                  </pic:blipFill>
                  <pic:spPr bwMode="auto">
                    <a:xfrm>
                      <a:off x="0" y="0"/>
                      <a:ext cx="5731510" cy="221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18235F" w14:textId="49926906" w:rsidR="00381B19" w:rsidRDefault="009C3597" w:rsidP="009C3597">
      <w:pPr>
        <w:pStyle w:val="Caption"/>
        <w:jc w:val="both"/>
        <w:rPr>
          <w:noProof/>
        </w:rPr>
      </w:pPr>
      <w:r>
        <w:t xml:space="preserve">Figure </w:t>
      </w:r>
      <w:r w:rsidR="00566BE4">
        <w:rPr>
          <w:noProof/>
        </w:rPr>
        <w:fldChar w:fldCharType="begin"/>
      </w:r>
      <w:r w:rsidR="00566BE4">
        <w:rPr>
          <w:noProof/>
        </w:rPr>
        <w:instrText xml:space="preserve"> SEQ Figure \* ARABIC </w:instrText>
      </w:r>
      <w:r w:rsidR="00566BE4">
        <w:rPr>
          <w:noProof/>
        </w:rPr>
        <w:fldChar w:fldCharType="separate"/>
      </w:r>
      <w:r>
        <w:rPr>
          <w:noProof/>
        </w:rPr>
        <w:t>2</w:t>
      </w:r>
      <w:r w:rsidR="00566BE4">
        <w:rPr>
          <w:noProof/>
        </w:rPr>
        <w:fldChar w:fldCharType="end"/>
      </w:r>
    </w:p>
    <w:p w14:paraId="10D3F907" w14:textId="200A4FB2" w:rsidR="00285EEC" w:rsidRPr="00285EEC" w:rsidRDefault="00CB72CC" w:rsidP="00285EEC">
      <w:pPr>
        <w:rPr>
          <w:sz w:val="20"/>
          <w:szCs w:val="20"/>
        </w:rPr>
      </w:pPr>
      <w:r>
        <w:rPr>
          <w:sz w:val="20"/>
          <w:szCs w:val="20"/>
        </w:rPr>
        <w:t xml:space="preserve">Note: </w:t>
      </w:r>
      <w:r w:rsidR="00285EEC">
        <w:rPr>
          <w:sz w:val="20"/>
          <w:szCs w:val="20"/>
        </w:rPr>
        <w:t xml:space="preserve">The general approach of bundling HARQ ACK/NACKs into the same uplink subframe could also be useful for FDD + FDD combinations. </w:t>
      </w:r>
    </w:p>
    <w:p w14:paraId="3DE87BBA" w14:textId="3905C6C5" w:rsidR="00C07F87" w:rsidRDefault="00F338C9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338C9">
        <w:rPr>
          <w:rFonts w:cstheme="minorHAnsi"/>
          <w:b/>
          <w:i/>
          <w:color w:val="000000" w:themeColor="text1"/>
          <w:sz w:val="20"/>
          <w:szCs w:val="20"/>
          <w:u w:val="single"/>
        </w:rPr>
        <w:t>Proposal 1: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For dual connectivity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or CA</w:t>
      </w:r>
      <w:r>
        <w:rPr>
          <w:rFonts w:cstheme="minorHAnsi"/>
          <w:b/>
          <w:color w:val="000000" w:themeColor="text1"/>
          <w:sz w:val="20"/>
          <w:szCs w:val="20"/>
        </w:rPr>
        <w:t xml:space="preserve"> scenar</w:t>
      </w:r>
      <w:r w:rsidR="008E420F">
        <w:rPr>
          <w:rFonts w:cstheme="minorHAnsi"/>
          <w:b/>
          <w:color w:val="000000" w:themeColor="text1"/>
          <w:sz w:val="20"/>
          <w:szCs w:val="20"/>
        </w:rPr>
        <w:t>ios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involving LTE carriers (e.g. EN-DC, </w:t>
      </w:r>
      <w:r w:rsidR="008E420F">
        <w:rPr>
          <w:rFonts w:cstheme="minorHAnsi"/>
          <w:b/>
          <w:color w:val="000000" w:themeColor="text1"/>
          <w:sz w:val="20"/>
          <w:szCs w:val="20"/>
        </w:rPr>
        <w:t>NE-DC</w:t>
      </w:r>
      <w:r w:rsidR="001F0F4C">
        <w:rPr>
          <w:rFonts w:cstheme="minorHAnsi"/>
          <w:b/>
          <w:color w:val="000000" w:themeColor="text1"/>
          <w:sz w:val="20"/>
          <w:szCs w:val="20"/>
        </w:rPr>
        <w:t>, LTE-DC, LTE-CA)</w:t>
      </w:r>
      <w:r w:rsidR="001E2BAB">
        <w:rPr>
          <w:rFonts w:cstheme="minorHAnsi"/>
          <w:b/>
          <w:color w:val="000000" w:themeColor="text1"/>
          <w:sz w:val="20"/>
          <w:szCs w:val="20"/>
        </w:rPr>
        <w:t xml:space="preserve"> where the LTE</w:t>
      </w:r>
      <w:r w:rsidR="00AB6319">
        <w:rPr>
          <w:rFonts w:cstheme="minorHAnsi"/>
          <w:b/>
          <w:color w:val="000000" w:themeColor="text1"/>
          <w:sz w:val="20"/>
          <w:szCs w:val="20"/>
        </w:rPr>
        <w:t xml:space="preserve"> carrier causes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1E2BAB">
        <w:rPr>
          <w:rFonts w:cstheme="minorHAnsi"/>
          <w:b/>
          <w:color w:val="000000" w:themeColor="text1"/>
          <w:sz w:val="20"/>
          <w:szCs w:val="20"/>
        </w:rPr>
        <w:t>harmonic interference to the other</w:t>
      </w:r>
      <w:r w:rsidR="001F0F4C">
        <w:rPr>
          <w:rFonts w:cstheme="minorHAnsi"/>
          <w:b/>
          <w:color w:val="000000" w:themeColor="text1"/>
          <w:sz w:val="20"/>
          <w:szCs w:val="20"/>
        </w:rPr>
        <w:t xml:space="preserve"> carrier</w:t>
      </w:r>
      <w:r>
        <w:rPr>
          <w:rFonts w:cstheme="minorHAnsi"/>
          <w:b/>
          <w:color w:val="000000" w:themeColor="text1"/>
          <w:sz w:val="20"/>
          <w:szCs w:val="20"/>
        </w:rPr>
        <w:t>, regarding LTE HARQ timing, the existing LTE TDD-FDD CA reference configuratio</w:t>
      </w:r>
      <w:r w:rsidR="00CF0DD2">
        <w:rPr>
          <w:rFonts w:cstheme="minorHAnsi"/>
          <w:b/>
          <w:color w:val="000000" w:themeColor="text1"/>
          <w:sz w:val="20"/>
          <w:szCs w:val="20"/>
        </w:rPr>
        <w:t>n</w:t>
      </w:r>
      <w:r w:rsidR="001018FC">
        <w:rPr>
          <w:rFonts w:cstheme="minorHAnsi"/>
          <w:b/>
          <w:color w:val="000000" w:themeColor="text1"/>
          <w:sz w:val="20"/>
          <w:szCs w:val="20"/>
        </w:rPr>
        <w:t xml:space="preserve"> HARQ timing should be reused for the dual UL case.</w:t>
      </w:r>
    </w:p>
    <w:p w14:paraId="3D5A69A3" w14:textId="682B7871" w:rsidR="006D646B" w:rsidRPr="00C07F87" w:rsidRDefault="005501B1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i/>
          <w:color w:val="000000" w:themeColor="text1"/>
          <w:sz w:val="20"/>
          <w:szCs w:val="20"/>
          <w:u w:val="single"/>
        </w:rPr>
        <w:t xml:space="preserve">Proposal 2: </w:t>
      </w:r>
      <w:r w:rsidR="00B94DBA">
        <w:rPr>
          <w:rFonts w:cstheme="minorHAnsi"/>
          <w:b/>
          <w:color w:val="000000" w:themeColor="text1"/>
          <w:sz w:val="20"/>
          <w:szCs w:val="20"/>
        </w:rPr>
        <w:t xml:space="preserve">Send </w:t>
      </w:r>
      <w:r w:rsidR="00E1570E">
        <w:rPr>
          <w:rFonts w:cstheme="minorHAnsi"/>
          <w:b/>
          <w:color w:val="000000" w:themeColor="text1"/>
          <w:sz w:val="20"/>
          <w:szCs w:val="20"/>
        </w:rPr>
        <w:t>a LS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 to RAN WG2 </w:t>
      </w:r>
      <w:r w:rsidR="00FA4E17">
        <w:rPr>
          <w:rFonts w:cstheme="minorHAnsi"/>
          <w:b/>
          <w:color w:val="000000" w:themeColor="text1"/>
          <w:sz w:val="20"/>
          <w:szCs w:val="20"/>
        </w:rPr>
        <w:t>to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 inform them about </w:t>
      </w:r>
      <w:r w:rsidR="00E1570E">
        <w:rPr>
          <w:rFonts w:cstheme="minorHAnsi"/>
          <w:b/>
          <w:color w:val="000000" w:themeColor="text1"/>
          <w:sz w:val="20"/>
          <w:szCs w:val="20"/>
        </w:rPr>
        <w:t xml:space="preserve">the </w:t>
      </w:r>
      <w:r w:rsidR="006D646B">
        <w:rPr>
          <w:rFonts w:cstheme="minorHAnsi"/>
          <w:b/>
          <w:color w:val="000000" w:themeColor="text1"/>
          <w:sz w:val="20"/>
          <w:szCs w:val="20"/>
        </w:rPr>
        <w:t xml:space="preserve">RAN 1 decision and ask </w:t>
      </w:r>
      <w:r w:rsidR="00E1570E">
        <w:rPr>
          <w:rFonts w:cstheme="minorHAnsi"/>
          <w:b/>
          <w:color w:val="000000" w:themeColor="text1"/>
          <w:sz w:val="20"/>
          <w:szCs w:val="20"/>
        </w:rPr>
        <w:t xml:space="preserve">them </w:t>
      </w:r>
      <w:r w:rsidR="006D646B">
        <w:rPr>
          <w:rFonts w:cstheme="minorHAnsi"/>
          <w:b/>
          <w:color w:val="000000" w:themeColor="text1"/>
          <w:sz w:val="20"/>
          <w:szCs w:val="20"/>
        </w:rPr>
        <w:t>to introduce corresponding signalling</w:t>
      </w:r>
      <w:r>
        <w:rPr>
          <w:rFonts w:cstheme="minorHAnsi"/>
          <w:b/>
          <w:color w:val="000000" w:themeColor="text1"/>
          <w:sz w:val="20"/>
          <w:szCs w:val="20"/>
        </w:rPr>
        <w:t xml:space="preserve">. </w:t>
      </w:r>
    </w:p>
    <w:p w14:paraId="1ADF5874" w14:textId="77777777" w:rsidR="003B16AB" w:rsidRDefault="003B16AB" w:rsidP="003B16AB">
      <w:pPr>
        <w:pStyle w:val="Heading1"/>
        <w:ind w:left="0" w:firstLine="0"/>
        <w:rPr>
          <w:sz w:val="36"/>
          <w:szCs w:val="36"/>
        </w:rPr>
      </w:pPr>
      <w:r w:rsidRPr="00874684">
        <w:t>Conclusion</w:t>
      </w:r>
      <w:r w:rsidRPr="00DA62C0">
        <w:rPr>
          <w:sz w:val="36"/>
          <w:szCs w:val="36"/>
        </w:rPr>
        <w:t xml:space="preserve"> </w:t>
      </w:r>
    </w:p>
    <w:p w14:paraId="0551115E" w14:textId="77777777" w:rsidR="003B16AB" w:rsidRPr="0082157D" w:rsidRDefault="003B16AB" w:rsidP="003B16AB">
      <w:pPr>
        <w:rPr>
          <w:sz w:val="20"/>
          <w:szCs w:val="20"/>
        </w:rPr>
      </w:pPr>
      <w:r>
        <w:rPr>
          <w:sz w:val="20"/>
          <w:szCs w:val="20"/>
        </w:rPr>
        <w:t xml:space="preserve">In summary, the key </w:t>
      </w:r>
      <w:r w:rsidR="00C07F87">
        <w:rPr>
          <w:sz w:val="20"/>
          <w:szCs w:val="20"/>
        </w:rPr>
        <w:t>observations/</w:t>
      </w:r>
      <w:r>
        <w:rPr>
          <w:sz w:val="20"/>
          <w:szCs w:val="20"/>
        </w:rPr>
        <w:t>proposals are listed below:</w:t>
      </w:r>
    </w:p>
    <w:p w14:paraId="1213F19B" w14:textId="4EDEB7B3" w:rsidR="00C07F87" w:rsidRPr="00EF3D0A" w:rsidRDefault="00C07F87" w:rsidP="00C07F87">
      <w:pPr>
        <w:jc w:val="both"/>
        <w:rPr>
          <w:sz w:val="20"/>
          <w:szCs w:val="20"/>
        </w:rPr>
      </w:pPr>
      <w:r>
        <w:rPr>
          <w:b/>
          <w:i/>
          <w:sz w:val="20"/>
          <w:szCs w:val="20"/>
          <w:u w:val="single"/>
        </w:rPr>
        <w:t xml:space="preserve">Observation 1: </w:t>
      </w:r>
      <w:r>
        <w:rPr>
          <w:b/>
          <w:sz w:val="20"/>
          <w:szCs w:val="20"/>
        </w:rPr>
        <w:t xml:space="preserve">Currently, </w:t>
      </w:r>
      <w:r w:rsidR="00B94DBA">
        <w:rPr>
          <w:b/>
          <w:sz w:val="20"/>
          <w:szCs w:val="20"/>
        </w:rPr>
        <w:t xml:space="preserve">for EN-DC configuration, </w:t>
      </w:r>
      <w:r>
        <w:rPr>
          <w:b/>
          <w:sz w:val="20"/>
          <w:szCs w:val="20"/>
        </w:rPr>
        <w:t xml:space="preserve">the alignment of UL </w:t>
      </w:r>
      <w:r w:rsidR="00B94DBA">
        <w:rPr>
          <w:b/>
          <w:sz w:val="20"/>
          <w:szCs w:val="20"/>
        </w:rPr>
        <w:t xml:space="preserve">transmissions </w:t>
      </w:r>
      <w:r>
        <w:rPr>
          <w:b/>
          <w:sz w:val="20"/>
          <w:szCs w:val="20"/>
        </w:rPr>
        <w:t xml:space="preserve">on both the </w:t>
      </w:r>
      <w:r w:rsidR="00B94DBA">
        <w:rPr>
          <w:b/>
          <w:sz w:val="20"/>
          <w:szCs w:val="20"/>
        </w:rPr>
        <w:t xml:space="preserve">NR </w:t>
      </w:r>
      <w:r>
        <w:rPr>
          <w:b/>
          <w:sz w:val="20"/>
          <w:szCs w:val="20"/>
        </w:rPr>
        <w:t xml:space="preserve">TDD and </w:t>
      </w:r>
      <w:r w:rsidR="00B94DBA">
        <w:rPr>
          <w:b/>
          <w:sz w:val="20"/>
          <w:szCs w:val="20"/>
        </w:rPr>
        <w:t xml:space="preserve">LTE </w:t>
      </w:r>
      <w:r>
        <w:rPr>
          <w:b/>
          <w:sz w:val="20"/>
          <w:szCs w:val="20"/>
        </w:rPr>
        <w:t xml:space="preserve">FDD bands to prevent harmonic interference effects degrades the maximum allowed LTE DL </w:t>
      </w:r>
      <w:r w:rsidR="00B94DBA">
        <w:rPr>
          <w:b/>
          <w:sz w:val="20"/>
          <w:szCs w:val="20"/>
        </w:rPr>
        <w:t xml:space="preserve">UE </w:t>
      </w:r>
      <w:r>
        <w:rPr>
          <w:b/>
          <w:sz w:val="20"/>
          <w:szCs w:val="20"/>
        </w:rPr>
        <w:t xml:space="preserve">throughput on the FDD band. </w:t>
      </w:r>
    </w:p>
    <w:p w14:paraId="746BB0CD" w14:textId="0E7986A9" w:rsidR="007C458C" w:rsidRDefault="007C458C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338C9">
        <w:rPr>
          <w:rFonts w:cstheme="minorHAnsi"/>
          <w:b/>
          <w:i/>
          <w:color w:val="000000" w:themeColor="text1"/>
          <w:sz w:val="20"/>
          <w:szCs w:val="20"/>
          <w:u w:val="single"/>
        </w:rPr>
        <w:t>Proposal 1: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For dual connectivity or CA scenarios involving LTE carriers (e.g. EN-DC, NE-DC, LTE-DC, LTE-CA) where the LTE carrier causes harmonic interference to the other carrier, regarding LTE HARQ timing, the existing LTE TDD-FDD CA reference configuration HARQ t</w:t>
      </w:r>
      <w:r w:rsidR="001018FC">
        <w:rPr>
          <w:rFonts w:cstheme="minorHAnsi"/>
          <w:b/>
          <w:color w:val="000000" w:themeColor="text1"/>
          <w:sz w:val="20"/>
          <w:szCs w:val="20"/>
        </w:rPr>
        <w:t xml:space="preserve">iming should be reused for the dual UL case. </w:t>
      </w:r>
    </w:p>
    <w:p w14:paraId="22289277" w14:textId="7DC7C8B5" w:rsidR="003B16AB" w:rsidRPr="00C07F87" w:rsidRDefault="00594234" w:rsidP="003B16AB">
      <w:pPr>
        <w:jc w:val="both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i/>
          <w:color w:val="000000" w:themeColor="text1"/>
          <w:sz w:val="20"/>
          <w:szCs w:val="20"/>
          <w:u w:val="single"/>
        </w:rPr>
        <w:t xml:space="preserve">Proposal 2: </w:t>
      </w:r>
      <w:r>
        <w:rPr>
          <w:rFonts w:cstheme="minorHAnsi"/>
          <w:b/>
          <w:color w:val="000000" w:themeColor="text1"/>
          <w:sz w:val="20"/>
          <w:szCs w:val="20"/>
        </w:rPr>
        <w:t xml:space="preserve">Send a LS to RAN WG2 </w:t>
      </w:r>
      <w:r w:rsidR="00FA4E17">
        <w:rPr>
          <w:rFonts w:cstheme="minorHAnsi"/>
          <w:b/>
          <w:color w:val="000000" w:themeColor="text1"/>
          <w:sz w:val="20"/>
          <w:szCs w:val="20"/>
        </w:rPr>
        <w:t>to</w:t>
      </w:r>
      <w:r>
        <w:rPr>
          <w:rFonts w:cstheme="minorHAnsi"/>
          <w:b/>
          <w:color w:val="000000" w:themeColor="text1"/>
          <w:sz w:val="20"/>
          <w:szCs w:val="20"/>
        </w:rPr>
        <w:t xml:space="preserve"> inform them about the RAN 1 decision and ask them to introduce corresponding signalling.</w:t>
      </w:r>
    </w:p>
    <w:p w14:paraId="098799D4" w14:textId="77777777" w:rsidR="003B16AB" w:rsidRPr="00F12010" w:rsidRDefault="003B16AB" w:rsidP="003B16AB">
      <w:pPr>
        <w:pStyle w:val="Heading1"/>
        <w:ind w:left="0" w:firstLine="0"/>
        <w:rPr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 </w:t>
      </w:r>
      <w:r w:rsidRPr="00874684">
        <w:t>References</w:t>
      </w:r>
      <w:r w:rsidRPr="00F12010">
        <w:rPr>
          <w:sz w:val="36"/>
          <w:szCs w:val="36"/>
        </w:rPr>
        <w:t xml:space="preserve"> </w:t>
      </w:r>
    </w:p>
    <w:p w14:paraId="10F14467" w14:textId="4E1A8739" w:rsidR="007805A9" w:rsidRDefault="008932FF" w:rsidP="00800637">
      <w:r>
        <w:rPr>
          <w:rFonts w:cstheme="minorHAnsi"/>
          <w:szCs w:val="20"/>
        </w:rPr>
        <w:t>[1] RAN1 #90bis Meeting, Chairman’s Notes, “</w:t>
      </w:r>
      <w:r w:rsidRPr="00EC39D3">
        <w:rPr>
          <w:b/>
        </w:rPr>
        <w:t>WF on UL TDM in single Tx EN-DC</w:t>
      </w:r>
      <w:r>
        <w:rPr>
          <w:rFonts w:cstheme="minorHAnsi"/>
          <w:szCs w:val="20"/>
        </w:rPr>
        <w:t>“.</w:t>
      </w:r>
    </w:p>
    <w:sectPr w:rsidR="007805A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3A47F" w14:textId="77777777" w:rsidR="00443086" w:rsidRDefault="00443086" w:rsidP="003B16AB">
      <w:pPr>
        <w:spacing w:after="0" w:line="240" w:lineRule="auto"/>
      </w:pPr>
      <w:r>
        <w:separator/>
      </w:r>
    </w:p>
  </w:endnote>
  <w:endnote w:type="continuationSeparator" w:id="0">
    <w:p w14:paraId="118A1522" w14:textId="77777777" w:rsidR="00443086" w:rsidRDefault="00443086" w:rsidP="003B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26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736358" w14:textId="28CC3ECA" w:rsidR="009C3597" w:rsidRDefault="009C35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3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CBC4A6" w14:textId="2B7FFEC5" w:rsidR="009C3597" w:rsidRDefault="00CF0DD2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5D83C3" wp14:editId="5D5D942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f964c93b879dd7ed7b6a78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3C0CFEC" w14:textId="5D9A4436" w:rsidR="00CF0DD2" w:rsidRPr="00CF0DD2" w:rsidRDefault="00CF0DD2" w:rsidP="00CF0DD2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5D83C3" id="_x0000_t202" coordsize="21600,21600" o:spt="202" path="m,l,21600r21600,l21600,xe">
              <v:stroke joinstyle="miter"/>
              <v:path gradientshapeok="t" o:connecttype="rect"/>
            </v:shapetype>
            <v:shape id="MSIPCM6f964c93b879dd7ed7b6a78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" o:allowincell="f" filled="f" stroked="f" strokeweight=".5pt">
              <v:textbox inset="20pt,0,,0">
                <w:txbxContent>
                  <w:p w14:paraId="13C0CFEC" w14:textId="5D9A4436" w:rsidR="00CF0DD2" w:rsidRPr="00CF0DD2" w:rsidRDefault="00CF0DD2" w:rsidP="00CF0DD2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D986E" w14:textId="77777777" w:rsidR="00443086" w:rsidRDefault="00443086" w:rsidP="003B16AB">
      <w:pPr>
        <w:spacing w:after="0" w:line="240" w:lineRule="auto"/>
      </w:pPr>
      <w:r>
        <w:separator/>
      </w:r>
    </w:p>
  </w:footnote>
  <w:footnote w:type="continuationSeparator" w:id="0">
    <w:p w14:paraId="02830463" w14:textId="77777777" w:rsidR="00443086" w:rsidRDefault="00443086" w:rsidP="003B1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4ACC"/>
    <w:multiLevelType w:val="hybridMultilevel"/>
    <w:tmpl w:val="A5D08FCA"/>
    <w:lvl w:ilvl="0" w:tplc="A62C5E8C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2C7F11"/>
    <w:multiLevelType w:val="hybridMultilevel"/>
    <w:tmpl w:val="D8EA318E"/>
    <w:lvl w:ilvl="0" w:tplc="DAFC871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017E0"/>
    <w:multiLevelType w:val="multilevel"/>
    <w:tmpl w:val="8A764354"/>
    <w:lvl w:ilvl="0">
      <w:start w:val="1"/>
      <w:numFmt w:val="decimal"/>
      <w:pStyle w:val="Heading1"/>
      <w:lvlText w:val="%1."/>
      <w:lvlJc w:val="left"/>
      <w:pPr>
        <w:ind w:left="717" w:hanging="360"/>
      </w:pPr>
      <w:rPr>
        <w:rFonts w:ascii="Arial" w:hAnsi="Arial" w:hint="default"/>
        <w:b w:val="0"/>
        <w:i w:val="0"/>
        <w:strike w:val="0"/>
        <w:dstrike w:val="0"/>
        <w:sz w:val="32"/>
        <w:vertAlign w:val="baseline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50D16D4"/>
    <w:multiLevelType w:val="hybridMultilevel"/>
    <w:tmpl w:val="05F6089C"/>
    <w:lvl w:ilvl="0" w:tplc="4CB2E1E0">
      <w:numFmt w:val="bullet"/>
      <w:lvlText w:val="-"/>
      <w:lvlJc w:val="left"/>
      <w:pPr>
        <w:ind w:left="78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3"/>
    <w:lvlOverride w:ilvl="0">
      <w:startOverride w:val="3"/>
    </w:lvlOverride>
    <w:lvlOverride w:ilvl="1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AB"/>
    <w:rsid w:val="00054CE4"/>
    <w:rsid w:val="00061FBD"/>
    <w:rsid w:val="00076E4E"/>
    <w:rsid w:val="00090F19"/>
    <w:rsid w:val="000E230F"/>
    <w:rsid w:val="001018FC"/>
    <w:rsid w:val="00104283"/>
    <w:rsid w:val="0014731E"/>
    <w:rsid w:val="001658FB"/>
    <w:rsid w:val="001E2BAB"/>
    <w:rsid w:val="001F0F4C"/>
    <w:rsid w:val="002775FE"/>
    <w:rsid w:val="00280CD0"/>
    <w:rsid w:val="00285EEC"/>
    <w:rsid w:val="00334AAC"/>
    <w:rsid w:val="00381B19"/>
    <w:rsid w:val="003B16AB"/>
    <w:rsid w:val="003E05E8"/>
    <w:rsid w:val="0040742C"/>
    <w:rsid w:val="00443086"/>
    <w:rsid w:val="0047291A"/>
    <w:rsid w:val="0047662B"/>
    <w:rsid w:val="004C61A0"/>
    <w:rsid w:val="00542921"/>
    <w:rsid w:val="005501B1"/>
    <w:rsid w:val="00566BE4"/>
    <w:rsid w:val="005902CD"/>
    <w:rsid w:val="00594234"/>
    <w:rsid w:val="005B4594"/>
    <w:rsid w:val="005C4E56"/>
    <w:rsid w:val="005C5E78"/>
    <w:rsid w:val="005C6396"/>
    <w:rsid w:val="006503F5"/>
    <w:rsid w:val="00686F93"/>
    <w:rsid w:val="00690492"/>
    <w:rsid w:val="0069132E"/>
    <w:rsid w:val="006C0AC6"/>
    <w:rsid w:val="006D646B"/>
    <w:rsid w:val="00732C56"/>
    <w:rsid w:val="0077408F"/>
    <w:rsid w:val="007C2AC5"/>
    <w:rsid w:val="007C458C"/>
    <w:rsid w:val="007E51D9"/>
    <w:rsid w:val="00800637"/>
    <w:rsid w:val="00844DCD"/>
    <w:rsid w:val="0086354C"/>
    <w:rsid w:val="00880BA2"/>
    <w:rsid w:val="008932FF"/>
    <w:rsid w:val="008B4513"/>
    <w:rsid w:val="008E420F"/>
    <w:rsid w:val="009978E9"/>
    <w:rsid w:val="009C3597"/>
    <w:rsid w:val="00A067DF"/>
    <w:rsid w:val="00A80EE0"/>
    <w:rsid w:val="00A84FB8"/>
    <w:rsid w:val="00AA3E2A"/>
    <w:rsid w:val="00AB6319"/>
    <w:rsid w:val="00AE0BD3"/>
    <w:rsid w:val="00AF0362"/>
    <w:rsid w:val="00B129BB"/>
    <w:rsid w:val="00B94DBA"/>
    <w:rsid w:val="00BA5C03"/>
    <w:rsid w:val="00BF5076"/>
    <w:rsid w:val="00C07F87"/>
    <w:rsid w:val="00CB6213"/>
    <w:rsid w:val="00CB72CC"/>
    <w:rsid w:val="00CF0DD2"/>
    <w:rsid w:val="00CF471C"/>
    <w:rsid w:val="00D64336"/>
    <w:rsid w:val="00D66139"/>
    <w:rsid w:val="00D76F9E"/>
    <w:rsid w:val="00E1570E"/>
    <w:rsid w:val="00E21821"/>
    <w:rsid w:val="00ED7099"/>
    <w:rsid w:val="00EF3D0A"/>
    <w:rsid w:val="00F3389B"/>
    <w:rsid w:val="00F338C9"/>
    <w:rsid w:val="00F75E71"/>
    <w:rsid w:val="00FA4E17"/>
    <w:rsid w:val="00FA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A1C4"/>
  <w15:chartTrackingRefBased/>
  <w15:docId w15:val="{43448F42-2187-44A7-8E3E-F77A95CE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6AB"/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16AB"/>
    <w:pPr>
      <w:keepNext/>
      <w:keepLines/>
      <w:numPr>
        <w:numId w:val="3"/>
      </w:numPr>
      <w:pBdr>
        <w:top w:val="single" w:sz="8" w:space="1" w:color="auto"/>
      </w:pBdr>
      <w:spacing w:before="240" w:after="240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6AB"/>
    <w:pPr>
      <w:keepNext/>
      <w:keepLines/>
      <w:numPr>
        <w:numId w:val="4"/>
      </w:numPr>
      <w:spacing w:before="40" w:after="120"/>
      <w:ind w:left="714" w:hanging="357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6AB"/>
    <w:rPr>
      <w:rFonts w:ascii="Arial" w:eastAsiaTheme="majorEastAsia" w:hAnsi="Arial" w:cstheme="majorBidi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B16AB"/>
    <w:rPr>
      <w:rFonts w:ascii="Arial" w:eastAsiaTheme="majorEastAsia" w:hAnsi="Arial" w:cstheme="majorBidi"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3B16AB"/>
    <w:pPr>
      <w:ind w:left="720"/>
      <w:contextualSpacing/>
    </w:pPr>
  </w:style>
  <w:style w:type="paragraph" w:customStyle="1" w:styleId="References">
    <w:name w:val="References"/>
    <w:basedOn w:val="Normal"/>
    <w:rsid w:val="003B16AB"/>
    <w:pPr>
      <w:numPr>
        <w:numId w:val="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  <w:lang w:val="en-US"/>
    </w:rPr>
  </w:style>
  <w:style w:type="paragraph" w:customStyle="1" w:styleId="ZT">
    <w:name w:val="ZT"/>
    <w:rsid w:val="003B16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B16A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16AB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3B16AB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3B16AB"/>
    <w:rPr>
      <w:rFonts w:ascii="Arial" w:eastAsia="Times New Roman" w:hAnsi="Arial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B16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AB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A84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80C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C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CD0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CD0"/>
    <w:rPr>
      <w:rFonts w:eastAsiaTheme="minorHAnsi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CD0"/>
    <w:rPr>
      <w:rFonts w:ascii="Segoe UI" w:eastAsiaTheme="minorHAns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59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EE9A4-0CEE-49F4-A5E9-505DFDD18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Chakraborty, Rishikesh, Vodafone Group</cp:lastModifiedBy>
  <cp:revision>3</cp:revision>
  <dcterms:created xsi:type="dcterms:W3CDTF">2019-03-29T12:42:00Z</dcterms:created>
  <dcterms:modified xsi:type="dcterms:W3CDTF">2019-03-29T14:36:00Z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rishikesh.chakraborty@vodafone.com</vt:lpwstr>
  </property>
  <property fmtid="{D5CDD505-2E9C-101B-9397-08002B2CF9AE}" pid="5" name="MSIP_Label_17da11e7-ad83-4459-98c6-12a88e2eac78_SetDate">
    <vt:lpwstr>2019-03-27T11:47:37.9378711Z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