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B6D53" w14:textId="042795D7" w:rsidR="00AC6C12" w:rsidRPr="001A1D8A" w:rsidRDefault="00AC6C12" w:rsidP="00AC6C12">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1A1D8A">
        <w:rPr>
          <w:rFonts w:ascii="Arial" w:hAnsi="Arial" w:cs="Arial"/>
          <w:b/>
          <w:bCs/>
          <w:sz w:val="24"/>
          <w:lang w:val="de-DE"/>
        </w:rPr>
        <w:t xml:space="preserve">3GPP TSG RAN WG1 </w:t>
      </w:r>
      <w:r w:rsidR="001552F8" w:rsidRPr="001A1D8A">
        <w:rPr>
          <w:rFonts w:ascii="Arial" w:hAnsi="Arial" w:cs="Arial"/>
          <w:b/>
          <w:bCs/>
          <w:sz w:val="24"/>
          <w:lang w:val="de-DE"/>
        </w:rPr>
        <w:t>#96</w:t>
      </w:r>
      <w:r w:rsidR="001552F8" w:rsidRPr="001A1D8A">
        <w:rPr>
          <w:rFonts w:ascii="Arial" w:hAnsi="Arial" w:cs="Arial"/>
          <w:b/>
          <w:bCs/>
          <w:sz w:val="24"/>
          <w:lang w:val="de-DE"/>
        </w:rPr>
        <w:tab/>
      </w:r>
      <w:r w:rsidR="001A1D8A" w:rsidRPr="001A1D8A">
        <w:rPr>
          <w:rFonts w:ascii="Arial" w:hAnsi="Arial" w:cs="Arial"/>
          <w:b/>
          <w:bCs/>
          <w:sz w:val="24"/>
          <w:lang w:val="de-DE"/>
        </w:rPr>
        <w:t>bis</w:t>
      </w:r>
      <w:r w:rsidR="001552F8" w:rsidRPr="001A1D8A">
        <w:rPr>
          <w:rFonts w:ascii="Arial" w:hAnsi="Arial" w:cs="Arial"/>
          <w:b/>
          <w:bCs/>
          <w:sz w:val="24"/>
          <w:lang w:val="de-DE"/>
        </w:rPr>
        <w:t xml:space="preserve">                 </w:t>
      </w:r>
      <w:r w:rsidRPr="001A1D8A">
        <w:rPr>
          <w:rFonts w:ascii="Arial" w:hAnsi="Arial" w:cs="Arial" w:hint="eastAsia"/>
          <w:b/>
          <w:bCs/>
          <w:sz w:val="24"/>
          <w:lang w:val="de-DE"/>
        </w:rPr>
        <w:t xml:space="preserve">                                       </w:t>
      </w:r>
      <w:r w:rsidRPr="001A1D8A">
        <w:rPr>
          <w:rFonts w:ascii="Arial" w:hAnsi="Arial" w:cs="Arial"/>
          <w:b/>
          <w:bCs/>
          <w:sz w:val="24"/>
          <w:lang w:val="de-DE"/>
        </w:rPr>
        <w:t xml:space="preserve">                         R1-</w:t>
      </w:r>
      <w:r w:rsidR="00135103" w:rsidRPr="001A1D8A">
        <w:rPr>
          <w:rFonts w:ascii="Arial" w:hAnsi="Arial" w:cs="Arial"/>
          <w:b/>
          <w:bCs/>
          <w:sz w:val="24"/>
          <w:lang w:val="de-DE"/>
        </w:rPr>
        <w:t>19</w:t>
      </w:r>
      <w:r w:rsidR="00B03F76">
        <w:rPr>
          <w:rFonts w:ascii="Arial" w:hAnsi="Arial" w:cs="Arial"/>
          <w:b/>
          <w:bCs/>
          <w:sz w:val="24"/>
          <w:lang w:val="de-DE"/>
        </w:rPr>
        <w:t>04330</w:t>
      </w:r>
    </w:p>
    <w:p w14:paraId="3B9DB536" w14:textId="150EA333" w:rsidR="00AC6C12" w:rsidRDefault="001A1D8A" w:rsidP="00AC6C12">
      <w:pPr>
        <w:widowControl w:val="0"/>
        <w:tabs>
          <w:tab w:val="center" w:pos="4536"/>
          <w:tab w:val="right" w:pos="9072"/>
        </w:tabs>
        <w:overflowPunct/>
        <w:autoSpaceDE/>
        <w:adjustRightInd/>
        <w:spacing w:after="0"/>
        <w:rPr>
          <w:rFonts w:cs="Arial"/>
          <w:b/>
          <w:i/>
          <w:kern w:val="2"/>
          <w:lang w:val="en-US"/>
        </w:rPr>
      </w:pPr>
      <w:r w:rsidRPr="00EB5DEC">
        <w:rPr>
          <w:rFonts w:ascii="Arial" w:hAnsi="Arial" w:cs="Arial"/>
          <w:b/>
          <w:bCs/>
          <w:sz w:val="24"/>
          <w:lang w:val="en-US"/>
        </w:rPr>
        <w:t>Xi’an, China, 8th – 12th April, 2019</w:t>
      </w:r>
      <w:r w:rsidR="00AC6C12" w:rsidRPr="003246E3">
        <w:rPr>
          <w:rFonts w:cs="Arial" w:hint="eastAsia"/>
          <w:i/>
          <w:color w:val="FF0000"/>
          <w:kern w:val="2"/>
          <w:lang w:val="en-US"/>
        </w:rPr>
        <w:t xml:space="preserve"> </w:t>
      </w:r>
      <w:r w:rsidR="00AC6C12">
        <w:rPr>
          <w:rFonts w:cs="Arial"/>
          <w:i/>
          <w:color w:val="FF0000"/>
          <w:kern w:val="2"/>
          <w:lang w:val="en-US"/>
        </w:rPr>
        <w:t xml:space="preserve">                                         </w:t>
      </w:r>
      <w:r w:rsidR="00AC6C12">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15809F14"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B03F76">
        <w:rPr>
          <w:rFonts w:ascii="Arial" w:hAnsi="Arial" w:cs="Arial"/>
          <w:b/>
          <w:sz w:val="24"/>
          <w:lang w:val="en-US"/>
        </w:rPr>
        <w:t>Resource Allocation for Mode 2 NR V2X</w:t>
      </w:r>
    </w:p>
    <w:p w14:paraId="04130205" w14:textId="748E01A3"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7.2.4.2.2</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7E630BE9" w:rsidR="006647C6"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approved</w:t>
      </w:r>
      <w:r>
        <w:t xml:space="preserve"> [1] in RAN#</w:t>
      </w:r>
      <w:r w:rsidR="00BA7998">
        <w:t xml:space="preserve">83 </w:t>
      </w:r>
      <w:r>
        <w:t xml:space="preserve">and the </w:t>
      </w:r>
      <w:r w:rsidR="00BA7998">
        <w:t xml:space="preserve">following </w:t>
      </w:r>
      <w:r>
        <w:t>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30BC12BC" w14:textId="77777777" w:rsidR="00FB39BD" w:rsidRPr="008355EC" w:rsidRDefault="00FB39BD" w:rsidP="00FB39BD">
            <w:pPr>
              <w:rPr>
                <w:sz w:val="22"/>
                <w:szCs w:val="22"/>
                <w:lang w:eastAsia="ko-KR"/>
              </w:rPr>
            </w:pPr>
            <w:r w:rsidRPr="008355EC">
              <w:rPr>
                <w:rFonts w:hint="eastAsia"/>
                <w:sz w:val="22"/>
                <w:szCs w:val="22"/>
                <w:lang w:eastAsia="ko-KR"/>
              </w:rPr>
              <w:t xml:space="preserve">The objective of this work item is to specify radio solutions </w:t>
            </w:r>
            <w:r w:rsidRPr="008355EC">
              <w:rPr>
                <w:sz w:val="22"/>
                <w:szCs w:val="22"/>
                <w:lang w:eastAsia="ko-KR"/>
              </w:rPr>
              <w:t>that are necessary for NR to support advanced V2X services (except the remote driving use case which was studied in TR 38.824) based on the study outcome captured in TR 38.885.</w:t>
            </w:r>
          </w:p>
          <w:p w14:paraId="3A27789C" w14:textId="77777777" w:rsidR="00FB39BD" w:rsidRPr="008355EC" w:rsidRDefault="00FB39BD" w:rsidP="00FB39BD">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174AC8FF" w14:textId="77777777" w:rsidR="00FB39BD" w:rsidRPr="008355EC" w:rsidRDefault="00FB39BD" w:rsidP="00FB39BD">
            <w:pPr>
              <w:numPr>
                <w:ilvl w:val="0"/>
                <w:numId w:val="43"/>
              </w:numPr>
              <w:rPr>
                <w:sz w:val="22"/>
                <w:szCs w:val="22"/>
                <w:lang w:eastAsia="ko-KR"/>
              </w:rPr>
            </w:pPr>
            <w:r w:rsidRPr="008355EC">
              <w:rPr>
                <w:sz w:val="22"/>
                <w:szCs w:val="22"/>
                <w:lang w:eastAsia="ko-KR"/>
              </w:rPr>
              <w:t>Support of sidelink signals, channels, bandwidth part, and resource pools [RAN1, RAN2]</w:t>
            </w:r>
          </w:p>
          <w:p w14:paraId="2B0DADB0" w14:textId="77777777" w:rsidR="00FB39BD" w:rsidRPr="008355EC" w:rsidRDefault="00FB39BD" w:rsidP="00FB39BD">
            <w:pPr>
              <w:numPr>
                <w:ilvl w:val="0"/>
                <w:numId w:val="43"/>
              </w:numPr>
              <w:rPr>
                <w:sz w:val="22"/>
                <w:szCs w:val="22"/>
                <w:lang w:eastAsia="ko-KR"/>
              </w:rPr>
            </w:pPr>
            <w:r w:rsidRPr="008355EC">
              <w:rPr>
                <w:sz w:val="22"/>
                <w:szCs w:val="22"/>
                <w:lang w:eastAsia="ko-KR"/>
              </w:rPr>
              <w:t>Resource allocation [RAN1, RAN2]</w:t>
            </w:r>
          </w:p>
          <w:p w14:paraId="46CD049D" w14:textId="77777777" w:rsidR="00FB39BD" w:rsidRPr="00FB39BD" w:rsidRDefault="00FB39BD" w:rsidP="00FB39BD">
            <w:pPr>
              <w:numPr>
                <w:ilvl w:val="1"/>
                <w:numId w:val="43"/>
              </w:numPr>
              <w:rPr>
                <w:sz w:val="22"/>
                <w:szCs w:val="22"/>
                <w:lang w:eastAsia="ko-KR"/>
              </w:rPr>
            </w:pPr>
            <w:r w:rsidRPr="00FB39BD">
              <w:rPr>
                <w:sz w:val="22"/>
                <w:szCs w:val="22"/>
                <w:lang w:eastAsia="ko-KR"/>
              </w:rPr>
              <w:t>Mode 1</w:t>
            </w:r>
          </w:p>
          <w:p w14:paraId="4236E668" w14:textId="77777777" w:rsidR="00FB39BD" w:rsidRPr="00FB39BD" w:rsidRDefault="00FB39BD" w:rsidP="00FB39BD">
            <w:pPr>
              <w:numPr>
                <w:ilvl w:val="2"/>
                <w:numId w:val="43"/>
              </w:numPr>
              <w:rPr>
                <w:sz w:val="22"/>
                <w:szCs w:val="22"/>
                <w:lang w:eastAsia="ko-KR"/>
              </w:rPr>
            </w:pPr>
            <w:r w:rsidRPr="00FB39BD">
              <w:rPr>
                <w:sz w:val="22"/>
                <w:szCs w:val="22"/>
                <w:lang w:eastAsia="ko-KR"/>
              </w:rPr>
              <w:t xml:space="preserve">NR sidelink scheduling by NR Uu and LTE Uu as </w:t>
            </w:r>
            <w:r w:rsidRPr="00FB39BD">
              <w:rPr>
                <w:rFonts w:hint="eastAsia"/>
                <w:sz w:val="22"/>
                <w:szCs w:val="22"/>
                <w:lang w:eastAsia="ko-KR"/>
              </w:rPr>
              <w:t xml:space="preserve">per </w:t>
            </w:r>
            <w:r w:rsidRPr="00FB39BD">
              <w:rPr>
                <w:sz w:val="22"/>
                <w:szCs w:val="22"/>
                <w:lang w:eastAsia="ko-KR"/>
              </w:rPr>
              <w:t>the study outcome</w:t>
            </w:r>
          </w:p>
          <w:p w14:paraId="4F3208C9" w14:textId="77777777" w:rsidR="00FB39BD" w:rsidRPr="00FB39BD" w:rsidRDefault="00FB39BD" w:rsidP="00FB39BD">
            <w:pPr>
              <w:numPr>
                <w:ilvl w:val="1"/>
                <w:numId w:val="43"/>
              </w:numPr>
              <w:rPr>
                <w:b/>
                <w:sz w:val="22"/>
                <w:szCs w:val="22"/>
                <w:lang w:eastAsia="ko-KR"/>
              </w:rPr>
            </w:pPr>
            <w:r w:rsidRPr="00FB39BD">
              <w:rPr>
                <w:b/>
                <w:sz w:val="22"/>
                <w:szCs w:val="22"/>
                <w:lang w:eastAsia="ko-KR"/>
              </w:rPr>
              <w:t>Mode 2</w:t>
            </w:r>
          </w:p>
          <w:p w14:paraId="4D87DB2A" w14:textId="77777777" w:rsidR="00FB39BD" w:rsidRPr="00FB39BD" w:rsidRDefault="00FB39BD" w:rsidP="00FB39BD">
            <w:pPr>
              <w:numPr>
                <w:ilvl w:val="2"/>
                <w:numId w:val="43"/>
              </w:numPr>
              <w:rPr>
                <w:b/>
                <w:sz w:val="22"/>
                <w:szCs w:val="22"/>
                <w:lang w:eastAsia="ko-KR"/>
              </w:rPr>
            </w:pPr>
            <w:r w:rsidRPr="00FB39BD">
              <w:rPr>
                <w:b/>
                <w:sz w:val="22"/>
                <w:szCs w:val="22"/>
                <w:lang w:eastAsia="ko-KR"/>
              </w:rPr>
              <w:t>Sensing and resource selection procedures based on sidelink pre-configuration and configuration by NR Uu and LTE Uu as per the study outcome</w:t>
            </w:r>
          </w:p>
          <w:p w14:paraId="6FEFB36B" w14:textId="77777777" w:rsidR="00FB39BD" w:rsidRPr="008355EC" w:rsidRDefault="00FB39BD" w:rsidP="00FB39BD">
            <w:pPr>
              <w:numPr>
                <w:ilvl w:val="1"/>
                <w:numId w:val="43"/>
              </w:numPr>
              <w:rPr>
                <w:sz w:val="22"/>
                <w:szCs w:val="22"/>
                <w:lang w:eastAsia="ko-KR"/>
              </w:rPr>
            </w:pPr>
            <w:r w:rsidRPr="008355EC">
              <w:rPr>
                <w:sz w:val="22"/>
                <w:szCs w:val="22"/>
                <w:lang w:eastAsia="ko-KR"/>
              </w:rPr>
              <w:t>Support for simultaneous configuration of Mode 1 and Mode 2 for a UE</w:t>
            </w:r>
          </w:p>
          <w:p w14:paraId="59C315EB" w14:textId="77777777" w:rsidR="00FB39BD" w:rsidRPr="008355EC" w:rsidRDefault="00FB39BD" w:rsidP="00FB39BD">
            <w:pPr>
              <w:numPr>
                <w:ilvl w:val="2"/>
                <w:numId w:val="43"/>
              </w:numPr>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2C2CB090" w14:textId="77777777" w:rsidR="00FB39BD" w:rsidRPr="008355EC" w:rsidRDefault="00FB39BD" w:rsidP="00FB39BD">
            <w:pPr>
              <w:numPr>
                <w:ilvl w:val="2"/>
                <w:numId w:val="43"/>
              </w:numPr>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31F09A5E" w14:textId="07E29EB5" w:rsidR="006647C6" w:rsidRPr="00FB39BD" w:rsidRDefault="00FB39BD" w:rsidP="0043111E">
            <w:pPr>
              <w:numPr>
                <w:ilvl w:val="1"/>
                <w:numId w:val="43"/>
              </w:numPr>
              <w:rPr>
                <w:sz w:val="22"/>
                <w:szCs w:val="22"/>
                <w:lang w:eastAsia="ko-KR"/>
              </w:rPr>
            </w:pPr>
            <w:r w:rsidRPr="008355EC">
              <w:rPr>
                <w:sz w:val="22"/>
                <w:szCs w:val="22"/>
                <w:lang w:eastAsia="ko-KR"/>
              </w:rPr>
              <w:t>UE relaying resource pool configuration or resource configuration is not supported in this work in Rel-16.</w:t>
            </w:r>
          </w:p>
        </w:tc>
      </w:tr>
    </w:tbl>
    <w:p w14:paraId="2F614BFB" w14:textId="77777777" w:rsidR="006647C6" w:rsidRDefault="006647C6" w:rsidP="006647C6">
      <w:pPr>
        <w:pStyle w:val="3GPPNormalText"/>
      </w:pPr>
    </w:p>
    <w:p w14:paraId="48E9D544" w14:textId="4C0DBBD8" w:rsidR="003428A9" w:rsidRDefault="001A1D8A" w:rsidP="00C254DE">
      <w:pPr>
        <w:pStyle w:val="3GPPNormalText"/>
      </w:pPr>
      <w:bookmarkStart w:id="1" w:name="OLE_LINK15"/>
      <w:bookmarkStart w:id="2" w:name="OLE_LINK16"/>
      <w:r>
        <w:t>In this contribution, we propose the different resource allocation schemes which are to be employed in Mode 2.</w:t>
      </w:r>
    </w:p>
    <w:p w14:paraId="02937BBF" w14:textId="77777777" w:rsidR="001A1D8A" w:rsidRPr="001A1D8A" w:rsidRDefault="001A1D8A" w:rsidP="00C254DE">
      <w:pPr>
        <w:pStyle w:val="3GPPNormalText"/>
        <w:rPr>
          <w:lang w:val="en-GB"/>
        </w:rPr>
      </w:pPr>
    </w:p>
    <w:p w14:paraId="5AA29C9E" w14:textId="51541328" w:rsidR="006647C6" w:rsidRDefault="006647C6" w:rsidP="006647C6">
      <w:pPr>
        <w:pStyle w:val="Heading1"/>
        <w:rPr>
          <w:lang w:val="en-US"/>
        </w:rPr>
      </w:pPr>
      <w:r>
        <w:rPr>
          <w:lang w:val="en-US"/>
        </w:rPr>
        <w:lastRenderedPageBreak/>
        <w:t>Mode 2</w:t>
      </w:r>
      <w:r w:rsidR="001A1D8A">
        <w:rPr>
          <w:lang w:val="en-US"/>
        </w:rPr>
        <w:t xml:space="preserve"> Resource Allocation Mechanisms</w:t>
      </w:r>
      <w:r w:rsidR="00152AB8">
        <w:rPr>
          <w:lang w:val="en-US"/>
        </w:rPr>
        <w:t xml:space="preserve"> for Groupcast Communications</w:t>
      </w:r>
    </w:p>
    <w:p w14:paraId="3B4C743A" w14:textId="767FEBDF" w:rsidR="000715EB" w:rsidRDefault="00B70315" w:rsidP="006647C6">
      <w:pPr>
        <w:jc w:val="both"/>
        <w:rPr>
          <w:sz w:val="22"/>
          <w:szCs w:val="22"/>
          <w:lang w:val="en-US"/>
        </w:rPr>
      </w:pPr>
      <w:r>
        <w:rPr>
          <w:sz w:val="22"/>
          <w:szCs w:val="22"/>
          <w:lang w:val="en-US"/>
        </w:rPr>
        <w:t>In order to cater to the high reliability and low latency of groupcast communications, even when operating in Mode</w:t>
      </w:r>
      <w:r w:rsidR="00682FC5">
        <w:rPr>
          <w:sz w:val="22"/>
          <w:szCs w:val="22"/>
          <w:lang w:val="en-US"/>
        </w:rPr>
        <w:t> </w:t>
      </w:r>
      <w:r>
        <w:rPr>
          <w:sz w:val="22"/>
          <w:szCs w:val="22"/>
          <w:lang w:val="en-US"/>
        </w:rPr>
        <w:t xml:space="preserve">2, </w:t>
      </w:r>
      <w:r w:rsidR="006749ED">
        <w:rPr>
          <w:sz w:val="22"/>
          <w:szCs w:val="22"/>
          <w:lang w:val="en-US"/>
        </w:rPr>
        <w:t xml:space="preserve">we propose that different procedures have to be followed if the group was initialized when </w:t>
      </w:r>
      <w:r w:rsidR="00BA7998">
        <w:rPr>
          <w:sz w:val="22"/>
          <w:szCs w:val="22"/>
          <w:lang w:val="en-US"/>
        </w:rPr>
        <w:t>in-</w:t>
      </w:r>
      <w:r w:rsidR="006749ED">
        <w:rPr>
          <w:sz w:val="22"/>
          <w:szCs w:val="22"/>
          <w:lang w:val="en-US"/>
        </w:rPr>
        <w:t>coverage of a gNB and when out-of-coverage. This is described in more detail in the following subsections.</w:t>
      </w:r>
    </w:p>
    <w:p w14:paraId="50EEB061" w14:textId="21FC9C45" w:rsidR="006749ED" w:rsidRDefault="006749ED" w:rsidP="006749ED">
      <w:pPr>
        <w:pStyle w:val="Heading2"/>
        <w:tabs>
          <w:tab w:val="clear" w:pos="1002"/>
          <w:tab w:val="num" w:pos="540"/>
        </w:tabs>
        <w:ind w:left="540"/>
        <w:rPr>
          <w:lang w:val="en-US"/>
        </w:rPr>
      </w:pPr>
      <w:r>
        <w:rPr>
          <w:lang w:val="en-US"/>
        </w:rPr>
        <w:t>Group Initialization Occurred In-Coverage</w:t>
      </w:r>
    </w:p>
    <w:p w14:paraId="593BD5C0" w14:textId="486A6BBD" w:rsidR="006749ED" w:rsidRDefault="006749ED" w:rsidP="006647C6">
      <w:pPr>
        <w:jc w:val="both"/>
        <w:rPr>
          <w:sz w:val="22"/>
          <w:szCs w:val="22"/>
          <w:lang w:val="en-US"/>
        </w:rPr>
      </w:pPr>
      <w:r>
        <w:rPr>
          <w:sz w:val="22"/>
          <w:szCs w:val="22"/>
          <w:lang w:val="en-US"/>
        </w:rPr>
        <w:t xml:space="preserve">If the group was formed and initialized when the UEs were in the coverage of a gNB, the gNB would provide resources for the member UEs of the group based on the requests sent by these UEs. The gNB could either allocate resources individually for each member, or could also allocate a set of resources common to all the members, following which the members can carry out sensing within this set. This concept is described in detail in </w:t>
      </w:r>
      <w:r w:rsidR="00BA7998">
        <w:rPr>
          <w:sz w:val="22"/>
          <w:szCs w:val="22"/>
          <w:lang w:val="en-US"/>
        </w:rPr>
        <w:t xml:space="preserve">our </w:t>
      </w:r>
      <w:r>
        <w:rPr>
          <w:sz w:val="22"/>
          <w:szCs w:val="22"/>
          <w:lang w:val="en-US"/>
        </w:rPr>
        <w:t xml:space="preserve">accompanying </w:t>
      </w:r>
      <w:r w:rsidRPr="00F33D8F">
        <w:rPr>
          <w:sz w:val="22"/>
          <w:szCs w:val="22"/>
          <w:lang w:val="en-US"/>
        </w:rPr>
        <w:t>contribution [</w:t>
      </w:r>
      <w:r w:rsidR="00BA7998" w:rsidRPr="00F33D8F">
        <w:rPr>
          <w:sz w:val="22"/>
          <w:szCs w:val="22"/>
          <w:lang w:val="en-US"/>
        </w:rPr>
        <w:t>2</w:t>
      </w:r>
      <w:r w:rsidRPr="00F33D8F">
        <w:rPr>
          <w:sz w:val="22"/>
          <w:szCs w:val="22"/>
          <w:lang w:val="en-US"/>
        </w:rPr>
        <w:t>].</w:t>
      </w:r>
    </w:p>
    <w:p w14:paraId="1538EA75" w14:textId="1EC93E60" w:rsidR="006749ED" w:rsidRDefault="006749ED" w:rsidP="006647C6">
      <w:pPr>
        <w:jc w:val="both"/>
        <w:rPr>
          <w:sz w:val="22"/>
          <w:szCs w:val="22"/>
          <w:lang w:val="en-US"/>
        </w:rPr>
      </w:pPr>
      <w:r>
        <w:rPr>
          <w:sz w:val="22"/>
          <w:szCs w:val="22"/>
          <w:lang w:val="en-US"/>
        </w:rPr>
        <w:t>When the group moves out of the coverage of the gNB</w:t>
      </w:r>
      <w:r w:rsidR="004F0E9F">
        <w:rPr>
          <w:sz w:val="22"/>
          <w:szCs w:val="22"/>
          <w:lang w:val="en-US"/>
        </w:rPr>
        <w:t xml:space="preserve"> and into Mode 2</w:t>
      </w:r>
      <w:r>
        <w:rPr>
          <w:sz w:val="22"/>
          <w:szCs w:val="22"/>
          <w:lang w:val="en-US"/>
        </w:rPr>
        <w:t xml:space="preserve">, we propose that the gNB provides a </w:t>
      </w:r>
      <w:r w:rsidR="00B3251D">
        <w:rPr>
          <w:sz w:val="22"/>
          <w:szCs w:val="22"/>
          <w:lang w:val="en-US"/>
        </w:rPr>
        <w:t>(</w:t>
      </w:r>
      <w:r>
        <w:rPr>
          <w:sz w:val="22"/>
          <w:szCs w:val="22"/>
          <w:lang w:val="en-US"/>
        </w:rPr>
        <w:t>pre</w:t>
      </w:r>
      <w:r w:rsidR="006143AD">
        <w:rPr>
          <w:sz w:val="22"/>
          <w:szCs w:val="22"/>
          <w:lang w:val="en-US"/>
        </w:rPr>
        <w:t xml:space="preserve">) </w:t>
      </w:r>
      <w:r>
        <w:rPr>
          <w:sz w:val="22"/>
          <w:szCs w:val="22"/>
          <w:lang w:val="en-US"/>
        </w:rPr>
        <w:t>configuration</w:t>
      </w:r>
      <w:r w:rsidR="004F0E9F">
        <w:rPr>
          <w:sz w:val="22"/>
          <w:szCs w:val="22"/>
          <w:lang w:val="en-US"/>
        </w:rPr>
        <w:t xml:space="preserve"> of a set of resources</w:t>
      </w:r>
      <w:r>
        <w:rPr>
          <w:sz w:val="22"/>
          <w:szCs w:val="22"/>
          <w:lang w:val="en-US"/>
        </w:rPr>
        <w:t xml:space="preserve"> to the members based on the amount of resources that were used by the group while in-coverage.</w:t>
      </w:r>
      <w:r w:rsidR="004F0E9F">
        <w:rPr>
          <w:sz w:val="22"/>
          <w:szCs w:val="22"/>
          <w:lang w:val="en-US"/>
        </w:rPr>
        <w:t xml:space="preserve"> The member UEs can then utilize this set of resources and carry out sensing within them in order to communicate with each other. The advantage of such a </w:t>
      </w:r>
      <w:r w:rsidR="00B3251D">
        <w:rPr>
          <w:sz w:val="22"/>
          <w:szCs w:val="22"/>
          <w:lang w:val="en-US"/>
        </w:rPr>
        <w:t>(</w:t>
      </w:r>
      <w:r w:rsidR="004F0E9F">
        <w:rPr>
          <w:sz w:val="22"/>
          <w:szCs w:val="22"/>
          <w:lang w:val="en-US"/>
        </w:rPr>
        <w:t>pre</w:t>
      </w:r>
      <w:r w:rsidR="00342A47">
        <w:rPr>
          <w:sz w:val="22"/>
          <w:szCs w:val="22"/>
          <w:lang w:val="en-US"/>
        </w:rPr>
        <w:t>-</w:t>
      </w:r>
      <w:r w:rsidR="006143AD">
        <w:rPr>
          <w:sz w:val="22"/>
          <w:szCs w:val="22"/>
          <w:lang w:val="en-US"/>
        </w:rPr>
        <w:t>) configuration</w:t>
      </w:r>
      <w:r w:rsidR="004F0E9F">
        <w:rPr>
          <w:sz w:val="22"/>
          <w:szCs w:val="22"/>
          <w:lang w:val="en-US"/>
        </w:rPr>
        <w:t xml:space="preserve"> is that the member UEs will have a dedicated set of resources which will not collide with other UEs carrying out groupcast or any other type of transmissions. This will ensure that the reliability and latency requirements of groupcast communications are met even when operating in Mode 2.</w:t>
      </w:r>
    </w:p>
    <w:p w14:paraId="17B19FCA" w14:textId="6C787602" w:rsidR="004F0E9F" w:rsidRDefault="004F0E9F" w:rsidP="006647C6">
      <w:pPr>
        <w:jc w:val="both"/>
        <w:rPr>
          <w:sz w:val="22"/>
          <w:szCs w:val="22"/>
          <w:lang w:val="en-US"/>
        </w:rPr>
      </w:pPr>
      <w:r>
        <w:rPr>
          <w:sz w:val="22"/>
          <w:szCs w:val="22"/>
          <w:lang w:val="en-US"/>
        </w:rPr>
        <w:t xml:space="preserve">The </w:t>
      </w:r>
      <w:r w:rsidR="00B3251D">
        <w:rPr>
          <w:sz w:val="22"/>
          <w:szCs w:val="22"/>
          <w:lang w:val="en-US"/>
        </w:rPr>
        <w:t>(</w:t>
      </w:r>
      <w:r>
        <w:rPr>
          <w:sz w:val="22"/>
          <w:szCs w:val="22"/>
          <w:lang w:val="en-US"/>
        </w:rPr>
        <w:t>pre</w:t>
      </w:r>
      <w:r w:rsidR="00E20BE2">
        <w:rPr>
          <w:sz w:val="22"/>
          <w:szCs w:val="22"/>
          <w:lang w:val="en-US"/>
        </w:rPr>
        <w:t>-</w:t>
      </w:r>
      <w:r w:rsidR="00B3251D">
        <w:rPr>
          <w:sz w:val="22"/>
          <w:szCs w:val="22"/>
          <w:lang w:val="en-US"/>
        </w:rPr>
        <w:t>)</w:t>
      </w:r>
      <w:r w:rsidR="006143AD">
        <w:rPr>
          <w:sz w:val="22"/>
          <w:szCs w:val="22"/>
          <w:lang w:val="en-US"/>
        </w:rPr>
        <w:t xml:space="preserve"> </w:t>
      </w:r>
      <w:r>
        <w:rPr>
          <w:sz w:val="22"/>
          <w:szCs w:val="22"/>
          <w:lang w:val="en-US"/>
        </w:rPr>
        <w:t>configuration of resources for the group can be updated when it moves back in-coverage with the gNB. This will enable the gNB to incorporate the updated demands of the group, for example, in the case where more UEs have joined the group.</w:t>
      </w:r>
    </w:p>
    <w:p w14:paraId="4084B1C8" w14:textId="45905057" w:rsidR="004F0E9F" w:rsidRPr="007A2428" w:rsidRDefault="004F0E9F" w:rsidP="006647C6">
      <w:pPr>
        <w:jc w:val="both"/>
        <w:rPr>
          <w:b/>
          <w:sz w:val="22"/>
          <w:szCs w:val="22"/>
          <w:lang w:val="en-US"/>
        </w:rPr>
      </w:pPr>
      <w:r w:rsidRPr="007A2428">
        <w:rPr>
          <w:b/>
          <w:sz w:val="22"/>
          <w:szCs w:val="22"/>
          <w:lang w:val="en-US"/>
        </w:rPr>
        <w:t xml:space="preserve">Proposal 1: We propose to support </w:t>
      </w:r>
      <w:r w:rsidR="00342A47">
        <w:rPr>
          <w:b/>
          <w:sz w:val="22"/>
          <w:szCs w:val="22"/>
          <w:lang w:val="en-US"/>
        </w:rPr>
        <w:t xml:space="preserve">that </w:t>
      </w:r>
      <w:r w:rsidRPr="007A2428">
        <w:rPr>
          <w:b/>
          <w:sz w:val="22"/>
          <w:szCs w:val="22"/>
          <w:lang w:val="en-US"/>
        </w:rPr>
        <w:t xml:space="preserve">the gNB </w:t>
      </w:r>
      <w:r w:rsidR="00342A47">
        <w:rPr>
          <w:b/>
          <w:sz w:val="22"/>
          <w:szCs w:val="22"/>
          <w:lang w:val="en-US"/>
        </w:rPr>
        <w:t>provides</w:t>
      </w:r>
      <w:r w:rsidR="00342A47" w:rsidRPr="007A2428">
        <w:rPr>
          <w:b/>
          <w:sz w:val="22"/>
          <w:szCs w:val="22"/>
          <w:lang w:val="en-US"/>
        </w:rPr>
        <w:t xml:space="preserve"> </w:t>
      </w:r>
      <w:r w:rsidRPr="007A2428">
        <w:rPr>
          <w:b/>
          <w:sz w:val="22"/>
          <w:szCs w:val="22"/>
          <w:lang w:val="en-US"/>
        </w:rPr>
        <w:t xml:space="preserve">a </w:t>
      </w:r>
      <w:r w:rsidR="00342A47">
        <w:rPr>
          <w:b/>
          <w:sz w:val="22"/>
          <w:szCs w:val="22"/>
          <w:lang w:val="en-US"/>
        </w:rPr>
        <w:t>(</w:t>
      </w:r>
      <w:r w:rsidRPr="007A2428">
        <w:rPr>
          <w:b/>
          <w:sz w:val="22"/>
          <w:szCs w:val="22"/>
          <w:lang w:val="en-US"/>
        </w:rPr>
        <w:t>pre-</w:t>
      </w:r>
      <w:r w:rsidR="00342A47">
        <w:rPr>
          <w:b/>
          <w:sz w:val="22"/>
          <w:szCs w:val="22"/>
          <w:lang w:val="en-US"/>
        </w:rPr>
        <w:t>)</w:t>
      </w:r>
      <w:r w:rsidR="006143AD">
        <w:rPr>
          <w:b/>
          <w:sz w:val="22"/>
          <w:szCs w:val="22"/>
          <w:lang w:val="en-US"/>
        </w:rPr>
        <w:t xml:space="preserve"> </w:t>
      </w:r>
      <w:r w:rsidRPr="007A2428">
        <w:rPr>
          <w:b/>
          <w:sz w:val="22"/>
          <w:szCs w:val="22"/>
          <w:lang w:val="en-US"/>
        </w:rPr>
        <w:t>configuration of resources, exclusive to a group, to the member UEs while in-coverage to be utilized when the group moves into Mode</w:t>
      </w:r>
      <w:r w:rsidR="00342A47">
        <w:rPr>
          <w:b/>
          <w:sz w:val="22"/>
          <w:szCs w:val="22"/>
          <w:lang w:val="en-US"/>
        </w:rPr>
        <w:t> </w:t>
      </w:r>
      <w:r w:rsidRPr="007A2428">
        <w:rPr>
          <w:b/>
          <w:sz w:val="22"/>
          <w:szCs w:val="22"/>
          <w:lang w:val="en-US"/>
        </w:rPr>
        <w:t>2.</w:t>
      </w:r>
    </w:p>
    <w:p w14:paraId="2D85801A" w14:textId="57D7008E" w:rsidR="006749ED" w:rsidRDefault="006749ED" w:rsidP="006749ED">
      <w:pPr>
        <w:pStyle w:val="Heading2"/>
        <w:tabs>
          <w:tab w:val="clear" w:pos="1002"/>
          <w:tab w:val="num" w:pos="540"/>
        </w:tabs>
        <w:ind w:left="540"/>
        <w:rPr>
          <w:lang w:val="en-US"/>
        </w:rPr>
      </w:pPr>
      <w:r>
        <w:rPr>
          <w:lang w:val="en-US"/>
        </w:rPr>
        <w:t>Group Initialization Occurred Out-of-Coverage</w:t>
      </w:r>
    </w:p>
    <w:p w14:paraId="7852A544" w14:textId="4E1DC161" w:rsidR="000715EB" w:rsidRDefault="004F0E9F" w:rsidP="006647C6">
      <w:pPr>
        <w:jc w:val="both"/>
        <w:rPr>
          <w:sz w:val="22"/>
          <w:szCs w:val="22"/>
          <w:lang w:val="en-US"/>
        </w:rPr>
      </w:pPr>
      <w:r>
        <w:rPr>
          <w:sz w:val="22"/>
          <w:szCs w:val="22"/>
          <w:lang w:val="en-US"/>
        </w:rPr>
        <w:t>If the group was formed and initialized out</w:t>
      </w:r>
      <w:r w:rsidR="002B5F41">
        <w:rPr>
          <w:sz w:val="22"/>
          <w:szCs w:val="22"/>
          <w:lang w:val="en-US"/>
        </w:rPr>
        <w:t>-</w:t>
      </w:r>
      <w:r>
        <w:rPr>
          <w:sz w:val="22"/>
          <w:szCs w:val="22"/>
          <w:lang w:val="en-US"/>
        </w:rPr>
        <w:t>of</w:t>
      </w:r>
      <w:r w:rsidR="002B5F41">
        <w:rPr>
          <w:sz w:val="22"/>
          <w:szCs w:val="22"/>
          <w:lang w:val="en-US"/>
        </w:rPr>
        <w:t>-</w:t>
      </w:r>
      <w:r>
        <w:rPr>
          <w:sz w:val="22"/>
          <w:szCs w:val="22"/>
          <w:lang w:val="en-US"/>
        </w:rPr>
        <w:t>coverage of a gNB and when operating in Mode 2, the member UEs would have to carry out sensing for each of their individual communications within the group.</w:t>
      </w:r>
    </w:p>
    <w:p w14:paraId="3B10BA2E" w14:textId="3C116089" w:rsidR="004F0E9F" w:rsidRDefault="004F0E9F" w:rsidP="006647C6">
      <w:pPr>
        <w:jc w:val="both"/>
        <w:rPr>
          <w:sz w:val="22"/>
          <w:szCs w:val="22"/>
          <w:lang w:val="en-US"/>
        </w:rPr>
      </w:pPr>
      <w:r>
        <w:rPr>
          <w:sz w:val="22"/>
          <w:szCs w:val="22"/>
          <w:lang w:val="en-US"/>
        </w:rPr>
        <w:t>However, when the group moves in-co</w:t>
      </w:r>
      <w:r w:rsidR="007A2428">
        <w:rPr>
          <w:sz w:val="22"/>
          <w:szCs w:val="22"/>
          <w:lang w:val="en-US"/>
        </w:rPr>
        <w:t xml:space="preserve">verage of a gNB, the members can receive resource configurations from the gNB based on the requests sent by the UEs. Once the gNB is aware of the requirements of the group, it can also provide a </w:t>
      </w:r>
      <w:r w:rsidR="002B5F41">
        <w:rPr>
          <w:sz w:val="22"/>
          <w:szCs w:val="22"/>
          <w:lang w:val="en-US"/>
        </w:rPr>
        <w:t>(</w:t>
      </w:r>
      <w:r>
        <w:rPr>
          <w:sz w:val="22"/>
          <w:szCs w:val="22"/>
          <w:lang w:val="en-US"/>
        </w:rPr>
        <w:t>pre-</w:t>
      </w:r>
      <w:r w:rsidR="002B5F41">
        <w:rPr>
          <w:sz w:val="22"/>
          <w:szCs w:val="22"/>
          <w:lang w:val="en-US"/>
        </w:rPr>
        <w:t>)</w:t>
      </w:r>
      <w:r w:rsidR="006143AD">
        <w:rPr>
          <w:sz w:val="22"/>
          <w:szCs w:val="22"/>
          <w:lang w:val="en-US"/>
        </w:rPr>
        <w:t xml:space="preserve"> </w:t>
      </w:r>
      <w:r>
        <w:rPr>
          <w:sz w:val="22"/>
          <w:szCs w:val="22"/>
          <w:lang w:val="en-US"/>
        </w:rPr>
        <w:t xml:space="preserve">configuration of resources </w:t>
      </w:r>
      <w:r w:rsidR="007A2428">
        <w:rPr>
          <w:sz w:val="22"/>
          <w:szCs w:val="22"/>
          <w:lang w:val="en-US"/>
        </w:rPr>
        <w:t>for the group to communicate in when it moves out</w:t>
      </w:r>
      <w:r w:rsidR="002B5F41">
        <w:rPr>
          <w:sz w:val="22"/>
          <w:szCs w:val="22"/>
          <w:lang w:val="en-US"/>
        </w:rPr>
        <w:t>-</w:t>
      </w:r>
      <w:r w:rsidR="007A2428">
        <w:rPr>
          <w:sz w:val="22"/>
          <w:szCs w:val="22"/>
          <w:lang w:val="en-US"/>
        </w:rPr>
        <w:t>of</w:t>
      </w:r>
      <w:r w:rsidR="002B5F41">
        <w:rPr>
          <w:sz w:val="22"/>
          <w:szCs w:val="22"/>
          <w:lang w:val="en-US"/>
        </w:rPr>
        <w:t>-</w:t>
      </w:r>
      <w:r w:rsidR="007A2428">
        <w:rPr>
          <w:sz w:val="22"/>
          <w:szCs w:val="22"/>
          <w:lang w:val="en-US"/>
        </w:rPr>
        <w:t>coverage of the gNB.</w:t>
      </w:r>
    </w:p>
    <w:p w14:paraId="6F20AD3D" w14:textId="2D098332" w:rsidR="007D1816" w:rsidRDefault="00031D1A" w:rsidP="00AE5E94">
      <w:pPr>
        <w:jc w:val="both"/>
        <w:rPr>
          <w:b/>
          <w:sz w:val="22"/>
          <w:szCs w:val="22"/>
          <w:lang w:val="en-US"/>
        </w:rPr>
      </w:pPr>
      <w:r w:rsidRPr="00031D1A">
        <w:rPr>
          <w:b/>
          <w:sz w:val="22"/>
          <w:szCs w:val="22"/>
          <w:lang w:val="en-US"/>
        </w:rPr>
        <w:t xml:space="preserve">Proposal 2: We propose to support </w:t>
      </w:r>
      <w:r w:rsidR="00315790">
        <w:rPr>
          <w:b/>
          <w:sz w:val="22"/>
          <w:szCs w:val="22"/>
          <w:lang w:val="en-US"/>
        </w:rPr>
        <w:t>that the gNB provides</w:t>
      </w:r>
      <w:r w:rsidRPr="00031D1A">
        <w:rPr>
          <w:b/>
          <w:sz w:val="22"/>
          <w:szCs w:val="22"/>
          <w:lang w:val="en-US"/>
        </w:rPr>
        <w:t xml:space="preserve"> a </w:t>
      </w:r>
      <w:r w:rsidR="00315790">
        <w:rPr>
          <w:b/>
          <w:sz w:val="22"/>
          <w:szCs w:val="22"/>
          <w:lang w:val="en-US"/>
        </w:rPr>
        <w:t>(</w:t>
      </w:r>
      <w:r w:rsidRPr="00031D1A">
        <w:rPr>
          <w:b/>
          <w:sz w:val="22"/>
          <w:szCs w:val="22"/>
          <w:lang w:val="en-US"/>
        </w:rPr>
        <w:t>pre-</w:t>
      </w:r>
      <w:r w:rsidR="00315790">
        <w:rPr>
          <w:b/>
          <w:sz w:val="22"/>
          <w:szCs w:val="22"/>
          <w:lang w:val="en-US"/>
        </w:rPr>
        <w:t>)</w:t>
      </w:r>
      <w:r w:rsidR="006143AD">
        <w:rPr>
          <w:b/>
          <w:sz w:val="22"/>
          <w:szCs w:val="22"/>
          <w:lang w:val="en-US"/>
        </w:rPr>
        <w:t xml:space="preserve"> </w:t>
      </w:r>
      <w:bookmarkStart w:id="3" w:name="_GoBack"/>
      <w:bookmarkEnd w:id="3"/>
      <w:r w:rsidRPr="00031D1A">
        <w:rPr>
          <w:b/>
          <w:sz w:val="22"/>
          <w:szCs w:val="22"/>
          <w:lang w:val="en-US"/>
        </w:rPr>
        <w:t>configuration of resources for a group when it moves in</w:t>
      </w:r>
      <w:r w:rsidR="00315790">
        <w:rPr>
          <w:b/>
          <w:sz w:val="22"/>
          <w:szCs w:val="22"/>
          <w:lang w:val="en-US"/>
        </w:rPr>
        <w:t>-</w:t>
      </w:r>
      <w:r w:rsidRPr="00031D1A">
        <w:rPr>
          <w:b/>
          <w:sz w:val="22"/>
          <w:szCs w:val="22"/>
          <w:lang w:val="en-US"/>
        </w:rPr>
        <w:t>coverage of a gNB, even if it was formed out</w:t>
      </w:r>
      <w:r w:rsidR="00315790">
        <w:rPr>
          <w:b/>
          <w:sz w:val="22"/>
          <w:szCs w:val="22"/>
          <w:lang w:val="en-US"/>
        </w:rPr>
        <w:t>-</w:t>
      </w:r>
      <w:r w:rsidRPr="00031D1A">
        <w:rPr>
          <w:b/>
          <w:sz w:val="22"/>
          <w:szCs w:val="22"/>
          <w:lang w:val="en-US"/>
        </w:rPr>
        <w:t>of</w:t>
      </w:r>
      <w:r w:rsidR="00315790">
        <w:rPr>
          <w:b/>
          <w:sz w:val="22"/>
          <w:szCs w:val="22"/>
          <w:lang w:val="en-US"/>
        </w:rPr>
        <w:t>-</w:t>
      </w:r>
      <w:r w:rsidRPr="00031D1A">
        <w:rPr>
          <w:b/>
          <w:sz w:val="22"/>
          <w:szCs w:val="22"/>
          <w:lang w:val="en-US"/>
        </w:rPr>
        <w:t>coverage of the gNB.</w:t>
      </w:r>
    </w:p>
    <w:p w14:paraId="077C842D" w14:textId="77777777" w:rsidR="006143AD" w:rsidRPr="007D1816" w:rsidRDefault="006143AD" w:rsidP="00AE5E94">
      <w:pPr>
        <w:jc w:val="both"/>
        <w:rPr>
          <w:b/>
          <w:sz w:val="22"/>
          <w:szCs w:val="22"/>
          <w:lang w:val="en-US"/>
        </w:rPr>
      </w:pPr>
    </w:p>
    <w:p w14:paraId="7042FE39" w14:textId="77777777" w:rsidR="006647C6" w:rsidRDefault="006647C6" w:rsidP="006647C6">
      <w:pPr>
        <w:pStyle w:val="Heading1"/>
        <w:rPr>
          <w:lang w:val="en-US"/>
        </w:rPr>
      </w:pPr>
      <w:bookmarkStart w:id="4" w:name="OLE_LINK13"/>
      <w:bookmarkStart w:id="5" w:name="OLE_LINK14"/>
      <w:bookmarkEnd w:id="1"/>
      <w:bookmarkEnd w:id="2"/>
      <w:r>
        <w:rPr>
          <w:lang w:val="en-US"/>
        </w:rPr>
        <w:t>Conclusion</w:t>
      </w:r>
    </w:p>
    <w:p w14:paraId="1C78597E" w14:textId="77777777"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704652FA" w14:textId="162EBF5C" w:rsidR="00FB11A9" w:rsidRDefault="00FB11A9" w:rsidP="001A1D8A">
      <w:pPr>
        <w:jc w:val="both"/>
        <w:rPr>
          <w:b/>
          <w:sz w:val="22"/>
          <w:szCs w:val="22"/>
        </w:rPr>
      </w:pPr>
      <w:r>
        <w:rPr>
          <w:b/>
          <w:sz w:val="22"/>
          <w:szCs w:val="22"/>
        </w:rPr>
        <w:t>Proposal 1</w:t>
      </w:r>
      <w:r w:rsidR="00773F34" w:rsidRPr="007A2428">
        <w:rPr>
          <w:b/>
          <w:sz w:val="22"/>
          <w:szCs w:val="22"/>
          <w:lang w:val="en-US"/>
        </w:rPr>
        <w:t xml:space="preserve">: We propose to support </w:t>
      </w:r>
      <w:r w:rsidR="00773F34">
        <w:rPr>
          <w:b/>
          <w:sz w:val="22"/>
          <w:szCs w:val="22"/>
          <w:lang w:val="en-US"/>
        </w:rPr>
        <w:t xml:space="preserve">that </w:t>
      </w:r>
      <w:r w:rsidR="00773F34" w:rsidRPr="007A2428">
        <w:rPr>
          <w:b/>
          <w:sz w:val="22"/>
          <w:szCs w:val="22"/>
          <w:lang w:val="en-US"/>
        </w:rPr>
        <w:t xml:space="preserve">the gNB </w:t>
      </w:r>
      <w:r w:rsidR="00773F34">
        <w:rPr>
          <w:b/>
          <w:sz w:val="22"/>
          <w:szCs w:val="22"/>
          <w:lang w:val="en-US"/>
        </w:rPr>
        <w:t>provides</w:t>
      </w:r>
      <w:r w:rsidR="00773F34" w:rsidRPr="007A2428">
        <w:rPr>
          <w:b/>
          <w:sz w:val="22"/>
          <w:szCs w:val="22"/>
          <w:lang w:val="en-US"/>
        </w:rPr>
        <w:t xml:space="preserve"> a </w:t>
      </w:r>
      <w:r w:rsidR="00773F34">
        <w:rPr>
          <w:b/>
          <w:sz w:val="22"/>
          <w:szCs w:val="22"/>
          <w:lang w:val="en-US"/>
        </w:rPr>
        <w:t>(</w:t>
      </w:r>
      <w:r w:rsidR="00773F34" w:rsidRPr="007A2428">
        <w:rPr>
          <w:b/>
          <w:sz w:val="22"/>
          <w:szCs w:val="22"/>
          <w:lang w:val="en-US"/>
        </w:rPr>
        <w:t>pre-</w:t>
      </w:r>
      <w:r w:rsidR="00773F34">
        <w:rPr>
          <w:b/>
          <w:sz w:val="22"/>
          <w:szCs w:val="22"/>
          <w:lang w:val="en-US"/>
        </w:rPr>
        <w:t>)</w:t>
      </w:r>
      <w:r w:rsidR="006143AD">
        <w:rPr>
          <w:b/>
          <w:sz w:val="22"/>
          <w:szCs w:val="22"/>
          <w:lang w:val="en-US"/>
        </w:rPr>
        <w:t xml:space="preserve"> </w:t>
      </w:r>
      <w:r w:rsidR="00773F34" w:rsidRPr="007A2428">
        <w:rPr>
          <w:b/>
          <w:sz w:val="22"/>
          <w:szCs w:val="22"/>
          <w:lang w:val="en-US"/>
        </w:rPr>
        <w:t>configuration of resources, exclusive to a group, to the member UEs while in-coverage to be utilized when the group moves into Mode</w:t>
      </w:r>
      <w:r w:rsidR="00773F34">
        <w:rPr>
          <w:b/>
          <w:sz w:val="22"/>
          <w:szCs w:val="22"/>
          <w:lang w:val="en-US"/>
        </w:rPr>
        <w:t> </w:t>
      </w:r>
      <w:r w:rsidR="00773F34" w:rsidRPr="007A2428">
        <w:rPr>
          <w:b/>
          <w:sz w:val="22"/>
          <w:szCs w:val="22"/>
          <w:lang w:val="en-US"/>
        </w:rPr>
        <w:t>2.</w:t>
      </w:r>
    </w:p>
    <w:p w14:paraId="3BB7DAFD" w14:textId="61B6D4B9" w:rsidR="00773F34" w:rsidRDefault="00773F34" w:rsidP="00773F34">
      <w:pPr>
        <w:jc w:val="both"/>
        <w:rPr>
          <w:b/>
          <w:sz w:val="22"/>
          <w:szCs w:val="22"/>
          <w:lang w:val="en-US"/>
        </w:rPr>
      </w:pPr>
      <w:r w:rsidRPr="00031D1A">
        <w:rPr>
          <w:b/>
          <w:sz w:val="22"/>
          <w:szCs w:val="22"/>
          <w:lang w:val="en-US"/>
        </w:rPr>
        <w:lastRenderedPageBreak/>
        <w:t xml:space="preserve">Proposal 2: We propose to support </w:t>
      </w:r>
      <w:r>
        <w:rPr>
          <w:b/>
          <w:sz w:val="22"/>
          <w:szCs w:val="22"/>
          <w:lang w:val="en-US"/>
        </w:rPr>
        <w:t>that the gNB provides</w:t>
      </w:r>
      <w:r w:rsidRPr="00031D1A">
        <w:rPr>
          <w:b/>
          <w:sz w:val="22"/>
          <w:szCs w:val="22"/>
          <w:lang w:val="en-US"/>
        </w:rPr>
        <w:t xml:space="preserve"> a </w:t>
      </w:r>
      <w:r>
        <w:rPr>
          <w:b/>
          <w:sz w:val="22"/>
          <w:szCs w:val="22"/>
          <w:lang w:val="en-US"/>
        </w:rPr>
        <w:t>(</w:t>
      </w:r>
      <w:r w:rsidRPr="00031D1A">
        <w:rPr>
          <w:b/>
          <w:sz w:val="22"/>
          <w:szCs w:val="22"/>
          <w:lang w:val="en-US"/>
        </w:rPr>
        <w:t>pre-</w:t>
      </w:r>
      <w:r>
        <w:rPr>
          <w:b/>
          <w:sz w:val="22"/>
          <w:szCs w:val="22"/>
          <w:lang w:val="en-US"/>
        </w:rPr>
        <w:t>)</w:t>
      </w:r>
      <w:r w:rsidR="006143AD">
        <w:rPr>
          <w:b/>
          <w:sz w:val="22"/>
          <w:szCs w:val="22"/>
          <w:lang w:val="en-US"/>
        </w:rPr>
        <w:t xml:space="preserve"> </w:t>
      </w:r>
      <w:r w:rsidRPr="00031D1A">
        <w:rPr>
          <w:b/>
          <w:sz w:val="22"/>
          <w:szCs w:val="22"/>
          <w:lang w:val="en-US"/>
        </w:rPr>
        <w:t>configuration of resources for a group when it moves in</w:t>
      </w:r>
      <w:r>
        <w:rPr>
          <w:b/>
          <w:sz w:val="22"/>
          <w:szCs w:val="22"/>
          <w:lang w:val="en-US"/>
        </w:rPr>
        <w:t>-</w:t>
      </w:r>
      <w:r w:rsidRPr="00031D1A">
        <w:rPr>
          <w:b/>
          <w:sz w:val="22"/>
          <w:szCs w:val="22"/>
          <w:lang w:val="en-US"/>
        </w:rPr>
        <w:t>coverage of a gNB, even if it was formed out</w:t>
      </w:r>
      <w:r>
        <w:rPr>
          <w:b/>
          <w:sz w:val="22"/>
          <w:szCs w:val="22"/>
          <w:lang w:val="en-US"/>
        </w:rPr>
        <w:t>-</w:t>
      </w:r>
      <w:r w:rsidRPr="00031D1A">
        <w:rPr>
          <w:b/>
          <w:sz w:val="22"/>
          <w:szCs w:val="22"/>
          <w:lang w:val="en-US"/>
        </w:rPr>
        <w:t>of</w:t>
      </w:r>
      <w:r>
        <w:rPr>
          <w:b/>
          <w:sz w:val="22"/>
          <w:szCs w:val="22"/>
          <w:lang w:val="en-US"/>
        </w:rPr>
        <w:t>-</w:t>
      </w:r>
      <w:r w:rsidRPr="00031D1A">
        <w:rPr>
          <w:b/>
          <w:sz w:val="22"/>
          <w:szCs w:val="22"/>
          <w:lang w:val="en-US"/>
        </w:rPr>
        <w:t>coverage of the gNB.</w:t>
      </w:r>
    </w:p>
    <w:p w14:paraId="3B1F7A06" w14:textId="77777777" w:rsidR="006143AD" w:rsidRPr="00C50A6E" w:rsidRDefault="006143AD" w:rsidP="00773F34">
      <w:pPr>
        <w:jc w:val="both"/>
        <w:rPr>
          <w:sz w:val="22"/>
          <w:szCs w:val="22"/>
          <w:lang w:val="en-US"/>
        </w:rPr>
      </w:pPr>
    </w:p>
    <w:bookmarkEnd w:id="4"/>
    <w:bookmarkEnd w:id="5"/>
    <w:p w14:paraId="285FF8DE" w14:textId="77777777" w:rsidR="006647C6" w:rsidRPr="007564C3" w:rsidRDefault="006647C6" w:rsidP="006647C6">
      <w:pPr>
        <w:pStyle w:val="Heading1"/>
        <w:rPr>
          <w:rFonts w:cs="Arial"/>
        </w:rPr>
      </w:pPr>
      <w:r w:rsidRPr="00707A9A">
        <w:rPr>
          <w:lang w:val="en-US"/>
        </w:rPr>
        <w:t>References</w:t>
      </w:r>
    </w:p>
    <w:bookmarkEnd w:id="0"/>
    <w:p w14:paraId="76B383D8" w14:textId="77777777" w:rsidR="00D60BB9" w:rsidRPr="00173A03" w:rsidRDefault="00D60BB9" w:rsidP="00D60BB9">
      <w:pPr>
        <w:widowControl w:val="0"/>
        <w:numPr>
          <w:ilvl w:val="0"/>
          <w:numId w:val="2"/>
        </w:numPr>
        <w:overflowPunct/>
        <w:autoSpaceDE/>
        <w:adjustRightInd/>
        <w:spacing w:after="120"/>
        <w:jc w:val="both"/>
        <w:textAlignment w:val="auto"/>
        <w:rPr>
          <w:iCs/>
          <w:lang w:val="en-US"/>
        </w:rPr>
      </w:pPr>
      <w:r>
        <w:rPr>
          <w:rFonts w:cs="Arial"/>
        </w:rPr>
        <w:t>RP-190766</w:t>
      </w:r>
      <w:r w:rsidRPr="009A254C">
        <w:rPr>
          <w:rFonts w:cs="Arial"/>
        </w:rPr>
        <w:t xml:space="preserve">, </w:t>
      </w:r>
      <w:r>
        <w:rPr>
          <w:rFonts w:cs="Arial"/>
        </w:rPr>
        <w:t>“</w:t>
      </w:r>
      <w:r w:rsidRPr="00173A03">
        <w:rPr>
          <w:rFonts w:cs="Arial"/>
        </w:rPr>
        <w:t>New WID on 5G V2X with NR sidelink”</w:t>
      </w:r>
      <w:r>
        <w:rPr>
          <w:rFonts w:cs="Arial"/>
        </w:rPr>
        <w:t xml:space="preserve">, </w:t>
      </w:r>
      <w:r w:rsidRPr="00173A03">
        <w:rPr>
          <w:rFonts w:cs="Arial"/>
        </w:rPr>
        <w:t>LG Electronics, Huawei</w:t>
      </w:r>
      <w:r>
        <w:rPr>
          <w:rFonts w:cs="Arial"/>
        </w:rPr>
        <w:t xml:space="preserve">, 3GPP </w:t>
      </w:r>
      <w:r w:rsidRPr="007833B8">
        <w:rPr>
          <w:rFonts w:cs="Arial"/>
        </w:rPr>
        <w:t>RAN#</w:t>
      </w:r>
      <w:r>
        <w:rPr>
          <w:rFonts w:cs="Arial"/>
        </w:rPr>
        <w:t>83</w:t>
      </w:r>
      <w:r w:rsidRPr="007833B8">
        <w:rPr>
          <w:rFonts w:cs="Arial"/>
        </w:rPr>
        <w:t xml:space="preserve">, </w:t>
      </w:r>
      <w:r>
        <w:rPr>
          <w:rFonts w:cs="Arial"/>
        </w:rPr>
        <w:t>March</w:t>
      </w:r>
      <w:r w:rsidRPr="007833B8">
        <w:rPr>
          <w:rFonts w:cs="Arial"/>
        </w:rPr>
        <w:t xml:space="preserve"> 20</w:t>
      </w:r>
      <w:r>
        <w:rPr>
          <w:rFonts w:cs="Arial"/>
        </w:rPr>
        <w:t>19</w:t>
      </w:r>
      <w:r w:rsidRPr="007833B8">
        <w:rPr>
          <w:rFonts w:cs="Arial"/>
        </w:rPr>
        <w:t>.</w:t>
      </w:r>
    </w:p>
    <w:p w14:paraId="4B717E77" w14:textId="0F07A9E9" w:rsidR="00BA7998" w:rsidRDefault="00FF0B7C" w:rsidP="00BA7998">
      <w:pPr>
        <w:pStyle w:val="3GPPNormalText"/>
        <w:numPr>
          <w:ilvl w:val="0"/>
          <w:numId w:val="2"/>
        </w:numPr>
        <w:rPr>
          <w:rFonts w:eastAsiaTheme="minorHAnsi" w:cstheme="minorHAnsi"/>
          <w:color w:val="000000"/>
        </w:rPr>
      </w:pPr>
      <w:r>
        <w:rPr>
          <w:rFonts w:eastAsiaTheme="minorHAnsi" w:cstheme="minorHAnsi"/>
          <w:color w:val="000000"/>
        </w:rPr>
        <w:t xml:space="preserve">R1-1904329, “Resource Allocation for Mode 1 NR V2X”, </w:t>
      </w:r>
      <w:r w:rsidRPr="001929FD">
        <w:rPr>
          <w:rFonts w:eastAsiaTheme="minorHAnsi" w:cstheme="minorHAnsi"/>
          <w:color w:val="000000"/>
        </w:rPr>
        <w:t>Fraunhofer HHI, Fraunhofer IIS</w:t>
      </w:r>
      <w:r>
        <w:rPr>
          <w:rFonts w:eastAsiaTheme="minorHAnsi" w:cstheme="minorHAnsi"/>
          <w:color w:val="000000"/>
        </w:rPr>
        <w:t>, 3GPP RAN1#96bis, April 2019.</w:t>
      </w:r>
    </w:p>
    <w:p w14:paraId="6C0AA0A8" w14:textId="5F9F57B6" w:rsidR="006E2FDB" w:rsidRPr="00D60BB9" w:rsidRDefault="006E2FDB" w:rsidP="00C6237E">
      <w:pPr>
        <w:widowControl w:val="0"/>
        <w:overflowPunct/>
        <w:autoSpaceDE/>
        <w:adjustRightInd/>
        <w:spacing w:after="120"/>
        <w:ind w:left="420"/>
        <w:jc w:val="both"/>
        <w:textAlignment w:val="auto"/>
        <w:rPr>
          <w:iCs/>
          <w:lang w:val="en-US"/>
        </w:rPr>
      </w:pPr>
    </w:p>
    <w:sectPr w:rsidR="006E2FDB" w:rsidRPr="00D60BB9" w:rsidSect="00D346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054F7" w14:textId="77777777" w:rsidR="004E1BCE" w:rsidRDefault="004E1BCE">
      <w:r>
        <w:separator/>
      </w:r>
    </w:p>
  </w:endnote>
  <w:endnote w:type="continuationSeparator" w:id="0">
    <w:p w14:paraId="089DC866" w14:textId="77777777" w:rsidR="004E1BCE" w:rsidRDefault="004E1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348CDE26"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143AD">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143AD">
      <w:rPr>
        <w:rStyle w:val="CharChar2"/>
        <w:b/>
        <w:i/>
        <w:noProof/>
        <w:sz w:val="18"/>
      </w:rPr>
      <w:t>3</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B239C" w14:textId="77777777" w:rsidR="004E1BCE" w:rsidRDefault="004E1BCE">
      <w:r>
        <w:separator/>
      </w:r>
    </w:p>
  </w:footnote>
  <w:footnote w:type="continuationSeparator" w:id="0">
    <w:p w14:paraId="00315131" w14:textId="77777777" w:rsidR="004E1BCE" w:rsidRDefault="004E1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3" w15:restartNumberingAfterBreak="0">
    <w:nsid w:val="0D133976"/>
    <w:multiLevelType w:val="hybridMultilevel"/>
    <w:tmpl w:val="2C7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14785"/>
    <w:multiLevelType w:val="hybridMultilevel"/>
    <w:tmpl w:val="E3A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7C56AE"/>
    <w:multiLevelType w:val="hybridMultilevel"/>
    <w:tmpl w:val="40C2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8" w15:restartNumberingAfterBreak="0">
    <w:nsid w:val="3B015A6A"/>
    <w:multiLevelType w:val="hybridMultilevel"/>
    <w:tmpl w:val="CE3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140EB"/>
    <w:multiLevelType w:val="hybridMultilevel"/>
    <w:tmpl w:val="5E44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66103084"/>
    <w:multiLevelType w:val="hybridMultilevel"/>
    <w:tmpl w:val="E88E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2"/>
  </w:num>
  <w:num w:numId="8">
    <w:abstractNumId w:val="16"/>
  </w:num>
  <w:num w:numId="9">
    <w:abstractNumId w:val="11"/>
  </w:num>
  <w:num w:numId="10">
    <w:abstractNumId w:val="8"/>
  </w:num>
  <w:num w:numId="11">
    <w:abstractNumId w:val="27"/>
  </w:num>
  <w:num w:numId="12">
    <w:abstractNumId w:val="31"/>
  </w:num>
  <w:num w:numId="13">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9"/>
  </w:num>
  <w:num w:numId="16">
    <w:abstractNumId w:val="19"/>
  </w:num>
  <w:num w:numId="17">
    <w:abstractNumId w:val="17"/>
  </w:num>
  <w:num w:numId="18">
    <w:abstractNumId w:val="12"/>
  </w:num>
  <w:num w:numId="19">
    <w:abstractNumId w:val="36"/>
  </w:num>
  <w:num w:numId="20">
    <w:abstractNumId w:val="4"/>
  </w:num>
  <w:num w:numId="21">
    <w:abstractNumId w:val="23"/>
  </w:num>
  <w:num w:numId="22">
    <w:abstractNumId w:val="26"/>
  </w:num>
  <w:num w:numId="23">
    <w:abstractNumId w:val="10"/>
  </w:num>
  <w:num w:numId="24">
    <w:abstractNumId w:val="2"/>
  </w:num>
  <w:num w:numId="25">
    <w:abstractNumId w:val="6"/>
  </w:num>
  <w:num w:numId="26">
    <w:abstractNumId w:val="30"/>
  </w:num>
  <w:num w:numId="27">
    <w:abstractNumId w:val="7"/>
  </w:num>
  <w:num w:numId="28">
    <w:abstractNumId w:val="35"/>
  </w:num>
  <w:num w:numId="29">
    <w:abstractNumId w:val="34"/>
  </w:num>
  <w:num w:numId="30">
    <w:abstractNumId w:val="9"/>
  </w:num>
  <w:num w:numId="31">
    <w:abstractNumId w:val="24"/>
  </w:num>
  <w:num w:numId="32">
    <w:abstractNumId w:val="25"/>
  </w:num>
  <w:num w:numId="33">
    <w:abstractNumId w:val="1"/>
  </w:num>
  <w:num w:numId="34">
    <w:abstractNumId w:val="1"/>
  </w:num>
  <w:num w:numId="35">
    <w:abstractNumId w:val="1"/>
  </w:num>
  <w:num w:numId="36">
    <w:abstractNumId w:val="20"/>
  </w:num>
  <w:num w:numId="37">
    <w:abstractNumId w:val="5"/>
  </w:num>
  <w:num w:numId="38">
    <w:abstractNumId w:val="32"/>
  </w:num>
  <w:num w:numId="39">
    <w:abstractNumId w:val="18"/>
  </w:num>
  <w:num w:numId="40">
    <w:abstractNumId w:val="15"/>
  </w:num>
  <w:num w:numId="41">
    <w:abstractNumId w:val="21"/>
  </w:num>
  <w:num w:numId="42">
    <w:abstractNumId w:val="3"/>
  </w:num>
  <w:num w:numId="43">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19A"/>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3340A497-CB33-4EF4-8AA3-D997EA46BC04}">
  <ds:schemaRefs>
    <ds:schemaRef ds:uri="http://schemas.openxmlformats.org/officeDocument/2006/bibliography"/>
  </ds:schemaRefs>
</ds:datastoreItem>
</file>

<file path=customXml/itemProps6.xml><?xml version="1.0" encoding="utf-8"?>
<ds:datastoreItem xmlns:ds="http://schemas.openxmlformats.org/officeDocument/2006/customXml" ds:itemID="{A0EF1EA5-C869-4FB1-8C5E-B0A27CF43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796</Words>
  <Characters>4540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5326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28</cp:revision>
  <cp:lastPrinted>2017-11-16T14:00:00Z</cp:lastPrinted>
  <dcterms:created xsi:type="dcterms:W3CDTF">2019-02-14T13:43:00Z</dcterms:created>
  <dcterms:modified xsi:type="dcterms:W3CDTF">2019-04-02T14:00:00Z</dcterms:modified>
</cp:coreProperties>
</file>