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49491" w14:textId="575F7FA9" w:rsidR="00020E9F" w:rsidRPr="00EB5DEC" w:rsidRDefault="00020E9F" w:rsidP="00020E9F">
      <w:pPr>
        <w:widowControl w:val="0"/>
        <w:tabs>
          <w:tab w:val="center" w:pos="4536"/>
          <w:tab w:val="right" w:pos="9072"/>
        </w:tabs>
        <w:overflowPunct/>
        <w:autoSpaceDE/>
        <w:adjustRightInd/>
        <w:spacing w:after="0"/>
        <w:rPr>
          <w:rFonts w:ascii="Arial" w:hAnsi="Arial" w:cs="Arial"/>
          <w:b/>
          <w:bCs/>
          <w:sz w:val="24"/>
          <w:lang w:val="de-DE"/>
        </w:rPr>
      </w:pPr>
      <w:bookmarkStart w:id="0" w:name="_Ref494465620"/>
      <w:bookmarkStart w:id="1" w:name="_GoBack"/>
      <w:bookmarkEnd w:id="1"/>
      <w:r w:rsidRPr="00EB5DEC">
        <w:rPr>
          <w:rFonts w:ascii="Arial" w:hAnsi="Arial" w:cs="Arial"/>
          <w:b/>
          <w:bCs/>
          <w:sz w:val="24"/>
          <w:lang w:val="de-DE"/>
        </w:rPr>
        <w:t>3GPP TSG RAN WG1 #96</w:t>
      </w:r>
      <w:r w:rsidR="00EB5DEC" w:rsidRPr="00EB5DEC">
        <w:rPr>
          <w:rFonts w:ascii="Arial" w:hAnsi="Arial" w:cs="Arial"/>
          <w:b/>
          <w:bCs/>
          <w:sz w:val="24"/>
          <w:lang w:val="de-DE"/>
        </w:rPr>
        <w:t>bis</w:t>
      </w:r>
      <w:r w:rsidRPr="00EB5DEC">
        <w:rPr>
          <w:rFonts w:ascii="Arial" w:hAnsi="Arial" w:cs="Arial"/>
          <w:b/>
          <w:bCs/>
          <w:sz w:val="24"/>
          <w:lang w:val="de-DE"/>
        </w:rPr>
        <w:t xml:space="preserve">                 </w:t>
      </w:r>
      <w:r w:rsidRPr="00EB5DEC">
        <w:rPr>
          <w:rFonts w:ascii="Arial" w:hAnsi="Arial" w:cs="Arial" w:hint="eastAsia"/>
          <w:b/>
          <w:bCs/>
          <w:sz w:val="24"/>
          <w:lang w:val="de-DE"/>
        </w:rPr>
        <w:t xml:space="preserve">                                       </w:t>
      </w:r>
      <w:r w:rsidRPr="00EB5DEC">
        <w:rPr>
          <w:rFonts w:ascii="Arial" w:hAnsi="Arial" w:cs="Arial"/>
          <w:b/>
          <w:bCs/>
          <w:sz w:val="24"/>
          <w:lang w:val="de-DE"/>
        </w:rPr>
        <w:t xml:space="preserve">                         R1-19</w:t>
      </w:r>
      <w:r w:rsidR="00997871">
        <w:rPr>
          <w:rFonts w:ascii="Arial" w:hAnsi="Arial" w:cs="Arial"/>
          <w:b/>
          <w:bCs/>
          <w:sz w:val="24"/>
          <w:lang w:val="de-DE"/>
        </w:rPr>
        <w:t>04328</w:t>
      </w:r>
    </w:p>
    <w:p w14:paraId="1874D932" w14:textId="52C2B709" w:rsidR="00741BC0" w:rsidRDefault="00EB5DEC" w:rsidP="00020E9F">
      <w:pPr>
        <w:widowControl w:val="0"/>
        <w:tabs>
          <w:tab w:val="center" w:pos="4536"/>
          <w:tab w:val="right" w:pos="9072"/>
        </w:tabs>
        <w:overflowPunct/>
        <w:autoSpaceDE/>
        <w:adjustRightInd/>
        <w:spacing w:after="0"/>
        <w:rPr>
          <w:rFonts w:cs="Arial"/>
          <w:b/>
          <w:i/>
          <w:kern w:val="2"/>
          <w:lang w:val="en-US"/>
        </w:rPr>
      </w:pPr>
      <w:r w:rsidRPr="00EB5DEC">
        <w:rPr>
          <w:rFonts w:ascii="Arial" w:hAnsi="Arial" w:cs="Arial"/>
          <w:b/>
          <w:bCs/>
          <w:sz w:val="24"/>
          <w:lang w:val="en-US"/>
        </w:rPr>
        <w:t>Xi’an, China, 8th – 12th April, 2019</w:t>
      </w:r>
      <w:r w:rsidR="00741BC0">
        <w:rPr>
          <w:rFonts w:cs="Arial"/>
          <w:i/>
          <w:color w:val="FF0000"/>
          <w:kern w:val="2"/>
          <w:lang w:val="en-US"/>
        </w:rPr>
        <w:t xml:space="preserve">                                         </w:t>
      </w:r>
      <w:r w:rsidR="00741BC0">
        <w:rPr>
          <w:rFonts w:cs="Arial"/>
          <w:i/>
          <w:color w:val="FF0000"/>
          <w:kern w:val="2"/>
          <w:lang w:val="en-US"/>
        </w:rPr>
        <w:tab/>
      </w:r>
    </w:p>
    <w:p w14:paraId="55BD1F24" w14:textId="77777777" w:rsidR="00741BC0" w:rsidRPr="00802686"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536088F6" w14:textId="77777777" w:rsidR="00741BC0" w:rsidRPr="00802686" w:rsidRDefault="00741BC0" w:rsidP="00741BC0">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97319E3" w14:textId="1E0D7042" w:rsidR="00741BC0" w:rsidRDefault="00741BC0" w:rsidP="00741BC0">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Design</w:t>
      </w:r>
      <w:r w:rsidR="00FF5184">
        <w:rPr>
          <w:rFonts w:ascii="Arial" w:hAnsi="Arial" w:cs="Arial"/>
          <w:b/>
          <w:sz w:val="24"/>
          <w:lang w:val="en-US"/>
        </w:rPr>
        <w:t xml:space="preserve"> </w:t>
      </w:r>
      <w:r>
        <w:rPr>
          <w:rFonts w:ascii="Arial" w:hAnsi="Arial" w:cs="Arial"/>
          <w:b/>
          <w:sz w:val="24"/>
          <w:lang w:val="en-US"/>
        </w:rPr>
        <w:t xml:space="preserve">of </w:t>
      </w:r>
      <w:r w:rsidR="00FF5184">
        <w:rPr>
          <w:rFonts w:ascii="Arial" w:hAnsi="Arial" w:cs="Arial"/>
          <w:b/>
          <w:sz w:val="24"/>
          <w:lang w:val="en-US"/>
        </w:rPr>
        <w:t xml:space="preserve">NR </w:t>
      </w:r>
      <w:r>
        <w:rPr>
          <w:rFonts w:ascii="Arial" w:hAnsi="Arial" w:cs="Arial"/>
          <w:b/>
          <w:sz w:val="24"/>
          <w:lang w:val="en-US"/>
        </w:rPr>
        <w:t xml:space="preserve">V2X </w:t>
      </w:r>
      <w:r w:rsidR="00FF5184">
        <w:rPr>
          <w:rFonts w:ascii="Arial" w:hAnsi="Arial" w:cs="Arial"/>
          <w:b/>
          <w:sz w:val="24"/>
          <w:lang w:val="en-US"/>
        </w:rPr>
        <w:t>Physical Layer Structure</w:t>
      </w:r>
      <w:r w:rsidR="00B5708F">
        <w:rPr>
          <w:rFonts w:ascii="Arial" w:hAnsi="Arial" w:cs="Arial"/>
          <w:b/>
          <w:sz w:val="24"/>
          <w:lang w:val="en-US"/>
        </w:rPr>
        <w:t>s</w:t>
      </w:r>
    </w:p>
    <w:p w14:paraId="0FB4EF1C" w14:textId="7B4D9800" w:rsidR="00741BC0" w:rsidRPr="009F5E15" w:rsidRDefault="00741BC0" w:rsidP="00741BC0">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810F9">
        <w:rPr>
          <w:rFonts w:ascii="Arial" w:hAnsi="Arial" w:cs="Arial"/>
          <w:b/>
          <w:sz w:val="24"/>
          <w:lang w:val="en-US"/>
        </w:rPr>
        <w:t>7.2.4.1</w:t>
      </w:r>
    </w:p>
    <w:p w14:paraId="2B45D040" w14:textId="5010264C" w:rsidR="00741BC0" w:rsidRPr="009F5E15" w:rsidRDefault="00741BC0" w:rsidP="00741BC0">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C62C20">
        <w:rPr>
          <w:rFonts w:ascii="Arial" w:hAnsi="Arial" w:cs="Arial"/>
          <w:b/>
          <w:sz w:val="24"/>
          <w:lang w:val="en-US"/>
        </w:rPr>
        <w:t xml:space="preserve"> </w:t>
      </w:r>
      <w:r w:rsidR="00C62C20">
        <w:rPr>
          <w:rFonts w:ascii="Arial" w:hAnsi="Arial" w:cs="Arial"/>
          <w:b/>
          <w:sz w:val="24"/>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2E8436B7" w14:textId="5481F30E"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[1] in RAN#8</w:t>
      </w:r>
      <w:r w:rsidR="000B5905">
        <w:t>3</w:t>
      </w:r>
      <w:r>
        <w:t xml:space="preserve"> and the objectives were identified in relation to physical layer structures:</w:t>
      </w:r>
    </w:p>
    <w:tbl>
      <w:tblPr>
        <w:tblStyle w:val="TableGrid"/>
        <w:tblW w:w="0" w:type="auto"/>
        <w:tblInd w:w="108" w:type="dxa"/>
        <w:tblLook w:val="04A0" w:firstRow="1" w:lastRow="0" w:firstColumn="1" w:lastColumn="0" w:noHBand="0" w:noVBand="1"/>
      </w:tblPr>
      <w:tblGrid>
        <w:gridCol w:w="9787"/>
      </w:tblGrid>
      <w:tr w:rsidR="00741BC0" w14:paraId="329628FB" w14:textId="77777777" w:rsidTr="00395DA5">
        <w:tc>
          <w:tcPr>
            <w:tcW w:w="9787" w:type="dxa"/>
          </w:tcPr>
          <w:p w14:paraId="14F095EA" w14:textId="77777777" w:rsidR="003769DB" w:rsidRPr="003769DB" w:rsidRDefault="003769DB" w:rsidP="003769DB">
            <w:pPr>
              <w:rPr>
                <w:sz w:val="22"/>
                <w:szCs w:val="22"/>
                <w:lang w:eastAsia="ko-KR"/>
              </w:rPr>
            </w:pPr>
            <w:r w:rsidRPr="003769DB">
              <w:rPr>
                <w:rFonts w:hint="eastAsia"/>
                <w:sz w:val="22"/>
                <w:szCs w:val="22"/>
                <w:lang w:eastAsia="ko-KR"/>
              </w:rPr>
              <w:t xml:space="preserve">The objective of this work item is to specify radio solutions </w:t>
            </w:r>
            <w:r w:rsidRPr="003769DB">
              <w:rPr>
                <w:sz w:val="22"/>
                <w:szCs w:val="22"/>
                <w:lang w:eastAsia="ko-KR"/>
              </w:rPr>
              <w:t>that are necessary for NR to support advanced V2X services (except the remote driving use case which was studied in TR 38.824) based on the study outcome captured in TR 38.885.</w:t>
            </w:r>
          </w:p>
          <w:p w14:paraId="6CB3EF12" w14:textId="77777777" w:rsidR="003769DB" w:rsidRPr="003769DB" w:rsidRDefault="003769DB" w:rsidP="003769DB">
            <w:pPr>
              <w:rPr>
                <w:sz w:val="22"/>
                <w:szCs w:val="22"/>
                <w:lang w:eastAsia="ko-KR"/>
              </w:rPr>
            </w:pPr>
            <w:r w:rsidRPr="003769DB">
              <w:rPr>
                <w:rFonts w:hint="eastAsia"/>
                <w:sz w:val="22"/>
                <w:szCs w:val="22"/>
                <w:lang w:eastAsia="ko-KR"/>
              </w:rPr>
              <w:t xml:space="preserve">1. </w:t>
            </w:r>
            <w:r w:rsidRPr="003769DB">
              <w:rPr>
                <w:sz w:val="22"/>
                <w:szCs w:val="22"/>
                <w:lang w:eastAsia="ko-KR"/>
              </w:rPr>
              <w:t xml:space="preserve">NR sidelink: </w:t>
            </w:r>
            <w:r w:rsidRPr="003769DB">
              <w:rPr>
                <w:rFonts w:hint="eastAsia"/>
                <w:sz w:val="22"/>
                <w:szCs w:val="22"/>
                <w:lang w:eastAsia="ko-KR"/>
              </w:rPr>
              <w:t>Spe</w:t>
            </w:r>
            <w:r w:rsidRPr="003769DB">
              <w:rPr>
                <w:sz w:val="22"/>
                <w:szCs w:val="22"/>
                <w:lang w:eastAsia="ko-KR"/>
              </w:rPr>
              <w:t xml:space="preserve">cify NR sidelink solutions necessary to support sidelink unicast, sidelink groupcast, and sidelink broadcast for V2X services, considering </w:t>
            </w:r>
            <w:r w:rsidRPr="003769DB">
              <w:rPr>
                <w:bCs/>
                <w:sz w:val="22"/>
                <w:szCs w:val="22"/>
              </w:rPr>
              <w:t>in-network coverage, out-of-network coverage, and partial network coverage</w:t>
            </w:r>
            <w:r w:rsidRPr="003769DB">
              <w:rPr>
                <w:sz w:val="22"/>
                <w:szCs w:val="22"/>
                <w:lang w:eastAsia="ko-KR"/>
              </w:rPr>
              <w:t>.</w:t>
            </w:r>
          </w:p>
          <w:p w14:paraId="28D5F148" w14:textId="24985BBF" w:rsidR="00741BC0" w:rsidRPr="003769DB" w:rsidRDefault="003769DB" w:rsidP="003769DB">
            <w:pPr>
              <w:numPr>
                <w:ilvl w:val="0"/>
                <w:numId w:val="38"/>
              </w:numPr>
              <w:rPr>
                <w:b/>
                <w:sz w:val="22"/>
                <w:szCs w:val="22"/>
                <w:lang w:eastAsia="ko-KR"/>
              </w:rPr>
            </w:pPr>
            <w:r w:rsidRPr="003769DB">
              <w:rPr>
                <w:b/>
                <w:sz w:val="22"/>
                <w:szCs w:val="22"/>
                <w:lang w:eastAsia="ko-KR"/>
              </w:rPr>
              <w:t>Support of sidelink signals, channels, bandwidth part, and resource pools [RAN1, RAN2]</w:t>
            </w:r>
          </w:p>
        </w:tc>
      </w:tr>
    </w:tbl>
    <w:p w14:paraId="45AEE625" w14:textId="77777777" w:rsidR="00741BC0" w:rsidRDefault="00741BC0" w:rsidP="00741BC0">
      <w:pPr>
        <w:pStyle w:val="3GPPNormalText"/>
      </w:pPr>
    </w:p>
    <w:p w14:paraId="735B5D5F" w14:textId="4C5722D9" w:rsidR="001C185A" w:rsidRPr="00A67DD8" w:rsidRDefault="000B5905" w:rsidP="0040380E">
      <w:pPr>
        <w:pStyle w:val="3GPPNormalText"/>
        <w:rPr>
          <w:lang w:val="en-GB"/>
        </w:rPr>
      </w:pPr>
      <w:r>
        <w:rPr>
          <w:lang w:val="en-GB"/>
        </w:rPr>
        <w:t>In this contribution, we propose different solutions for the SL resource pool designs, with particular focus on the control channel design.</w:t>
      </w:r>
    </w:p>
    <w:p w14:paraId="3E568109" w14:textId="3B68CFCF" w:rsidR="00D46450" w:rsidRPr="001A1FC3" w:rsidRDefault="00D46450" w:rsidP="00D46450">
      <w:pPr>
        <w:pStyle w:val="Heading1"/>
        <w:rPr>
          <w:lang w:val="en-US"/>
        </w:rPr>
      </w:pPr>
      <w:bookmarkStart w:id="2" w:name="OLE_LINK15"/>
      <w:bookmarkStart w:id="3" w:name="OLE_LINK16"/>
      <w:r w:rsidRPr="001A1FC3">
        <w:rPr>
          <w:lang w:val="en-US"/>
        </w:rPr>
        <w:t xml:space="preserve">Resource Pools Defined in </w:t>
      </w:r>
      <w:r w:rsidR="007322C7" w:rsidRPr="001A1FC3">
        <w:rPr>
          <w:lang w:val="en-US"/>
        </w:rPr>
        <w:t>SL</w:t>
      </w:r>
      <w:r w:rsidRPr="001A1FC3">
        <w:rPr>
          <w:lang w:val="en-US"/>
        </w:rPr>
        <w:t xml:space="preserve"> BWP</w:t>
      </w:r>
    </w:p>
    <w:p w14:paraId="17A11428" w14:textId="1C7A75F0" w:rsidR="00007D00" w:rsidRDefault="00007D00" w:rsidP="00DF1FE7">
      <w:pPr>
        <w:jc w:val="both"/>
        <w:rPr>
          <w:sz w:val="22"/>
          <w:szCs w:val="22"/>
          <w:lang w:val="en-US"/>
        </w:rPr>
      </w:pPr>
      <w:r>
        <w:rPr>
          <w:sz w:val="22"/>
          <w:szCs w:val="22"/>
          <w:lang w:val="en-US"/>
        </w:rPr>
        <w:t xml:space="preserve">This section delves into the </w:t>
      </w:r>
      <w:r w:rsidR="005C303F">
        <w:rPr>
          <w:sz w:val="22"/>
          <w:szCs w:val="22"/>
          <w:lang w:val="en-US"/>
        </w:rPr>
        <w:t>introduction of resource pools within the</w:t>
      </w:r>
      <w:r w:rsidR="00FF2229">
        <w:rPr>
          <w:sz w:val="22"/>
          <w:szCs w:val="22"/>
          <w:lang w:val="en-US"/>
        </w:rPr>
        <w:t xml:space="preserve"> SL</w:t>
      </w:r>
      <w:r w:rsidR="005C303F">
        <w:rPr>
          <w:sz w:val="22"/>
          <w:szCs w:val="22"/>
          <w:lang w:val="en-US"/>
        </w:rPr>
        <w:t xml:space="preserve"> BWP, along with the possible designs, definitions and configuration options of the resource pools.</w:t>
      </w:r>
    </w:p>
    <w:p w14:paraId="198F0CDD" w14:textId="5F707A06" w:rsidR="005C303F" w:rsidRDefault="005C303F" w:rsidP="005C303F">
      <w:pPr>
        <w:pStyle w:val="Heading2"/>
        <w:tabs>
          <w:tab w:val="clear" w:pos="1002"/>
          <w:tab w:val="num" w:pos="540"/>
        </w:tabs>
        <w:ind w:left="540"/>
      </w:pPr>
      <w:r>
        <w:t xml:space="preserve">Configuration of Resource Pools </w:t>
      </w:r>
      <w:r w:rsidR="002C1081">
        <w:t xml:space="preserve">in </w:t>
      </w:r>
      <w:r w:rsidR="007322C7">
        <w:t xml:space="preserve">SL </w:t>
      </w:r>
      <w:r>
        <w:t>BWPs</w:t>
      </w:r>
    </w:p>
    <w:p w14:paraId="1FED34F5" w14:textId="77777777" w:rsidR="005C303F" w:rsidRDefault="005C303F" w:rsidP="002C1081">
      <w:pPr>
        <w:jc w:val="both"/>
        <w:rPr>
          <w:sz w:val="22"/>
          <w:szCs w:val="22"/>
        </w:rPr>
      </w:pPr>
      <w:r>
        <w:rPr>
          <w:sz w:val="22"/>
          <w:szCs w:val="22"/>
        </w:rPr>
        <w:t xml:space="preserve">Resource pools can be configured within </w:t>
      </w:r>
      <w:r w:rsidR="00CA623B">
        <w:rPr>
          <w:sz w:val="22"/>
          <w:szCs w:val="22"/>
        </w:rPr>
        <w:t xml:space="preserve">a </w:t>
      </w:r>
      <w:r>
        <w:rPr>
          <w:sz w:val="22"/>
          <w:szCs w:val="22"/>
        </w:rPr>
        <w:t xml:space="preserve">BWP by </w:t>
      </w:r>
      <w:r w:rsidR="002C1081">
        <w:rPr>
          <w:sz w:val="22"/>
          <w:szCs w:val="22"/>
        </w:rPr>
        <w:t xml:space="preserve">the gNB, and the configuration information can be provided to the UEs when operating in Mode 1, in </w:t>
      </w:r>
      <w:r>
        <w:rPr>
          <w:sz w:val="22"/>
          <w:szCs w:val="22"/>
        </w:rPr>
        <w:t xml:space="preserve">either of the following </w:t>
      </w:r>
      <w:r w:rsidR="002C1081">
        <w:rPr>
          <w:sz w:val="22"/>
          <w:szCs w:val="22"/>
        </w:rPr>
        <w:t>methods</w:t>
      </w:r>
      <w:r>
        <w:rPr>
          <w:sz w:val="22"/>
          <w:szCs w:val="22"/>
        </w:rPr>
        <w:t>:</w:t>
      </w:r>
    </w:p>
    <w:p w14:paraId="6A155718" w14:textId="77777777" w:rsidR="005C303F" w:rsidRPr="005C303F" w:rsidRDefault="005C303F" w:rsidP="005C303F">
      <w:pPr>
        <w:pStyle w:val="3GPPNormalText"/>
        <w:numPr>
          <w:ilvl w:val="0"/>
          <w:numId w:val="31"/>
        </w:numPr>
      </w:pPr>
      <w:r w:rsidRPr="005C303F">
        <w:t>RRC configuration of the BWP with the resource pools defined within them, provided by the gNB to the UEs</w:t>
      </w:r>
      <w:r w:rsidR="00CA623B">
        <w:t>, or</w:t>
      </w:r>
    </w:p>
    <w:p w14:paraId="4FBB277B" w14:textId="12C940EF" w:rsidR="005C303F" w:rsidRPr="005C303F" w:rsidRDefault="005C303F" w:rsidP="005C303F">
      <w:pPr>
        <w:pStyle w:val="3GPPNormalText"/>
        <w:numPr>
          <w:ilvl w:val="0"/>
          <w:numId w:val="31"/>
        </w:numPr>
        <w:rPr>
          <w:lang w:val="en-GB"/>
        </w:rPr>
      </w:pPr>
      <w:r w:rsidRPr="005C303F">
        <w:t xml:space="preserve">RRC configuration of the BWP, provided by the gNB to the UEs, after which the gNB, based on prevalent traffic and QoS conditions, provides the UEs with the configuration of the resource pools within the BWP via </w:t>
      </w:r>
      <w:r w:rsidR="006C63D8">
        <w:t>RRC</w:t>
      </w:r>
      <w:r w:rsidR="006C63D8" w:rsidRPr="005C303F">
        <w:t xml:space="preserve"> </w:t>
      </w:r>
      <w:r w:rsidRPr="005C303F">
        <w:t>signaling</w:t>
      </w:r>
      <w:r w:rsidR="00AB115C">
        <w:t xml:space="preserve"> or DCI messages</w:t>
      </w:r>
      <w:r w:rsidRPr="005C303F">
        <w:t>.</w:t>
      </w:r>
    </w:p>
    <w:p w14:paraId="59E68BE0" w14:textId="68304336" w:rsidR="005C303F" w:rsidRDefault="002C1081" w:rsidP="005C303F">
      <w:pPr>
        <w:pStyle w:val="3GPPNormalText"/>
        <w:rPr>
          <w:szCs w:val="22"/>
        </w:rPr>
      </w:pPr>
      <w:r>
        <w:rPr>
          <w:szCs w:val="22"/>
        </w:rPr>
        <w:t xml:space="preserve">When the UEs operate in Mode 2, the gNB can also provide </w:t>
      </w:r>
      <w:r w:rsidR="00950803">
        <w:rPr>
          <w:szCs w:val="22"/>
        </w:rPr>
        <w:t>cell-specific BWP configurations</w:t>
      </w:r>
      <w:r w:rsidR="00023D9B">
        <w:rPr>
          <w:szCs w:val="22"/>
        </w:rPr>
        <w:t xml:space="preserve"> or </w:t>
      </w:r>
      <w:r>
        <w:rPr>
          <w:szCs w:val="22"/>
        </w:rPr>
        <w:t>pre-configured BWPs with resource pools</w:t>
      </w:r>
      <w:r w:rsidR="00FF2229">
        <w:rPr>
          <w:szCs w:val="22"/>
        </w:rPr>
        <w:t xml:space="preserve"> defined</w:t>
      </w:r>
      <w:r>
        <w:rPr>
          <w:szCs w:val="22"/>
        </w:rPr>
        <w:t xml:space="preserve"> within them.</w:t>
      </w:r>
    </w:p>
    <w:p w14:paraId="5D6D9D8D" w14:textId="7D06753B" w:rsidR="002C1081" w:rsidRDefault="002C1081" w:rsidP="002C1081">
      <w:pPr>
        <w:pStyle w:val="3GPPNormalText"/>
        <w:rPr>
          <w:b/>
        </w:rPr>
      </w:pPr>
      <w:r w:rsidRPr="00E6311E">
        <w:rPr>
          <w:b/>
        </w:rPr>
        <w:t>O</w:t>
      </w:r>
      <w:r>
        <w:rPr>
          <w:b/>
        </w:rPr>
        <w:t xml:space="preserve">bservation </w:t>
      </w:r>
      <w:r w:rsidR="001C185A">
        <w:rPr>
          <w:b/>
        </w:rPr>
        <w:t>1</w:t>
      </w:r>
      <w:r w:rsidRPr="00E6311E">
        <w:rPr>
          <w:b/>
        </w:rPr>
        <w:t xml:space="preserve">: </w:t>
      </w:r>
      <w:r w:rsidR="00023D9B">
        <w:rPr>
          <w:b/>
        </w:rPr>
        <w:t xml:space="preserve">The configuration of resource pools within a BWP can </w:t>
      </w:r>
      <w:r w:rsidR="006A70B4">
        <w:rPr>
          <w:b/>
        </w:rPr>
        <w:t xml:space="preserve">be </w:t>
      </w:r>
      <w:r w:rsidR="00023D9B">
        <w:rPr>
          <w:b/>
        </w:rPr>
        <w:t>provided via RRC configurations by the gNB.</w:t>
      </w:r>
    </w:p>
    <w:p w14:paraId="5141FF44" w14:textId="77777777" w:rsidR="002C1081" w:rsidRPr="005C303F" w:rsidRDefault="002C1081" w:rsidP="005C303F">
      <w:pPr>
        <w:pStyle w:val="3GPPNormalText"/>
      </w:pPr>
    </w:p>
    <w:p w14:paraId="6BEAB3C2" w14:textId="48D9E9E3" w:rsidR="00D46450" w:rsidRDefault="00D46450" w:rsidP="009D312F">
      <w:pPr>
        <w:pStyle w:val="Heading2"/>
        <w:tabs>
          <w:tab w:val="clear" w:pos="1002"/>
          <w:tab w:val="num" w:pos="720"/>
        </w:tabs>
        <w:ind w:left="540"/>
      </w:pPr>
      <w:r>
        <w:lastRenderedPageBreak/>
        <w:t xml:space="preserve">Criteria for Segregation of </w:t>
      </w:r>
      <w:r w:rsidR="00FF2229">
        <w:t xml:space="preserve">SL </w:t>
      </w:r>
      <w:r>
        <w:t>BWP into Multiple Resource Pools</w:t>
      </w:r>
    </w:p>
    <w:p w14:paraId="25FF1470" w14:textId="1AFBA97D" w:rsidR="002C1081" w:rsidRDefault="002C1081" w:rsidP="00DF1FE7">
      <w:pPr>
        <w:jc w:val="both"/>
        <w:rPr>
          <w:sz w:val="22"/>
          <w:szCs w:val="22"/>
        </w:rPr>
      </w:pPr>
      <w:r>
        <w:rPr>
          <w:sz w:val="22"/>
          <w:szCs w:val="22"/>
        </w:rPr>
        <w:t>The definition of multiple resource pools within a</w:t>
      </w:r>
      <w:r w:rsidR="00FF2229">
        <w:rPr>
          <w:sz w:val="22"/>
          <w:szCs w:val="22"/>
        </w:rPr>
        <w:t>n SL</w:t>
      </w:r>
      <w:r>
        <w:rPr>
          <w:sz w:val="22"/>
          <w:szCs w:val="22"/>
        </w:rPr>
        <w:t xml:space="preserve"> BWP opens up the possibility of assigning individual resource pools </w:t>
      </w:r>
      <w:r w:rsidR="00710530">
        <w:rPr>
          <w:sz w:val="22"/>
          <w:szCs w:val="22"/>
        </w:rPr>
        <w:t xml:space="preserve">for </w:t>
      </w:r>
      <w:r>
        <w:rPr>
          <w:sz w:val="22"/>
          <w:szCs w:val="22"/>
        </w:rPr>
        <w:t xml:space="preserve">different purposes, thereby segregating the BWP. This would result in less competition among UEs </w:t>
      </w:r>
      <w:r w:rsidR="00FF2229">
        <w:rPr>
          <w:sz w:val="22"/>
          <w:szCs w:val="22"/>
        </w:rPr>
        <w:t>requiring</w:t>
      </w:r>
      <w:r>
        <w:rPr>
          <w:sz w:val="22"/>
          <w:szCs w:val="22"/>
        </w:rPr>
        <w:t xml:space="preserve"> resources that meet certain criteria.</w:t>
      </w:r>
    </w:p>
    <w:p w14:paraId="45BFC303" w14:textId="43A1E57F" w:rsidR="002C1081" w:rsidRDefault="002C1081" w:rsidP="00D46450">
      <w:pPr>
        <w:rPr>
          <w:sz w:val="22"/>
          <w:szCs w:val="22"/>
        </w:rPr>
      </w:pPr>
      <w:r>
        <w:rPr>
          <w:sz w:val="22"/>
          <w:szCs w:val="22"/>
        </w:rPr>
        <w:t>The different criteria under which the BWP could be segregated into resource pools are listed below:</w:t>
      </w:r>
    </w:p>
    <w:p w14:paraId="68A91803" w14:textId="77777777" w:rsidR="00861125" w:rsidRDefault="002C1081" w:rsidP="009D312F">
      <w:pPr>
        <w:pStyle w:val="3GPPNormalText"/>
        <w:numPr>
          <w:ilvl w:val="0"/>
          <w:numId w:val="33"/>
        </w:numPr>
        <w:ind w:left="360"/>
      </w:pPr>
      <w:r w:rsidRPr="00151D7E">
        <w:rPr>
          <w:b/>
        </w:rPr>
        <w:t xml:space="preserve">Communication </w:t>
      </w:r>
      <w:r w:rsidR="005D1142" w:rsidRPr="00151D7E">
        <w:rPr>
          <w:b/>
        </w:rPr>
        <w:t>T</w:t>
      </w:r>
      <w:r w:rsidRPr="00151D7E">
        <w:rPr>
          <w:b/>
        </w:rPr>
        <w:t>ypes</w:t>
      </w:r>
      <w:r w:rsidRPr="00145B16">
        <w:t xml:space="preserve"> – </w:t>
      </w:r>
      <w:r w:rsidR="005D1142">
        <w:t>B</w:t>
      </w:r>
      <w:r w:rsidRPr="00145B16">
        <w:t xml:space="preserve">roadcast, </w:t>
      </w:r>
      <w:r w:rsidR="005D1142">
        <w:t>G</w:t>
      </w:r>
      <w:r w:rsidRPr="00145B16">
        <w:t xml:space="preserve">roupcast and </w:t>
      </w:r>
      <w:r w:rsidR="005D1142">
        <w:t>U</w:t>
      </w:r>
      <w:r w:rsidRPr="00145B16">
        <w:t>nicast</w:t>
      </w:r>
    </w:p>
    <w:p w14:paraId="4443CFFD" w14:textId="0F6EB85F" w:rsidR="00FF2229" w:rsidRDefault="00861125" w:rsidP="009D312F">
      <w:pPr>
        <w:pStyle w:val="3GPPNormalText"/>
        <w:ind w:left="360"/>
      </w:pPr>
      <w:r>
        <w:t>E</w:t>
      </w:r>
      <w:r w:rsidRPr="00861125">
        <w:t xml:space="preserve">ach of the communication types have different reliability and latency requirements that have to be adhered to. </w:t>
      </w:r>
      <w:r w:rsidR="00116187">
        <w:t xml:space="preserve">Hence, </w:t>
      </w:r>
      <w:r w:rsidR="00D055AC">
        <w:t>the definition</w:t>
      </w:r>
      <w:r>
        <w:t xml:space="preserve"> of resource pools for each communication type would ensure that there is no contention for resources across </w:t>
      </w:r>
      <w:r w:rsidR="00F00172">
        <w:t xml:space="preserve">different </w:t>
      </w:r>
      <w:r>
        <w:t xml:space="preserve">communication types and </w:t>
      </w:r>
      <w:r w:rsidRPr="00861125">
        <w:t>would enable the efficient segregation of resources based on the requirements to be met</w:t>
      </w:r>
      <w:r>
        <w:t xml:space="preserve">. </w:t>
      </w:r>
    </w:p>
    <w:p w14:paraId="3A0B27B2" w14:textId="240FFB41" w:rsidR="002C1081" w:rsidRPr="00145B16" w:rsidRDefault="00F15DDA" w:rsidP="009D312F">
      <w:pPr>
        <w:pStyle w:val="3GPPNormalText"/>
        <w:ind w:left="360"/>
      </w:pPr>
      <w:r>
        <w:t>Due to the introduct</w:t>
      </w:r>
      <w:r w:rsidR="00D44690">
        <w:t>ion of the feedback channel (PS</w:t>
      </w:r>
      <w:r>
        <w:t>F</w:t>
      </w:r>
      <w:r w:rsidR="00D44690">
        <w:t>C</w:t>
      </w:r>
      <w:r>
        <w:t>H), t</w:t>
      </w:r>
      <w:r w:rsidR="00512401">
        <w:t>he design for the broadcast resource pool would vary from that of the unicast and groupcast resource pools.</w:t>
      </w:r>
      <w:r>
        <w:t xml:space="preserve"> Hence providing configurations of resource pools with and without feedback channel incorporated would be an advantageous design choice.</w:t>
      </w:r>
    </w:p>
    <w:p w14:paraId="58FEB420" w14:textId="650656AF" w:rsidR="00861125" w:rsidRDefault="005D1142" w:rsidP="009D312F">
      <w:pPr>
        <w:pStyle w:val="3GPPNormalText"/>
        <w:numPr>
          <w:ilvl w:val="0"/>
          <w:numId w:val="33"/>
        </w:numPr>
        <w:ind w:left="360"/>
      </w:pPr>
      <w:r w:rsidRPr="00151D7E">
        <w:rPr>
          <w:b/>
        </w:rPr>
        <w:t>Traffic T</w:t>
      </w:r>
      <w:r w:rsidR="002C1081" w:rsidRPr="00151D7E">
        <w:rPr>
          <w:b/>
        </w:rPr>
        <w:t>ypes</w:t>
      </w:r>
      <w:r w:rsidR="002C1081" w:rsidRPr="00145B16">
        <w:t xml:space="preserve"> – </w:t>
      </w:r>
      <w:r>
        <w:t>P</w:t>
      </w:r>
      <w:r w:rsidR="002C1081" w:rsidRPr="00145B16">
        <w:t xml:space="preserve">eriodic and </w:t>
      </w:r>
      <w:r>
        <w:t>A</w:t>
      </w:r>
      <w:r w:rsidR="002C1081" w:rsidRPr="00145B16">
        <w:t>periodic</w:t>
      </w:r>
    </w:p>
    <w:p w14:paraId="3E510F02" w14:textId="75A74230" w:rsidR="002C1081" w:rsidRPr="00145B16" w:rsidRDefault="00861125" w:rsidP="009D312F">
      <w:pPr>
        <w:pStyle w:val="3GPPNormalText"/>
        <w:ind w:left="360"/>
      </w:pPr>
      <w:r>
        <w:t>S</w:t>
      </w:r>
      <w:r w:rsidRPr="00861125">
        <w:t>egregation based o</w:t>
      </w:r>
      <w:r>
        <w:t>n traffic types, periodic (SPS transmissions</w:t>
      </w:r>
      <w:r w:rsidRPr="00861125">
        <w:t>) and aperiodic traffic (</w:t>
      </w:r>
      <w:r>
        <w:t>one-shot transmissions)</w:t>
      </w:r>
      <w:r w:rsidR="00F15DDA">
        <w:t xml:space="preserve"> would</w:t>
      </w:r>
      <w:r>
        <w:t xml:space="preserve"> enable</w:t>
      </w:r>
      <w:r w:rsidRPr="00861125">
        <w:t xml:space="preserve"> </w:t>
      </w:r>
      <w:r w:rsidR="009E3471">
        <w:t xml:space="preserve">the </w:t>
      </w:r>
      <w:r>
        <w:t xml:space="preserve">employing </w:t>
      </w:r>
      <w:r w:rsidR="009E3471">
        <w:t xml:space="preserve">of </w:t>
      </w:r>
      <w:r w:rsidRPr="00861125">
        <w:t xml:space="preserve">different </w:t>
      </w:r>
      <w:r>
        <w:t>sensing mechanisms</w:t>
      </w:r>
      <w:r w:rsidRPr="00861125">
        <w:t xml:space="preserve"> in these resource pools.</w:t>
      </w:r>
    </w:p>
    <w:p w14:paraId="324B91EE" w14:textId="77777777" w:rsidR="009E3471" w:rsidRDefault="00145B16" w:rsidP="009D312F">
      <w:pPr>
        <w:pStyle w:val="3GPPNormalText"/>
        <w:numPr>
          <w:ilvl w:val="0"/>
          <w:numId w:val="33"/>
        </w:numPr>
        <w:ind w:left="360"/>
      </w:pPr>
      <w:r w:rsidRPr="00151D7E">
        <w:rPr>
          <w:b/>
        </w:rPr>
        <w:t xml:space="preserve">Operation </w:t>
      </w:r>
      <w:r w:rsidR="005D1142" w:rsidRPr="00151D7E">
        <w:rPr>
          <w:b/>
        </w:rPr>
        <w:t>M</w:t>
      </w:r>
      <w:r w:rsidRPr="00151D7E">
        <w:rPr>
          <w:b/>
        </w:rPr>
        <w:t>odes</w:t>
      </w:r>
      <w:r w:rsidRPr="00145B16">
        <w:t xml:space="preserve"> – Mode 1 and Mode 2</w:t>
      </w:r>
    </w:p>
    <w:p w14:paraId="35668D4B" w14:textId="7B9A8BBC" w:rsidR="001C185A" w:rsidRPr="00145B16" w:rsidRDefault="009E3471" w:rsidP="009D312F">
      <w:pPr>
        <w:pStyle w:val="3GPPNormalText"/>
        <w:ind w:left="360"/>
      </w:pPr>
      <w:r>
        <w:t>S</w:t>
      </w:r>
      <w:r w:rsidRPr="009E3471">
        <w:t>egregation of the BWP based on the operation modes would enable different procedures to be followed in these resource pools.</w:t>
      </w:r>
      <w:r>
        <w:t xml:space="preserve"> This can be particularly advantageous for the requirement where </w:t>
      </w:r>
      <w:r w:rsidRPr="009E3471">
        <w:t>UE</w:t>
      </w:r>
      <w:r>
        <w:t>s</w:t>
      </w:r>
      <w:r w:rsidRPr="009E3471">
        <w:t xml:space="preserve"> can simultaneously operate in both modes, for traffic being generated by different applications.</w:t>
      </w:r>
    </w:p>
    <w:p w14:paraId="7589A979" w14:textId="77777777" w:rsidR="009E3471" w:rsidRPr="00151D7E" w:rsidRDefault="009E3471" w:rsidP="009D312F">
      <w:pPr>
        <w:pStyle w:val="3GPPNormalText"/>
        <w:numPr>
          <w:ilvl w:val="0"/>
          <w:numId w:val="33"/>
        </w:numPr>
        <w:ind w:left="360"/>
        <w:rPr>
          <w:b/>
        </w:rPr>
      </w:pPr>
      <w:r w:rsidRPr="00151D7E">
        <w:rPr>
          <w:b/>
        </w:rPr>
        <w:t>UE</w:t>
      </w:r>
      <w:r w:rsidR="005D1142" w:rsidRPr="00151D7E">
        <w:rPr>
          <w:b/>
        </w:rPr>
        <w:t xml:space="preserve"> L</w:t>
      </w:r>
      <w:r w:rsidR="00145B16" w:rsidRPr="00151D7E">
        <w:rPr>
          <w:b/>
        </w:rPr>
        <w:t>ocations</w:t>
      </w:r>
    </w:p>
    <w:p w14:paraId="3D378D74" w14:textId="4DCCCA85" w:rsidR="00145B16" w:rsidRPr="00145B16" w:rsidRDefault="009E3471" w:rsidP="009D312F">
      <w:pPr>
        <w:pStyle w:val="3GPPNormalText"/>
        <w:ind w:left="360"/>
      </w:pPr>
      <w:r>
        <w:t>This is similar to LTE</w:t>
      </w:r>
      <w:r w:rsidR="000813A9">
        <w:t xml:space="preserve"> V2X</w:t>
      </w:r>
      <w:r>
        <w:t xml:space="preserve">, where </w:t>
      </w:r>
      <w:r>
        <w:rPr>
          <w:lang w:val="en-GB"/>
        </w:rPr>
        <w:t>resource pool segregation is based on the location of UEs</w:t>
      </w:r>
      <w:r w:rsidR="00FD5F38">
        <w:rPr>
          <w:lang w:val="en-GB"/>
        </w:rPr>
        <w:t>.</w:t>
      </w:r>
      <w:r w:rsidR="000813A9">
        <w:rPr>
          <w:lang w:val="en-GB"/>
        </w:rPr>
        <w:t xml:space="preserve"> </w:t>
      </w:r>
    </w:p>
    <w:p w14:paraId="15FD35BA" w14:textId="54385C6A" w:rsidR="00A02296" w:rsidRDefault="008F7F19" w:rsidP="00767ED3">
      <w:pPr>
        <w:jc w:val="both"/>
        <w:rPr>
          <w:b/>
          <w:sz w:val="22"/>
          <w:szCs w:val="22"/>
        </w:rPr>
      </w:pPr>
      <w:r w:rsidRPr="008F7F19">
        <w:rPr>
          <w:b/>
          <w:sz w:val="22"/>
          <w:szCs w:val="22"/>
        </w:rPr>
        <w:t>Proposal</w:t>
      </w:r>
      <w:r>
        <w:rPr>
          <w:b/>
          <w:sz w:val="22"/>
          <w:szCs w:val="22"/>
        </w:rPr>
        <w:t xml:space="preserve"> </w:t>
      </w:r>
      <w:r w:rsidR="001C185A">
        <w:rPr>
          <w:b/>
          <w:sz w:val="22"/>
          <w:szCs w:val="22"/>
        </w:rPr>
        <w:t>1</w:t>
      </w:r>
      <w:r w:rsidRPr="008F7F19">
        <w:rPr>
          <w:b/>
          <w:sz w:val="22"/>
          <w:szCs w:val="22"/>
        </w:rPr>
        <w:t>:</w:t>
      </w:r>
      <w:r w:rsidR="00023D9B">
        <w:rPr>
          <w:b/>
          <w:sz w:val="22"/>
          <w:szCs w:val="22"/>
        </w:rPr>
        <w:t xml:space="preserve"> We propose </w:t>
      </w:r>
      <w:r w:rsidR="00F15DDA">
        <w:rPr>
          <w:b/>
          <w:sz w:val="22"/>
          <w:szCs w:val="22"/>
        </w:rPr>
        <w:t>to configure multiple</w:t>
      </w:r>
      <w:r w:rsidR="00023D9B">
        <w:rPr>
          <w:b/>
          <w:sz w:val="22"/>
          <w:szCs w:val="22"/>
        </w:rPr>
        <w:t xml:space="preserve"> resource pools</w:t>
      </w:r>
      <w:r w:rsidR="000B5905">
        <w:rPr>
          <w:b/>
          <w:sz w:val="22"/>
          <w:szCs w:val="22"/>
        </w:rPr>
        <w:t xml:space="preserve"> </w:t>
      </w:r>
      <w:r w:rsidR="00F15DDA">
        <w:rPr>
          <w:b/>
          <w:sz w:val="22"/>
          <w:szCs w:val="22"/>
        </w:rPr>
        <w:t xml:space="preserve">within an SL BWP </w:t>
      </w:r>
      <w:r w:rsidR="00023D9B">
        <w:rPr>
          <w:b/>
          <w:sz w:val="22"/>
          <w:szCs w:val="22"/>
        </w:rPr>
        <w:t>base</w:t>
      </w:r>
      <w:r w:rsidR="00BF22DF">
        <w:rPr>
          <w:b/>
          <w:sz w:val="22"/>
          <w:szCs w:val="22"/>
        </w:rPr>
        <w:t>d on different defined criteria</w:t>
      </w:r>
      <w:r w:rsidR="00023D9B">
        <w:rPr>
          <w:b/>
          <w:sz w:val="22"/>
          <w:szCs w:val="22"/>
        </w:rPr>
        <w:t>.</w:t>
      </w:r>
      <w:r w:rsidR="00F15DDA">
        <w:rPr>
          <w:b/>
          <w:sz w:val="22"/>
          <w:szCs w:val="22"/>
        </w:rPr>
        <w:t xml:space="preserve"> FFS which criteria (or a combination of criteria) are to be selected.</w:t>
      </w:r>
    </w:p>
    <w:p w14:paraId="113E2C19" w14:textId="77777777" w:rsidR="009D312F" w:rsidRPr="00A02296" w:rsidRDefault="009D312F" w:rsidP="00767ED3">
      <w:pPr>
        <w:jc w:val="both"/>
        <w:rPr>
          <w:i/>
          <w:sz w:val="22"/>
          <w:szCs w:val="22"/>
        </w:rPr>
      </w:pPr>
    </w:p>
    <w:p w14:paraId="2E02DE3D" w14:textId="77777777" w:rsidR="00741BC0" w:rsidRDefault="00D8661A" w:rsidP="00741BC0">
      <w:pPr>
        <w:pStyle w:val="Heading1"/>
        <w:rPr>
          <w:lang w:val="en-US"/>
        </w:rPr>
      </w:pPr>
      <w:r>
        <w:rPr>
          <w:lang w:val="en-US"/>
        </w:rPr>
        <w:t>Control-Data</w:t>
      </w:r>
      <w:r w:rsidR="008F7F19">
        <w:rPr>
          <w:lang w:val="en-US"/>
        </w:rPr>
        <w:t xml:space="preserve"> Multiplexing</w:t>
      </w:r>
    </w:p>
    <w:p w14:paraId="3F149071" w14:textId="41A5CE74" w:rsidR="00D8661A" w:rsidRPr="00D8661A" w:rsidRDefault="00D8661A" w:rsidP="00D8661A">
      <w:pPr>
        <w:jc w:val="both"/>
        <w:rPr>
          <w:sz w:val="22"/>
          <w:szCs w:val="22"/>
          <w:lang w:val="en-US"/>
        </w:rPr>
      </w:pPr>
      <w:r>
        <w:rPr>
          <w:sz w:val="22"/>
          <w:szCs w:val="22"/>
          <w:lang w:val="en-US"/>
        </w:rPr>
        <w:t>Based on the agreement that at least option 3</w:t>
      </w:r>
      <w:r w:rsidR="00235C79">
        <w:rPr>
          <w:sz w:val="22"/>
          <w:szCs w:val="22"/>
          <w:lang w:val="en-US"/>
        </w:rPr>
        <w:t xml:space="preserve"> for physical channel multiplexing</w:t>
      </w:r>
      <w:r w:rsidR="006839EE">
        <w:rPr>
          <w:sz w:val="22"/>
          <w:szCs w:val="22"/>
          <w:lang w:val="en-US"/>
        </w:rPr>
        <w:t xml:space="preserve"> is to be supported in NR V2X</w:t>
      </w:r>
      <w:r>
        <w:rPr>
          <w:sz w:val="22"/>
          <w:szCs w:val="22"/>
          <w:lang w:val="en-US"/>
        </w:rPr>
        <w:t>, where the control and data channel are multiplexed in a TDM manner, this section explores the possible designs of incorporating a dual control channel.</w:t>
      </w:r>
    </w:p>
    <w:p w14:paraId="12F6276E" w14:textId="77777777" w:rsidR="008F7F19" w:rsidRPr="00C06C3E" w:rsidRDefault="008F7F19" w:rsidP="008F7F19">
      <w:pPr>
        <w:pStyle w:val="Heading2"/>
        <w:tabs>
          <w:tab w:val="clear" w:pos="1002"/>
          <w:tab w:val="num" w:pos="540"/>
        </w:tabs>
        <w:ind w:left="540"/>
      </w:pPr>
      <w:r w:rsidRPr="00C06C3E">
        <w:t xml:space="preserve">2-stage SCI </w:t>
      </w:r>
      <w:r w:rsidR="00D8661A" w:rsidRPr="00C06C3E">
        <w:t>Dual Control Channel Design</w:t>
      </w:r>
    </w:p>
    <w:p w14:paraId="08535B6A" w14:textId="77777777" w:rsidR="008F7F19" w:rsidRDefault="00D8661A" w:rsidP="008F7F19">
      <w:pPr>
        <w:pStyle w:val="3GPPNormalText"/>
      </w:pPr>
      <w:r>
        <w:t xml:space="preserve">The decision to have the control channel TDMed with the data channel was based on the understanding that </w:t>
      </w:r>
      <w:r w:rsidR="0096509F">
        <w:t>UEs would be able to decode the PSCCH first and determine as to whether the data following it was meant for the said UE or not. This would result in an increase in the operational efficiency of the UE.</w:t>
      </w:r>
    </w:p>
    <w:p w14:paraId="2C2E9F64" w14:textId="1B281C3F" w:rsidR="0096509F" w:rsidRDefault="0096509F" w:rsidP="008F7F19">
      <w:pPr>
        <w:pStyle w:val="3GPPNormalText"/>
      </w:pPr>
      <w:r>
        <w:t>With the possibility of pre-emptive resource reservation for high priority transmissions by a UE, other UEs should be capable of decoding the reservation information in advance in order to ensure that the resource requested by the high priority transmission is not being used.</w:t>
      </w:r>
      <w:r w:rsidR="001F2E33">
        <w:t xml:space="preserve"> Other UEs having scheduled low priority transmissions will in turn vacate the resource requested.</w:t>
      </w:r>
      <w:r>
        <w:t xml:space="preserve"> </w:t>
      </w:r>
      <w:r w:rsidR="00C06C3E">
        <w:t xml:space="preserve">The pre-emption of resources would require </w:t>
      </w:r>
      <w:r>
        <w:t>control messages without any data linked to it, but instead point to other control messages.</w:t>
      </w:r>
      <w:r w:rsidR="008302AF">
        <w:t xml:space="preserve"> It is also important to note </w:t>
      </w:r>
      <w:r w:rsidR="008302AF">
        <w:lastRenderedPageBreak/>
        <w:t>that the pre-emption control message is decodable by all UEs, in order to decode and understand which resources are reserved in the future time slots.</w:t>
      </w:r>
    </w:p>
    <w:p w14:paraId="0583E140" w14:textId="4DF64F31" w:rsidR="00AB7223" w:rsidRDefault="0096509F" w:rsidP="008F7F19">
      <w:pPr>
        <w:pStyle w:val="3GPPNormalText"/>
      </w:pPr>
      <w:r>
        <w:t xml:space="preserve">With this motivation, we propose a common control channel or PSCCCH, where these control messages can be transmitted. </w:t>
      </w:r>
      <w:r w:rsidR="00AB7223">
        <w:t>The PSCCCH can be designed to be either FDMed with the proposed resource pool design, or incorporated with the existing PSCCH in a TDM manner.</w:t>
      </w:r>
    </w:p>
    <w:p w14:paraId="0387D452" w14:textId="7962B04E" w:rsidR="00512401" w:rsidRDefault="00AB7223" w:rsidP="00767ED3">
      <w:pPr>
        <w:pStyle w:val="3GPPNormalText"/>
      </w:pPr>
      <w:r>
        <w:t xml:space="preserve">In the FDM design, the PSCCCH can be a set of RBs </w:t>
      </w:r>
      <w:r w:rsidRPr="00ED7669">
        <w:t>or a subchannel</w:t>
      </w:r>
      <w:r>
        <w:t xml:space="preserve"> spanning the duration of the resource pool. The subchannel can be smaller than the defined subchannels in </w:t>
      </w:r>
      <w:r w:rsidR="00512401">
        <w:t>the resource pool, because the PSCCCH would not need many resources to transmit the pre-emption messages.</w:t>
      </w:r>
      <w:r w:rsidR="00837AD1">
        <w:t xml:space="preserve"> In t</w:t>
      </w:r>
      <w:r w:rsidR="00512401">
        <w:t>he TDM design</w:t>
      </w:r>
      <w:r w:rsidR="00837AD1">
        <w:t xml:space="preserve">, </w:t>
      </w:r>
      <w:r w:rsidR="0096509F">
        <w:t>the</w:t>
      </w:r>
      <w:r w:rsidR="00512401">
        <w:t xml:space="preserve"> PSCCCH</w:t>
      </w:r>
      <w:r w:rsidR="0096509F">
        <w:t xml:space="preserve"> are TDMed with the PSCCH by occupying symbols in the beginning of the time slot. In the absence of such messages, the UE can utilize these symbols for normal PSCCH transmission. </w:t>
      </w:r>
    </w:p>
    <w:p w14:paraId="635ED565" w14:textId="275B2FAA" w:rsidR="008302AF" w:rsidRPr="00825356" w:rsidRDefault="008302AF" w:rsidP="00767ED3">
      <w:pPr>
        <w:pStyle w:val="3GPPNormalText"/>
        <w:rPr>
          <w:b/>
        </w:rPr>
      </w:pPr>
      <w:r>
        <w:rPr>
          <w:b/>
        </w:rPr>
        <w:t xml:space="preserve">Observation 2: </w:t>
      </w:r>
      <w:r w:rsidR="00DF7C16">
        <w:rPr>
          <w:b/>
          <w:szCs w:val="22"/>
        </w:rPr>
        <w:t>A common control channel will facilitate the pre-emptive reservation of resources for high priority transmissions.</w:t>
      </w:r>
    </w:p>
    <w:p w14:paraId="73BE77A7" w14:textId="2D8345B8" w:rsidR="00736032" w:rsidRPr="0040380E" w:rsidRDefault="00512401" w:rsidP="00767ED3">
      <w:pPr>
        <w:jc w:val="both"/>
        <w:rPr>
          <w:i/>
          <w:sz w:val="22"/>
          <w:szCs w:val="22"/>
          <w:lang w:val="en-US"/>
        </w:rPr>
      </w:pPr>
      <w:r>
        <w:rPr>
          <w:b/>
          <w:sz w:val="22"/>
          <w:szCs w:val="22"/>
          <w:lang w:val="en-US"/>
        </w:rPr>
        <w:t xml:space="preserve">Proposal </w:t>
      </w:r>
      <w:r w:rsidR="00C06C3E">
        <w:rPr>
          <w:b/>
          <w:sz w:val="22"/>
          <w:szCs w:val="22"/>
          <w:lang w:val="en-US"/>
        </w:rPr>
        <w:t>2</w:t>
      </w:r>
      <w:r w:rsidRPr="005454B7">
        <w:rPr>
          <w:b/>
          <w:sz w:val="22"/>
          <w:szCs w:val="22"/>
          <w:lang w:val="en-US"/>
        </w:rPr>
        <w:t xml:space="preserve">: </w:t>
      </w:r>
      <w:r>
        <w:rPr>
          <w:b/>
          <w:sz w:val="22"/>
          <w:szCs w:val="22"/>
          <w:lang w:val="en-US"/>
        </w:rPr>
        <w:t xml:space="preserve">We propose to </w:t>
      </w:r>
      <w:r w:rsidR="00C06C3E">
        <w:rPr>
          <w:b/>
          <w:sz w:val="22"/>
          <w:szCs w:val="22"/>
          <w:lang w:val="en-US"/>
        </w:rPr>
        <w:t>support</w:t>
      </w:r>
      <w:r>
        <w:rPr>
          <w:b/>
          <w:sz w:val="22"/>
          <w:szCs w:val="22"/>
          <w:lang w:val="en-US"/>
        </w:rPr>
        <w:t xml:space="preserve"> the configuration of a common control channel, which is either FDMed with the resource pool or TDMed with the PSCCH in the resource pool.</w:t>
      </w:r>
      <w:r w:rsidR="00C06C3E">
        <w:rPr>
          <w:b/>
          <w:sz w:val="22"/>
          <w:szCs w:val="22"/>
          <w:lang w:val="en-US"/>
        </w:rPr>
        <w:t xml:space="preserve"> </w:t>
      </w:r>
    </w:p>
    <w:p w14:paraId="6D012851" w14:textId="77777777" w:rsidR="00741BC0" w:rsidRPr="00767ED3" w:rsidRDefault="00741BC0" w:rsidP="00741BC0">
      <w:pPr>
        <w:pStyle w:val="Heading2"/>
        <w:tabs>
          <w:tab w:val="clear" w:pos="1002"/>
          <w:tab w:val="num" w:pos="540"/>
        </w:tabs>
        <w:ind w:left="540"/>
      </w:pPr>
      <w:r w:rsidRPr="00767ED3">
        <w:t xml:space="preserve">In- and Out-of-Coverage Dual Control </w:t>
      </w:r>
      <w:r w:rsidR="00D8661A" w:rsidRPr="00767ED3">
        <w:t xml:space="preserve">Channel </w:t>
      </w:r>
      <w:r w:rsidRPr="00767ED3">
        <w:t>Design</w:t>
      </w:r>
    </w:p>
    <w:p w14:paraId="6074A5EF" w14:textId="1796BDEF" w:rsidR="00741BC0" w:rsidRDefault="00741BC0" w:rsidP="00741BC0">
      <w:pPr>
        <w:jc w:val="both"/>
        <w:rPr>
          <w:sz w:val="22"/>
          <w:szCs w:val="22"/>
        </w:rPr>
      </w:pPr>
      <w:r>
        <w:rPr>
          <w:sz w:val="22"/>
          <w:szCs w:val="22"/>
        </w:rPr>
        <w:t>Given that both Mode 1 and Mode 2 NR UEs have to coexist and it is feasible to assume that sharing of resources among the operational modes would result in an optimized resource allocation solution, we propose a dual control channel design, where the SCIs for UEs operating in Mode 1 would be transmitted and received in a separate control channel, and the SCIs for UEs operating in Mode 2 would use another adjacent control channel. These control channels are TDMed to each other, as with the data, and would span one or two symbols across time within the time sl</w:t>
      </w:r>
      <w:r w:rsidR="00232972">
        <w:rPr>
          <w:sz w:val="22"/>
          <w:szCs w:val="22"/>
        </w:rPr>
        <w:t>ot.</w:t>
      </w:r>
    </w:p>
    <w:p w14:paraId="760E9B10" w14:textId="5A12A003" w:rsidR="004D4AC7" w:rsidRDefault="00741BC0" w:rsidP="00741BC0">
      <w:pPr>
        <w:jc w:val="both"/>
        <w:rPr>
          <w:sz w:val="22"/>
          <w:szCs w:val="22"/>
        </w:rPr>
      </w:pPr>
      <w:r>
        <w:rPr>
          <w:sz w:val="22"/>
          <w:szCs w:val="22"/>
        </w:rPr>
        <w:t>Both the control channels are read by both modes of UEs, with the Mode 1 UEs being able to use the Mode 2 control region to transmit data only if it has sent out an SCI claiming the following data symbols in the given subchannel.</w:t>
      </w:r>
    </w:p>
    <w:p w14:paraId="75755F14" w14:textId="359FD553" w:rsidR="000453C5" w:rsidRDefault="00741BC0" w:rsidP="00741BC0">
      <w:pPr>
        <w:jc w:val="both"/>
        <w:rPr>
          <w:noProof/>
          <w:lang w:val="en-US"/>
        </w:rPr>
      </w:pPr>
      <w:r>
        <w:rPr>
          <w:sz w:val="22"/>
          <w:szCs w:val="22"/>
        </w:rPr>
        <w:t>The primary advantage of this design is that when a Mode 2 UE senses the Mode 1 control region and finds it to be vacant or empty, it can be guaranteed that no Mode 1 UE would use the data symbols following it. The only competition the Mode 2 UEs would have is with other Mode 2 UEs which also sense the availability of the resource at the same time. This is made possible with the Mode 2 UEs sensing only the Mode 1 control region, reducing the sensing burden of the UEs as well.</w:t>
      </w:r>
      <w:r w:rsidR="000453C5" w:rsidRPr="000453C5">
        <w:rPr>
          <w:noProof/>
          <w:lang w:val="en-US"/>
        </w:rPr>
        <w:t xml:space="preserve"> </w:t>
      </w:r>
    </w:p>
    <w:p w14:paraId="1DA8095A" w14:textId="64B4CE9E" w:rsidR="00741BC0" w:rsidRDefault="0096509F" w:rsidP="00741BC0">
      <w:pPr>
        <w:jc w:val="both"/>
        <w:rPr>
          <w:b/>
          <w:sz w:val="22"/>
          <w:szCs w:val="22"/>
        </w:rPr>
      </w:pPr>
      <w:r>
        <w:rPr>
          <w:b/>
          <w:sz w:val="22"/>
          <w:szCs w:val="22"/>
        </w:rPr>
        <w:t xml:space="preserve">Proposal </w:t>
      </w:r>
      <w:r w:rsidR="004B7B26">
        <w:rPr>
          <w:b/>
          <w:sz w:val="22"/>
          <w:szCs w:val="22"/>
        </w:rPr>
        <w:t>3</w:t>
      </w:r>
      <w:r w:rsidR="00741BC0">
        <w:rPr>
          <w:b/>
          <w:sz w:val="22"/>
          <w:szCs w:val="22"/>
        </w:rPr>
        <w:t xml:space="preserve">: We </w:t>
      </w:r>
      <w:r w:rsidR="004B7B26">
        <w:rPr>
          <w:b/>
          <w:sz w:val="22"/>
          <w:szCs w:val="22"/>
        </w:rPr>
        <w:t>propose to support</w:t>
      </w:r>
      <w:r w:rsidR="00741BC0">
        <w:rPr>
          <w:b/>
          <w:sz w:val="22"/>
          <w:szCs w:val="22"/>
        </w:rPr>
        <w:t xml:space="preserve"> the </w:t>
      </w:r>
      <w:r w:rsidR="00741BC0" w:rsidRPr="00DF7C16">
        <w:rPr>
          <w:b/>
          <w:sz w:val="22"/>
          <w:szCs w:val="22"/>
        </w:rPr>
        <w:t>in- and out-of-coverage</w:t>
      </w:r>
      <w:r w:rsidR="00741BC0">
        <w:rPr>
          <w:b/>
          <w:sz w:val="22"/>
          <w:szCs w:val="22"/>
        </w:rPr>
        <w:t xml:space="preserve"> dual control design </w:t>
      </w:r>
      <w:r w:rsidR="004B7B26">
        <w:rPr>
          <w:b/>
          <w:sz w:val="22"/>
          <w:szCs w:val="22"/>
        </w:rPr>
        <w:t>in order to mitigate the impact of collisions in resource allocation between Mode 1 and Mode 2 UEs.</w:t>
      </w:r>
    </w:p>
    <w:p w14:paraId="07676CAD" w14:textId="77777777" w:rsidR="00197472" w:rsidRDefault="00197472" w:rsidP="00741BC0">
      <w:pPr>
        <w:jc w:val="both"/>
        <w:rPr>
          <w:b/>
          <w:sz w:val="22"/>
          <w:szCs w:val="22"/>
        </w:rPr>
      </w:pPr>
    </w:p>
    <w:p w14:paraId="527B86C7" w14:textId="511EA42A" w:rsidR="00E836C0" w:rsidRPr="004B7B26" w:rsidRDefault="004B7B26" w:rsidP="004B7B26">
      <w:pPr>
        <w:pStyle w:val="Heading1"/>
      </w:pPr>
      <w:r>
        <w:t>Procedures for P</w:t>
      </w:r>
      <w:r w:rsidRPr="004B7B26">
        <w:t xml:space="preserve">re-emptive </w:t>
      </w:r>
      <w:r>
        <w:t>R</w:t>
      </w:r>
      <w:r w:rsidRPr="004B7B26">
        <w:t xml:space="preserve">eservation of </w:t>
      </w:r>
      <w:r>
        <w:t>R</w:t>
      </w:r>
      <w:r w:rsidRPr="004B7B26">
        <w:t>esources</w:t>
      </w:r>
    </w:p>
    <w:p w14:paraId="592155B9" w14:textId="77777777" w:rsidR="004B7B26" w:rsidRPr="004B7B26" w:rsidRDefault="004B7B26" w:rsidP="004B7B26">
      <w:pPr>
        <w:jc w:val="both"/>
        <w:rPr>
          <w:sz w:val="22"/>
          <w:szCs w:val="22"/>
        </w:rPr>
      </w:pPr>
      <w:r w:rsidRPr="004B7B26">
        <w:rPr>
          <w:sz w:val="22"/>
          <w:szCs w:val="22"/>
        </w:rPr>
        <w:t>When a UE reserves resources in a future time slot, it essentially requires another UE intending to use the resources in the future time slot to refrain from its transmission. However, this can cause conflicts in transmissions, as described below:</w:t>
      </w:r>
    </w:p>
    <w:p w14:paraId="5AB769FB" w14:textId="36223659" w:rsidR="0030460D" w:rsidRPr="00197472" w:rsidRDefault="000332BD" w:rsidP="00825356">
      <w:pPr>
        <w:pStyle w:val="ListParagraph"/>
        <w:numPr>
          <w:ilvl w:val="0"/>
          <w:numId w:val="41"/>
        </w:numPr>
        <w:jc w:val="both"/>
        <w:rPr>
          <w:rFonts w:ascii="Times New Roman" w:hAnsi="Times New Roman"/>
        </w:rPr>
      </w:pPr>
      <w:r w:rsidRPr="00197472">
        <w:rPr>
          <w:rFonts w:ascii="Times New Roman" w:hAnsi="Times New Roman"/>
        </w:rPr>
        <w:t xml:space="preserve">A UE intending to use a scheduled resource within a </w:t>
      </w:r>
      <w:r w:rsidR="0030460D" w:rsidRPr="00197472">
        <w:rPr>
          <w:rFonts w:ascii="Times New Roman" w:hAnsi="Times New Roman"/>
        </w:rPr>
        <w:t xml:space="preserve">future </w:t>
      </w:r>
      <w:r w:rsidRPr="00197472">
        <w:rPr>
          <w:rFonts w:ascii="Times New Roman" w:hAnsi="Times New Roman"/>
        </w:rPr>
        <w:t xml:space="preserve">time slot in an SPS manner to transmit high priority transmissions, clashes with another UE </w:t>
      </w:r>
      <w:r w:rsidR="0030460D" w:rsidRPr="00197472">
        <w:rPr>
          <w:rFonts w:ascii="Times New Roman" w:hAnsi="Times New Roman"/>
        </w:rPr>
        <w:t>that has pre-emptively reserved the same resource for a high priority transmission as well.</w:t>
      </w:r>
    </w:p>
    <w:p w14:paraId="019BD5C0" w14:textId="0136513A" w:rsidR="004B7B26" w:rsidRPr="00B24435" w:rsidRDefault="004B7B26" w:rsidP="00825356">
      <w:pPr>
        <w:pStyle w:val="ListParagraph"/>
        <w:numPr>
          <w:ilvl w:val="0"/>
          <w:numId w:val="33"/>
        </w:numPr>
        <w:ind w:left="360"/>
        <w:jc w:val="both"/>
      </w:pPr>
      <w:r w:rsidRPr="00825356">
        <w:rPr>
          <w:rFonts w:ascii="Times New Roman" w:hAnsi="Times New Roman"/>
        </w:rPr>
        <w:t>More than one UE reserves the same resources within the same future time slot for high priority transmissions.</w:t>
      </w:r>
    </w:p>
    <w:p w14:paraId="5263D1FC" w14:textId="440395FE" w:rsidR="004B7B26" w:rsidRDefault="005A336A" w:rsidP="004B7B26">
      <w:pPr>
        <w:jc w:val="both"/>
        <w:rPr>
          <w:sz w:val="22"/>
          <w:szCs w:val="22"/>
        </w:rPr>
      </w:pPr>
      <w:r>
        <w:rPr>
          <w:sz w:val="22"/>
          <w:szCs w:val="22"/>
        </w:rPr>
        <w:lastRenderedPageBreak/>
        <w:t xml:space="preserve">It is possible, however, for the TX UE carrying out the pre-emptive reservation of resources to reserve more than one resource at the same intended time slot, but in different subchannels, where it is required to transmit. This would resolve the conflict where there is another TX UE that is already scheduled to </w:t>
      </w:r>
      <w:r w:rsidRPr="004B7B26">
        <w:rPr>
          <w:sz w:val="22"/>
          <w:szCs w:val="22"/>
        </w:rPr>
        <w:t>use one of the reserved resources with a high priority transmission</w:t>
      </w:r>
      <w:r>
        <w:rPr>
          <w:sz w:val="22"/>
          <w:szCs w:val="22"/>
        </w:rPr>
        <w:t xml:space="preserve">. The initial TX UE would simply carry out </w:t>
      </w:r>
      <w:r w:rsidRPr="004B7B26">
        <w:rPr>
          <w:sz w:val="22"/>
          <w:szCs w:val="22"/>
        </w:rPr>
        <w:t>short term sensing</w:t>
      </w:r>
      <w:r w:rsidR="006B604F">
        <w:rPr>
          <w:sz w:val="22"/>
          <w:szCs w:val="22"/>
        </w:rPr>
        <w:t xml:space="preserve"> [3, 4]</w:t>
      </w:r>
      <w:r w:rsidRPr="004B7B26">
        <w:rPr>
          <w:sz w:val="22"/>
          <w:szCs w:val="22"/>
        </w:rPr>
        <w:t xml:space="preserve"> (e.g. listen before talk with a random back-off counter) within </w:t>
      </w:r>
      <w:r>
        <w:rPr>
          <w:sz w:val="22"/>
          <w:szCs w:val="22"/>
        </w:rPr>
        <w:t xml:space="preserve">the time slot </w:t>
      </w:r>
      <w:r w:rsidRPr="004B7B26">
        <w:rPr>
          <w:sz w:val="22"/>
          <w:szCs w:val="22"/>
        </w:rPr>
        <w:t>in order to determine which resource it can use from among the resources reserved across the different subchannels.</w:t>
      </w:r>
    </w:p>
    <w:p w14:paraId="0B33176F" w14:textId="5414E66C" w:rsidR="005A336A" w:rsidRPr="004B7B26" w:rsidRDefault="005A336A" w:rsidP="004B7B26">
      <w:pPr>
        <w:jc w:val="both"/>
        <w:rPr>
          <w:sz w:val="22"/>
          <w:szCs w:val="22"/>
        </w:rPr>
      </w:pPr>
      <w:r>
        <w:rPr>
          <w:sz w:val="22"/>
          <w:szCs w:val="22"/>
        </w:rPr>
        <w:t>The use of short</w:t>
      </w:r>
      <w:r w:rsidR="00243400">
        <w:rPr>
          <w:sz w:val="22"/>
          <w:szCs w:val="22"/>
        </w:rPr>
        <w:t>-</w:t>
      </w:r>
      <w:r>
        <w:rPr>
          <w:sz w:val="22"/>
          <w:szCs w:val="22"/>
        </w:rPr>
        <w:t>term sensing to determine the exact resource to be used will also resolve the conflict where more than one TX UE reserves the same resources. Using a random back-off counter, b</w:t>
      </w:r>
      <w:r w:rsidRPr="004B7B26">
        <w:rPr>
          <w:sz w:val="22"/>
          <w:szCs w:val="22"/>
        </w:rPr>
        <w:t>oth</w:t>
      </w:r>
      <w:r>
        <w:rPr>
          <w:sz w:val="22"/>
          <w:szCs w:val="22"/>
        </w:rPr>
        <w:t xml:space="preserve"> TX</w:t>
      </w:r>
      <w:r w:rsidRPr="004B7B26">
        <w:rPr>
          <w:sz w:val="22"/>
          <w:szCs w:val="22"/>
        </w:rPr>
        <w:t xml:space="preserve"> UEs will have different back-off counters, enabling them to listen and check whether </w:t>
      </w:r>
      <w:r>
        <w:rPr>
          <w:sz w:val="22"/>
          <w:szCs w:val="22"/>
        </w:rPr>
        <w:t>the resource in question is available or not</w:t>
      </w:r>
      <w:r w:rsidRPr="004B7B26">
        <w:rPr>
          <w:sz w:val="22"/>
          <w:szCs w:val="22"/>
        </w:rPr>
        <w:t>.</w:t>
      </w:r>
    </w:p>
    <w:p w14:paraId="346ADA41" w14:textId="056A2C85" w:rsidR="005A336A" w:rsidRDefault="005A336A" w:rsidP="005A336A">
      <w:pPr>
        <w:jc w:val="both"/>
        <w:rPr>
          <w:b/>
          <w:sz w:val="22"/>
          <w:szCs w:val="22"/>
        </w:rPr>
      </w:pPr>
      <w:r>
        <w:rPr>
          <w:b/>
          <w:sz w:val="22"/>
          <w:szCs w:val="22"/>
        </w:rPr>
        <w:t>Proposal 4: We propose to define the following procedures for the implementation of the pre-emptive reservation of resources:</w:t>
      </w:r>
    </w:p>
    <w:p w14:paraId="553A8C68" w14:textId="612D0456" w:rsidR="005A336A" w:rsidRPr="00454E85" w:rsidRDefault="005A336A" w:rsidP="00454E85">
      <w:pPr>
        <w:pStyle w:val="ListParagraph"/>
        <w:numPr>
          <w:ilvl w:val="0"/>
          <w:numId w:val="33"/>
        </w:numPr>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sidR="00197472">
        <w:rPr>
          <w:rFonts w:ascii="Times New Roman" w:hAnsi="Times New Roman"/>
          <w:b/>
        </w:rPr>
        <w:t>.</w:t>
      </w:r>
    </w:p>
    <w:p w14:paraId="66BF6621" w14:textId="4254CD62" w:rsidR="005A336A" w:rsidRDefault="00454E85" w:rsidP="00454E85">
      <w:pPr>
        <w:pStyle w:val="ListParagraph"/>
        <w:numPr>
          <w:ilvl w:val="0"/>
          <w:numId w:val="33"/>
        </w:numPr>
        <w:ind w:left="360"/>
        <w:jc w:val="both"/>
        <w:rPr>
          <w:rFonts w:ascii="Times New Roman" w:hAnsi="Times New Roman"/>
          <w:b/>
        </w:rPr>
      </w:pPr>
      <w:r w:rsidRPr="00454E85">
        <w:rPr>
          <w:rFonts w:ascii="Times New Roman" w:hAnsi="Times New Roman"/>
          <w:b/>
        </w:rPr>
        <w:t>A UE will carry out short term sensing on the given time slot in order to select the available resource.</w:t>
      </w:r>
    </w:p>
    <w:p w14:paraId="4A57F747" w14:textId="77777777" w:rsidR="000332BD" w:rsidRPr="00825356" w:rsidRDefault="000332BD" w:rsidP="00825356">
      <w:pPr>
        <w:jc w:val="both"/>
        <w:rPr>
          <w:b/>
        </w:rPr>
      </w:pPr>
    </w:p>
    <w:p w14:paraId="59BA03CD" w14:textId="77777777" w:rsidR="00DF465E" w:rsidRDefault="00DF465E" w:rsidP="00DF465E">
      <w:pPr>
        <w:pStyle w:val="Heading1"/>
        <w:rPr>
          <w:lang w:val="en-US"/>
        </w:rPr>
      </w:pPr>
      <w:bookmarkStart w:id="4" w:name="OLE_LINK13"/>
      <w:bookmarkStart w:id="5" w:name="OLE_LINK14"/>
      <w:bookmarkEnd w:id="2"/>
      <w:bookmarkEnd w:id="3"/>
      <w:r>
        <w:rPr>
          <w:lang w:val="en-US"/>
        </w:rPr>
        <w:t>Slot Formats for NR Sidelink</w:t>
      </w:r>
    </w:p>
    <w:p w14:paraId="0823CD00" w14:textId="2201FBDC" w:rsidR="00DF465E" w:rsidRDefault="00DF465E" w:rsidP="00825356">
      <w:pPr>
        <w:jc w:val="both"/>
        <w:rPr>
          <w:sz w:val="22"/>
          <w:szCs w:val="22"/>
          <w:lang w:val="en-US"/>
        </w:rPr>
      </w:pPr>
      <w:r w:rsidRPr="00F139CD">
        <w:rPr>
          <w:sz w:val="22"/>
          <w:szCs w:val="22"/>
          <w:lang w:val="en-US"/>
        </w:rPr>
        <w:t>NR V2X based on NR sidelink may be deployed in dedicated carriers</w:t>
      </w:r>
      <w:r>
        <w:rPr>
          <w:sz w:val="22"/>
          <w:szCs w:val="22"/>
          <w:lang w:val="en-US"/>
        </w:rPr>
        <w:t xml:space="preserve"> (</w:t>
      </w:r>
      <w:r w:rsidRPr="00F139CD">
        <w:rPr>
          <w:sz w:val="22"/>
          <w:szCs w:val="22"/>
          <w:lang w:val="en-US"/>
        </w:rPr>
        <w:t>e.g. in ITS spectrum</w:t>
      </w:r>
      <w:r>
        <w:rPr>
          <w:sz w:val="22"/>
          <w:szCs w:val="22"/>
          <w:lang w:val="en-US"/>
        </w:rPr>
        <w:t xml:space="preserve">) </w:t>
      </w:r>
      <w:r w:rsidRPr="00F139CD">
        <w:rPr>
          <w:sz w:val="22"/>
          <w:szCs w:val="22"/>
          <w:lang w:val="en-US"/>
        </w:rPr>
        <w:t>or in shared carriers, i.e. V2X shared with cellular services</w:t>
      </w:r>
      <w:r w:rsidR="004D4958">
        <w:rPr>
          <w:sz w:val="22"/>
          <w:szCs w:val="22"/>
          <w:lang w:val="en-US"/>
        </w:rPr>
        <w:t xml:space="preserve"> </w:t>
      </w:r>
      <w:r w:rsidR="004D4958" w:rsidRPr="00F139CD">
        <w:rPr>
          <w:sz w:val="22"/>
          <w:szCs w:val="22"/>
          <w:lang w:val="en-US"/>
        </w:rPr>
        <w:t>[2]</w:t>
      </w:r>
      <w:r w:rsidRPr="00F139CD">
        <w:rPr>
          <w:sz w:val="22"/>
          <w:szCs w:val="22"/>
          <w:lang w:val="en-US"/>
        </w:rPr>
        <w:t xml:space="preserve">. </w:t>
      </w:r>
      <w:r>
        <w:rPr>
          <w:sz w:val="22"/>
          <w:szCs w:val="22"/>
          <w:lang w:val="en-US"/>
        </w:rPr>
        <w:t>For the case of dedicated carriers</w:t>
      </w:r>
      <w:r w:rsidR="008B399D">
        <w:rPr>
          <w:sz w:val="22"/>
          <w:szCs w:val="22"/>
          <w:lang w:val="en-US"/>
        </w:rPr>
        <w:t>,</w:t>
      </w:r>
      <w:r>
        <w:rPr>
          <w:sz w:val="22"/>
          <w:szCs w:val="22"/>
          <w:lang w:val="en-US"/>
        </w:rPr>
        <w:t xml:space="preserve"> </w:t>
      </w:r>
      <w:r w:rsidRPr="00DF465E">
        <w:rPr>
          <w:sz w:val="22"/>
          <w:szCs w:val="22"/>
          <w:lang w:val="en-US"/>
        </w:rPr>
        <w:t>all symbols in a slot are available for SL</w:t>
      </w:r>
      <w:r>
        <w:rPr>
          <w:sz w:val="22"/>
          <w:szCs w:val="22"/>
          <w:lang w:val="en-US"/>
        </w:rPr>
        <w:t xml:space="preserve">, whereas for the case of shared carriers only a subset of symbols in a slot </w:t>
      </w:r>
      <w:r w:rsidR="004D4958">
        <w:rPr>
          <w:sz w:val="22"/>
          <w:szCs w:val="22"/>
          <w:lang w:val="en-US"/>
        </w:rPr>
        <w:t xml:space="preserve">may be </w:t>
      </w:r>
      <w:r>
        <w:rPr>
          <w:sz w:val="22"/>
          <w:szCs w:val="22"/>
          <w:lang w:val="en-US"/>
        </w:rPr>
        <w:t xml:space="preserve">available for SL and </w:t>
      </w:r>
      <w:r w:rsidR="004D4958">
        <w:rPr>
          <w:sz w:val="22"/>
          <w:szCs w:val="22"/>
          <w:lang w:val="en-US"/>
        </w:rPr>
        <w:t>has</w:t>
      </w:r>
      <w:r>
        <w:rPr>
          <w:sz w:val="22"/>
          <w:szCs w:val="22"/>
          <w:lang w:val="en-US"/>
        </w:rPr>
        <w:t xml:space="preserve"> to be shared with slot symbols dedicated for DL or UL.</w:t>
      </w:r>
    </w:p>
    <w:p w14:paraId="333817BF" w14:textId="19640E9F" w:rsidR="004D4958" w:rsidRDefault="004D4958" w:rsidP="00825356">
      <w:pPr>
        <w:jc w:val="both"/>
      </w:pPr>
      <w:r>
        <w:rPr>
          <w:sz w:val="22"/>
          <w:szCs w:val="22"/>
        </w:rPr>
        <w:t>Both</w:t>
      </w:r>
      <w:r w:rsidRPr="00F139CD">
        <w:rPr>
          <w:sz w:val="22"/>
          <w:szCs w:val="22"/>
        </w:rPr>
        <w:t xml:space="preserve"> </w:t>
      </w:r>
      <w:r>
        <w:rPr>
          <w:sz w:val="22"/>
          <w:szCs w:val="22"/>
        </w:rPr>
        <w:t xml:space="preserve">dedicated and shared carrier deployments, therefore, </w:t>
      </w:r>
      <w:r w:rsidRPr="00F139CD">
        <w:rPr>
          <w:sz w:val="22"/>
          <w:szCs w:val="22"/>
        </w:rPr>
        <w:t>require definition of respective slot formats indicating which symbols in a slot are available for NR sidelink</w:t>
      </w:r>
      <w:r>
        <w:t xml:space="preserve">.  </w:t>
      </w:r>
    </w:p>
    <w:p w14:paraId="2F9DAE86" w14:textId="339D66B8" w:rsidR="00DF465E" w:rsidRDefault="00DF465E" w:rsidP="00825356">
      <w:pPr>
        <w:jc w:val="both"/>
        <w:rPr>
          <w:b/>
          <w:sz w:val="22"/>
          <w:szCs w:val="22"/>
          <w:lang w:val="en-US"/>
        </w:rPr>
      </w:pPr>
      <w:r w:rsidRPr="00F139CD">
        <w:rPr>
          <w:b/>
          <w:sz w:val="22"/>
          <w:szCs w:val="22"/>
          <w:lang w:val="en-US"/>
        </w:rPr>
        <w:t xml:space="preserve">Proposal 5: Define slot formats for NR sidelink </w:t>
      </w:r>
      <w:r w:rsidR="004D4958">
        <w:rPr>
          <w:b/>
          <w:sz w:val="22"/>
          <w:szCs w:val="22"/>
          <w:lang w:val="en-US"/>
        </w:rPr>
        <w:t xml:space="preserve">in dedicated and shared carrier </w:t>
      </w:r>
      <w:r w:rsidRPr="00F139CD">
        <w:rPr>
          <w:b/>
          <w:sz w:val="22"/>
          <w:szCs w:val="22"/>
          <w:lang w:val="en-US"/>
        </w:rPr>
        <w:t>with indication of which symbols in a slot are dedicated for sidelink</w:t>
      </w:r>
      <w:r w:rsidR="004D4958">
        <w:rPr>
          <w:b/>
          <w:sz w:val="22"/>
          <w:szCs w:val="22"/>
          <w:lang w:val="en-US"/>
        </w:rPr>
        <w:t>.</w:t>
      </w:r>
    </w:p>
    <w:p w14:paraId="473CBAD7" w14:textId="77777777" w:rsidR="00395DA5" w:rsidRDefault="00395DA5" w:rsidP="00825356">
      <w:pPr>
        <w:jc w:val="both"/>
        <w:rPr>
          <w:b/>
          <w:sz w:val="22"/>
          <w:szCs w:val="22"/>
          <w:lang w:val="en-US"/>
        </w:rPr>
      </w:pPr>
    </w:p>
    <w:p w14:paraId="4D728EFB" w14:textId="77777777" w:rsidR="00741BC0" w:rsidRDefault="00741BC0" w:rsidP="00741BC0">
      <w:pPr>
        <w:pStyle w:val="Heading1"/>
        <w:rPr>
          <w:lang w:val="en-US"/>
        </w:rPr>
      </w:pPr>
      <w:r>
        <w:rPr>
          <w:lang w:val="en-US"/>
        </w:rPr>
        <w:t>Conclusion</w:t>
      </w:r>
    </w:p>
    <w:p w14:paraId="3EE40AA0" w14:textId="77777777" w:rsidR="00741BC0" w:rsidRDefault="00741BC0" w:rsidP="00741BC0">
      <w:pPr>
        <w:jc w:val="both"/>
        <w:rPr>
          <w:sz w:val="22"/>
          <w:szCs w:val="22"/>
          <w:lang w:val="en-US"/>
        </w:rPr>
      </w:pPr>
      <w:r>
        <w:rPr>
          <w:sz w:val="22"/>
          <w:szCs w:val="22"/>
          <w:lang w:val="en-US"/>
        </w:rPr>
        <w:t>Based on our analysis carried out in this contribution, we have the following observations:</w:t>
      </w:r>
    </w:p>
    <w:p w14:paraId="53E3C76F" w14:textId="77777777" w:rsidR="0030460D" w:rsidRDefault="0030460D" w:rsidP="0030460D">
      <w:pPr>
        <w:pStyle w:val="3GPPNormalText"/>
        <w:rPr>
          <w:b/>
        </w:rPr>
      </w:pPr>
      <w:r w:rsidRPr="00E6311E">
        <w:rPr>
          <w:b/>
        </w:rPr>
        <w:t>O</w:t>
      </w:r>
      <w:r>
        <w:rPr>
          <w:b/>
        </w:rPr>
        <w:t>bservation 1</w:t>
      </w:r>
      <w:r w:rsidRPr="00E6311E">
        <w:rPr>
          <w:b/>
        </w:rPr>
        <w:t xml:space="preserve">: </w:t>
      </w:r>
      <w:r>
        <w:rPr>
          <w:b/>
        </w:rPr>
        <w:t>The configuration of resource pools within a BWP can be provided via RRC configurations by the gNB.</w:t>
      </w:r>
    </w:p>
    <w:p w14:paraId="6466D59F" w14:textId="77777777" w:rsidR="0030460D" w:rsidRPr="00CB7FB6" w:rsidRDefault="0030460D" w:rsidP="0030460D">
      <w:pPr>
        <w:pStyle w:val="3GPPNormalText"/>
        <w:rPr>
          <w:b/>
        </w:rPr>
      </w:pPr>
      <w:r>
        <w:rPr>
          <w:b/>
        </w:rPr>
        <w:t xml:space="preserve">Observation 2: </w:t>
      </w:r>
      <w:r>
        <w:rPr>
          <w:b/>
          <w:szCs w:val="22"/>
        </w:rPr>
        <w:t>A common control channel will facilitate the pre-emptive reservation of resources for high priority transmissions.</w:t>
      </w:r>
    </w:p>
    <w:p w14:paraId="19656ECB" w14:textId="77777777" w:rsidR="00180185" w:rsidRPr="0020412E" w:rsidRDefault="00180185" w:rsidP="00180185">
      <w:pPr>
        <w:jc w:val="both"/>
        <w:rPr>
          <w:sz w:val="22"/>
          <w:szCs w:val="22"/>
          <w:lang w:val="en-US"/>
        </w:rPr>
      </w:pPr>
      <w:r w:rsidRPr="00553068">
        <w:rPr>
          <w:sz w:val="22"/>
          <w:szCs w:val="22"/>
          <w:lang w:val="en-US"/>
        </w:rPr>
        <w:t>Based on these observations, we propose the following:</w:t>
      </w:r>
    </w:p>
    <w:bookmarkEnd w:id="4"/>
    <w:bookmarkEnd w:id="5"/>
    <w:p w14:paraId="00D6611F" w14:textId="77777777" w:rsidR="0030460D" w:rsidRPr="00A02296" w:rsidRDefault="0030460D" w:rsidP="0030460D">
      <w:pPr>
        <w:jc w:val="both"/>
        <w:rPr>
          <w:i/>
          <w:sz w:val="22"/>
          <w:szCs w:val="22"/>
        </w:rPr>
      </w:pPr>
      <w:r w:rsidRPr="008F7F19">
        <w:rPr>
          <w:b/>
          <w:sz w:val="22"/>
          <w:szCs w:val="22"/>
        </w:rPr>
        <w:t>Proposal</w:t>
      </w:r>
      <w:r>
        <w:rPr>
          <w:b/>
          <w:sz w:val="22"/>
          <w:szCs w:val="22"/>
        </w:rPr>
        <w:t xml:space="preserve"> 1</w:t>
      </w:r>
      <w:r w:rsidRPr="008F7F19">
        <w:rPr>
          <w:b/>
          <w:sz w:val="22"/>
          <w:szCs w:val="22"/>
        </w:rPr>
        <w:t>:</w:t>
      </w:r>
      <w:r>
        <w:rPr>
          <w:b/>
          <w:sz w:val="22"/>
          <w:szCs w:val="22"/>
        </w:rPr>
        <w:t xml:space="preserve"> We propose to configure multiple resource pools within an SL BWP based on different defined criteria. FFS which criteria (or a combination of criteria) are to be selected.</w:t>
      </w:r>
    </w:p>
    <w:p w14:paraId="3B5897D6" w14:textId="77777777" w:rsidR="0030460D" w:rsidRPr="0040380E" w:rsidRDefault="0030460D" w:rsidP="0030460D">
      <w:pPr>
        <w:jc w:val="both"/>
        <w:rPr>
          <w:i/>
          <w:sz w:val="22"/>
          <w:szCs w:val="22"/>
          <w:lang w:val="en-US"/>
        </w:rPr>
      </w:pPr>
      <w:r>
        <w:rPr>
          <w:b/>
          <w:sz w:val="22"/>
          <w:szCs w:val="22"/>
          <w:lang w:val="en-US"/>
        </w:rPr>
        <w:t>Proposal 2</w:t>
      </w:r>
      <w:r w:rsidRPr="005454B7">
        <w:rPr>
          <w:b/>
          <w:sz w:val="22"/>
          <w:szCs w:val="22"/>
          <w:lang w:val="en-US"/>
        </w:rPr>
        <w:t xml:space="preserve">: </w:t>
      </w:r>
      <w:r>
        <w:rPr>
          <w:b/>
          <w:sz w:val="22"/>
          <w:szCs w:val="22"/>
          <w:lang w:val="en-US"/>
        </w:rPr>
        <w:t xml:space="preserve">We propose to support the configuration of a common control channel, which is either FDMed with the resource pool or TDMed with the PSCCH in the resource pool. </w:t>
      </w:r>
    </w:p>
    <w:p w14:paraId="50C5C1B6" w14:textId="77777777" w:rsidR="0030460D" w:rsidRDefault="0030460D" w:rsidP="0030460D">
      <w:pPr>
        <w:jc w:val="both"/>
        <w:rPr>
          <w:b/>
          <w:sz w:val="22"/>
          <w:szCs w:val="22"/>
        </w:rPr>
      </w:pPr>
      <w:r>
        <w:rPr>
          <w:b/>
          <w:sz w:val="22"/>
          <w:szCs w:val="22"/>
        </w:rPr>
        <w:t xml:space="preserve">Proposal 3: We propose to support the </w:t>
      </w:r>
      <w:r w:rsidRPr="00DF7C16">
        <w:rPr>
          <w:b/>
          <w:sz w:val="22"/>
          <w:szCs w:val="22"/>
        </w:rPr>
        <w:t>in- and out-of-coverage</w:t>
      </w:r>
      <w:r>
        <w:rPr>
          <w:b/>
          <w:sz w:val="22"/>
          <w:szCs w:val="22"/>
        </w:rPr>
        <w:t xml:space="preserve"> dual control design in order to mitigate the impact of collisions in resource allocation between Mode 1 and Mode 2 UEs.</w:t>
      </w:r>
    </w:p>
    <w:p w14:paraId="4DA547AC" w14:textId="77777777" w:rsidR="0030460D" w:rsidRDefault="0030460D" w:rsidP="0030460D">
      <w:pPr>
        <w:jc w:val="both"/>
        <w:rPr>
          <w:b/>
          <w:sz w:val="22"/>
          <w:szCs w:val="22"/>
        </w:rPr>
      </w:pPr>
      <w:r>
        <w:rPr>
          <w:b/>
          <w:sz w:val="22"/>
          <w:szCs w:val="22"/>
        </w:rPr>
        <w:lastRenderedPageBreak/>
        <w:t>Proposal 4: We propose to define the following procedures for the implementation of the pre-emptive reservation of resources:</w:t>
      </w:r>
    </w:p>
    <w:p w14:paraId="0B80FB20" w14:textId="77777777" w:rsidR="0030460D" w:rsidRDefault="0030460D" w:rsidP="0030460D">
      <w:pPr>
        <w:pStyle w:val="ListParagraph"/>
        <w:numPr>
          <w:ilvl w:val="0"/>
          <w:numId w:val="33"/>
        </w:numPr>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p>
    <w:p w14:paraId="3ED9E4D5" w14:textId="77176079" w:rsidR="00E37A54" w:rsidRDefault="0030460D" w:rsidP="00E37A54">
      <w:pPr>
        <w:pStyle w:val="ListParagraph"/>
        <w:numPr>
          <w:ilvl w:val="0"/>
          <w:numId w:val="33"/>
        </w:numPr>
        <w:ind w:left="360"/>
        <w:jc w:val="both"/>
        <w:rPr>
          <w:rFonts w:ascii="Times New Roman" w:hAnsi="Times New Roman"/>
          <w:b/>
        </w:rPr>
      </w:pPr>
      <w:r w:rsidRPr="00825356">
        <w:rPr>
          <w:rFonts w:ascii="Times New Roman" w:hAnsi="Times New Roman"/>
          <w:b/>
        </w:rPr>
        <w:t>A UE will carry out short term sensing on the given time slot in order to select the available resource.</w:t>
      </w:r>
    </w:p>
    <w:p w14:paraId="56DD02AF" w14:textId="77777777" w:rsidR="00E37A54" w:rsidRPr="00E37A54" w:rsidRDefault="00E37A54" w:rsidP="00E37A54">
      <w:pPr>
        <w:jc w:val="both"/>
        <w:rPr>
          <w:b/>
        </w:rPr>
      </w:pPr>
    </w:p>
    <w:p w14:paraId="3C4E9E0F" w14:textId="29CC45FB" w:rsidR="00762220" w:rsidRDefault="009139A1" w:rsidP="00762220">
      <w:pPr>
        <w:jc w:val="both"/>
        <w:rPr>
          <w:b/>
          <w:sz w:val="22"/>
          <w:szCs w:val="22"/>
        </w:rPr>
      </w:pPr>
      <w:r w:rsidRPr="00825356">
        <w:rPr>
          <w:b/>
          <w:sz w:val="22"/>
          <w:szCs w:val="22"/>
        </w:rPr>
        <w:t>Proposal 5: Define slot formats for NR sidelink in dedicated and shared carrier with indication of which symbols in a slot are dedicated for sidelink.</w:t>
      </w:r>
    </w:p>
    <w:p w14:paraId="163969D2" w14:textId="77777777" w:rsidR="00395DA5" w:rsidRDefault="00395DA5" w:rsidP="00762220">
      <w:pPr>
        <w:jc w:val="both"/>
        <w:rPr>
          <w:b/>
          <w:sz w:val="22"/>
          <w:szCs w:val="22"/>
        </w:rPr>
      </w:pPr>
    </w:p>
    <w:p w14:paraId="0758071C" w14:textId="77777777" w:rsidR="00741BC0" w:rsidRPr="00825356" w:rsidRDefault="00741BC0" w:rsidP="00741BC0">
      <w:pPr>
        <w:pStyle w:val="Heading1"/>
        <w:rPr>
          <w:rFonts w:cs="Arial"/>
        </w:rPr>
      </w:pPr>
      <w:r w:rsidRPr="00825356">
        <w:rPr>
          <w:lang w:val="en-US"/>
        </w:rPr>
        <w:t>References</w:t>
      </w:r>
    </w:p>
    <w:p w14:paraId="571573DE" w14:textId="5ECF55BB" w:rsidR="00741BC0" w:rsidRPr="00825356" w:rsidRDefault="00741BC0" w:rsidP="00173A03">
      <w:pPr>
        <w:widowControl w:val="0"/>
        <w:numPr>
          <w:ilvl w:val="0"/>
          <w:numId w:val="2"/>
        </w:numPr>
        <w:overflowPunct/>
        <w:autoSpaceDE/>
        <w:adjustRightInd/>
        <w:spacing w:after="120"/>
        <w:jc w:val="both"/>
        <w:textAlignment w:val="auto"/>
        <w:rPr>
          <w:iCs/>
          <w:lang w:val="en-US"/>
        </w:rPr>
      </w:pPr>
      <w:r>
        <w:rPr>
          <w:rFonts w:cs="Arial"/>
        </w:rPr>
        <w:t>RP-1</w:t>
      </w:r>
      <w:r w:rsidR="00173A03">
        <w:rPr>
          <w:rFonts w:cs="Arial"/>
        </w:rPr>
        <w:t>90766</w:t>
      </w:r>
      <w:r w:rsidRPr="009A254C">
        <w:rPr>
          <w:rFonts w:cs="Arial"/>
        </w:rPr>
        <w:t xml:space="preserve">, </w:t>
      </w:r>
      <w:r>
        <w:rPr>
          <w:rFonts w:cs="Arial"/>
        </w:rPr>
        <w:t>“</w:t>
      </w:r>
      <w:r w:rsidR="00173A03" w:rsidRPr="00173A03">
        <w:rPr>
          <w:rFonts w:cs="Arial"/>
        </w:rPr>
        <w:t>New WID on 5G V2X with NR sidelink</w:t>
      </w:r>
      <w:r w:rsidRPr="00173A03">
        <w:rPr>
          <w:rFonts w:cs="Arial"/>
        </w:rPr>
        <w:t>”</w:t>
      </w:r>
      <w:r>
        <w:rPr>
          <w:rFonts w:cs="Arial"/>
        </w:rPr>
        <w:t xml:space="preserve">, </w:t>
      </w:r>
      <w:r w:rsidR="00173A03" w:rsidRPr="00173A03">
        <w:rPr>
          <w:rFonts w:cs="Arial"/>
        </w:rPr>
        <w:t>LG Electronics, Huawei</w:t>
      </w:r>
      <w:r>
        <w:rPr>
          <w:rFonts w:cs="Arial"/>
        </w:rPr>
        <w:t xml:space="preserve">, 3GPP </w:t>
      </w:r>
      <w:r w:rsidRPr="007833B8">
        <w:rPr>
          <w:rFonts w:cs="Arial"/>
        </w:rPr>
        <w:t>RAN#</w:t>
      </w:r>
      <w:r w:rsidR="00173A03">
        <w:rPr>
          <w:rFonts w:cs="Arial"/>
        </w:rPr>
        <w:t>83</w:t>
      </w:r>
      <w:r w:rsidRPr="007833B8">
        <w:rPr>
          <w:rFonts w:cs="Arial"/>
        </w:rPr>
        <w:t xml:space="preserve">, </w:t>
      </w:r>
      <w:r w:rsidR="00173A03">
        <w:rPr>
          <w:rFonts w:cs="Arial"/>
        </w:rPr>
        <w:t>March</w:t>
      </w:r>
      <w:r w:rsidRPr="007833B8">
        <w:rPr>
          <w:rFonts w:cs="Arial"/>
        </w:rPr>
        <w:t xml:space="preserve"> 20</w:t>
      </w:r>
      <w:r w:rsidR="00173A03">
        <w:rPr>
          <w:rFonts w:cs="Arial"/>
        </w:rPr>
        <w:t>19</w:t>
      </w:r>
      <w:r w:rsidRPr="007833B8">
        <w:rPr>
          <w:rFonts w:cs="Arial"/>
        </w:rPr>
        <w:t>.</w:t>
      </w:r>
    </w:p>
    <w:p w14:paraId="5640B41C" w14:textId="7BE00E11" w:rsidR="00773345" w:rsidRDefault="00773345" w:rsidP="00197639">
      <w:pPr>
        <w:widowControl w:val="0"/>
        <w:numPr>
          <w:ilvl w:val="0"/>
          <w:numId w:val="2"/>
        </w:numPr>
        <w:overflowPunct/>
        <w:autoSpaceDE/>
        <w:autoSpaceDN/>
        <w:adjustRightInd/>
        <w:spacing w:after="120" w:line="256" w:lineRule="auto"/>
        <w:jc w:val="both"/>
        <w:textAlignment w:val="auto"/>
        <w:rPr>
          <w:rFonts w:eastAsia="Batang"/>
          <w:lang w:val="en-US" w:eastAsia="de-DE"/>
        </w:rPr>
      </w:pPr>
      <w:r>
        <w:t>TR 38.885, “</w:t>
      </w:r>
      <w:r w:rsidR="00440774">
        <w:t xml:space="preserve">NR </w:t>
      </w:r>
      <w:r>
        <w:t xml:space="preserve">Study on </w:t>
      </w:r>
      <w:r w:rsidR="00440774">
        <w:t>Vehicle-to-everything”, V2.0.0</w:t>
      </w:r>
      <w:r w:rsidR="00197639">
        <w:t>, March 2019</w:t>
      </w:r>
      <w:r>
        <w:t>.</w:t>
      </w:r>
    </w:p>
    <w:p w14:paraId="27ADD435" w14:textId="5D029779" w:rsidR="00773345" w:rsidRDefault="006B604F" w:rsidP="006B604F">
      <w:pPr>
        <w:widowControl w:val="0"/>
        <w:numPr>
          <w:ilvl w:val="0"/>
          <w:numId w:val="2"/>
        </w:numPr>
        <w:overflowPunct/>
        <w:autoSpaceDE/>
        <w:adjustRightInd/>
        <w:spacing w:after="120"/>
        <w:jc w:val="both"/>
        <w:textAlignment w:val="auto"/>
        <w:rPr>
          <w:iCs/>
          <w:lang w:val="en-US"/>
        </w:rPr>
      </w:pPr>
      <w:r>
        <w:rPr>
          <w:iCs/>
          <w:lang w:val="en-US"/>
        </w:rPr>
        <w:t>R1-1901540, “</w:t>
      </w:r>
      <w:r w:rsidRPr="006B604F">
        <w:rPr>
          <w:iCs/>
          <w:lang w:val="en-US"/>
        </w:rPr>
        <w:t>Sidelink resource allocation mode 2</w:t>
      </w:r>
      <w:r>
        <w:rPr>
          <w:iCs/>
          <w:lang w:val="en-US"/>
        </w:rPr>
        <w:t xml:space="preserve">”, </w:t>
      </w:r>
      <w:r w:rsidRPr="006B604F">
        <w:rPr>
          <w:iCs/>
          <w:lang w:val="en-US"/>
        </w:rPr>
        <w:t>Huawei, HiSilicon</w:t>
      </w:r>
      <w:r>
        <w:rPr>
          <w:iCs/>
          <w:lang w:val="en-US"/>
        </w:rPr>
        <w:t>, 3GPP RAN1#96, February-March 2019.</w:t>
      </w:r>
    </w:p>
    <w:p w14:paraId="41F2CD39" w14:textId="332A2942" w:rsidR="006B604F" w:rsidRPr="006B604F" w:rsidRDefault="006B604F" w:rsidP="006B604F">
      <w:pPr>
        <w:widowControl w:val="0"/>
        <w:numPr>
          <w:ilvl w:val="0"/>
          <w:numId w:val="2"/>
        </w:numPr>
        <w:overflowPunct/>
        <w:autoSpaceDE/>
        <w:adjustRightInd/>
        <w:spacing w:after="120"/>
        <w:jc w:val="both"/>
        <w:textAlignment w:val="auto"/>
        <w:rPr>
          <w:iCs/>
          <w:lang w:val="en-US"/>
        </w:rPr>
      </w:pPr>
      <w:r>
        <w:rPr>
          <w:iCs/>
          <w:lang w:val="en-US"/>
        </w:rPr>
        <w:t>R1-1902484, “</w:t>
      </w:r>
      <w:r w:rsidRPr="006B604F">
        <w:rPr>
          <w:iCs/>
          <w:lang w:val="en-US"/>
        </w:rPr>
        <w:t>Resource Allocation Schemes for NR V2X Communication</w:t>
      </w:r>
      <w:r>
        <w:rPr>
          <w:iCs/>
          <w:lang w:val="en-US"/>
        </w:rPr>
        <w:t xml:space="preserve">”, </w:t>
      </w:r>
      <w:r w:rsidRPr="006B604F">
        <w:rPr>
          <w:iCs/>
          <w:lang w:val="en-US"/>
        </w:rPr>
        <w:t>Intel Corporation</w:t>
      </w:r>
      <w:r>
        <w:rPr>
          <w:iCs/>
          <w:lang w:val="en-US"/>
        </w:rPr>
        <w:t>, 3GPP RAN1#96, February-March 2019.</w:t>
      </w:r>
    </w:p>
    <w:bookmarkEnd w:id="0"/>
    <w:p w14:paraId="6EBEFF2F" w14:textId="77777777" w:rsidR="00173A03" w:rsidRPr="00B93C09" w:rsidRDefault="00173A03" w:rsidP="00767ED3">
      <w:pPr>
        <w:widowControl w:val="0"/>
        <w:overflowPunct/>
        <w:autoSpaceDE/>
        <w:adjustRightInd/>
        <w:spacing w:after="120"/>
        <w:jc w:val="both"/>
        <w:textAlignment w:val="auto"/>
        <w:rPr>
          <w:iCs/>
          <w:lang w:val="en-US"/>
        </w:rPr>
      </w:pPr>
    </w:p>
    <w:sectPr w:rsidR="00173A03" w:rsidRPr="00B93C09"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62253" w14:textId="77777777" w:rsidR="00917383" w:rsidRDefault="00917383">
      <w:r>
        <w:separator/>
      </w:r>
    </w:p>
  </w:endnote>
  <w:endnote w:type="continuationSeparator" w:id="0">
    <w:p w14:paraId="72F30864" w14:textId="77777777" w:rsidR="00917383" w:rsidRDefault="0091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00DD7361"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97472">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97472">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DA8C3" w14:textId="77777777" w:rsidR="00917383" w:rsidRDefault="00917383">
      <w:r>
        <w:separator/>
      </w:r>
    </w:p>
  </w:footnote>
  <w:footnote w:type="continuationSeparator" w:id="0">
    <w:p w14:paraId="05510911" w14:textId="77777777" w:rsidR="00917383" w:rsidRDefault="0091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C688A"/>
    <w:multiLevelType w:val="hybridMultilevel"/>
    <w:tmpl w:val="F05ED346"/>
    <w:lvl w:ilvl="0" w:tplc="F52C4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596E47"/>
    <w:multiLevelType w:val="hybridMultilevel"/>
    <w:tmpl w:val="103AE398"/>
    <w:lvl w:ilvl="0" w:tplc="DE3C1CA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3"/>
  </w:num>
  <w:num w:numId="2">
    <w:abstractNumId w:val="9"/>
  </w:num>
  <w:num w:numId="3">
    <w:abstractNumId w:val="3"/>
  </w:num>
  <w:num w:numId="4">
    <w:abstractNumId w:val="14"/>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4"/>
  </w:num>
  <w:num w:numId="8">
    <w:abstractNumId w:val="18"/>
  </w:num>
  <w:num w:numId="9">
    <w:abstractNumId w:val="11"/>
  </w:num>
  <w:num w:numId="10">
    <w:abstractNumId w:val="9"/>
  </w:num>
  <w:num w:numId="11">
    <w:abstractNumId w:val="27"/>
  </w:num>
  <w:num w:numId="12">
    <w:abstractNumId w:val="30"/>
  </w:num>
  <w:num w:numId="13">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9"/>
  </w:num>
  <w:num w:numId="16">
    <w:abstractNumId w:val="22"/>
  </w:num>
  <w:num w:numId="17">
    <w:abstractNumId w:val="21"/>
  </w:num>
  <w:num w:numId="18">
    <w:abstractNumId w:val="12"/>
  </w:num>
  <w:num w:numId="19">
    <w:abstractNumId w:val="34"/>
  </w:num>
  <w:num w:numId="20">
    <w:abstractNumId w:val="7"/>
  </w:num>
  <w:num w:numId="21">
    <w:abstractNumId w:val="25"/>
  </w:num>
  <w:num w:numId="22">
    <w:abstractNumId w:val="6"/>
  </w:num>
  <w:num w:numId="23">
    <w:abstractNumId w:val="20"/>
  </w:num>
  <w:num w:numId="24">
    <w:abstractNumId w:val="23"/>
  </w:num>
  <w:num w:numId="25">
    <w:abstractNumId w:val="4"/>
  </w:num>
  <w:num w:numId="26">
    <w:abstractNumId w:val="10"/>
  </w:num>
  <w:num w:numId="27">
    <w:abstractNumId w:val="26"/>
  </w:num>
  <w:num w:numId="28">
    <w:abstractNumId w:val="15"/>
  </w:num>
  <w:num w:numId="29">
    <w:abstractNumId w:val="33"/>
  </w:num>
  <w:num w:numId="30">
    <w:abstractNumId w:val="35"/>
  </w:num>
  <w:num w:numId="31">
    <w:abstractNumId w:val="17"/>
  </w:num>
  <w:num w:numId="32">
    <w:abstractNumId w:val="5"/>
  </w:num>
  <w:num w:numId="33">
    <w:abstractNumId w:val="8"/>
  </w:num>
  <w:num w:numId="34">
    <w:abstractNumId w:val="2"/>
  </w:num>
  <w:num w:numId="35">
    <w:abstractNumId w:val="19"/>
  </w:num>
  <w:num w:numId="36">
    <w:abstractNumId w:val="31"/>
  </w:num>
  <w:num w:numId="37">
    <w:abstractNumId w:val="1"/>
  </w:num>
  <w:num w:numId="38">
    <w:abstractNumId w:val="36"/>
  </w:num>
  <w:num w:numId="39">
    <w:abstractNumId w:val="16"/>
  </w:num>
  <w:num w:numId="40">
    <w:abstractNumId w:val="37"/>
  </w:num>
  <w:num w:numId="41">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2F18"/>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2BD"/>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0C1"/>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EE"/>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3A9"/>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2B"/>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8B0"/>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1240"/>
    <w:rsid w:val="00101489"/>
    <w:rsid w:val="00101513"/>
    <w:rsid w:val="001018C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D19"/>
    <w:rsid w:val="00115D3B"/>
    <w:rsid w:val="00116187"/>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5EF"/>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67C7E"/>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472"/>
    <w:rsid w:val="00197553"/>
    <w:rsid w:val="001975CF"/>
    <w:rsid w:val="00197639"/>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1FC3"/>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4"/>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34E"/>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C01"/>
    <w:rsid w:val="00235C4D"/>
    <w:rsid w:val="00235C79"/>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400"/>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91"/>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7C7"/>
    <w:rsid w:val="002C2C0E"/>
    <w:rsid w:val="002C2DEC"/>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8D3"/>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60D"/>
    <w:rsid w:val="00304AC5"/>
    <w:rsid w:val="00304BB6"/>
    <w:rsid w:val="00304FCA"/>
    <w:rsid w:val="00305080"/>
    <w:rsid w:val="00305410"/>
    <w:rsid w:val="00305EED"/>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770"/>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63D"/>
    <w:rsid w:val="00360D1F"/>
    <w:rsid w:val="00361049"/>
    <w:rsid w:val="003617B5"/>
    <w:rsid w:val="0036185C"/>
    <w:rsid w:val="00361CBA"/>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00"/>
    <w:rsid w:val="00387B2B"/>
    <w:rsid w:val="00387B53"/>
    <w:rsid w:val="00387EAD"/>
    <w:rsid w:val="00387F51"/>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DA5"/>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1D3"/>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0E"/>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74"/>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6C6"/>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5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074F"/>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D64"/>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8F"/>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2E"/>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2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83"/>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664"/>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04F"/>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D8"/>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1B"/>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67ED3"/>
    <w:rsid w:val="00770732"/>
    <w:rsid w:val="00770B41"/>
    <w:rsid w:val="00770BE7"/>
    <w:rsid w:val="00770CEE"/>
    <w:rsid w:val="00770DE6"/>
    <w:rsid w:val="00771AAB"/>
    <w:rsid w:val="00771FB5"/>
    <w:rsid w:val="007720E8"/>
    <w:rsid w:val="007721AD"/>
    <w:rsid w:val="00772900"/>
    <w:rsid w:val="00772ABD"/>
    <w:rsid w:val="00772D15"/>
    <w:rsid w:val="00772DC3"/>
    <w:rsid w:val="00773345"/>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4E3"/>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70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3A2"/>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356"/>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2AF"/>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AD1"/>
    <w:rsid w:val="00837C38"/>
    <w:rsid w:val="00837DF8"/>
    <w:rsid w:val="00837E01"/>
    <w:rsid w:val="008401C3"/>
    <w:rsid w:val="008403BA"/>
    <w:rsid w:val="008404D7"/>
    <w:rsid w:val="00840634"/>
    <w:rsid w:val="00840A68"/>
    <w:rsid w:val="00840A83"/>
    <w:rsid w:val="00840D46"/>
    <w:rsid w:val="00840FC6"/>
    <w:rsid w:val="0084142B"/>
    <w:rsid w:val="00841563"/>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99D"/>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DA4"/>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06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9A1"/>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17383"/>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40B"/>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5FC"/>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2C7"/>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62C"/>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871"/>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2B2"/>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2F"/>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B9"/>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9CB"/>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15C"/>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BA6"/>
    <w:rsid w:val="00AB6CC0"/>
    <w:rsid w:val="00AB6D62"/>
    <w:rsid w:val="00AB6E20"/>
    <w:rsid w:val="00AB7134"/>
    <w:rsid w:val="00AB7223"/>
    <w:rsid w:val="00AB76D5"/>
    <w:rsid w:val="00AB7787"/>
    <w:rsid w:val="00AB78AC"/>
    <w:rsid w:val="00AB78B0"/>
    <w:rsid w:val="00AC0732"/>
    <w:rsid w:val="00AC08A9"/>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CC9"/>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242"/>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435"/>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ED1"/>
    <w:rsid w:val="00B74182"/>
    <w:rsid w:val="00B741DB"/>
    <w:rsid w:val="00B74791"/>
    <w:rsid w:val="00B74A0D"/>
    <w:rsid w:val="00B74CDC"/>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1E4E"/>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20"/>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45C"/>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75A"/>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5AC"/>
    <w:rsid w:val="00D0567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65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C1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A54"/>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0"/>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4FE0"/>
    <w:rsid w:val="00EA5029"/>
    <w:rsid w:val="00EA5080"/>
    <w:rsid w:val="00EA5335"/>
    <w:rsid w:val="00EA5C16"/>
    <w:rsid w:val="00EA5D15"/>
    <w:rsid w:val="00EA5E46"/>
    <w:rsid w:val="00EA5EB9"/>
    <w:rsid w:val="00EA5F39"/>
    <w:rsid w:val="00EA60C6"/>
    <w:rsid w:val="00EA6506"/>
    <w:rsid w:val="00EA655B"/>
    <w:rsid w:val="00EA66F6"/>
    <w:rsid w:val="00EA673B"/>
    <w:rsid w:val="00EA6B8F"/>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D91"/>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669"/>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72"/>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E9"/>
    <w:rsid w:val="00F17442"/>
    <w:rsid w:val="00F17A8F"/>
    <w:rsid w:val="00F20046"/>
    <w:rsid w:val="00F20540"/>
    <w:rsid w:val="00F206FE"/>
    <w:rsid w:val="00F2094D"/>
    <w:rsid w:val="00F20F5B"/>
    <w:rsid w:val="00F21048"/>
    <w:rsid w:val="00F2109B"/>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22F"/>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2F7"/>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5F38"/>
    <w:rsid w:val="00FD6318"/>
    <w:rsid w:val="00FD6789"/>
    <w:rsid w:val="00FD6808"/>
    <w:rsid w:val="00FD6A3D"/>
    <w:rsid w:val="00FD6B32"/>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790"/>
    <w:rsid w:val="00FE7887"/>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3C18CE7D-0FBE-496D-84A0-593CDE0B1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13377">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ADB07D2-28E4-45E1-A428-DD90F2A1162A}">
  <ds:schemaRefs>
    <ds:schemaRef ds:uri="http://schemas.openxmlformats.org/officeDocument/2006/bibliography"/>
  </ds:schemaRefs>
</ds:datastoreItem>
</file>

<file path=customXml/itemProps6.xml><?xml version="1.0" encoding="utf-8"?>
<ds:datastoreItem xmlns:ds="http://schemas.openxmlformats.org/officeDocument/2006/customXml" ds:itemID="{4413EDE4-0C88-4B4F-8733-1E1B5F23C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1893</Words>
  <Characters>10792</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12660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23</cp:revision>
  <cp:lastPrinted>2017-11-16T14:00:00Z</cp:lastPrinted>
  <dcterms:created xsi:type="dcterms:W3CDTF">2019-03-29T13:36:00Z</dcterms:created>
  <dcterms:modified xsi:type="dcterms:W3CDTF">2019-04-02T13:39:00Z</dcterms:modified>
</cp:coreProperties>
</file>