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90D569" w14:textId="20631995" w:rsidR="001E41F3" w:rsidRPr="00C21EE8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AC3D14" w:rsidRPr="00C21EE8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3D14" w:rsidRPr="00C21EE8">
        <w:rPr>
          <w:b/>
          <w:noProof/>
          <w:sz w:val="24"/>
        </w:rPr>
        <w:t>96</w:t>
      </w:r>
      <w:r w:rsidRPr="00C21EE8">
        <w:rPr>
          <w:b/>
          <w:noProof/>
          <w:sz w:val="24"/>
        </w:rPr>
        <w:tab/>
      </w:r>
      <w:bookmarkStart w:id="0" w:name="_GoBack"/>
      <w:r w:rsidR="00E3191A">
        <w:rPr>
          <w:b/>
          <w:noProof/>
          <w:sz w:val="24"/>
        </w:rPr>
        <w:t>R1-19</w:t>
      </w:r>
      <w:r w:rsidR="00F81165">
        <w:rPr>
          <w:b/>
          <w:noProof/>
          <w:sz w:val="24"/>
        </w:rPr>
        <w:t>03427</w:t>
      </w:r>
      <w:bookmarkEnd w:id="0"/>
    </w:p>
    <w:p w14:paraId="22580958" w14:textId="77777777" w:rsidR="001E41F3" w:rsidRDefault="00AC3D14" w:rsidP="005E2C44">
      <w:pPr>
        <w:pStyle w:val="CRCoverPage"/>
        <w:outlineLvl w:val="0"/>
        <w:rPr>
          <w:b/>
          <w:noProof/>
          <w:sz w:val="24"/>
        </w:rPr>
      </w:pPr>
      <w:r w:rsidRPr="00C21EE8"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>,</w:t>
      </w:r>
      <w:r w:rsidR="00C21EE8" w:rsidRPr="00C21EE8">
        <w:rPr>
          <w:b/>
          <w:noProof/>
          <w:sz w:val="24"/>
        </w:rPr>
        <w:t>25</w:t>
      </w:r>
      <w:r w:rsidR="00C21EE8" w:rsidRPr="00C21EE8">
        <w:rPr>
          <w:b/>
          <w:noProof/>
          <w:sz w:val="24"/>
          <w:vertAlign w:val="superscript"/>
        </w:rPr>
        <w:t>th</w:t>
      </w:r>
      <w:r w:rsidR="00C21EE8" w:rsidRPr="00C21EE8"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 w:rsidR="00C21EE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C21EE8" w:rsidRPr="00C21EE8">
        <w:rPr>
          <w:b/>
          <w:noProof/>
          <w:sz w:val="24"/>
        </w:rPr>
        <w:t>1</w:t>
      </w:r>
      <w:r w:rsidR="00C21EE8" w:rsidRPr="00C21EE8">
        <w:rPr>
          <w:b/>
          <w:noProof/>
          <w:sz w:val="24"/>
          <w:vertAlign w:val="superscript"/>
        </w:rPr>
        <w:t>st</w:t>
      </w:r>
      <w:r w:rsidR="00C21EE8" w:rsidRPr="00C21EE8"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A4DBF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B33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3F273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96B0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25369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594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F5DA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AC027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E67CBE" w14:textId="77777777" w:rsidR="001E41F3" w:rsidRPr="00410371" w:rsidRDefault="00AC3D14" w:rsidP="00AC3D1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C3D14"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3D4C81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01BADB" w14:textId="77777777" w:rsidR="001E41F3" w:rsidRPr="00410371" w:rsidRDefault="00AC3D14" w:rsidP="00AC3D14">
            <w:pPr>
              <w:pStyle w:val="CRCoverPage"/>
              <w:spacing w:after="0"/>
              <w:rPr>
                <w:noProof/>
              </w:rPr>
            </w:pPr>
            <w:r w:rsidRPr="00AC3D14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4C6A39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29EA95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D1923C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7D83D9" w14:textId="77777777" w:rsidR="001E41F3" w:rsidRPr="00410371" w:rsidRDefault="00AC3D14" w:rsidP="00AC3D14">
            <w:pPr>
              <w:pStyle w:val="CRCoverPage"/>
              <w:spacing w:after="0"/>
              <w:rPr>
                <w:noProof/>
                <w:sz w:val="28"/>
              </w:rPr>
            </w:pPr>
            <w:r w:rsidRPr="00AC3D14"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37E2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5AE3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81F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D38A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3DE4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9ACF47" w14:textId="77777777" w:rsidTr="00547111">
        <w:tc>
          <w:tcPr>
            <w:tcW w:w="9641" w:type="dxa"/>
            <w:gridSpan w:val="9"/>
          </w:tcPr>
          <w:p w14:paraId="4D6CDE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0EB38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3F6E9E3" w14:textId="77777777" w:rsidTr="00A7671C">
        <w:tc>
          <w:tcPr>
            <w:tcW w:w="2835" w:type="dxa"/>
          </w:tcPr>
          <w:p w14:paraId="290B23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5CF7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9B76A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2480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5CA455" w14:textId="77777777" w:rsidR="00F25D98" w:rsidRDefault="00C21E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B192E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0CE091" w14:textId="77777777" w:rsidR="00F25D98" w:rsidRDefault="00C21E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0FF6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93A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277A70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80088F6" w14:textId="77777777" w:rsidTr="00547111">
        <w:tc>
          <w:tcPr>
            <w:tcW w:w="9640" w:type="dxa"/>
            <w:gridSpan w:val="11"/>
          </w:tcPr>
          <w:p w14:paraId="23503B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FC769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932C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2C2E63" w14:textId="77777777" w:rsidR="001E41F3" w:rsidRDefault="00856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UE sounding procedure </w:t>
            </w:r>
            <w:r w:rsidRPr="00856692">
              <w:rPr>
                <w:noProof/>
              </w:rPr>
              <w:t>in NR</w:t>
            </w:r>
          </w:p>
        </w:tc>
      </w:tr>
      <w:tr w:rsidR="001E41F3" w14:paraId="2F3456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5E44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7839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5E7B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D5C0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4807C1" w14:textId="50CAF91C" w:rsidR="001E41F3" w:rsidRDefault="00AC3D14">
            <w:pPr>
              <w:pStyle w:val="CRCoverPage"/>
              <w:spacing w:after="0"/>
              <w:ind w:left="100"/>
              <w:rPr>
                <w:noProof/>
              </w:rPr>
            </w:pPr>
            <w:r>
              <w:t>Fujitsu</w:t>
            </w:r>
            <w:r w:rsidR="002C6A21">
              <w:t>, Ericsson</w:t>
            </w:r>
          </w:p>
        </w:tc>
      </w:tr>
      <w:tr w:rsidR="001E41F3" w14:paraId="35C1AE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C668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68D91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804B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55C7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E2F2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B4FA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E29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D87AC2" w14:textId="77777777" w:rsidR="001E41F3" w:rsidRDefault="00AC3D14">
            <w:pPr>
              <w:pStyle w:val="CRCoverPage"/>
              <w:spacing w:after="0"/>
              <w:ind w:left="100"/>
              <w:rPr>
                <w:noProof/>
              </w:rPr>
            </w:pPr>
            <w:r w:rsidRPr="00AC3D1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2EA1A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0778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B68FBB" w14:textId="77777777" w:rsidR="001E41F3" w:rsidRDefault="00AC3D1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2019-1-16</w:t>
            </w:r>
          </w:p>
        </w:tc>
      </w:tr>
      <w:tr w:rsidR="001E41F3" w14:paraId="7F1E94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1A3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1DF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37F8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3608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E5E8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84C2B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3F0C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CCCC53" w14:textId="77777777" w:rsidR="001E41F3" w:rsidRDefault="00AC3D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C769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21ED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92C463" w14:textId="77777777" w:rsidR="001E41F3" w:rsidRDefault="00AC3D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264B5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2DA0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79B77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7F612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BED0F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DA75605" w14:textId="77777777" w:rsidTr="00547111">
        <w:tc>
          <w:tcPr>
            <w:tcW w:w="1843" w:type="dxa"/>
          </w:tcPr>
          <w:p w14:paraId="1C8976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8732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8096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9BDB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CD33D" w14:textId="47814791" w:rsidR="001E41F3" w:rsidRDefault="00856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6.2.1 in 38.214 includes a reference</w:t>
            </w:r>
            <w:r w:rsidRPr="00856692">
              <w:rPr>
                <w:noProof/>
              </w:rPr>
              <w:t xml:space="preserve"> to </w:t>
            </w:r>
            <w:r w:rsidRPr="00856692">
              <w:rPr>
                <w:i/>
                <w:noProof/>
              </w:rPr>
              <w:t>SRS_capability</w:t>
            </w:r>
            <w:r w:rsidRPr="00856692">
              <w:rPr>
                <w:noProof/>
              </w:rPr>
              <w:t xml:space="preserve"> in TS 38.306. However, there is no parameter or subclause with this name.</w:t>
            </w:r>
            <w:r>
              <w:rPr>
                <w:noProof/>
              </w:rPr>
              <w:t xml:space="preserve">The intention of the reference is a pointer to the UE capability </w:t>
            </w:r>
            <w:r w:rsidR="00F1058D">
              <w:rPr>
                <w:noProof/>
              </w:rPr>
              <w:t xml:space="preserve">for </w:t>
            </w:r>
            <w:r>
              <w:rPr>
                <w:noProof/>
              </w:rPr>
              <w:t xml:space="preserve">parameter </w:t>
            </w:r>
            <w:r w:rsidRPr="00856692">
              <w:rPr>
                <w:i/>
                <w:noProof/>
              </w:rPr>
              <w:t>K</w:t>
            </w:r>
            <w:r w:rsidR="00F1058D">
              <w:rPr>
                <w:i/>
                <w:noProof/>
              </w:rPr>
              <w:t>,</w:t>
            </w:r>
            <w:r>
              <w:rPr>
                <w:noProof/>
              </w:rPr>
              <w:t xml:space="preserve"> determining the maximum number of SRS resources per SRS resource set. Therefore this reference should be changed to </w:t>
            </w:r>
            <w:r w:rsidRPr="00856692">
              <w:rPr>
                <w:i/>
                <w:noProof/>
              </w:rPr>
              <w:t>maxNumberSRS-ResourcePerSet</w:t>
            </w:r>
            <w:r w:rsidR="00454799">
              <w:rPr>
                <w:i/>
                <w:noProof/>
              </w:rPr>
              <w:t xml:space="preserve"> </w:t>
            </w:r>
            <w:r w:rsidR="00454799" w:rsidRPr="00454799">
              <w:rPr>
                <w:noProof/>
              </w:rPr>
              <w:t>and</w:t>
            </w:r>
            <w:r w:rsidR="00454799">
              <w:rPr>
                <w:i/>
                <w:noProof/>
              </w:rPr>
              <w:t xml:space="preserve"> </w:t>
            </w:r>
            <w:r w:rsidR="00454799" w:rsidRPr="00D12988">
              <w:rPr>
                <w:i/>
                <w:noProof/>
              </w:rPr>
              <w:t>uplinkBeamManagement</w:t>
            </w:r>
            <w:r>
              <w:rPr>
                <w:i/>
                <w:noProof/>
              </w:rPr>
              <w:t>.</w:t>
            </w:r>
          </w:p>
        </w:tc>
      </w:tr>
      <w:tr w:rsidR="001E41F3" w14:paraId="4B2B0C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35C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E0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6851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91F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557C59" w14:textId="46E46225" w:rsidR="001E41F3" w:rsidRPr="0008538B" w:rsidRDefault="00856692" w:rsidP="000853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reference to </w:t>
            </w:r>
            <w:r w:rsidRPr="00856692">
              <w:rPr>
                <w:i/>
                <w:noProof/>
              </w:rPr>
              <w:t>SRS_capability</w:t>
            </w:r>
            <w:r>
              <w:rPr>
                <w:noProof/>
              </w:rPr>
              <w:t xml:space="preserve"> to a reference to </w:t>
            </w:r>
            <w:r w:rsidRPr="00856692">
              <w:rPr>
                <w:i/>
                <w:noProof/>
              </w:rPr>
              <w:t>maxNumberSRS-ResourcePerSet</w:t>
            </w:r>
            <w:r w:rsidR="00836D76">
              <w:rPr>
                <w:noProof/>
              </w:rPr>
              <w:t xml:space="preserve"> for codebook and non-codebook based operation, and to </w:t>
            </w:r>
            <w:r w:rsidR="00836D76" w:rsidRPr="00D12988">
              <w:rPr>
                <w:i/>
                <w:noProof/>
              </w:rPr>
              <w:t>uplinkBeamManagement</w:t>
            </w:r>
            <w:r w:rsidR="00836D76">
              <w:rPr>
                <w:noProof/>
              </w:rPr>
              <w:t xml:space="preserve"> for beam management</w:t>
            </w:r>
            <w:r w:rsidR="00D12988">
              <w:rPr>
                <w:noProof/>
              </w:rPr>
              <w:t>.</w:t>
            </w:r>
          </w:p>
          <w:p w14:paraId="189006FA" w14:textId="21EC3113" w:rsidR="0008538B" w:rsidRDefault="0008538B" w:rsidP="000853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corrections (change “”can” to “may”, change “shall not expect” to “is not expected”</w:t>
            </w:r>
            <w:r w:rsidR="00836D76">
              <w:rPr>
                <w:noProof/>
              </w:rPr>
              <w:t xml:space="preserve"> , “identify” to “identity”</w:t>
            </w:r>
            <w:r w:rsidR="00D12988">
              <w:rPr>
                <w:noProof/>
              </w:rPr>
              <w:t>)</w:t>
            </w:r>
          </w:p>
        </w:tc>
      </w:tr>
      <w:tr w:rsidR="001E41F3" w14:paraId="0FB5D2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A9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E58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F91E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5E6A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BD1E2" w14:textId="09CA9F83" w:rsidR="001E41F3" w:rsidRDefault="002F2A06">
            <w:pPr>
              <w:pStyle w:val="CRCoverPage"/>
              <w:spacing w:after="0"/>
              <w:ind w:left="100"/>
              <w:rPr>
                <w:noProof/>
              </w:rPr>
            </w:pPr>
            <w:r w:rsidRPr="002F2A06">
              <w:rPr>
                <w:noProof/>
              </w:rPr>
              <w:t>An incorrect reference to 38.306 remains in 38.214 and correct UE behaviour is unclear</w:t>
            </w:r>
            <w:r w:rsidR="00836D76">
              <w:rPr>
                <w:noProof/>
              </w:rPr>
              <w:t>: the UE may not report the correct number of SRS resources supported for codebook or non-codebook based UL MIMO or for beam management</w:t>
            </w:r>
            <w:r w:rsidR="00D12988">
              <w:rPr>
                <w:noProof/>
              </w:rPr>
              <w:t>.</w:t>
            </w:r>
          </w:p>
        </w:tc>
      </w:tr>
      <w:tr w:rsidR="001E41F3" w14:paraId="418328E1" w14:textId="77777777" w:rsidTr="00547111">
        <w:tc>
          <w:tcPr>
            <w:tcW w:w="2694" w:type="dxa"/>
            <w:gridSpan w:val="2"/>
          </w:tcPr>
          <w:p w14:paraId="7F9D64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14EA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89CC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C41E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D6ABC7" w14:textId="77777777" w:rsidR="001E41F3" w:rsidRDefault="007C10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E41F3" w14:paraId="757E4E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259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031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718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50E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962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9D05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D9DB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84F9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6829A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581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322B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E1C17" w14:textId="77777777" w:rsidR="001E41F3" w:rsidRDefault="00C2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188B6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A7C6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3005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B42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0E3C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7B2B7" w14:textId="77777777" w:rsidR="001E41F3" w:rsidRDefault="00C2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FFCF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CB23F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0E268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E14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A8F2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7EB2D" w14:textId="77777777" w:rsidR="001E41F3" w:rsidRDefault="00C2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B5F9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209A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F595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C64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0C75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B04E3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65EF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D276C" w14:textId="77777777" w:rsidR="002F2A06" w:rsidRPr="00353241" w:rsidRDefault="002F2A06" w:rsidP="002F2A0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53241">
              <w:rPr>
                <w:b/>
                <w:noProof/>
              </w:rPr>
              <w:t>Impact analysis</w:t>
            </w:r>
          </w:p>
          <w:p w14:paraId="34CE2A8F" w14:textId="77777777" w:rsidR="00F1058D" w:rsidRDefault="002F2A06" w:rsidP="002F2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on SRS</w:t>
            </w:r>
            <w:r w:rsidR="00F1058D">
              <w:rPr>
                <w:noProof/>
              </w:rPr>
              <w:t xml:space="preserve"> configuration.</w:t>
            </w:r>
          </w:p>
          <w:p w14:paraId="64437EFF" w14:textId="77777777" w:rsidR="002F2A06" w:rsidRDefault="00F1058D" w:rsidP="002F2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0C6BEEAE" w14:textId="77777777" w:rsidR="001E41F3" w:rsidRDefault="002F2A06" w:rsidP="00F10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either the UE or the network</w:t>
            </w:r>
            <w:r w:rsidR="00A1347A">
              <w:rPr>
                <w:noProof/>
              </w:rPr>
              <w:t>, or both,</w:t>
            </w:r>
            <w:r>
              <w:rPr>
                <w:noProof/>
              </w:rPr>
              <w:t xml:space="preserve"> do no</w:t>
            </w:r>
            <w:r w:rsidR="00F1058D">
              <w:rPr>
                <w:noProof/>
              </w:rPr>
              <w:t xml:space="preserve">t implement the CR, the maximum number of SRS resources per resource set may not be correctly identified </w:t>
            </w:r>
            <w:r>
              <w:rPr>
                <w:noProof/>
              </w:rPr>
              <w:t>(on either side)</w:t>
            </w:r>
            <w:r w:rsidR="00F1058D">
              <w:rPr>
                <w:noProof/>
              </w:rPr>
              <w:t>, and the network may configure the UE with more SRS resources than it is capable of handling.</w:t>
            </w:r>
          </w:p>
        </w:tc>
      </w:tr>
    </w:tbl>
    <w:p w14:paraId="3DB59F5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AEED79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D93A7D" w14:textId="3566F31D" w:rsidR="007C1027" w:rsidRPr="007C1027" w:rsidRDefault="007C1027" w:rsidP="007C1027">
      <w:pPr>
        <w:keepNext/>
        <w:keepLines/>
        <w:spacing w:before="120"/>
        <w:ind w:left="1134" w:hanging="1134"/>
        <w:outlineLvl w:val="2"/>
        <w:rPr>
          <w:rFonts w:ascii="Arial" w:hAnsi="Arial"/>
          <w:color w:val="000000"/>
          <w:sz w:val="28"/>
          <w:lang w:val="x-none"/>
        </w:rPr>
      </w:pPr>
      <w:bookmarkStart w:id="3" w:name="_Toc534727999"/>
      <w:bookmarkStart w:id="4" w:name="_Hlk1654634"/>
      <w:r w:rsidRPr="007C1027">
        <w:rPr>
          <w:rFonts w:ascii="Arial" w:hAnsi="Arial"/>
          <w:color w:val="000000"/>
          <w:sz w:val="28"/>
          <w:lang w:val="x-none"/>
        </w:rPr>
        <w:lastRenderedPageBreak/>
        <w:t>6.2.1</w:t>
      </w:r>
      <w:r w:rsidRPr="007C1027">
        <w:rPr>
          <w:rFonts w:ascii="Arial" w:hAnsi="Arial"/>
          <w:color w:val="000000"/>
          <w:sz w:val="28"/>
          <w:lang w:val="x-none"/>
        </w:rPr>
        <w:tab/>
        <w:t>UE sounding procedure</w:t>
      </w:r>
      <w:bookmarkEnd w:id="3"/>
    </w:p>
    <w:p w14:paraId="28A586E2" w14:textId="0C1BB505" w:rsidR="007C1027" w:rsidRPr="007C1027" w:rsidRDefault="007C1027" w:rsidP="007C1027">
      <w:pPr>
        <w:rPr>
          <w:color w:val="000000"/>
        </w:rPr>
      </w:pPr>
      <w:r w:rsidRPr="007C1027">
        <w:rPr>
          <w:rFonts w:eastAsia="MS Mincho"/>
          <w:color w:val="000000"/>
          <w:lang w:val="en-US" w:eastAsia="ja-JP"/>
        </w:rPr>
        <w:t xml:space="preserve">The </w:t>
      </w:r>
      <w:r w:rsidRPr="007C1027">
        <w:rPr>
          <w:color w:val="000000"/>
        </w:rPr>
        <w:t xml:space="preserve">UE </w:t>
      </w:r>
      <w:ins w:id="5" w:author="Author">
        <w:r w:rsidR="00856692">
          <w:rPr>
            <w:color w:val="000000"/>
          </w:rPr>
          <w:t>may</w:t>
        </w:r>
      </w:ins>
      <w:del w:id="6" w:author="Author">
        <w:r w:rsidRPr="007C1027" w:rsidDel="00856692">
          <w:rPr>
            <w:color w:val="000000"/>
          </w:rPr>
          <w:delText>can</w:delText>
        </w:r>
      </w:del>
      <w:r w:rsidRPr="007C1027">
        <w:rPr>
          <w:color w:val="000000"/>
        </w:rPr>
        <w:t xml:space="preserve"> be configured with one or more Sounding Reference Signal (SRS) resource sets as configured by the higher layer parameter </w:t>
      </w:r>
      <w:r w:rsidRPr="007C1027">
        <w:rPr>
          <w:i/>
          <w:color w:val="000000"/>
        </w:rPr>
        <w:t>SRS-ResourceSet</w:t>
      </w:r>
      <w:r w:rsidRPr="007C1027">
        <w:rPr>
          <w:color w:val="000000"/>
        </w:rPr>
        <w:t>.</w:t>
      </w:r>
      <w:r w:rsidRPr="007C1027">
        <w:rPr>
          <w:rFonts w:eastAsia="MS Mincho"/>
          <w:color w:val="000000"/>
          <w:lang w:val="en-US" w:eastAsia="ja-JP"/>
        </w:rPr>
        <w:t xml:space="preserve"> For each SRS resource set, </w:t>
      </w:r>
      <w:r w:rsidRPr="007C1027">
        <w:rPr>
          <w:color w:val="000000"/>
        </w:rPr>
        <w:t>a</w:t>
      </w:r>
      <w:r w:rsidRPr="007C1027">
        <w:rPr>
          <w:rFonts w:hint="eastAsia"/>
          <w:color w:val="000000"/>
        </w:rPr>
        <w:t xml:space="preserve"> UE may be configured with </w:t>
      </w:r>
      <w:r w:rsidRPr="007C1027">
        <w:rPr>
          <w:color w:val="000000"/>
          <w:position w:val="-4"/>
        </w:rPr>
        <w:object w:dxaOrig="520" w:dyaOrig="240" w14:anchorId="1B5149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3pt;height:11.9pt" o:ole="">
            <v:imagedata r:id="rId14" o:title=""/>
          </v:shape>
          <o:OLEObject Type="Embed" ProgID="Equation.3" ShapeID="_x0000_i1025" DrawAspect="Content" ObjectID="_1612605021" r:id="rId15"/>
        </w:object>
      </w:r>
      <w:r w:rsidRPr="007C1027">
        <w:rPr>
          <w:color w:val="000000"/>
        </w:rPr>
        <w:t xml:space="preserve">SRS resources (higher layer parameter </w:t>
      </w:r>
      <w:r w:rsidRPr="007C1027">
        <w:rPr>
          <w:i/>
          <w:color w:val="000000"/>
        </w:rPr>
        <w:t>SRS-Resource</w:t>
      </w:r>
      <w:r w:rsidRPr="007C1027">
        <w:rPr>
          <w:color w:val="000000"/>
        </w:rPr>
        <w:t xml:space="preserve">), where the maximum value of </w:t>
      </w:r>
      <w:r w:rsidRPr="008E5D55">
        <w:rPr>
          <w:i/>
          <w:color w:val="000000"/>
        </w:rPr>
        <w:t>K</w:t>
      </w:r>
      <w:r w:rsidRPr="007C1027">
        <w:rPr>
          <w:color w:val="000000"/>
        </w:rPr>
        <w:t xml:space="preserve"> is indicated by </w:t>
      </w:r>
      <w:ins w:id="7" w:author="Author">
        <w:r w:rsidR="00856692" w:rsidRPr="00856692">
          <w:rPr>
            <w:i/>
            <w:noProof/>
          </w:rPr>
          <w:t>maxNumberSRS-ResourcePerSet</w:t>
        </w:r>
        <w:r w:rsidR="00856692" w:rsidRPr="007C1027">
          <w:rPr>
            <w:color w:val="000000"/>
          </w:rPr>
          <w:t xml:space="preserve"> </w:t>
        </w:r>
        <w:r w:rsidR="009A42E0">
          <w:rPr>
            <w:color w:val="000000"/>
          </w:rPr>
          <w:t xml:space="preserve">when </w:t>
        </w:r>
        <w:r w:rsidR="009A42E0" w:rsidRPr="006E5370">
          <w:rPr>
            <w:color w:val="000000"/>
          </w:rPr>
          <w:t xml:space="preserve">higher layer parameter </w:t>
        </w:r>
        <w:r w:rsidR="009A42E0" w:rsidRPr="008E5D55">
          <w:rPr>
            <w:i/>
            <w:color w:val="000000"/>
          </w:rPr>
          <w:t>usage</w:t>
        </w:r>
        <w:r w:rsidR="009A42E0" w:rsidRPr="006E5370">
          <w:rPr>
            <w:color w:val="000000"/>
          </w:rPr>
          <w:t xml:space="preserve"> is set to </w:t>
        </w:r>
        <w:r w:rsidR="009A42E0">
          <w:rPr>
            <w:color w:val="000000"/>
          </w:rPr>
          <w:t>‘</w:t>
        </w:r>
        <w:r w:rsidR="009A42E0" w:rsidRPr="006E5370">
          <w:rPr>
            <w:color w:val="000000"/>
          </w:rPr>
          <w:t>codebook</w:t>
        </w:r>
        <w:r w:rsidR="009A42E0">
          <w:rPr>
            <w:color w:val="000000"/>
          </w:rPr>
          <w:t>’ or ‘nonC</w:t>
        </w:r>
        <w:r w:rsidR="009A42E0" w:rsidRPr="006E5370">
          <w:rPr>
            <w:color w:val="000000"/>
          </w:rPr>
          <w:t>odebook</w:t>
        </w:r>
        <w:r w:rsidR="009A42E0">
          <w:rPr>
            <w:color w:val="000000"/>
          </w:rPr>
          <w:t xml:space="preserve">’, and by </w:t>
        </w:r>
        <w:r w:rsidR="009A42E0" w:rsidRPr="008E5D55">
          <w:rPr>
            <w:i/>
            <w:color w:val="000000"/>
          </w:rPr>
          <w:t>uplinkBeamManagement</w:t>
        </w:r>
        <w:r w:rsidR="009A42E0" w:rsidRPr="006E5370" w:rsidDel="00856692">
          <w:rPr>
            <w:color w:val="000000"/>
          </w:rPr>
          <w:t xml:space="preserve"> </w:t>
        </w:r>
        <w:r w:rsidR="009A42E0">
          <w:rPr>
            <w:color w:val="000000"/>
          </w:rPr>
          <w:t xml:space="preserve">when </w:t>
        </w:r>
        <w:r w:rsidR="009A42E0" w:rsidRPr="006E5370">
          <w:rPr>
            <w:color w:val="000000"/>
          </w:rPr>
          <w:t xml:space="preserve">higher layer parameter </w:t>
        </w:r>
        <w:r w:rsidR="009A42E0" w:rsidRPr="004B0DC0">
          <w:rPr>
            <w:i/>
            <w:color w:val="000000"/>
          </w:rPr>
          <w:t>usage</w:t>
        </w:r>
        <w:r w:rsidR="009A42E0" w:rsidRPr="006E5370">
          <w:rPr>
            <w:color w:val="000000"/>
          </w:rPr>
          <w:t xml:space="preserve"> is set to </w:t>
        </w:r>
        <w:r w:rsidR="009A42E0">
          <w:rPr>
            <w:color w:val="000000"/>
          </w:rPr>
          <w:t>‘b</w:t>
        </w:r>
        <w:r w:rsidR="009A42E0" w:rsidRPr="007C1027">
          <w:rPr>
            <w:color w:val="000000"/>
          </w:rPr>
          <w:t>eamManagement</w:t>
        </w:r>
        <w:r w:rsidR="009A42E0">
          <w:rPr>
            <w:color w:val="000000"/>
          </w:rPr>
          <w:t>’</w:t>
        </w:r>
        <w:r w:rsidR="009A42E0" w:rsidRPr="007C1027" w:rsidDel="00856692">
          <w:rPr>
            <w:color w:val="000000"/>
          </w:rPr>
          <w:t xml:space="preserve"> </w:t>
        </w:r>
      </w:ins>
      <w:del w:id="8" w:author="Author">
        <w:r w:rsidRPr="007C1027" w:rsidDel="00856692">
          <w:rPr>
            <w:color w:val="000000"/>
          </w:rPr>
          <w:delText>[</w:delText>
        </w:r>
        <w:r w:rsidRPr="007C1027" w:rsidDel="00856692">
          <w:rPr>
            <w:i/>
            <w:color w:val="000000"/>
          </w:rPr>
          <w:delText xml:space="preserve">SRS_capability </w:delText>
        </w:r>
      </w:del>
      <w:r w:rsidRPr="007C1027">
        <w:rPr>
          <w:color w:val="000000"/>
        </w:rPr>
        <w:t>[13, 38.306]</w:t>
      </w:r>
      <w:del w:id="9" w:author="Author">
        <w:r w:rsidRPr="007C1027" w:rsidDel="00856692">
          <w:rPr>
            <w:color w:val="000000"/>
          </w:rPr>
          <w:delText>]</w:delText>
        </w:r>
      </w:del>
      <w:r w:rsidRPr="007C1027">
        <w:rPr>
          <w:color w:val="000000"/>
        </w:rPr>
        <w:t xml:space="preserve">. The SRS resource set applicability is configured by the higher layer parameter </w:t>
      </w:r>
      <w:r w:rsidRPr="007C1027">
        <w:rPr>
          <w:i/>
          <w:color w:val="000000"/>
        </w:rPr>
        <w:t xml:space="preserve">usage </w:t>
      </w:r>
      <w:r w:rsidRPr="007C1027">
        <w:rPr>
          <w:color w:val="000000"/>
        </w:rPr>
        <w:t>in</w:t>
      </w:r>
      <w:r w:rsidRPr="007C1027">
        <w:rPr>
          <w:i/>
          <w:color w:val="000000"/>
        </w:rPr>
        <w:t xml:space="preserve"> SRS-ResourceSet.</w:t>
      </w:r>
      <w:r w:rsidRPr="007C1027">
        <w:rPr>
          <w:color w:val="000000"/>
        </w:rPr>
        <w:t xml:space="preserve"> When the higher layer parameter</w:t>
      </w:r>
      <w:r w:rsidRPr="007C1027">
        <w:rPr>
          <w:i/>
          <w:color w:val="000000"/>
        </w:rPr>
        <w:t xml:space="preserve"> usage </w:t>
      </w:r>
      <w:r w:rsidRPr="007C1027">
        <w:rPr>
          <w:color w:val="000000"/>
        </w:rPr>
        <w:t>is set to '</w:t>
      </w:r>
      <w:ins w:id="10" w:author="Author">
        <w:r w:rsidR="009A42E0">
          <w:rPr>
            <w:color w:val="000000"/>
          </w:rPr>
          <w:t>b</w:t>
        </w:r>
      </w:ins>
      <w:del w:id="11" w:author="Author">
        <w:r w:rsidRPr="007C1027" w:rsidDel="009A42E0">
          <w:rPr>
            <w:color w:val="000000"/>
          </w:rPr>
          <w:delText>B</w:delText>
        </w:r>
      </w:del>
      <w:r w:rsidRPr="007C1027">
        <w:rPr>
          <w:color w:val="000000"/>
        </w:rPr>
        <w:t>eamManagement'</w:t>
      </w:r>
      <w:r w:rsidRPr="007C1027">
        <w:rPr>
          <w:i/>
          <w:color w:val="000000"/>
        </w:rPr>
        <w:t xml:space="preserve">, </w:t>
      </w:r>
      <w:r w:rsidRPr="007C1027">
        <w:rPr>
          <w:color w:val="000000"/>
        </w:rPr>
        <w:t xml:space="preserve">only one SRS resource in each of multiple SRS sets </w:t>
      </w:r>
      <w:ins w:id="12" w:author="Author">
        <w:r w:rsidR="002C6A21">
          <w:rPr>
            <w:color w:val="000000"/>
          </w:rPr>
          <w:t>may</w:t>
        </w:r>
      </w:ins>
      <w:del w:id="13" w:author="Author">
        <w:r w:rsidRPr="007C1027" w:rsidDel="002C6A21">
          <w:rPr>
            <w:color w:val="000000"/>
          </w:rPr>
          <w:delText>can</w:delText>
        </w:r>
      </w:del>
      <w:r w:rsidRPr="007C1027">
        <w:rPr>
          <w:color w:val="000000"/>
        </w:rPr>
        <w:t xml:space="preserve"> be transmitted at a given time instant,</w:t>
      </w:r>
      <w:ins w:id="14" w:author="Author">
        <w:r w:rsidR="00F1058D">
          <w:rPr>
            <w:color w:val="000000"/>
          </w:rPr>
          <w:t xml:space="preserve"> but</w:t>
        </w:r>
      </w:ins>
      <w:r w:rsidRPr="007C1027">
        <w:rPr>
          <w:color w:val="000000"/>
        </w:rPr>
        <w:t xml:space="preserve"> the SRS resources in different SRS resource sets with the same time domain behaviour in the same BWP </w:t>
      </w:r>
      <w:ins w:id="15" w:author="Author">
        <w:r w:rsidR="002C6A21">
          <w:rPr>
            <w:color w:val="000000"/>
          </w:rPr>
          <w:t>may</w:t>
        </w:r>
      </w:ins>
      <w:del w:id="16" w:author="Author">
        <w:r w:rsidRPr="007C1027" w:rsidDel="002C6A21">
          <w:rPr>
            <w:color w:val="000000"/>
          </w:rPr>
          <w:delText>can</w:delText>
        </w:r>
      </w:del>
      <w:r w:rsidRPr="007C1027">
        <w:rPr>
          <w:color w:val="000000"/>
        </w:rPr>
        <w:t xml:space="preserve"> be transmitted simultaneously.</w:t>
      </w:r>
    </w:p>
    <w:p w14:paraId="71344BCA" w14:textId="77777777" w:rsidR="007C1027" w:rsidRPr="007C1027" w:rsidRDefault="007C1027" w:rsidP="007C1027">
      <w:pPr>
        <w:rPr>
          <w:color w:val="000000"/>
          <w:lang w:val="en-US"/>
        </w:rPr>
      </w:pPr>
      <w:r w:rsidRPr="007C1027">
        <w:rPr>
          <w:color w:val="000000"/>
          <w:lang w:val="en-US"/>
        </w:rPr>
        <w:t>For aperiodic SRS at least one state of the DCI field is used to select at least one out of the configured SRS resource set(s).</w:t>
      </w:r>
    </w:p>
    <w:p w14:paraId="7E4C78DB" w14:textId="77777777" w:rsidR="007C1027" w:rsidRPr="007C1027" w:rsidRDefault="007C1027" w:rsidP="007C1027">
      <w:pPr>
        <w:rPr>
          <w:color w:val="000000"/>
          <w:lang w:val="en-US"/>
        </w:rPr>
      </w:pPr>
      <w:r w:rsidRPr="007C1027">
        <w:rPr>
          <w:color w:val="000000"/>
          <w:lang w:val="en-US"/>
        </w:rPr>
        <w:t xml:space="preserve">The following SRS parameters are semi-statically configurable by higher layer parameter </w:t>
      </w:r>
      <w:r w:rsidRPr="007C1027">
        <w:rPr>
          <w:i/>
        </w:rPr>
        <w:t>SRS-Resource</w:t>
      </w:r>
      <w:r w:rsidRPr="007C1027">
        <w:rPr>
          <w:color w:val="000000"/>
          <w:lang w:val="en-US"/>
        </w:rPr>
        <w:t>.</w:t>
      </w:r>
    </w:p>
    <w:p w14:paraId="56C56484" w14:textId="619BE9D8" w:rsidR="007C1027" w:rsidRPr="007C1027" w:rsidRDefault="007C1027" w:rsidP="007C1027">
      <w:pPr>
        <w:ind w:left="568" w:hanging="284"/>
        <w:rPr>
          <w:rFonts w:eastAsia="MS Mincho"/>
          <w:iCs/>
          <w:color w:val="000000"/>
          <w:lang w:val="en-US" w:eastAsia="ja-JP"/>
        </w:rPr>
      </w:pPr>
      <w:r w:rsidRPr="007C1027">
        <w:rPr>
          <w:rFonts w:eastAsia="MS Mincho"/>
          <w:iCs/>
          <w:color w:val="000000"/>
          <w:lang w:val="en-US" w:eastAsia="ja-JP"/>
        </w:rPr>
        <w:t>-</w:t>
      </w:r>
      <w:r w:rsidRPr="007C1027">
        <w:rPr>
          <w:rFonts w:eastAsia="MS Mincho"/>
          <w:iCs/>
          <w:color w:val="000000"/>
          <w:lang w:val="en-US" w:eastAsia="ja-JP"/>
        </w:rPr>
        <w:tab/>
      </w:r>
      <w:r w:rsidRPr="007C1027">
        <w:rPr>
          <w:rFonts w:eastAsia="MS Mincho"/>
          <w:i/>
          <w:iCs/>
          <w:color w:val="000000"/>
          <w:lang w:val="en-US" w:eastAsia="ja-JP"/>
        </w:rPr>
        <w:t>srs-ResourceId</w:t>
      </w:r>
      <w:r w:rsidRPr="007C1027">
        <w:rPr>
          <w:rFonts w:eastAsia="MS Mincho"/>
          <w:i/>
          <w:color w:val="000000"/>
          <w:lang w:val="en-US" w:eastAsia="ja-JP"/>
        </w:rPr>
        <w:t xml:space="preserve"> </w:t>
      </w:r>
      <w:r w:rsidRPr="007C1027">
        <w:rPr>
          <w:rFonts w:eastAsia="MS Mincho"/>
          <w:iCs/>
          <w:color w:val="000000"/>
          <w:lang w:val="en-US" w:eastAsia="ja-JP"/>
        </w:rPr>
        <w:t>determines SRS resource configuration identi</w:t>
      </w:r>
      <w:ins w:id="17" w:author="Author">
        <w:r w:rsidR="009A42E0">
          <w:rPr>
            <w:rFonts w:eastAsia="MS Mincho"/>
            <w:iCs/>
            <w:color w:val="000000"/>
            <w:lang w:val="en-US" w:eastAsia="ja-JP"/>
          </w:rPr>
          <w:t>t</w:t>
        </w:r>
      </w:ins>
      <w:del w:id="18" w:author="Author">
        <w:r w:rsidRPr="007C1027" w:rsidDel="009A42E0">
          <w:rPr>
            <w:rFonts w:eastAsia="MS Mincho"/>
            <w:iCs/>
            <w:color w:val="000000"/>
            <w:lang w:val="en-US" w:eastAsia="ja-JP"/>
          </w:rPr>
          <w:delText>f</w:delText>
        </w:r>
      </w:del>
      <w:r w:rsidRPr="007C1027">
        <w:rPr>
          <w:rFonts w:eastAsia="MS Mincho"/>
          <w:iCs/>
          <w:color w:val="000000"/>
          <w:lang w:val="en-US" w:eastAsia="ja-JP"/>
        </w:rPr>
        <w:t>y.</w:t>
      </w:r>
      <w:bookmarkEnd w:id="4"/>
    </w:p>
    <w:p w14:paraId="6DADF8A3" w14:textId="77777777" w:rsidR="007C1027" w:rsidRPr="007C1027" w:rsidRDefault="007C1027" w:rsidP="007C1027">
      <w:pPr>
        <w:ind w:left="568" w:hanging="284"/>
        <w:rPr>
          <w:color w:val="000000"/>
          <w:lang w:val="x-none"/>
        </w:rPr>
      </w:pPr>
      <w:r w:rsidRPr="007C1027">
        <w:rPr>
          <w:rFonts w:eastAsia="MS Mincho"/>
          <w:iCs/>
          <w:color w:val="000000"/>
          <w:lang w:val="en-US" w:eastAsia="ja-JP"/>
        </w:rPr>
        <w:t>-</w:t>
      </w:r>
      <w:r w:rsidRPr="007C1027">
        <w:rPr>
          <w:rFonts w:eastAsia="MS Mincho"/>
          <w:iCs/>
          <w:color w:val="000000"/>
          <w:lang w:val="en-US" w:eastAsia="ja-JP"/>
        </w:rPr>
        <w:tab/>
      </w:r>
      <w:r w:rsidRPr="007C1027">
        <w:rPr>
          <w:color w:val="000000"/>
          <w:lang w:val="x-none"/>
        </w:rPr>
        <w:t xml:space="preserve">Number of SRS ports as defined by the higher layer parameter </w:t>
      </w:r>
      <w:bookmarkStart w:id="19" w:name="_Hlk512512251"/>
      <w:proofErr w:type="spellStart"/>
      <w:r w:rsidRPr="007C1027">
        <w:rPr>
          <w:i/>
          <w:lang w:val="x-none"/>
        </w:rPr>
        <w:t>nrofSRS</w:t>
      </w:r>
      <w:proofErr w:type="spellEnd"/>
      <w:r w:rsidRPr="007C1027">
        <w:rPr>
          <w:i/>
          <w:lang w:val="x-none"/>
        </w:rPr>
        <w:t>-Ports</w:t>
      </w:r>
      <w:bookmarkEnd w:id="19"/>
      <w:r w:rsidRPr="007C1027">
        <w:t xml:space="preserve"> and described</w:t>
      </w:r>
      <w:r w:rsidRPr="007C1027">
        <w:rPr>
          <w:color w:val="000000"/>
          <w:lang w:val="x-none"/>
        </w:rPr>
        <w:t xml:space="preserve"> in Subclause 6.4.1.4 of [4, TS 38.211].</w:t>
      </w:r>
    </w:p>
    <w:p w14:paraId="46287981" w14:textId="77777777" w:rsidR="007C1027" w:rsidRPr="007C1027" w:rsidRDefault="007C1027" w:rsidP="007C1027">
      <w:pPr>
        <w:ind w:left="568" w:hanging="284"/>
        <w:rPr>
          <w:color w:val="000000"/>
          <w:lang w:val="x-none"/>
        </w:rPr>
      </w:pPr>
      <w:r w:rsidRPr="007C1027">
        <w:rPr>
          <w:i/>
          <w:color w:val="000000"/>
          <w:sz w:val="19"/>
          <w:szCs w:val="19"/>
          <w:lang w:val="x-none"/>
        </w:rPr>
        <w:t>-</w:t>
      </w:r>
      <w:r w:rsidRPr="007C1027">
        <w:rPr>
          <w:i/>
          <w:color w:val="000000"/>
          <w:sz w:val="19"/>
          <w:szCs w:val="19"/>
          <w:lang w:val="x-none"/>
        </w:rPr>
        <w:tab/>
      </w:r>
      <w:r w:rsidRPr="007C1027">
        <w:rPr>
          <w:color w:val="000000"/>
          <w:lang w:val="x-none"/>
        </w:rPr>
        <w:t xml:space="preserve">Time domain behaviour of SRS resource configuration as indicated by the higher layer parameter </w:t>
      </w:r>
      <w:proofErr w:type="spellStart"/>
      <w:r w:rsidRPr="007C1027">
        <w:rPr>
          <w:i/>
          <w:color w:val="000000"/>
          <w:lang w:val="x-none"/>
        </w:rPr>
        <w:t>resourceType</w:t>
      </w:r>
      <w:proofErr w:type="spellEnd"/>
      <w:r w:rsidRPr="007C1027">
        <w:rPr>
          <w:color w:val="000000"/>
          <w:lang w:val="x-none"/>
        </w:rPr>
        <w:t xml:space="preserve">, which </w:t>
      </w:r>
      <w:ins w:id="20" w:author="Author">
        <w:r w:rsidR="00856692">
          <w:rPr>
            <w:color w:val="000000"/>
          </w:rPr>
          <w:t>may</w:t>
        </w:r>
      </w:ins>
      <w:del w:id="21" w:author="Author">
        <w:r w:rsidRPr="007C1027" w:rsidDel="00856692">
          <w:rPr>
            <w:color w:val="000000"/>
            <w:lang w:val="x-none"/>
          </w:rPr>
          <w:delText>can</w:delText>
        </w:r>
      </w:del>
      <w:r w:rsidRPr="007C1027">
        <w:rPr>
          <w:color w:val="000000"/>
          <w:lang w:val="x-none"/>
        </w:rPr>
        <w:t xml:space="preserve"> be periodic, semi-persistent, aperiodic SRS transmission as defined in Subclause 6.4.1.4 of [4, TS 38.211].</w:t>
      </w:r>
    </w:p>
    <w:p w14:paraId="19CA201C" w14:textId="77777777" w:rsidR="007C1027" w:rsidRPr="007C1027" w:rsidRDefault="007C1027" w:rsidP="007C1027">
      <w:pPr>
        <w:ind w:left="568" w:hanging="284"/>
        <w:rPr>
          <w:color w:val="000000"/>
        </w:rPr>
      </w:pPr>
      <w:r w:rsidRPr="007C1027">
        <w:rPr>
          <w:color w:val="000000"/>
          <w:lang w:val="x-none"/>
        </w:rPr>
        <w:t>-</w:t>
      </w:r>
      <w:r w:rsidRPr="007C1027">
        <w:rPr>
          <w:color w:val="000000"/>
          <w:lang w:val="x-none"/>
        </w:rPr>
        <w:tab/>
        <w:t>Slot level periodicity and slot level offset as defined by the higher layer parameter</w:t>
      </w:r>
      <w:r w:rsidRPr="007C1027">
        <w:rPr>
          <w:color w:val="000000"/>
        </w:rPr>
        <w:t>s</w:t>
      </w:r>
      <w:r w:rsidRPr="007C1027">
        <w:rPr>
          <w:color w:val="000000"/>
          <w:lang w:val="x-none"/>
        </w:rPr>
        <w:t xml:space="preserve"> </w:t>
      </w:r>
      <w:proofErr w:type="spellStart"/>
      <w:r w:rsidRPr="007C1027">
        <w:rPr>
          <w:i/>
          <w:color w:val="000000"/>
          <w:lang w:val="x-none"/>
        </w:rPr>
        <w:t>periodicityAndOffset</w:t>
      </w:r>
      <w:proofErr w:type="spellEnd"/>
      <w:r w:rsidRPr="007C1027">
        <w:rPr>
          <w:i/>
          <w:color w:val="000000"/>
          <w:lang w:val="x-none"/>
        </w:rPr>
        <w:t xml:space="preserve">-p </w:t>
      </w:r>
      <w:r w:rsidRPr="007C1027">
        <w:rPr>
          <w:color w:val="000000"/>
        </w:rPr>
        <w:t>or</w:t>
      </w:r>
      <w:r w:rsidRPr="007C1027">
        <w:rPr>
          <w:i/>
          <w:color w:val="000000"/>
        </w:rPr>
        <w:t xml:space="preserve"> </w:t>
      </w:r>
      <w:proofErr w:type="spellStart"/>
      <w:r w:rsidRPr="007C1027">
        <w:rPr>
          <w:i/>
          <w:lang w:val="x-none"/>
        </w:rPr>
        <w:t>periodicityAndOffset</w:t>
      </w:r>
      <w:proofErr w:type="spellEnd"/>
      <w:r w:rsidRPr="007C1027">
        <w:rPr>
          <w:i/>
          <w:lang w:val="x-none"/>
        </w:rPr>
        <w:t>-</w:t>
      </w:r>
      <w:r w:rsidRPr="007C1027">
        <w:rPr>
          <w:i/>
        </w:rPr>
        <w:t>s</w:t>
      </w:r>
      <w:r w:rsidRPr="007C1027">
        <w:rPr>
          <w:i/>
          <w:lang w:val="x-none"/>
        </w:rPr>
        <w:t>p</w:t>
      </w:r>
      <w:r w:rsidRPr="007C1027" w:rsidDel="007D4A7A">
        <w:rPr>
          <w:i/>
          <w:color w:val="000000"/>
          <w:lang w:val="x-none"/>
        </w:rPr>
        <w:t xml:space="preserve"> </w:t>
      </w:r>
      <w:r w:rsidRPr="007C1027">
        <w:rPr>
          <w:color w:val="000000"/>
          <w:lang w:val="x-none"/>
        </w:rPr>
        <w:t>for an SRS resource of type periodic or semi-persistent.</w:t>
      </w:r>
      <w:r w:rsidRPr="007C1027">
        <w:rPr>
          <w:color w:val="000000"/>
        </w:rPr>
        <w:t xml:space="preserve"> The UE </w:t>
      </w:r>
      <w:ins w:id="22" w:author="Author">
        <w:r w:rsidR="0008538B">
          <w:rPr>
            <w:color w:val="000000"/>
          </w:rPr>
          <w:t xml:space="preserve">is not expected </w:t>
        </w:r>
      </w:ins>
      <w:del w:id="23" w:author="Author">
        <w:r w:rsidRPr="007C1027" w:rsidDel="0008538B">
          <w:rPr>
            <w:color w:val="000000"/>
          </w:rPr>
          <w:delText xml:space="preserve">shall not expect </w:delText>
        </w:r>
      </w:del>
      <w:r w:rsidRPr="007C1027">
        <w:rPr>
          <w:color w:val="000000"/>
        </w:rPr>
        <w:t xml:space="preserve">to be configured with SRS resources in the same SRS resource set </w:t>
      </w:r>
      <w:r w:rsidRPr="007C1027">
        <w:rPr>
          <w:i/>
          <w:color w:val="000000"/>
        </w:rPr>
        <w:t>SRS-</w:t>
      </w:r>
      <w:proofErr w:type="spellStart"/>
      <w:r w:rsidRPr="007C1027">
        <w:rPr>
          <w:i/>
          <w:color w:val="000000"/>
        </w:rPr>
        <w:t>ResourceSet</w:t>
      </w:r>
      <w:proofErr w:type="spellEnd"/>
      <w:r w:rsidRPr="007C1027">
        <w:rPr>
          <w:color w:val="000000"/>
        </w:rPr>
        <w:t xml:space="preserve"> with different slot level periodicities. For an </w:t>
      </w:r>
      <w:r w:rsidRPr="007C1027">
        <w:rPr>
          <w:i/>
          <w:color w:val="000000"/>
        </w:rPr>
        <w:t>SRS-</w:t>
      </w:r>
      <w:proofErr w:type="spellStart"/>
      <w:r w:rsidRPr="007C1027">
        <w:rPr>
          <w:i/>
          <w:color w:val="000000"/>
        </w:rPr>
        <w:t>ResourceSet</w:t>
      </w:r>
      <w:proofErr w:type="spellEnd"/>
      <w:r w:rsidRPr="007C1027">
        <w:rPr>
          <w:color w:val="000000"/>
        </w:rPr>
        <w:t xml:space="preserve"> configured with higher layer parameter </w:t>
      </w:r>
      <w:proofErr w:type="spellStart"/>
      <w:r w:rsidRPr="007C1027">
        <w:rPr>
          <w:i/>
          <w:color w:val="000000"/>
        </w:rPr>
        <w:t>resourceType</w:t>
      </w:r>
      <w:proofErr w:type="spellEnd"/>
      <w:r w:rsidRPr="007C1027">
        <w:rPr>
          <w:color w:val="000000"/>
        </w:rPr>
        <w:t xml:space="preserve"> set to 'aperiodic', a slot level offset is defined by the higher layer parameter </w:t>
      </w:r>
      <w:proofErr w:type="spellStart"/>
      <w:r w:rsidRPr="007C1027">
        <w:rPr>
          <w:i/>
          <w:color w:val="000000"/>
        </w:rPr>
        <w:t>slotOffset</w:t>
      </w:r>
      <w:proofErr w:type="spellEnd"/>
      <w:r w:rsidRPr="007C1027">
        <w:rPr>
          <w:color w:val="000000"/>
        </w:rPr>
        <w:t>.</w:t>
      </w:r>
    </w:p>
    <w:p w14:paraId="7A3E8844" w14:textId="77777777" w:rsidR="007C1027" w:rsidRPr="007C1027" w:rsidRDefault="007C1027" w:rsidP="007C1027">
      <w:pPr>
        <w:ind w:left="568" w:hanging="284"/>
        <w:rPr>
          <w:lang w:val="x-none"/>
        </w:rPr>
      </w:pPr>
      <w:r w:rsidRPr="007C1027">
        <w:rPr>
          <w:lang w:val="x-none"/>
        </w:rPr>
        <w:t>-</w:t>
      </w:r>
      <w:r w:rsidRPr="007C1027">
        <w:rPr>
          <w:lang w:val="x-none"/>
        </w:rPr>
        <w:tab/>
        <w:t xml:space="preserve">Number of OFDM symbols in the SRS resource, starting OFDM symbol of the SRS resource within a slot including repetition factor R as defined by the higher layer parameter </w:t>
      </w:r>
      <w:proofErr w:type="spellStart"/>
      <w:r w:rsidRPr="007C1027">
        <w:rPr>
          <w:i/>
          <w:lang w:val="x-none"/>
        </w:rPr>
        <w:t>resourceMapping</w:t>
      </w:r>
      <w:proofErr w:type="spellEnd"/>
      <w:r w:rsidRPr="007C1027" w:rsidDel="007D4A7A">
        <w:t xml:space="preserve"> </w:t>
      </w:r>
      <w:r w:rsidRPr="007C1027">
        <w:t>and described</w:t>
      </w:r>
      <w:r w:rsidRPr="007C1027">
        <w:rPr>
          <w:lang w:val="x-none"/>
        </w:rPr>
        <w:t xml:space="preserve"> in Subclause 6.4.1.4 of [4, TS 38.211].</w:t>
      </w:r>
    </w:p>
    <w:p w14:paraId="4BFE9E73" w14:textId="77777777" w:rsidR="007C1027" w:rsidRPr="007C1027" w:rsidRDefault="007C1027" w:rsidP="007C1027">
      <w:pPr>
        <w:ind w:left="568" w:hanging="284"/>
        <w:rPr>
          <w:color w:val="000000"/>
          <w:lang w:val="x-none"/>
        </w:rPr>
      </w:pPr>
      <w:r w:rsidRPr="007C1027">
        <w:rPr>
          <w:color w:val="000000"/>
          <w:lang w:val="x-none"/>
        </w:rPr>
        <w:t>-</w:t>
      </w:r>
      <w:r w:rsidRPr="007C1027">
        <w:rPr>
          <w:color w:val="000000"/>
          <w:lang w:val="x-none"/>
        </w:rPr>
        <w:tab/>
      </w:r>
      <w:bookmarkStart w:id="24" w:name="_Hlk496600036"/>
      <w:r w:rsidRPr="007C1027">
        <w:rPr>
          <w:rFonts w:hint="eastAsia"/>
          <w:color w:val="000000"/>
          <w:lang w:val="x-none"/>
        </w:rPr>
        <w:t>SRS bandwidth</w:t>
      </w:r>
      <w:r w:rsidRPr="007C1027">
        <w:rPr>
          <w:color w:val="000000"/>
          <w:lang w:val="x-none"/>
        </w:rPr>
        <w:t xml:space="preserve"> </w:t>
      </w:r>
      <w:r w:rsidRPr="007C1027">
        <w:rPr>
          <w:color w:val="000000"/>
          <w:position w:val="-10"/>
          <w:lang w:val="x-none"/>
        </w:rPr>
        <w:object w:dxaOrig="460" w:dyaOrig="300" w14:anchorId="18880FCB">
          <v:shape id="_x0000_i1026" type="#_x0000_t75" style="width:23.15pt;height:15.65pt" o:ole="">
            <v:imagedata r:id="rId16" o:title=""/>
          </v:shape>
          <o:OLEObject Type="Embed" ProgID="Equation.3" ShapeID="_x0000_i1026" DrawAspect="Content" ObjectID="_1612605022" r:id="rId17"/>
        </w:object>
      </w:r>
      <w:r w:rsidRPr="007C1027">
        <w:rPr>
          <w:color w:val="000000"/>
          <w:lang w:val="x-none"/>
        </w:rPr>
        <w:t>and</w:t>
      </w:r>
      <w:bookmarkEnd w:id="24"/>
      <w:r w:rsidRPr="007C1027">
        <w:rPr>
          <w:color w:val="000000"/>
          <w:lang w:val="x-none"/>
        </w:rPr>
        <w:t xml:space="preserve"> </w:t>
      </w:r>
      <w:r w:rsidRPr="007C1027">
        <w:rPr>
          <w:color w:val="000000"/>
          <w:position w:val="-10"/>
          <w:lang w:val="x-none"/>
        </w:rPr>
        <w:object w:dxaOrig="460" w:dyaOrig="300" w14:anchorId="36D29093">
          <v:shape id="_x0000_i1027" type="#_x0000_t75" style="width:23.15pt;height:15.65pt" o:ole="">
            <v:imagedata r:id="rId18" o:title=""/>
          </v:shape>
          <o:OLEObject Type="Embed" ProgID="Equation.3" ShapeID="_x0000_i1027" DrawAspect="Content" ObjectID="_1612605023" r:id="rId19"/>
        </w:object>
      </w:r>
      <w:r w:rsidRPr="007C1027">
        <w:rPr>
          <w:color w:val="000000"/>
          <w:lang w:val="x-none"/>
        </w:rPr>
        <w:t xml:space="preserve">, as defined by the higher layer parameter </w:t>
      </w:r>
      <w:proofErr w:type="spellStart"/>
      <w:r w:rsidRPr="007C1027">
        <w:rPr>
          <w:i/>
          <w:lang w:val="x-none"/>
        </w:rPr>
        <w:t>freqHopping</w:t>
      </w:r>
      <w:proofErr w:type="spellEnd"/>
      <w:r w:rsidRPr="007C1027">
        <w:rPr>
          <w:color w:val="000000"/>
          <w:lang w:val="x-none"/>
        </w:rPr>
        <w:t xml:space="preserve"> </w:t>
      </w:r>
      <w:r w:rsidRPr="007C1027">
        <w:rPr>
          <w:color w:val="000000"/>
        </w:rPr>
        <w:t xml:space="preserve">and described </w:t>
      </w:r>
      <w:r w:rsidRPr="007C1027">
        <w:rPr>
          <w:color w:val="000000"/>
          <w:lang w:val="x-none"/>
        </w:rPr>
        <w:t>in Subclause 6.4.1.4 of [4, TS 38.211].</w:t>
      </w:r>
    </w:p>
    <w:p w14:paraId="02118476" w14:textId="77777777" w:rsidR="007C1027" w:rsidRPr="007C1027" w:rsidRDefault="007C1027" w:rsidP="007C1027">
      <w:pPr>
        <w:ind w:left="568" w:hanging="284"/>
        <w:rPr>
          <w:color w:val="000000"/>
          <w:lang w:val="x-none"/>
        </w:rPr>
      </w:pPr>
      <w:r w:rsidRPr="007C1027">
        <w:rPr>
          <w:color w:val="000000"/>
          <w:lang w:val="x-none"/>
        </w:rPr>
        <w:t>-</w:t>
      </w:r>
      <w:r w:rsidRPr="007C1027">
        <w:rPr>
          <w:color w:val="000000"/>
          <w:lang w:val="x-none"/>
        </w:rPr>
        <w:tab/>
        <w:t xml:space="preserve">Frequency hopping bandwidth, </w:t>
      </w:r>
      <w:r w:rsidRPr="007C1027">
        <w:rPr>
          <w:color w:val="000000"/>
          <w:position w:val="-14"/>
          <w:lang w:val="x-none"/>
        </w:rPr>
        <w:object w:dxaOrig="380" w:dyaOrig="340" w14:anchorId="47012939">
          <v:shape id="_x0000_i1028" type="#_x0000_t75" style="width:19.4pt;height:17.55pt" o:ole="">
            <v:imagedata r:id="rId20" o:title=""/>
          </v:shape>
          <o:OLEObject Type="Embed" ProgID="Equation.3" ShapeID="_x0000_i1028" DrawAspect="Content" ObjectID="_1612605024" r:id="rId21"/>
        </w:object>
      </w:r>
      <w:r w:rsidRPr="007C1027">
        <w:rPr>
          <w:color w:val="000000"/>
          <w:lang w:val="x-none"/>
        </w:rPr>
        <w:t xml:space="preserve">, as defined by the higher layer parameter </w:t>
      </w:r>
      <w:proofErr w:type="spellStart"/>
      <w:r w:rsidRPr="007C1027">
        <w:rPr>
          <w:i/>
          <w:lang w:val="x-none"/>
        </w:rPr>
        <w:t>freqHopping</w:t>
      </w:r>
      <w:proofErr w:type="spellEnd"/>
      <w:r w:rsidRPr="007C1027" w:rsidDel="001C3A27">
        <w:rPr>
          <w:i/>
          <w:color w:val="000000"/>
          <w:lang w:val="x-none"/>
        </w:rPr>
        <w:t xml:space="preserve"> </w:t>
      </w:r>
      <w:r w:rsidRPr="007C1027">
        <w:t>and described</w:t>
      </w:r>
      <w:r w:rsidRPr="007C1027">
        <w:rPr>
          <w:color w:val="000000"/>
          <w:lang w:val="x-none"/>
        </w:rPr>
        <w:t xml:space="preserve"> in Subclause 6.4.1.4 of [4, TS 38.211].</w:t>
      </w:r>
    </w:p>
    <w:p w14:paraId="75135ECF" w14:textId="77777777" w:rsidR="007C1027" w:rsidRPr="007C1027" w:rsidRDefault="007C1027" w:rsidP="007C1027">
      <w:pPr>
        <w:ind w:left="568" w:hanging="284"/>
        <w:rPr>
          <w:color w:val="000000"/>
          <w:lang w:val="x-none"/>
        </w:rPr>
      </w:pPr>
      <w:r w:rsidRPr="007C1027">
        <w:rPr>
          <w:color w:val="000000"/>
          <w:lang w:val="x-none"/>
        </w:rPr>
        <w:t>-</w:t>
      </w:r>
      <w:r w:rsidRPr="007C1027">
        <w:rPr>
          <w:color w:val="000000"/>
          <w:lang w:val="x-none"/>
        </w:rPr>
        <w:tab/>
        <w:t>Defining frequency domain position and configurable shift, as defined by the higher layer parameter</w:t>
      </w:r>
      <w:r w:rsidRPr="007C1027">
        <w:rPr>
          <w:color w:val="000000"/>
          <w:lang w:val="en-US"/>
        </w:rPr>
        <w:t>s</w:t>
      </w:r>
      <w:r w:rsidRPr="007C1027">
        <w:rPr>
          <w:color w:val="000000"/>
          <w:lang w:val="x-none"/>
        </w:rPr>
        <w:t xml:space="preserve"> </w:t>
      </w:r>
      <w:proofErr w:type="spellStart"/>
      <w:r w:rsidRPr="007C1027">
        <w:rPr>
          <w:i/>
          <w:color w:val="000000"/>
          <w:lang w:val="x-none"/>
        </w:rPr>
        <w:t>freqDomainPosition</w:t>
      </w:r>
      <w:proofErr w:type="spellEnd"/>
      <w:r w:rsidRPr="007C1027" w:rsidDel="001C3A27">
        <w:rPr>
          <w:i/>
          <w:color w:val="000000"/>
          <w:lang w:val="x-none"/>
        </w:rPr>
        <w:t xml:space="preserve"> </w:t>
      </w:r>
      <w:r w:rsidRPr="007C1027">
        <w:rPr>
          <w:color w:val="000000"/>
        </w:rPr>
        <w:t>and</w:t>
      </w:r>
      <w:r w:rsidRPr="007C1027">
        <w:rPr>
          <w:i/>
          <w:color w:val="000000"/>
        </w:rPr>
        <w:t xml:space="preserve"> </w:t>
      </w:r>
      <w:proofErr w:type="spellStart"/>
      <w:r w:rsidRPr="007C1027">
        <w:rPr>
          <w:i/>
          <w:lang w:val="x-none"/>
        </w:rPr>
        <w:t>freqDomainShift</w:t>
      </w:r>
      <w:proofErr w:type="spellEnd"/>
      <w:r w:rsidRPr="007C1027">
        <w:rPr>
          <w:i/>
        </w:rPr>
        <w:t>, respectively,</w:t>
      </w:r>
      <w:r w:rsidRPr="007C1027" w:rsidDel="001C3A27">
        <w:rPr>
          <w:i/>
          <w:color w:val="000000"/>
          <w:lang w:val="x-none"/>
        </w:rPr>
        <w:t xml:space="preserve"> </w:t>
      </w:r>
      <w:r w:rsidRPr="007C1027">
        <w:rPr>
          <w:color w:val="000000"/>
        </w:rPr>
        <w:t xml:space="preserve">and described </w:t>
      </w:r>
      <w:r w:rsidRPr="007C1027">
        <w:rPr>
          <w:color w:val="000000"/>
          <w:lang w:val="x-none"/>
        </w:rPr>
        <w:t>in Subclause 6.4.1.4 of [4, TS 38.211].</w:t>
      </w:r>
    </w:p>
    <w:p w14:paraId="03291108" w14:textId="77777777" w:rsidR="007C1027" w:rsidRPr="007C1027" w:rsidRDefault="007C1027" w:rsidP="007C1027">
      <w:pPr>
        <w:ind w:left="568" w:hanging="284"/>
        <w:rPr>
          <w:color w:val="000000"/>
          <w:lang w:val="x-none"/>
        </w:rPr>
      </w:pPr>
      <w:r w:rsidRPr="007C1027">
        <w:rPr>
          <w:color w:val="000000"/>
          <w:lang w:val="x-none"/>
        </w:rPr>
        <w:t>-</w:t>
      </w:r>
      <w:r w:rsidRPr="007C1027">
        <w:rPr>
          <w:color w:val="000000"/>
          <w:lang w:val="x-none"/>
        </w:rPr>
        <w:tab/>
        <w:t xml:space="preserve">Cyclic shift, as defined by the higher layer parameter </w:t>
      </w:r>
      <w:r w:rsidRPr="007C1027">
        <w:rPr>
          <w:i/>
          <w:lang w:val="x-none"/>
        </w:rPr>
        <w:t>cyclicShift-n2</w:t>
      </w:r>
      <w:r w:rsidRPr="007C1027">
        <w:t xml:space="preserve"> or </w:t>
      </w:r>
      <w:r w:rsidRPr="007C1027">
        <w:rPr>
          <w:i/>
          <w:lang w:val="x-none"/>
        </w:rPr>
        <w:t>cyclicShift-n4</w:t>
      </w:r>
      <w:r w:rsidRPr="007C1027">
        <w:rPr>
          <w:color w:val="000000"/>
          <w:lang w:val="x-none"/>
        </w:rPr>
        <w:t xml:space="preserve"> </w:t>
      </w:r>
      <w:r w:rsidRPr="007C1027">
        <w:rPr>
          <w:color w:val="000000"/>
        </w:rPr>
        <w:t>for transmission comb value 2 and 4, respectively, and described</w:t>
      </w:r>
      <w:r w:rsidRPr="007C1027">
        <w:rPr>
          <w:color w:val="000000"/>
          <w:lang w:val="x-none"/>
        </w:rPr>
        <w:t xml:space="preserve"> in Subclause 6.4.1.4 of [4, TS 38.211].</w:t>
      </w:r>
    </w:p>
    <w:p w14:paraId="597F249D" w14:textId="77777777" w:rsidR="007C1027" w:rsidRPr="007C1027" w:rsidRDefault="007C1027" w:rsidP="007C1027">
      <w:pPr>
        <w:ind w:left="568" w:hanging="284"/>
        <w:rPr>
          <w:color w:val="000000"/>
          <w:lang w:val="x-none"/>
        </w:rPr>
      </w:pPr>
      <w:r w:rsidRPr="007C1027">
        <w:rPr>
          <w:color w:val="000000"/>
          <w:lang w:val="x-none"/>
        </w:rPr>
        <w:t>-</w:t>
      </w:r>
      <w:r w:rsidRPr="007C1027">
        <w:rPr>
          <w:color w:val="000000"/>
          <w:lang w:val="x-none"/>
        </w:rPr>
        <w:tab/>
        <w:t xml:space="preserve">Transmission comb value as defined by the higher layer parameter </w:t>
      </w:r>
      <w:proofErr w:type="spellStart"/>
      <w:r w:rsidRPr="007C1027">
        <w:rPr>
          <w:i/>
          <w:color w:val="000000"/>
          <w:lang w:val="x-none"/>
        </w:rPr>
        <w:t>transmissionComb</w:t>
      </w:r>
      <w:proofErr w:type="spellEnd"/>
      <w:r w:rsidRPr="007C1027" w:rsidDel="001C3A27">
        <w:rPr>
          <w:i/>
          <w:color w:val="000000"/>
          <w:lang w:val="x-none"/>
        </w:rPr>
        <w:t xml:space="preserve"> </w:t>
      </w:r>
      <w:r w:rsidRPr="007C1027">
        <w:rPr>
          <w:color w:val="000000"/>
        </w:rPr>
        <w:t xml:space="preserve">described </w:t>
      </w:r>
      <w:r w:rsidRPr="007C1027">
        <w:rPr>
          <w:color w:val="000000"/>
          <w:lang w:val="x-none"/>
        </w:rPr>
        <w:t xml:space="preserve">in </w:t>
      </w:r>
      <w:proofErr w:type="spellStart"/>
      <w:r w:rsidRPr="007C1027">
        <w:rPr>
          <w:color w:val="000000"/>
          <w:lang w:val="x-none"/>
        </w:rPr>
        <w:t>Subclause</w:t>
      </w:r>
      <w:proofErr w:type="spellEnd"/>
      <w:r w:rsidRPr="007C1027">
        <w:rPr>
          <w:color w:val="000000"/>
          <w:lang w:val="x-none"/>
        </w:rPr>
        <w:t xml:space="preserve"> 6.4.1.4 of [4</w:t>
      </w:r>
      <w:r w:rsidRPr="007C1027">
        <w:rPr>
          <w:color w:val="000000"/>
        </w:rPr>
        <w:t>, TS 38.211</w:t>
      </w:r>
      <w:r w:rsidRPr="007C1027">
        <w:rPr>
          <w:color w:val="000000"/>
          <w:lang w:val="x-none"/>
        </w:rPr>
        <w:t>].</w:t>
      </w:r>
    </w:p>
    <w:p w14:paraId="7DAC8A87" w14:textId="77777777" w:rsidR="007C1027" w:rsidRPr="007C1027" w:rsidRDefault="007C1027" w:rsidP="007C1027">
      <w:pPr>
        <w:ind w:left="568" w:hanging="284"/>
        <w:rPr>
          <w:color w:val="000000"/>
          <w:lang w:val="x-none"/>
        </w:rPr>
      </w:pPr>
      <w:r w:rsidRPr="007C1027">
        <w:rPr>
          <w:color w:val="000000"/>
          <w:lang w:val="x-none"/>
        </w:rPr>
        <w:t>-</w:t>
      </w:r>
      <w:r w:rsidRPr="007C1027">
        <w:rPr>
          <w:color w:val="000000"/>
          <w:lang w:val="x-none"/>
        </w:rPr>
        <w:tab/>
        <w:t xml:space="preserve">Transmission comb offset as defined by the higher layer parameter </w:t>
      </w:r>
      <w:r w:rsidRPr="007C1027">
        <w:rPr>
          <w:i/>
          <w:color w:val="000000"/>
          <w:lang w:val="x-none"/>
        </w:rPr>
        <w:t>combOffset-n2</w:t>
      </w:r>
      <w:r w:rsidRPr="007C1027">
        <w:rPr>
          <w:color w:val="000000"/>
          <w:lang w:val="x-none"/>
        </w:rPr>
        <w:t xml:space="preserve"> or </w:t>
      </w:r>
      <w:r w:rsidRPr="007C1027">
        <w:rPr>
          <w:i/>
          <w:color w:val="000000"/>
          <w:lang w:val="x-none"/>
        </w:rPr>
        <w:t>combOffset-n4</w:t>
      </w:r>
      <w:r w:rsidRPr="007C1027">
        <w:rPr>
          <w:color w:val="000000"/>
          <w:lang w:val="x-none"/>
        </w:rPr>
        <w:t xml:space="preserve"> for transmission comb value 2 or 4, respectively, and described in Subclause 6.4.1.4 of [4, TS 38.211].</w:t>
      </w:r>
    </w:p>
    <w:p w14:paraId="5F4B58AC" w14:textId="77777777" w:rsidR="007C1027" w:rsidRPr="007C1027" w:rsidRDefault="007C1027" w:rsidP="007C1027">
      <w:pPr>
        <w:ind w:left="568" w:hanging="284"/>
        <w:rPr>
          <w:color w:val="000000"/>
          <w:lang w:val="x-none"/>
        </w:rPr>
      </w:pPr>
      <w:r w:rsidRPr="007C1027">
        <w:rPr>
          <w:color w:val="000000"/>
          <w:lang w:val="x-none"/>
        </w:rPr>
        <w:t>-</w:t>
      </w:r>
      <w:r w:rsidRPr="007C1027">
        <w:rPr>
          <w:color w:val="000000"/>
          <w:lang w:val="x-none"/>
        </w:rPr>
        <w:tab/>
        <w:t xml:space="preserve">SRS sequence ID as defined by the higher layer parameter </w:t>
      </w:r>
      <w:proofErr w:type="spellStart"/>
      <w:r w:rsidRPr="007C1027">
        <w:rPr>
          <w:i/>
          <w:lang w:val="x-none"/>
        </w:rPr>
        <w:t>sequenceId</w:t>
      </w:r>
      <w:proofErr w:type="spellEnd"/>
      <w:r w:rsidRPr="007C1027">
        <w:rPr>
          <w:color w:val="000000"/>
          <w:lang w:val="x-none"/>
        </w:rPr>
        <w:t xml:space="preserve"> in </w:t>
      </w:r>
      <w:proofErr w:type="spellStart"/>
      <w:r w:rsidRPr="007C1027">
        <w:rPr>
          <w:color w:val="000000"/>
          <w:lang w:val="x-none"/>
        </w:rPr>
        <w:t>Subclause</w:t>
      </w:r>
      <w:proofErr w:type="spellEnd"/>
      <w:r w:rsidRPr="007C1027">
        <w:rPr>
          <w:color w:val="000000"/>
          <w:lang w:val="x-none"/>
        </w:rPr>
        <w:t xml:space="preserve"> 6.4.1.4 of [4].</w:t>
      </w:r>
    </w:p>
    <w:p w14:paraId="6895B398" w14:textId="77777777" w:rsidR="007C1027" w:rsidRPr="007C1027" w:rsidRDefault="007C1027" w:rsidP="007C1027">
      <w:pPr>
        <w:ind w:left="568" w:hanging="284"/>
        <w:rPr>
          <w:color w:val="000000"/>
        </w:rPr>
      </w:pPr>
      <w:bookmarkStart w:id="25" w:name="_Hlk500903520"/>
      <w:r w:rsidRPr="007C1027">
        <w:rPr>
          <w:color w:val="000000"/>
          <w:lang w:val="x-none"/>
        </w:rPr>
        <w:t>-</w:t>
      </w:r>
      <w:r w:rsidRPr="007C1027">
        <w:rPr>
          <w:color w:val="000000"/>
          <w:lang w:val="x-none"/>
        </w:rPr>
        <w:tab/>
        <w:t xml:space="preserve">The configuration of the spatial relation between a reference RS and the target SRS, where the higher layer parameter </w:t>
      </w:r>
      <w:proofErr w:type="spellStart"/>
      <w:r w:rsidRPr="007C1027">
        <w:rPr>
          <w:i/>
          <w:color w:val="000000"/>
          <w:lang w:val="x-none"/>
        </w:rPr>
        <w:t>spatialRelationInfo</w:t>
      </w:r>
      <w:proofErr w:type="spellEnd"/>
      <w:r w:rsidRPr="007C1027">
        <w:rPr>
          <w:color w:val="000000"/>
          <w:lang w:val="x-none"/>
        </w:rPr>
        <w:t xml:space="preserve">, if configured, contains the ID of the reference RS. The reference RS </w:t>
      </w:r>
      <w:ins w:id="26" w:author="Author">
        <w:r w:rsidR="0008538B">
          <w:rPr>
            <w:color w:val="000000"/>
          </w:rPr>
          <w:t>may</w:t>
        </w:r>
      </w:ins>
      <w:del w:id="27" w:author="Author">
        <w:r w:rsidRPr="007C1027" w:rsidDel="0008538B">
          <w:rPr>
            <w:color w:val="000000"/>
            <w:lang w:val="x-none"/>
          </w:rPr>
          <w:delText xml:space="preserve">can </w:delText>
        </w:r>
      </w:del>
      <w:r w:rsidRPr="007C1027">
        <w:rPr>
          <w:color w:val="000000"/>
          <w:lang w:val="x-none"/>
        </w:rPr>
        <w:t>be an SS/PBCH</w:t>
      </w:r>
      <w:r w:rsidRPr="007C1027">
        <w:rPr>
          <w:color w:val="000000"/>
        </w:rPr>
        <w:t xml:space="preserve"> block</w:t>
      </w:r>
      <w:r w:rsidRPr="007C1027">
        <w:rPr>
          <w:color w:val="000000"/>
          <w:lang w:val="x-none"/>
        </w:rPr>
        <w:t xml:space="preserve">, CSI-RS </w:t>
      </w:r>
      <w:r w:rsidRPr="007C1027">
        <w:rPr>
          <w:color w:val="000000"/>
        </w:rPr>
        <w:t xml:space="preserve">configured on serving cell indicated by higher layer parameter </w:t>
      </w:r>
      <w:proofErr w:type="spellStart"/>
      <w:r w:rsidRPr="007C1027">
        <w:rPr>
          <w:i/>
          <w:color w:val="000000"/>
        </w:rPr>
        <w:t>servingCellId</w:t>
      </w:r>
      <w:proofErr w:type="spellEnd"/>
      <w:r w:rsidRPr="007C1027">
        <w:rPr>
          <w:color w:val="000000"/>
        </w:rPr>
        <w:t xml:space="preserve"> if present, same serving cell as the target SRS otherwise, </w:t>
      </w:r>
      <w:r w:rsidRPr="007C1027">
        <w:rPr>
          <w:color w:val="000000"/>
          <w:lang w:val="x-none"/>
        </w:rPr>
        <w:t xml:space="preserve">or an SRS </w:t>
      </w:r>
      <w:r w:rsidRPr="007C1027">
        <w:rPr>
          <w:color w:val="000000"/>
        </w:rPr>
        <w:t xml:space="preserve">configured on uplink BWP indicated by the higher layer parameter </w:t>
      </w:r>
      <w:proofErr w:type="spellStart"/>
      <w:r w:rsidRPr="007C1027">
        <w:rPr>
          <w:i/>
          <w:color w:val="000000"/>
        </w:rPr>
        <w:t>uplinkBWP</w:t>
      </w:r>
      <w:proofErr w:type="spellEnd"/>
      <w:r w:rsidRPr="007C1027">
        <w:rPr>
          <w:color w:val="000000"/>
        </w:rPr>
        <w:t xml:space="preserve">, and serving cell indicated by the higher layer parameter </w:t>
      </w:r>
      <w:proofErr w:type="spellStart"/>
      <w:r w:rsidRPr="007C1027">
        <w:rPr>
          <w:i/>
          <w:color w:val="000000"/>
        </w:rPr>
        <w:t>servingCellId</w:t>
      </w:r>
      <w:proofErr w:type="spellEnd"/>
      <w:r w:rsidRPr="007C1027">
        <w:rPr>
          <w:color w:val="000000"/>
        </w:rPr>
        <w:t xml:space="preserve"> if present, same serving cell as the target SRS otherwise.</w:t>
      </w:r>
    </w:p>
    <w:p w14:paraId="5217CAC0" w14:textId="77777777" w:rsidR="007C1027" w:rsidRPr="007C1027" w:rsidRDefault="007C1027" w:rsidP="007C1027">
      <w:bookmarkStart w:id="28" w:name="_Hlk495170565"/>
      <w:bookmarkStart w:id="29" w:name="_Hlk498637686"/>
      <w:bookmarkEnd w:id="25"/>
      <w:r w:rsidRPr="007C1027">
        <w:lastRenderedPageBreak/>
        <w:t xml:space="preserve">The UE may be configured by the higher layer parameter </w:t>
      </w:r>
      <w:proofErr w:type="spellStart"/>
      <w:r w:rsidRPr="007C1027">
        <w:rPr>
          <w:i/>
        </w:rPr>
        <w:t>resourceMapping</w:t>
      </w:r>
      <w:proofErr w:type="spellEnd"/>
      <w:r w:rsidRPr="007C1027" w:rsidDel="00B91DBE">
        <w:rPr>
          <w:i/>
        </w:rPr>
        <w:t xml:space="preserve"> </w:t>
      </w:r>
      <w:r w:rsidRPr="007C1027">
        <w:t>in</w:t>
      </w:r>
      <w:r w:rsidRPr="007C1027">
        <w:rPr>
          <w:i/>
        </w:rPr>
        <w:t xml:space="preserve"> SRS-Resource</w:t>
      </w:r>
      <w:r w:rsidRPr="007C1027">
        <w:t xml:space="preserve"> with an SRS resource occupying </w:t>
      </w:r>
      <w:r w:rsidRPr="007C1027">
        <w:rPr>
          <w:position w:val="-12"/>
        </w:rPr>
        <w:object w:dxaOrig="1100" w:dyaOrig="340" w14:anchorId="12975709">
          <v:shape id="_x0000_i1029" type="#_x0000_t75" style="width:57.6pt;height:14.4pt" o:ole="">
            <v:imagedata r:id="rId22" o:title=""/>
          </v:shape>
          <o:OLEObject Type="Embed" ProgID="Equation.DSMT4" ShapeID="_x0000_i1029" DrawAspect="Content" ObjectID="_1612605025" r:id="rId23"/>
        </w:object>
      </w:r>
      <w:r w:rsidRPr="007C1027">
        <w:t xml:space="preserve"> adjacent symbols within the last 6 symbols of the slot, where all antenna ports of the SRS resources are mapped to each symbol of the resource. </w:t>
      </w:r>
    </w:p>
    <w:p w14:paraId="75C9FD3D" w14:textId="77777777" w:rsidR="007C1027" w:rsidRDefault="007C1027" w:rsidP="007C1027">
      <w:r w:rsidRPr="007C1027">
        <w:t xml:space="preserve">When PUSCH and SRS are transmitted in the same slot, the UE </w:t>
      </w:r>
      <w:ins w:id="30" w:author="Author">
        <w:r w:rsidR="0008538B">
          <w:t>may</w:t>
        </w:r>
      </w:ins>
      <w:del w:id="31" w:author="Author">
        <w:r w:rsidRPr="007C1027" w:rsidDel="0008538B">
          <w:delText>can</w:delText>
        </w:r>
      </w:del>
      <w:r w:rsidRPr="007C1027">
        <w:t xml:space="preserve"> only be configured to transmit SRS after the transmission of the PUSCH and the corresponding DM-RS.</w:t>
      </w:r>
    </w:p>
    <w:p w14:paraId="61051707" w14:textId="77777777" w:rsidR="00E3191A" w:rsidRPr="007C1027" w:rsidRDefault="00E3191A" w:rsidP="007C1027">
      <w:r>
        <w:t>---------------------------------------------------end of change------------------------------------------------------------------------</w:t>
      </w:r>
      <w:bookmarkEnd w:id="28"/>
      <w:bookmarkEnd w:id="29"/>
    </w:p>
    <w:sectPr w:rsidR="00E3191A" w:rsidRPr="007C1027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BE06B5" w14:textId="77777777" w:rsidR="007272D8" w:rsidRDefault="007272D8">
      <w:r>
        <w:separator/>
      </w:r>
    </w:p>
  </w:endnote>
  <w:endnote w:type="continuationSeparator" w:id="0">
    <w:p w14:paraId="3B4B9A65" w14:textId="77777777" w:rsidR="007272D8" w:rsidRDefault="00727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006CA1" w14:textId="77777777" w:rsidR="007272D8" w:rsidRDefault="007272D8">
      <w:r>
        <w:separator/>
      </w:r>
    </w:p>
  </w:footnote>
  <w:footnote w:type="continuationSeparator" w:id="0">
    <w:p w14:paraId="63E971E6" w14:textId="77777777" w:rsidR="007272D8" w:rsidRDefault="007272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D0C40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23CB8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1B3C3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5CFE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47609"/>
    <w:multiLevelType w:val="hybridMultilevel"/>
    <w:tmpl w:val="EDACA5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8538B"/>
    <w:rsid w:val="000A6394"/>
    <w:rsid w:val="000B7FED"/>
    <w:rsid w:val="000C038A"/>
    <w:rsid w:val="000C6598"/>
    <w:rsid w:val="0012100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6A21"/>
    <w:rsid w:val="002F2A06"/>
    <w:rsid w:val="00305409"/>
    <w:rsid w:val="00352783"/>
    <w:rsid w:val="003609EF"/>
    <w:rsid w:val="0036231A"/>
    <w:rsid w:val="00374DD4"/>
    <w:rsid w:val="003E1A36"/>
    <w:rsid w:val="00410371"/>
    <w:rsid w:val="004242F1"/>
    <w:rsid w:val="00454799"/>
    <w:rsid w:val="004B75B7"/>
    <w:rsid w:val="0051580D"/>
    <w:rsid w:val="00547111"/>
    <w:rsid w:val="00592D74"/>
    <w:rsid w:val="005955C2"/>
    <w:rsid w:val="005E2C44"/>
    <w:rsid w:val="00621188"/>
    <w:rsid w:val="006257ED"/>
    <w:rsid w:val="00695808"/>
    <w:rsid w:val="00696549"/>
    <w:rsid w:val="006B46FB"/>
    <w:rsid w:val="006B577B"/>
    <w:rsid w:val="006E21FB"/>
    <w:rsid w:val="007272D8"/>
    <w:rsid w:val="00792342"/>
    <w:rsid w:val="007977A8"/>
    <w:rsid w:val="007B2EA9"/>
    <w:rsid w:val="007B512A"/>
    <w:rsid w:val="007C1027"/>
    <w:rsid w:val="007C2097"/>
    <w:rsid w:val="007D6A07"/>
    <w:rsid w:val="007F7259"/>
    <w:rsid w:val="008040A8"/>
    <w:rsid w:val="00826FBA"/>
    <w:rsid w:val="008279FA"/>
    <w:rsid w:val="00836D76"/>
    <w:rsid w:val="00856692"/>
    <w:rsid w:val="008626E7"/>
    <w:rsid w:val="00870EE7"/>
    <w:rsid w:val="008A45A6"/>
    <w:rsid w:val="008E5D55"/>
    <w:rsid w:val="008F5D23"/>
    <w:rsid w:val="008F686C"/>
    <w:rsid w:val="009148DE"/>
    <w:rsid w:val="00927A73"/>
    <w:rsid w:val="009777D9"/>
    <w:rsid w:val="00991B88"/>
    <w:rsid w:val="009A42E0"/>
    <w:rsid w:val="009A5753"/>
    <w:rsid w:val="009A579D"/>
    <w:rsid w:val="009E3297"/>
    <w:rsid w:val="009F734F"/>
    <w:rsid w:val="00A1347A"/>
    <w:rsid w:val="00A246B6"/>
    <w:rsid w:val="00A47E70"/>
    <w:rsid w:val="00A50CF0"/>
    <w:rsid w:val="00A7671C"/>
    <w:rsid w:val="00AA2CBC"/>
    <w:rsid w:val="00AC3D14"/>
    <w:rsid w:val="00AC5820"/>
    <w:rsid w:val="00AD1CD8"/>
    <w:rsid w:val="00AD2293"/>
    <w:rsid w:val="00AD2386"/>
    <w:rsid w:val="00B258BB"/>
    <w:rsid w:val="00B67B97"/>
    <w:rsid w:val="00B968C8"/>
    <w:rsid w:val="00BA3EC5"/>
    <w:rsid w:val="00BA51D9"/>
    <w:rsid w:val="00BB5DFC"/>
    <w:rsid w:val="00BD279D"/>
    <w:rsid w:val="00BD6BB8"/>
    <w:rsid w:val="00C100D5"/>
    <w:rsid w:val="00C21EE8"/>
    <w:rsid w:val="00C66BA2"/>
    <w:rsid w:val="00C95985"/>
    <w:rsid w:val="00CC5026"/>
    <w:rsid w:val="00CC68D0"/>
    <w:rsid w:val="00D03F9A"/>
    <w:rsid w:val="00D06D51"/>
    <w:rsid w:val="00D12988"/>
    <w:rsid w:val="00D24991"/>
    <w:rsid w:val="00D50255"/>
    <w:rsid w:val="00D93553"/>
    <w:rsid w:val="00DE34CF"/>
    <w:rsid w:val="00E13F3D"/>
    <w:rsid w:val="00E3191A"/>
    <w:rsid w:val="00E34898"/>
    <w:rsid w:val="00EB09B7"/>
    <w:rsid w:val="00EE7D7C"/>
    <w:rsid w:val="00F1058D"/>
    <w:rsid w:val="00F25D98"/>
    <w:rsid w:val="00F300FB"/>
    <w:rsid w:val="00F63583"/>
    <w:rsid w:val="00F81165"/>
    <w:rsid w:val="00FA4F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A445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semiHidden/>
    <w:rsid w:val="007B2EA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semiHidden/>
    <w:rsid w:val="007B2EA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F2DF3-A14A-48C6-B224-304CB101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1131</Words>
  <Characters>6452</Characters>
  <Application>Microsoft Office Word</Application>
  <DocSecurity>0</DocSecurity>
  <Lines>53</Lines>
  <Paragraphs>15</Paragraphs>
  <ScaleCrop>false</ScaleCrop>
  <Company/>
  <LinksUpToDate>false</LinksUpToDate>
  <CharactersWithSpaces>7568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2019-02-25T13:04:00Z</dcterms:created>
  <dcterms:modified xsi:type="dcterms:W3CDTF">2019-02-25T13:04:00Z</dcterms:modified>
</cp:coreProperties>
</file>