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DAA5CE" w14:textId="614E5628" w:rsidR="00443317" w:rsidRPr="0052548E" w:rsidRDefault="00443317" w:rsidP="00443317">
      <w:pPr>
        <w:tabs>
          <w:tab w:val="center" w:pos="4536"/>
          <w:tab w:val="right" w:pos="8280"/>
          <w:tab w:val="right" w:pos="9639"/>
        </w:tabs>
        <w:ind w:right="2"/>
        <w:rPr>
          <w:rFonts w:ascii="Arial" w:hAnsi="Arial" w:cs="Arial"/>
          <w:b/>
          <w:bCs/>
          <w:sz w:val="28"/>
        </w:rPr>
      </w:pPr>
      <w:bookmarkStart w:id="0" w:name="_GoBack"/>
      <w:bookmarkEnd w:id="0"/>
      <w:r w:rsidRPr="00E67D54">
        <w:rPr>
          <w:rFonts w:ascii="Arial" w:hAnsi="Arial" w:cs="Arial"/>
          <w:b/>
          <w:bCs/>
          <w:sz w:val="28"/>
        </w:rPr>
        <w:t>3GPP TSG RAN WG1 Meeting #95</w:t>
      </w:r>
      <w:r w:rsidRPr="00E67D54">
        <w:rPr>
          <w:rFonts w:ascii="Arial" w:hAnsi="Arial" w:cs="Arial"/>
          <w:b/>
          <w:bCs/>
          <w:sz w:val="28"/>
        </w:rPr>
        <w:tab/>
      </w:r>
      <w:r w:rsidRPr="00E67D54">
        <w:rPr>
          <w:rFonts w:ascii="Arial" w:hAnsi="Arial" w:cs="Arial"/>
          <w:b/>
          <w:bCs/>
          <w:sz w:val="28"/>
        </w:rPr>
        <w:tab/>
      </w:r>
      <w:r>
        <w:rPr>
          <w:rFonts w:ascii="Arial" w:hAnsi="Arial" w:cs="Arial"/>
          <w:b/>
          <w:bCs/>
          <w:sz w:val="28"/>
        </w:rPr>
        <w:tab/>
        <w:t xml:space="preserve">    </w:t>
      </w:r>
      <w:r w:rsidRPr="00E67D54">
        <w:rPr>
          <w:rFonts w:ascii="Arial" w:hAnsi="Arial" w:cs="Arial"/>
          <w:b/>
          <w:bCs/>
          <w:sz w:val="28"/>
        </w:rPr>
        <w:t>R1-181</w:t>
      </w:r>
      <w:r w:rsidRPr="00133D1F">
        <w:rPr>
          <w:rFonts w:ascii="Arial" w:hAnsi="Arial" w:cs="Arial"/>
          <w:b/>
          <w:bCs/>
          <w:sz w:val="28"/>
        </w:rPr>
        <w:t>235</w:t>
      </w:r>
      <w:r>
        <w:rPr>
          <w:rFonts w:ascii="Arial" w:hAnsi="Arial" w:cs="Arial"/>
          <w:b/>
          <w:bCs/>
          <w:sz w:val="28"/>
        </w:rPr>
        <w:t>3</w:t>
      </w:r>
    </w:p>
    <w:p w14:paraId="7917C432" w14:textId="77777777" w:rsidR="00443317" w:rsidRPr="009513AC" w:rsidRDefault="00443317" w:rsidP="0044331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25354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784959DA" w14:textId="2104BA8C" w:rsidR="004607C3" w:rsidRPr="00246324" w:rsidRDefault="005D20F1">
      <w:pPr>
        <w:spacing w:after="60"/>
        <w:ind w:left="1985" w:hanging="1985"/>
        <w:rPr>
          <w:rFonts w:ascii="Arial" w:hAnsi="Arial" w:cs="Arial"/>
          <w:b/>
          <w:bCs/>
          <w:sz w:val="28"/>
          <w:szCs w:val="28"/>
        </w:rPr>
      </w:pPr>
      <w:r w:rsidRPr="00246324">
        <w:rPr>
          <w:rFonts w:ascii="Arial" w:hAnsi="Arial" w:cs="Arial"/>
          <w:b/>
          <w:sz w:val="28"/>
          <w:szCs w:val="28"/>
        </w:rPr>
        <w:t>Agenda item</w:t>
      </w:r>
      <w:r w:rsidR="004607C3" w:rsidRPr="00246324">
        <w:rPr>
          <w:rFonts w:ascii="Arial" w:hAnsi="Arial" w:cs="Arial"/>
          <w:b/>
          <w:sz w:val="28"/>
          <w:szCs w:val="28"/>
        </w:rPr>
        <w:t>:</w:t>
      </w:r>
      <w:r w:rsidR="004607C3" w:rsidRPr="00246324">
        <w:rPr>
          <w:rFonts w:ascii="Arial" w:hAnsi="Arial" w:cs="Arial"/>
          <w:b/>
          <w:sz w:val="28"/>
          <w:szCs w:val="28"/>
        </w:rPr>
        <w:tab/>
      </w:r>
      <w:r w:rsidR="001A0B1E" w:rsidRPr="00246324">
        <w:rPr>
          <w:rFonts w:ascii="Arial" w:hAnsi="Arial" w:cs="Arial"/>
          <w:b/>
          <w:sz w:val="28"/>
          <w:szCs w:val="28"/>
        </w:rPr>
        <w:t>7.</w:t>
      </w:r>
      <w:r w:rsidR="007E79E0" w:rsidRPr="00246324">
        <w:rPr>
          <w:rFonts w:ascii="Arial" w:hAnsi="Arial" w:cs="Arial"/>
          <w:b/>
          <w:sz w:val="28"/>
          <w:szCs w:val="28"/>
        </w:rPr>
        <w:t>2</w:t>
      </w:r>
      <w:r w:rsidR="00471ADC" w:rsidRPr="00246324">
        <w:rPr>
          <w:rFonts w:ascii="Arial" w:hAnsi="Arial" w:cs="Arial"/>
          <w:b/>
          <w:sz w:val="28"/>
          <w:szCs w:val="28"/>
        </w:rPr>
        <w:t>.2</w:t>
      </w:r>
      <w:r w:rsidR="007E79E0" w:rsidRPr="00246324">
        <w:rPr>
          <w:rFonts w:ascii="Arial" w:hAnsi="Arial" w:cs="Arial"/>
          <w:b/>
          <w:sz w:val="28"/>
          <w:szCs w:val="28"/>
        </w:rPr>
        <w:t>.2</w:t>
      </w:r>
    </w:p>
    <w:p w14:paraId="784959DB" w14:textId="02906644" w:rsidR="005D20F1" w:rsidRPr="00246324" w:rsidRDefault="005D20F1" w:rsidP="005D20F1">
      <w:pPr>
        <w:spacing w:after="60"/>
        <w:ind w:left="1985" w:hanging="1985"/>
        <w:rPr>
          <w:rFonts w:ascii="Arial" w:hAnsi="Arial" w:cs="Arial"/>
          <w:b/>
          <w:bCs/>
          <w:sz w:val="28"/>
          <w:szCs w:val="28"/>
        </w:rPr>
      </w:pPr>
      <w:r w:rsidRPr="00246324">
        <w:rPr>
          <w:rFonts w:ascii="Arial" w:hAnsi="Arial" w:cs="Arial"/>
          <w:b/>
          <w:sz w:val="28"/>
          <w:szCs w:val="28"/>
        </w:rPr>
        <w:t>Title:</w:t>
      </w:r>
      <w:r w:rsidRPr="00246324">
        <w:rPr>
          <w:rFonts w:ascii="Arial" w:hAnsi="Arial" w:cs="Arial"/>
          <w:b/>
          <w:sz w:val="28"/>
          <w:szCs w:val="28"/>
        </w:rPr>
        <w:tab/>
      </w:r>
      <w:r w:rsidR="00443317" w:rsidRPr="00443317">
        <w:rPr>
          <w:rFonts w:ascii="Arial" w:hAnsi="Arial" w:cs="Arial"/>
          <w:b/>
          <w:sz w:val="28"/>
          <w:szCs w:val="28"/>
        </w:rPr>
        <w:t>Frame Structure for NR-U operation</w:t>
      </w:r>
    </w:p>
    <w:p w14:paraId="784959DC" w14:textId="77777777" w:rsidR="004607C3" w:rsidRPr="00246324" w:rsidRDefault="004607C3">
      <w:pPr>
        <w:spacing w:after="60"/>
        <w:ind w:left="1985" w:hanging="1985"/>
        <w:rPr>
          <w:rFonts w:ascii="Arial" w:hAnsi="Arial" w:cs="Arial"/>
          <w:b/>
          <w:bCs/>
          <w:sz w:val="28"/>
          <w:szCs w:val="28"/>
        </w:rPr>
      </w:pPr>
      <w:r w:rsidRPr="00246324">
        <w:rPr>
          <w:rFonts w:ascii="Arial" w:hAnsi="Arial" w:cs="Arial"/>
          <w:b/>
          <w:sz w:val="28"/>
          <w:szCs w:val="28"/>
        </w:rPr>
        <w:t>Source:</w:t>
      </w:r>
      <w:r w:rsidRPr="00246324">
        <w:rPr>
          <w:rFonts w:ascii="Arial" w:hAnsi="Arial" w:cs="Arial"/>
          <w:b/>
          <w:bCs/>
          <w:sz w:val="28"/>
          <w:szCs w:val="28"/>
        </w:rPr>
        <w:tab/>
      </w:r>
      <w:r w:rsidR="00D50E5B" w:rsidRPr="00246324">
        <w:rPr>
          <w:rFonts w:ascii="Arial" w:hAnsi="Arial" w:cs="Arial"/>
          <w:b/>
          <w:bCs/>
          <w:sz w:val="28"/>
          <w:szCs w:val="28"/>
        </w:rPr>
        <w:t>MediaT</w:t>
      </w:r>
      <w:r w:rsidR="00450D8B" w:rsidRPr="00246324">
        <w:rPr>
          <w:rFonts w:ascii="Arial" w:hAnsi="Arial" w:cs="Arial"/>
          <w:b/>
          <w:bCs/>
          <w:sz w:val="28"/>
          <w:szCs w:val="28"/>
        </w:rPr>
        <w:t>ek Inc.</w:t>
      </w:r>
    </w:p>
    <w:p w14:paraId="784959DD" w14:textId="77777777" w:rsidR="004607C3" w:rsidRPr="00246324" w:rsidRDefault="005D20F1">
      <w:pPr>
        <w:spacing w:after="60"/>
        <w:ind w:left="1985" w:hanging="1985"/>
        <w:rPr>
          <w:rFonts w:ascii="Arial" w:hAnsi="Arial" w:cs="Arial"/>
          <w:b/>
          <w:bCs/>
          <w:sz w:val="28"/>
          <w:szCs w:val="28"/>
        </w:rPr>
      </w:pPr>
      <w:r w:rsidRPr="00246324">
        <w:rPr>
          <w:rFonts w:ascii="Arial" w:hAnsi="Arial" w:cs="Arial"/>
          <w:b/>
          <w:sz w:val="28"/>
          <w:szCs w:val="28"/>
        </w:rPr>
        <w:t>Document for</w:t>
      </w:r>
      <w:r w:rsidR="004607C3" w:rsidRPr="00246324">
        <w:rPr>
          <w:rFonts w:ascii="Arial" w:hAnsi="Arial" w:cs="Arial"/>
          <w:b/>
          <w:sz w:val="28"/>
          <w:szCs w:val="28"/>
        </w:rPr>
        <w:t>:</w:t>
      </w:r>
      <w:r w:rsidR="004607C3" w:rsidRPr="00246324">
        <w:rPr>
          <w:rFonts w:ascii="Arial" w:hAnsi="Arial" w:cs="Arial"/>
          <w:b/>
          <w:bCs/>
          <w:sz w:val="28"/>
          <w:szCs w:val="28"/>
        </w:rPr>
        <w:tab/>
      </w:r>
      <w:r w:rsidR="004724D3" w:rsidRPr="00246324">
        <w:rPr>
          <w:rFonts w:ascii="Arial" w:hAnsi="Arial" w:cs="Arial"/>
          <w:b/>
          <w:bCs/>
          <w:sz w:val="28"/>
          <w:szCs w:val="28"/>
        </w:rPr>
        <w:t>Discussion</w:t>
      </w:r>
    </w:p>
    <w:p w14:paraId="784959DE" w14:textId="77777777" w:rsidR="004607C3" w:rsidRDefault="004607C3">
      <w:pPr>
        <w:pBdr>
          <w:bottom w:val="single" w:sz="4" w:space="1" w:color="auto"/>
        </w:pBdr>
        <w:rPr>
          <w:rFonts w:ascii="Arial" w:hAnsi="Arial" w:cs="Arial"/>
        </w:rPr>
      </w:pPr>
    </w:p>
    <w:p w14:paraId="784959DF" w14:textId="77777777" w:rsidR="004607C3" w:rsidRDefault="004607C3">
      <w:pPr>
        <w:rPr>
          <w:rFonts w:ascii="Arial" w:hAnsi="Arial" w:cs="Arial"/>
        </w:rPr>
      </w:pPr>
    </w:p>
    <w:p w14:paraId="784959E0" w14:textId="77777777" w:rsidR="004607C3" w:rsidRDefault="005D20F1" w:rsidP="00823FE1">
      <w:pPr>
        <w:pStyle w:val="Heading1"/>
        <w:numPr>
          <w:ilvl w:val="0"/>
          <w:numId w:val="5"/>
        </w:numPr>
        <w:spacing w:after="120"/>
        <w:ind w:right="288"/>
      </w:pPr>
      <w:bookmarkStart w:id="1" w:name="_Ref528834461"/>
      <w:r>
        <w:t>Introduction</w:t>
      </w:r>
      <w:bookmarkEnd w:id="1"/>
    </w:p>
    <w:p w14:paraId="39D5CF35" w14:textId="312560AB" w:rsidR="00C52353" w:rsidRPr="00272C1C" w:rsidRDefault="00200275" w:rsidP="00272C1C">
      <w:r>
        <w:t xml:space="preserve">A study item proposal on </w:t>
      </w:r>
      <w:r w:rsidRPr="005C4F36">
        <w:t>NR-based Access to Unlicensed Spectrum</w:t>
      </w:r>
      <w:r>
        <w:t xml:space="preserve"> </w:t>
      </w:r>
      <w:r>
        <w:fldChar w:fldCharType="begin"/>
      </w:r>
      <w:r>
        <w:instrText xml:space="preserve"> REF _Ref498453616 \w \h </w:instrText>
      </w:r>
      <w:r>
        <w:fldChar w:fldCharType="separate"/>
      </w:r>
      <w:r w:rsidR="00983CF4">
        <w:t>[1]</w:t>
      </w:r>
      <w:r>
        <w:fldChar w:fldCharType="end"/>
      </w:r>
      <w:r w:rsidRPr="005C4F36">
        <w:t xml:space="preserve"> </w:t>
      </w:r>
      <w:r>
        <w:t>was approved in RAN-75 in March, 2017. In RAN1 meeting #9</w:t>
      </w:r>
      <w:r w:rsidR="00E06258">
        <w:t>4bis</w:t>
      </w:r>
      <w:r w:rsidR="0009381F">
        <w:t xml:space="preserve">, it is agreed that </w:t>
      </w:r>
      <w:r w:rsidR="0009381F">
        <w:fldChar w:fldCharType="begin"/>
      </w:r>
      <w:r w:rsidR="0009381F">
        <w:instrText xml:space="preserve"> REF _Ref510782313 \n \h </w:instrText>
      </w:r>
      <w:r w:rsidR="0009381F">
        <w:fldChar w:fldCharType="separate"/>
      </w:r>
      <w:r w:rsidR="00983CF4">
        <w:t>[2]</w:t>
      </w:r>
      <w:r w:rsidR="0009381F">
        <w:fldChar w:fldCharType="end"/>
      </w:r>
      <w:r>
        <w:t>:</w:t>
      </w:r>
    </w:p>
    <w:p w14:paraId="5991395E" w14:textId="77777777" w:rsidR="00E06258" w:rsidRDefault="00E06258" w:rsidP="00E06258">
      <w:pPr>
        <w:rPr>
          <w:lang w:eastAsia="x-none"/>
        </w:rPr>
      </w:pPr>
      <w:r w:rsidRPr="005A1A3B">
        <w:rPr>
          <w:highlight w:val="green"/>
          <w:lang w:eastAsia="x-none"/>
        </w:rPr>
        <w:t>Agreement:</w:t>
      </w:r>
    </w:p>
    <w:p w14:paraId="03B8C4C0" w14:textId="13EC3D31" w:rsidR="00E06258" w:rsidRDefault="00E06258" w:rsidP="00E06258">
      <w:pPr>
        <w:rPr>
          <w:lang w:eastAsia="x-none"/>
        </w:rPr>
      </w:pPr>
      <w:r>
        <w:rPr>
          <w:lang w:eastAsia="x-none"/>
        </w:rPr>
        <w:t>It has been identified to be beneficial for the NR-U design to not require the gNB to change a pre-determined TBS for a PDSCH transmission depending on the LBT outcome, at least when the PDSCH is transmitted at the beginning of the gNB’s COT.</w:t>
      </w:r>
    </w:p>
    <w:p w14:paraId="6260A6EE" w14:textId="77777777" w:rsidR="00E06258" w:rsidRDefault="00E06258" w:rsidP="00E06258">
      <w:pPr>
        <w:rPr>
          <w:lang w:eastAsia="x-none"/>
        </w:rPr>
      </w:pPr>
      <w:r w:rsidRPr="00102B36">
        <w:rPr>
          <w:highlight w:val="green"/>
          <w:lang w:eastAsia="x-none"/>
        </w:rPr>
        <w:t>Agreement:</w:t>
      </w:r>
    </w:p>
    <w:p w14:paraId="30F0E69B" w14:textId="77777777" w:rsidR="00E06258" w:rsidRDefault="00E06258" w:rsidP="00E06258">
      <w:pPr>
        <w:rPr>
          <w:lang w:eastAsia="x-none"/>
        </w:rPr>
      </w:pPr>
      <w:r>
        <w:rPr>
          <w:lang w:eastAsia="x-none"/>
        </w:rPr>
        <w:t>The following options have been identified as possible candidates for PDSCH transmission in the partial slot at least for the first PDSCH(s) transmitted in the DL transmission burst.</w:t>
      </w:r>
    </w:p>
    <w:p w14:paraId="24CBA299" w14:textId="77777777" w:rsidR="00E06258" w:rsidRDefault="00E06258" w:rsidP="00E06258">
      <w:pPr>
        <w:numPr>
          <w:ilvl w:val="0"/>
          <w:numId w:val="30"/>
        </w:numPr>
        <w:spacing w:after="0"/>
        <w:rPr>
          <w:lang w:eastAsia="x-none"/>
        </w:rPr>
      </w:pPr>
      <w:r>
        <w:rPr>
          <w:lang w:eastAsia="x-none"/>
        </w:rPr>
        <w:t>Option 1: PDSCH(s) as in Rel-15 NR</w:t>
      </w:r>
    </w:p>
    <w:p w14:paraId="33299CB4" w14:textId="77777777" w:rsidR="00E06258" w:rsidRDefault="00E06258" w:rsidP="00E06258">
      <w:pPr>
        <w:numPr>
          <w:ilvl w:val="0"/>
          <w:numId w:val="30"/>
        </w:numPr>
        <w:spacing w:after="0"/>
        <w:rPr>
          <w:lang w:eastAsia="x-none"/>
        </w:rPr>
      </w:pPr>
      <w:r>
        <w:rPr>
          <w:lang w:eastAsia="x-none"/>
        </w:rPr>
        <w:t>Option 2: Punctured PDSCH depending on LBT outcome</w:t>
      </w:r>
    </w:p>
    <w:p w14:paraId="5E6D660D" w14:textId="77777777" w:rsidR="00E06258" w:rsidRDefault="00E06258" w:rsidP="00E06258">
      <w:pPr>
        <w:numPr>
          <w:ilvl w:val="0"/>
          <w:numId w:val="30"/>
        </w:numPr>
        <w:spacing w:after="0"/>
        <w:rPr>
          <w:lang w:eastAsia="x-none"/>
        </w:rPr>
      </w:pPr>
      <w:r>
        <w:rPr>
          <w:lang w:eastAsia="x-none"/>
        </w:rPr>
        <w:t>Option 3: PDSCH mapping type B with durations other than 2/4/7 symbols</w:t>
      </w:r>
    </w:p>
    <w:p w14:paraId="25F0F790" w14:textId="77777777" w:rsidR="00E06258" w:rsidRDefault="00E06258" w:rsidP="00E06258">
      <w:pPr>
        <w:numPr>
          <w:ilvl w:val="0"/>
          <w:numId w:val="30"/>
        </w:numPr>
        <w:spacing w:after="0"/>
        <w:rPr>
          <w:lang w:eastAsia="x-none"/>
        </w:rPr>
      </w:pPr>
      <w:r>
        <w:rPr>
          <w:lang w:eastAsia="x-none"/>
        </w:rPr>
        <w:t>Option 4: PDSCH across slot boundary</w:t>
      </w:r>
    </w:p>
    <w:p w14:paraId="285605F0" w14:textId="77777777" w:rsidR="00E06258" w:rsidRDefault="00E06258" w:rsidP="00E06258">
      <w:pPr>
        <w:numPr>
          <w:ilvl w:val="0"/>
          <w:numId w:val="30"/>
        </w:numPr>
        <w:spacing w:after="0"/>
        <w:rPr>
          <w:lang w:eastAsia="x-none"/>
        </w:rPr>
      </w:pPr>
      <w:r>
        <w:rPr>
          <w:lang w:eastAsia="x-none"/>
        </w:rPr>
        <w:t>FFS for signalling details, specification impact, implementation complexity</w:t>
      </w:r>
    </w:p>
    <w:p w14:paraId="1FAF3EE3" w14:textId="07235BB7" w:rsidR="00E06258" w:rsidRDefault="00E06258" w:rsidP="00E06258">
      <w:pPr>
        <w:numPr>
          <w:ilvl w:val="0"/>
          <w:numId w:val="30"/>
        </w:numPr>
        <w:spacing w:after="0"/>
        <w:rPr>
          <w:lang w:eastAsia="x-none"/>
        </w:rPr>
      </w:pPr>
      <w:r>
        <w:rPr>
          <w:lang w:eastAsia="x-none"/>
        </w:rPr>
        <w:t>Note: Above options are not mutually exclusive.</w:t>
      </w:r>
    </w:p>
    <w:p w14:paraId="210C4210" w14:textId="77777777" w:rsidR="00E06258" w:rsidRDefault="00E06258" w:rsidP="00E06258">
      <w:pPr>
        <w:rPr>
          <w:lang w:eastAsia="x-none"/>
        </w:rPr>
      </w:pPr>
      <w:r w:rsidRPr="00556FA6">
        <w:rPr>
          <w:highlight w:val="green"/>
          <w:lang w:eastAsia="x-none"/>
        </w:rPr>
        <w:t>Agreement:</w:t>
      </w:r>
    </w:p>
    <w:p w14:paraId="6E4F311B" w14:textId="77777777" w:rsidR="00E06258" w:rsidRDefault="00E06258" w:rsidP="00E06258">
      <w:pPr>
        <w:rPr>
          <w:lang w:eastAsia="x-none"/>
        </w:rPr>
      </w:pPr>
      <w:r>
        <w:rPr>
          <w:lang w:eastAsia="x-none"/>
        </w:rPr>
        <w:t>In addition to the functionalities provided by DCI format 2_0 in Rel-15 NR, indication of the COT structure in the time domain has been identified as being beneficial.</w:t>
      </w:r>
    </w:p>
    <w:p w14:paraId="409BD133" w14:textId="77777777" w:rsidR="00E06258" w:rsidRDefault="00E06258" w:rsidP="00E06258">
      <w:pPr>
        <w:rPr>
          <w:lang w:eastAsia="x-none"/>
        </w:rPr>
      </w:pPr>
      <w:r w:rsidRPr="00315984">
        <w:rPr>
          <w:highlight w:val="green"/>
          <w:lang w:eastAsia="x-none"/>
        </w:rPr>
        <w:t>Agreement:</w:t>
      </w:r>
    </w:p>
    <w:p w14:paraId="34B56513" w14:textId="77777777" w:rsidR="00E06258" w:rsidRDefault="00E06258" w:rsidP="00E06258">
      <w:pPr>
        <w:numPr>
          <w:ilvl w:val="0"/>
          <w:numId w:val="31"/>
        </w:numPr>
        <w:spacing w:after="0"/>
        <w:rPr>
          <w:lang w:eastAsia="x-none"/>
        </w:rPr>
      </w:pPr>
      <w:r>
        <w:rPr>
          <w:lang w:eastAsia="x-none"/>
        </w:rPr>
        <w:t>NR-U should support that a serving cell can be configured with bandwidth larger than 20 MHz.</w:t>
      </w:r>
    </w:p>
    <w:p w14:paraId="2DF351AF" w14:textId="77777777" w:rsidR="00E06258" w:rsidRDefault="00E06258" w:rsidP="00E06258">
      <w:pPr>
        <w:numPr>
          <w:ilvl w:val="1"/>
          <w:numId w:val="31"/>
        </w:numPr>
        <w:spacing w:after="0"/>
        <w:rPr>
          <w:lang w:eastAsia="x-none"/>
        </w:rPr>
      </w:pPr>
      <w:r>
        <w:rPr>
          <w:lang w:eastAsia="x-none"/>
        </w:rPr>
        <w:t>For DL operation, the following options for BWP-based operation within a carrier with bandwidth larger than 20 MHz can be considered.</w:t>
      </w:r>
    </w:p>
    <w:p w14:paraId="6A9180DC" w14:textId="77777777" w:rsidR="00E06258" w:rsidRDefault="00E06258" w:rsidP="00E06258">
      <w:pPr>
        <w:numPr>
          <w:ilvl w:val="2"/>
          <w:numId w:val="31"/>
        </w:numPr>
        <w:spacing w:after="0"/>
        <w:rPr>
          <w:lang w:eastAsia="x-none"/>
        </w:rPr>
      </w:pPr>
      <w:r>
        <w:rPr>
          <w:lang w:eastAsia="x-none"/>
        </w:rPr>
        <w:t>Option 1a: Multiple BWPs configured, multiple BWPs activated, transmission of PDSCH on one or more BWPs</w:t>
      </w:r>
    </w:p>
    <w:p w14:paraId="6B097367" w14:textId="77777777" w:rsidR="00E06258" w:rsidRDefault="00E06258" w:rsidP="00E06258">
      <w:pPr>
        <w:numPr>
          <w:ilvl w:val="2"/>
          <w:numId w:val="31"/>
        </w:numPr>
        <w:spacing w:after="0"/>
        <w:rPr>
          <w:lang w:eastAsia="x-none"/>
        </w:rPr>
      </w:pPr>
      <w:r>
        <w:rPr>
          <w:lang w:eastAsia="x-none"/>
        </w:rPr>
        <w:t>Option 1b: Multiple BWPs configured, multiple BWPs activated, transmission of PDSCH on single BWP</w:t>
      </w:r>
    </w:p>
    <w:p w14:paraId="649D1D71" w14:textId="77777777" w:rsidR="00E06258" w:rsidRDefault="00E06258" w:rsidP="00E06258">
      <w:pPr>
        <w:numPr>
          <w:ilvl w:val="2"/>
          <w:numId w:val="31"/>
        </w:numPr>
        <w:spacing w:after="0"/>
        <w:rPr>
          <w:lang w:eastAsia="x-none"/>
        </w:rPr>
      </w:pPr>
      <w:r>
        <w:rPr>
          <w:lang w:eastAsia="x-none"/>
        </w:rPr>
        <w:t>Option 2: Multiple BWPs can be configured, single BWP activated, gNB transmits PDSCH on a single BWP if CCA is successful at gNB for the whole BWP</w:t>
      </w:r>
    </w:p>
    <w:p w14:paraId="7A7F6EF5" w14:textId="77777777" w:rsidR="00E06258" w:rsidRDefault="00E06258" w:rsidP="00E06258">
      <w:pPr>
        <w:numPr>
          <w:ilvl w:val="2"/>
          <w:numId w:val="31"/>
        </w:numPr>
        <w:spacing w:after="0"/>
        <w:rPr>
          <w:lang w:eastAsia="x-none"/>
        </w:rPr>
      </w:pPr>
      <w:r>
        <w:rPr>
          <w:lang w:eastAsia="x-none"/>
        </w:rPr>
        <w:t>Option 3: Multiple BWPs can be configured, single BWP activated, gNB transmits PDSCH on parts or whole of single BWP where CCA is successful at gNB</w:t>
      </w:r>
    </w:p>
    <w:p w14:paraId="05D0B753" w14:textId="77777777" w:rsidR="00E06258" w:rsidRDefault="00E06258" w:rsidP="00E06258">
      <w:pPr>
        <w:numPr>
          <w:ilvl w:val="1"/>
          <w:numId w:val="31"/>
        </w:numPr>
        <w:spacing w:after="0"/>
        <w:rPr>
          <w:lang w:eastAsia="x-none"/>
        </w:rPr>
      </w:pPr>
      <w:r>
        <w:rPr>
          <w:lang w:eastAsia="x-none"/>
        </w:rPr>
        <w:t>Note: CCA is declared to be successful or not in multiples of 20 MHz.</w:t>
      </w:r>
    </w:p>
    <w:p w14:paraId="3315AA9E" w14:textId="77777777" w:rsidR="00E06258" w:rsidRDefault="00E06258" w:rsidP="00E06258">
      <w:pPr>
        <w:numPr>
          <w:ilvl w:val="1"/>
          <w:numId w:val="31"/>
        </w:numPr>
        <w:spacing w:after="0"/>
        <w:rPr>
          <w:lang w:eastAsia="x-none"/>
        </w:rPr>
      </w:pPr>
      <w:r>
        <w:rPr>
          <w:lang w:eastAsia="x-none"/>
        </w:rPr>
        <w:t>FFS for UL operation including some or all of above options can be applied</w:t>
      </w:r>
    </w:p>
    <w:p w14:paraId="613F4377" w14:textId="77777777" w:rsidR="00E06258" w:rsidRDefault="00E06258" w:rsidP="00E06258">
      <w:pPr>
        <w:numPr>
          <w:ilvl w:val="0"/>
          <w:numId w:val="31"/>
        </w:numPr>
        <w:spacing w:after="0"/>
        <w:rPr>
          <w:lang w:eastAsia="x-none"/>
        </w:rPr>
      </w:pPr>
      <w:r>
        <w:rPr>
          <w:lang w:eastAsia="x-none"/>
        </w:rPr>
        <w:t>Note: Capture the following in TR only after further discussion for down-selecting from the options in RAN1#95.</w:t>
      </w:r>
    </w:p>
    <w:p w14:paraId="3A3CC9E3" w14:textId="77777777" w:rsidR="00E06258" w:rsidRDefault="00E06258" w:rsidP="00C52353">
      <w:pPr>
        <w:widowControl w:val="0"/>
        <w:spacing w:after="0"/>
        <w:jc w:val="both"/>
        <w:rPr>
          <w:sz w:val="16"/>
          <w:szCs w:val="16"/>
        </w:rPr>
      </w:pPr>
    </w:p>
    <w:p w14:paraId="015FF6F1" w14:textId="77777777" w:rsidR="00E06258" w:rsidRPr="00C52353" w:rsidRDefault="00E06258" w:rsidP="00C52353">
      <w:pPr>
        <w:widowControl w:val="0"/>
        <w:spacing w:after="0"/>
        <w:jc w:val="both"/>
        <w:rPr>
          <w:sz w:val="16"/>
          <w:szCs w:val="16"/>
        </w:rPr>
      </w:pPr>
    </w:p>
    <w:p w14:paraId="13756437" w14:textId="77FAED11" w:rsidR="00ED5FC7" w:rsidRDefault="00DE76BC" w:rsidP="00200275">
      <w:r>
        <w:t>To ensure fair resource sharing between devices in unlicensed band</w:t>
      </w:r>
      <w:r w:rsidR="00284C36">
        <w:t>s of</w:t>
      </w:r>
      <w:r>
        <w:t xml:space="preserve"> operation, </w:t>
      </w:r>
      <w:r w:rsidR="00284C36">
        <w:t xml:space="preserve">a </w:t>
      </w:r>
      <w:r>
        <w:t>listen before talk (LBT) protocol is adopted in both Wi-Fi and LTE based LAA/eLAA. With LBT, due to the random nature of the transmission op</w:t>
      </w:r>
      <w:r w:rsidR="00CC7434">
        <w:t xml:space="preserve">portunities, </w:t>
      </w:r>
      <w:r w:rsidR="003143D5">
        <w:t>implementing schedule based transmission is quite challenging. On the other hand, once a device obtain</w:t>
      </w:r>
      <w:r w:rsidR="00284C36">
        <w:t>s</w:t>
      </w:r>
      <w:r w:rsidR="003143D5">
        <w:t xml:space="preserve"> a tr</w:t>
      </w:r>
      <w:r w:rsidR="0006005A">
        <w:t xml:space="preserve">ansmission opportunity via LBT, </w:t>
      </w:r>
      <w:r w:rsidR="003143D5">
        <w:t>the device should transmit as early as possible</w:t>
      </w:r>
      <w:r w:rsidR="0006005A">
        <w:t xml:space="preserve"> for efficient channel utilization. For the reasons discussed above, it is important for NR-U to support a flexible frame structure </w:t>
      </w:r>
      <w:r w:rsidR="00ED5FC7">
        <w:t xml:space="preserve">and numerology </w:t>
      </w:r>
      <w:r w:rsidR="0006005A">
        <w:t xml:space="preserve">that enables </w:t>
      </w:r>
      <w:r w:rsidR="00ED5FC7">
        <w:t xml:space="preserve">data </w:t>
      </w:r>
      <w:r w:rsidR="0006005A">
        <w:t xml:space="preserve">transmission </w:t>
      </w:r>
      <w:r w:rsidR="00ED5FC7">
        <w:t xml:space="preserve">with low </w:t>
      </w:r>
      <w:r w:rsidR="00ED5FC7">
        <w:lastRenderedPageBreak/>
        <w:t>overhead</w:t>
      </w:r>
      <w:r w:rsidR="0006005A">
        <w:t>.</w:t>
      </w:r>
      <w:r w:rsidR="00E87A8C">
        <w:t xml:space="preserve"> </w:t>
      </w:r>
      <w:r w:rsidR="0006005A">
        <w:t xml:space="preserve">To support such flexibility, </w:t>
      </w:r>
      <w:r w:rsidR="001245BC">
        <w:t xml:space="preserve">however, </w:t>
      </w:r>
      <w:r w:rsidR="0006005A">
        <w:t>additional signaling overhea</w:t>
      </w:r>
      <w:r w:rsidR="00E87A8C">
        <w:t xml:space="preserve">ds and receiver complexity </w:t>
      </w:r>
      <w:r w:rsidR="001245BC">
        <w:t>may become</w:t>
      </w:r>
      <w:r w:rsidR="00CB2D09">
        <w:t xml:space="preserve"> an issue in</w:t>
      </w:r>
      <w:r w:rsidR="0006005A">
        <w:t xml:space="preserve"> NR-U design. </w:t>
      </w:r>
    </w:p>
    <w:p w14:paraId="784959E7" w14:textId="5C56BFF8" w:rsidR="00200275" w:rsidRPr="00F853B3" w:rsidRDefault="00200275" w:rsidP="00200275">
      <w:r>
        <w:t xml:space="preserve">In this contribution, we will discuss </w:t>
      </w:r>
      <w:r w:rsidR="001245BC">
        <w:t>the</w:t>
      </w:r>
      <w:r w:rsidR="00E87A8C">
        <w:t xml:space="preserve"> </w:t>
      </w:r>
      <w:r w:rsidR="00CB2D09">
        <w:t>issues</w:t>
      </w:r>
      <w:r w:rsidR="00E14F64">
        <w:t xml:space="preserve"> </w:t>
      </w:r>
      <w:r w:rsidR="001245BC">
        <w:t xml:space="preserve">mentioned above, </w:t>
      </w:r>
      <w:r w:rsidR="00E14F64">
        <w:t xml:space="preserve">and </w:t>
      </w:r>
      <w:r w:rsidR="001245BC">
        <w:t>provide options for possible</w:t>
      </w:r>
      <w:r w:rsidR="00E87A8C">
        <w:t xml:space="preserve"> solutions</w:t>
      </w:r>
      <w:r w:rsidR="00E14F64">
        <w:t>.</w:t>
      </w:r>
    </w:p>
    <w:p w14:paraId="784959E8" w14:textId="5628419A" w:rsidR="00385B7E" w:rsidRDefault="0009076A" w:rsidP="00C91077">
      <w:pPr>
        <w:pStyle w:val="Heading1"/>
        <w:numPr>
          <w:ilvl w:val="0"/>
          <w:numId w:val="5"/>
        </w:numPr>
        <w:spacing w:after="120"/>
        <w:ind w:right="288"/>
      </w:pPr>
      <w:r>
        <w:t>Non-slot based operation and subcarrier spacing for NR-U</w:t>
      </w:r>
    </w:p>
    <w:p w14:paraId="2B542963" w14:textId="77777777" w:rsidR="00AA17CF" w:rsidRDefault="00AA17CF" w:rsidP="00AA17CF">
      <w:r>
        <w:t xml:space="preserve">NR introduces very flexible frame structure with various subcarrier spacing (SCS) and slot formats (e.g., DL only, UL only and bi-directional slot formats). Furthermore, via the introduction of mini-slot operation, the PDSCH resource allocation is very flexible and can start from almost every symbol in a slot. In RAN1#92-bis </w:t>
      </w:r>
      <w:r>
        <w:fldChar w:fldCharType="begin"/>
      </w:r>
      <w:r>
        <w:instrText xml:space="preserve"> REF _Ref513820022 \n \h </w:instrText>
      </w:r>
      <w:r>
        <w:fldChar w:fldCharType="separate"/>
      </w:r>
      <w:r w:rsidR="00983CF4">
        <w:t>[3]</w:t>
      </w:r>
      <w:r>
        <w:fldChar w:fldCharType="end"/>
      </w:r>
      <w:r>
        <w:t xml:space="preserve">, it is already agreed that </w:t>
      </w:r>
      <w:r w:rsidRPr="00B668FF">
        <w:t xml:space="preserve">NR-U supports both Type-A and Type-B mapping </w:t>
      </w:r>
      <w:r>
        <w:t xml:space="preserve">as in NR. Based on this agreement, even with the restricted mini-slot lengths of 2-, 4-, or 7-symbols for DL, the PDSCH transmission (without gap) could still start at almost any symbol position if we allow multiple mini-slots to be allocated within a slot. For UL, since the mini-slot length and starting symbol are not restricted in NR, NR-U UL transmission (without gap) </w:t>
      </w:r>
      <w:r w:rsidRPr="00145F1C">
        <w:t xml:space="preserve">could </w:t>
      </w:r>
      <w:r>
        <w:t xml:space="preserve">therefore </w:t>
      </w:r>
      <w:r w:rsidRPr="00145F1C">
        <w:t>start at any symbol</w:t>
      </w:r>
      <w:r>
        <w:t xml:space="preserve"> position.</w:t>
      </w:r>
    </w:p>
    <w:p w14:paraId="56C497CD" w14:textId="77777777" w:rsidR="00AA17CF" w:rsidRDefault="00AA17CF" w:rsidP="00AA17CF">
      <w:pPr>
        <w:rPr>
          <w:rFonts w:eastAsia="SimSun"/>
          <w:b/>
          <w:lang w:eastAsia="zh-CN"/>
        </w:rPr>
      </w:pPr>
      <w:r>
        <w:rPr>
          <w:rFonts w:eastAsia="SimSun"/>
          <w:b/>
          <w:lang w:eastAsia="zh-CN"/>
        </w:rPr>
        <w:t>Observation 1: With Type-A and Type-B mapping supported in NR-U, DL and UL transmissions could start at almost any symbol position within a slot.</w:t>
      </w:r>
    </w:p>
    <w:p w14:paraId="4F006F56" w14:textId="4A79CEC3" w:rsidR="00AA17CF" w:rsidRDefault="00AA17CF" w:rsidP="00AA17CF">
      <w:r>
        <w:t>We next consider possible mappings between Transport Blocks (TB) and slots. Specifically, given a partial slot followed by several full length slots in a COT, we discuss how we should partition the data into TBs, and map them to these slots. We start by showing example figures of the various options agreed in RAN1#94-bis</w:t>
      </w:r>
      <w:r w:rsidR="00D571EF">
        <w:t xml:space="preserve"> </w:t>
      </w:r>
      <w:r w:rsidR="00D571EF">
        <w:fldChar w:fldCharType="begin"/>
      </w:r>
      <w:r w:rsidR="00D571EF">
        <w:instrText xml:space="preserve"> REF _Ref528834416 \r \h </w:instrText>
      </w:r>
      <w:r w:rsidR="00D571EF">
        <w:fldChar w:fldCharType="separate"/>
      </w:r>
      <w:r w:rsidR="00D571EF">
        <w:t>[2]</w:t>
      </w:r>
      <w:r w:rsidR="00D571EF">
        <w:fldChar w:fldCharType="end"/>
      </w:r>
      <w:r>
        <w:t>.</w:t>
      </w:r>
    </w:p>
    <w:p w14:paraId="5EBC043E" w14:textId="00C770B5" w:rsidR="00AA17CF" w:rsidRDefault="00AA17CF" w:rsidP="00AA17CF">
      <w:r>
        <w:t>Before the gNB can transmit a TB it first needs to calculate the TB size corresponding to each mini-slot according to the MCS and the number of OFDM symbols for each corresponding mini-slot. Data is partitioned according to the TB sizes calculated. The TBs are then encoded, and finally mapped onto the corre</w:t>
      </w:r>
      <w:r w:rsidR="00B002DB">
        <w:t xml:space="preserve">sponding mini-slots. </w:t>
      </w:r>
      <w:r>
        <w:t xml:space="preserve">LBT success can occur at any time, </w:t>
      </w:r>
      <w:r w:rsidR="00B002DB">
        <w:t xml:space="preserve">therefore, </w:t>
      </w:r>
      <w:r>
        <w:t xml:space="preserve">this process needs to be done ahead of time by the gNB so that it may immediately start transmitting. </w:t>
      </w:r>
      <w:r w:rsidR="00B002DB">
        <w:t>This implies</w:t>
      </w:r>
      <w:r>
        <w:t xml:space="preserve"> that the time at which LBT may succeed is c</w:t>
      </w:r>
      <w:r w:rsidR="00B002DB">
        <w:t>ompletely unknown to the gNB, and the gNB</w:t>
      </w:r>
      <w:r>
        <w:t xml:space="preserve"> needs to be ready to transmit regardless of how many symbols that may be left in a partial slot. Unless the size of initial transmit</w:t>
      </w:r>
      <w:r w:rsidRPr="00501509">
        <w:t xml:space="preserve"> </w:t>
      </w:r>
      <w:r>
        <w:t xml:space="preserve">is known a-priori, the gNB will need to continuously re-build different TB and or mini-slot combinations while it waits for access to the channel(s). The intension of the first agreement from RAN1#94-bis </w:t>
      </w:r>
      <w:r w:rsidR="00D571EF">
        <w:fldChar w:fldCharType="begin"/>
      </w:r>
      <w:r w:rsidR="00D571EF">
        <w:instrText xml:space="preserve"> REF _Ref528834416 \r \h </w:instrText>
      </w:r>
      <w:r w:rsidR="00D571EF">
        <w:fldChar w:fldCharType="separate"/>
      </w:r>
      <w:r w:rsidR="00D571EF">
        <w:t>[2]</w:t>
      </w:r>
      <w:r w:rsidR="00D571EF">
        <w:fldChar w:fldCharType="end"/>
      </w:r>
      <w:r>
        <w:t xml:space="preserve"> is to try to avoid this behavior.</w:t>
      </w:r>
    </w:p>
    <w:p w14:paraId="6DFB9BBB" w14:textId="77777777" w:rsidR="00AA17CF" w:rsidRDefault="00AA17CF" w:rsidP="00AA17CF">
      <w:pPr>
        <w:keepNext/>
      </w:pPr>
      <w:r w:rsidRPr="003B7E0B">
        <w:rPr>
          <w:noProof/>
        </w:rPr>
        <w:drawing>
          <wp:inline distT="0" distB="0" distL="0" distR="0" wp14:anchorId="4866F044" wp14:editId="301C4D6D">
            <wp:extent cx="6475730" cy="2855293"/>
            <wp:effectExtent l="0" t="0" r="127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5730" cy="2855293"/>
                    </a:xfrm>
                    <a:prstGeom prst="rect">
                      <a:avLst/>
                    </a:prstGeom>
                    <a:noFill/>
                    <a:ln>
                      <a:noFill/>
                    </a:ln>
                  </pic:spPr>
                </pic:pic>
              </a:graphicData>
            </a:graphic>
          </wp:inline>
        </w:drawing>
      </w:r>
    </w:p>
    <w:p w14:paraId="689253A3" w14:textId="77777777" w:rsidR="00AA17CF" w:rsidRDefault="00AA17CF" w:rsidP="00AA17CF">
      <w:pPr>
        <w:pStyle w:val="Caption"/>
        <w:jc w:val="center"/>
      </w:pPr>
      <w:bookmarkStart w:id="2" w:name="_Ref528680646"/>
      <w:r>
        <w:t xml:space="preserve">Figure </w:t>
      </w:r>
      <w:r>
        <w:rPr>
          <w:noProof/>
        </w:rPr>
        <w:fldChar w:fldCharType="begin"/>
      </w:r>
      <w:r>
        <w:rPr>
          <w:noProof/>
        </w:rPr>
        <w:instrText xml:space="preserve"> SEQ Figure \* ARABIC </w:instrText>
      </w:r>
      <w:r>
        <w:rPr>
          <w:noProof/>
        </w:rPr>
        <w:fldChar w:fldCharType="separate"/>
      </w:r>
      <w:r w:rsidR="00C96A29">
        <w:rPr>
          <w:noProof/>
        </w:rPr>
        <w:t>1</w:t>
      </w:r>
      <w:r>
        <w:rPr>
          <w:noProof/>
        </w:rPr>
        <w:fldChar w:fldCharType="end"/>
      </w:r>
      <w:bookmarkEnd w:id="2"/>
      <w:r>
        <w:t xml:space="preserve"> Option 1: PDSCH(s) as in Rel-15 NR</w:t>
      </w:r>
    </w:p>
    <w:p w14:paraId="509F73E6" w14:textId="79BD6491" w:rsidR="00AA17CF" w:rsidRDefault="00AA17CF" w:rsidP="00AA17CF">
      <w:r>
        <w:t xml:space="preserve">The hopefully immediately obvious concern with Option 1 as shown in </w:t>
      </w:r>
      <w:r>
        <w:fldChar w:fldCharType="begin"/>
      </w:r>
      <w:r>
        <w:instrText xml:space="preserve"> REF _Ref528680646 \h </w:instrText>
      </w:r>
      <w:r>
        <w:fldChar w:fldCharType="separate"/>
      </w:r>
      <w:r w:rsidR="00983CF4">
        <w:t xml:space="preserve">Figure </w:t>
      </w:r>
      <w:r w:rsidR="00983CF4">
        <w:rPr>
          <w:noProof/>
        </w:rPr>
        <w:t>1</w:t>
      </w:r>
      <w:r>
        <w:fldChar w:fldCharType="end"/>
      </w:r>
      <w:r>
        <w:t xml:space="preserve"> is that it appears to violate the spirit of the first ag</w:t>
      </w:r>
      <w:r w:rsidR="00B002DB">
        <w:t xml:space="preserve">reement </w:t>
      </w:r>
      <w:r>
        <w:t xml:space="preserve">from RAN1#94-bis </w:t>
      </w:r>
      <w:r w:rsidR="00D571EF">
        <w:fldChar w:fldCharType="begin"/>
      </w:r>
      <w:r w:rsidR="00D571EF">
        <w:instrText xml:space="preserve"> REF _Ref528834416 \r \h </w:instrText>
      </w:r>
      <w:r w:rsidR="00D571EF">
        <w:fldChar w:fldCharType="separate"/>
      </w:r>
      <w:r w:rsidR="00D571EF">
        <w:t>[2]</w:t>
      </w:r>
      <w:r w:rsidR="00D571EF">
        <w:fldChar w:fldCharType="end"/>
      </w:r>
      <w:r>
        <w:t xml:space="preserve"> of “</w:t>
      </w:r>
      <w:r w:rsidRPr="003B7E0B">
        <w:rPr>
          <w:highlight w:val="green"/>
        </w:rPr>
        <w:t>not requiring the gNB to change a pre-determined TBS for a PDSCH transmission depending on the LBT outcome</w:t>
      </w:r>
      <w:r>
        <w:t>”. Another lesser concern is with the use of multiple mini-slots to fill the entire partial slot allocation. With each mini-slot comes significant PDCCH and DMRS overhead to support the reception of this by the UE. Likewise, this does not completely mitigate the requirement for a reservation signal since certain partial slot sizes cannot be built from the currently agreed mini-slot sizes of 2-, 4- or 7-symbo</w:t>
      </w:r>
      <w:r w:rsidR="00B002DB">
        <w:t>ls. For example a 1-, 3- or 5</w:t>
      </w:r>
      <w:r>
        <w:t xml:space="preserve">-symbol partial slot will still need a 1-symbol reservation signal. This will lower the potential throughput that can be achieved. There is also a concern over the fact that if one of the min-slots from the partial slot were to fail their integrity check at the UE upon reception and therefore would need re-transmitting. Presumably this would be done by mapping this shorter TB onto a full slot with excessive redundancy relative to the desired MCS target code rate which would be wasteful of the allocated resources. To alleviate the </w:t>
      </w:r>
      <w:r>
        <w:lastRenderedPageBreak/>
        <w:t xml:space="preserve">waste one could argue for carving up the whole slot into same size mini-slots on which the HARQ-NACKed TB was carried to make space for a HARQ re-transmission of this failed initial mini-slot TB. This problem </w:t>
      </w:r>
      <w:r w:rsidR="00B002DB">
        <w:t xml:space="preserve">then </w:t>
      </w:r>
      <w:r>
        <w:t>perpetuates as there is equal or greater likelihood of these new mini-slot TBs f</w:t>
      </w:r>
      <w:r w:rsidR="00B002DB">
        <w:t xml:space="preserve">rom the full slot also failing, </w:t>
      </w:r>
      <w:r>
        <w:t>Re-transmission of mini-slots in this way also reduces the gNB scheduling flexibility. Finally, for a given code family (either BG1 or BG2) and code rate, a smaller TB carried in a mini-slot would experience extra performance penalty when compared to the larger TB carried on subsequent full slots. Worse still the different size TBs might fall either side of the transition values for LDPC BG1 or LDPC BG2 such that the mini-slot TBs would be encoded with LDPC BG1 while the others would be encoded with LDPC BG2.</w:t>
      </w:r>
    </w:p>
    <w:p w14:paraId="102E16AC" w14:textId="265C4F0C" w:rsidR="00AA17CF" w:rsidRDefault="00AA17CF" w:rsidP="00AA17CF">
      <w:pPr>
        <w:rPr>
          <w:rFonts w:eastAsia="SimSun"/>
          <w:b/>
          <w:lang w:eastAsia="zh-CN"/>
        </w:rPr>
      </w:pPr>
      <w:r>
        <w:rPr>
          <w:rFonts w:eastAsia="SimSun"/>
          <w:b/>
          <w:lang w:eastAsia="zh-CN"/>
        </w:rPr>
        <w:t xml:space="preserve">Observation 2: Type-A and Type-B slot lengths together are insufficient to cover every possible partial slot length immediately following a successful LBT. </w:t>
      </w:r>
      <w:r w:rsidR="004B2AFD">
        <w:rPr>
          <w:rFonts w:eastAsia="SimSun"/>
          <w:b/>
          <w:lang w:eastAsia="zh-CN"/>
        </w:rPr>
        <w:t>1-, 3- or 5-</w:t>
      </w:r>
      <w:r w:rsidRPr="00501509">
        <w:rPr>
          <w:rFonts w:eastAsia="SimSun"/>
          <w:b/>
          <w:lang w:eastAsia="zh-CN"/>
        </w:rPr>
        <w:t>symbol partial slot</w:t>
      </w:r>
      <w:r>
        <w:rPr>
          <w:rFonts w:eastAsia="SimSun"/>
          <w:b/>
          <w:lang w:eastAsia="zh-CN"/>
        </w:rPr>
        <w:t>s</w:t>
      </w:r>
      <w:r w:rsidRPr="00501509">
        <w:rPr>
          <w:rFonts w:eastAsia="SimSun"/>
          <w:b/>
          <w:lang w:eastAsia="zh-CN"/>
        </w:rPr>
        <w:t xml:space="preserve"> will still need a 1-symbol reservation signal.</w:t>
      </w:r>
    </w:p>
    <w:p w14:paraId="7EB9CF98" w14:textId="0F768B81" w:rsidR="00B002DB" w:rsidRPr="003B7E0B" w:rsidRDefault="00B002DB" w:rsidP="00AA17CF">
      <w:r>
        <w:t xml:space="preserve">Next we provide a discussion on Option 2 of the agreement from RAN1#94-bis </w:t>
      </w:r>
      <w:r>
        <w:fldChar w:fldCharType="begin"/>
      </w:r>
      <w:r>
        <w:instrText xml:space="preserve"> REF _Ref528834416 \r \h </w:instrText>
      </w:r>
      <w:r>
        <w:fldChar w:fldCharType="separate"/>
      </w:r>
      <w:r>
        <w:t>[2]</w:t>
      </w:r>
      <w:r>
        <w:fldChar w:fldCharType="end"/>
      </w:r>
      <w:r>
        <w:t xml:space="preserve">. This can be seen in </w:t>
      </w:r>
      <w:r>
        <w:fldChar w:fldCharType="begin"/>
      </w:r>
      <w:r>
        <w:instrText xml:space="preserve"> REF _Ref528681214 \h </w:instrText>
      </w:r>
      <w:r>
        <w:fldChar w:fldCharType="separate"/>
      </w:r>
      <w:r>
        <w:t xml:space="preserve">Figure </w:t>
      </w:r>
      <w:r>
        <w:rPr>
          <w:noProof/>
        </w:rPr>
        <w:t>2</w:t>
      </w:r>
      <w:r>
        <w:fldChar w:fldCharType="end"/>
      </w:r>
      <w:r>
        <w:t>.</w:t>
      </w:r>
    </w:p>
    <w:p w14:paraId="53288F56" w14:textId="77777777" w:rsidR="00AA17CF" w:rsidRDefault="00AA17CF" w:rsidP="00AA17CF">
      <w:pPr>
        <w:keepNext/>
      </w:pPr>
      <w:r w:rsidRPr="003B7E0B">
        <w:rPr>
          <w:noProof/>
        </w:rPr>
        <w:drawing>
          <wp:inline distT="0" distB="0" distL="0" distR="0" wp14:anchorId="48D31794" wp14:editId="653C5F75">
            <wp:extent cx="6475730" cy="4665512"/>
            <wp:effectExtent l="0" t="0" r="127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75730" cy="4665512"/>
                    </a:xfrm>
                    <a:prstGeom prst="rect">
                      <a:avLst/>
                    </a:prstGeom>
                    <a:noFill/>
                    <a:ln>
                      <a:noFill/>
                    </a:ln>
                  </pic:spPr>
                </pic:pic>
              </a:graphicData>
            </a:graphic>
          </wp:inline>
        </w:drawing>
      </w:r>
    </w:p>
    <w:p w14:paraId="560FC1B0" w14:textId="77777777" w:rsidR="00AA17CF" w:rsidRDefault="00AA17CF" w:rsidP="00AA17CF">
      <w:pPr>
        <w:pStyle w:val="Caption"/>
        <w:jc w:val="center"/>
      </w:pPr>
      <w:bookmarkStart w:id="3" w:name="_Ref528681214"/>
      <w:r>
        <w:t xml:space="preserve">Figure </w:t>
      </w:r>
      <w:r>
        <w:rPr>
          <w:noProof/>
        </w:rPr>
        <w:fldChar w:fldCharType="begin"/>
      </w:r>
      <w:r>
        <w:rPr>
          <w:noProof/>
        </w:rPr>
        <w:instrText xml:space="preserve"> SEQ Figure \* ARABIC </w:instrText>
      </w:r>
      <w:r>
        <w:rPr>
          <w:noProof/>
        </w:rPr>
        <w:fldChar w:fldCharType="separate"/>
      </w:r>
      <w:r w:rsidR="00C96A29">
        <w:rPr>
          <w:noProof/>
        </w:rPr>
        <w:t>2</w:t>
      </w:r>
      <w:r>
        <w:rPr>
          <w:noProof/>
        </w:rPr>
        <w:fldChar w:fldCharType="end"/>
      </w:r>
      <w:bookmarkEnd w:id="3"/>
      <w:r>
        <w:t xml:space="preserve"> Option 2: Puncture in place (at the beginning) or puncture at the end</w:t>
      </w:r>
    </w:p>
    <w:p w14:paraId="358668E9" w14:textId="3B4C97E0" w:rsidR="00AA17CF" w:rsidRDefault="00AA17CF" w:rsidP="00AA17CF">
      <w:r>
        <w:t xml:space="preserve">Again, the concern with Option 2 as shown in </w:t>
      </w:r>
      <w:r>
        <w:fldChar w:fldCharType="begin"/>
      </w:r>
      <w:r>
        <w:instrText xml:space="preserve"> REF _Ref528681214 \h </w:instrText>
      </w:r>
      <w:r>
        <w:fldChar w:fldCharType="separate"/>
      </w:r>
      <w:r w:rsidR="00983CF4">
        <w:t xml:space="preserve">Figure </w:t>
      </w:r>
      <w:r w:rsidR="00983CF4">
        <w:rPr>
          <w:noProof/>
        </w:rPr>
        <w:t>2</w:t>
      </w:r>
      <w:r>
        <w:fldChar w:fldCharType="end"/>
      </w:r>
      <w:r w:rsidR="00B002DB">
        <w:t xml:space="preserve"> is that there will be an almost certain </w:t>
      </w:r>
      <w:r>
        <w:t>need for a re-transmission of the first and last TB of the COT as some CBs are either heavily or completely punctured away. Some of this punctured loss can be mitigated by the use of re-transmissions of code block groups (CBGs), however, CBG signaling is not a mandatory option and therefore may not be utilized</w:t>
      </w:r>
      <w:r w:rsidR="00B002DB">
        <w:t>,</w:t>
      </w:r>
      <w:r>
        <w:t xml:space="preserve"> in which case the entire TB will need re-transmission</w:t>
      </w:r>
      <w:r w:rsidR="00B002DB">
        <w:t>, even the CBs that were actually transmitted and more than likely also been decoded correctly</w:t>
      </w:r>
      <w:r>
        <w:t xml:space="preserve">, leading to wasted utilization of the available resources and a reduced throughput user experience. Secondly, CBG will only realistically be used for very large TBs meaning that re-transmission of entire smaller TBs is </w:t>
      </w:r>
      <w:r w:rsidR="00B002DB">
        <w:t>again an almost certainty</w:t>
      </w:r>
      <w:r>
        <w:t>. There is a small chance that lightly punctured very small TBs (that are not segmented into multiple CBs because of their size) might be recovered by channel coding. However, this is very quickly eroded by the fact that systematic LDPC information is carried on higher likelihood constellation points and therefore spread across the entire CB RE mapping, implying that puncturing even a small number of OFDM symbols will also lead to puncturing of systematic information. All of this together implies that TBs punctured in this way will not in all likelihood ever be self-contained within a single COT.</w:t>
      </w:r>
    </w:p>
    <w:p w14:paraId="4CE20027" w14:textId="7820BFCC" w:rsidR="00B002DB" w:rsidRPr="003B7E0B" w:rsidRDefault="00B002DB" w:rsidP="00B002DB">
      <w:r>
        <w:t xml:space="preserve">Next we provide a discussion on Option 3 of the agreement from RAN1#94-bis </w:t>
      </w:r>
      <w:r>
        <w:fldChar w:fldCharType="begin"/>
      </w:r>
      <w:r>
        <w:instrText xml:space="preserve"> REF _Ref528834416 \r \h </w:instrText>
      </w:r>
      <w:r>
        <w:fldChar w:fldCharType="separate"/>
      </w:r>
      <w:r>
        <w:t>[2]</w:t>
      </w:r>
      <w:r>
        <w:fldChar w:fldCharType="end"/>
      </w:r>
      <w:r>
        <w:t xml:space="preserve">. This can be seen in </w:t>
      </w:r>
      <w:r>
        <w:fldChar w:fldCharType="begin"/>
      </w:r>
      <w:r>
        <w:instrText xml:space="preserve"> REF _Ref528682242 \h </w:instrText>
      </w:r>
      <w:r>
        <w:fldChar w:fldCharType="separate"/>
      </w:r>
      <w:r>
        <w:t xml:space="preserve">Figure </w:t>
      </w:r>
      <w:r>
        <w:rPr>
          <w:noProof/>
        </w:rPr>
        <w:t>3</w:t>
      </w:r>
      <w:r>
        <w:fldChar w:fldCharType="end"/>
      </w:r>
      <w:r>
        <w:t>.</w:t>
      </w:r>
    </w:p>
    <w:p w14:paraId="007382AC" w14:textId="152CC4BE" w:rsidR="00AA17CF" w:rsidRDefault="00B002DB" w:rsidP="00B002DB">
      <w:pPr>
        <w:keepNext/>
      </w:pPr>
      <w:r w:rsidRPr="00501509">
        <w:rPr>
          <w:noProof/>
        </w:rPr>
        <w:lastRenderedPageBreak/>
        <w:t xml:space="preserve"> </w:t>
      </w:r>
      <w:r w:rsidR="00AA17CF" w:rsidRPr="00501509">
        <w:rPr>
          <w:noProof/>
        </w:rPr>
        <w:drawing>
          <wp:inline distT="0" distB="0" distL="0" distR="0" wp14:anchorId="5826EB69" wp14:editId="6822082A">
            <wp:extent cx="6475730" cy="3489444"/>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75730" cy="3489444"/>
                    </a:xfrm>
                    <a:prstGeom prst="rect">
                      <a:avLst/>
                    </a:prstGeom>
                    <a:noFill/>
                    <a:ln>
                      <a:noFill/>
                    </a:ln>
                  </pic:spPr>
                </pic:pic>
              </a:graphicData>
            </a:graphic>
          </wp:inline>
        </w:drawing>
      </w:r>
    </w:p>
    <w:p w14:paraId="6A68B3A8" w14:textId="77777777" w:rsidR="00AA17CF" w:rsidRDefault="00AA17CF" w:rsidP="00AA17CF">
      <w:pPr>
        <w:pStyle w:val="Caption"/>
        <w:jc w:val="center"/>
      </w:pPr>
      <w:bookmarkStart w:id="4" w:name="_Ref528682242"/>
      <w:r>
        <w:t xml:space="preserve">Figure </w:t>
      </w:r>
      <w:r>
        <w:rPr>
          <w:noProof/>
        </w:rPr>
        <w:fldChar w:fldCharType="begin"/>
      </w:r>
      <w:r>
        <w:rPr>
          <w:noProof/>
        </w:rPr>
        <w:instrText xml:space="preserve"> SEQ Figure \* ARABIC </w:instrText>
      </w:r>
      <w:r>
        <w:rPr>
          <w:noProof/>
        </w:rPr>
        <w:fldChar w:fldCharType="separate"/>
      </w:r>
      <w:r w:rsidR="00C96A29">
        <w:rPr>
          <w:noProof/>
        </w:rPr>
        <w:t>3</w:t>
      </w:r>
      <w:r>
        <w:rPr>
          <w:noProof/>
        </w:rPr>
        <w:fldChar w:fldCharType="end"/>
      </w:r>
      <w:bookmarkEnd w:id="4"/>
      <w:r>
        <w:t xml:space="preserve"> Option 3: PDSCH mapping type B with durations other than 2/4/7 symbols</w:t>
      </w:r>
    </w:p>
    <w:p w14:paraId="4DC1368F" w14:textId="77777777" w:rsidR="00AA17CF" w:rsidRDefault="00AA17CF" w:rsidP="00AA17CF">
      <w:r>
        <w:t xml:space="preserve">The hopefully immediately obvious concern with Option 1 as shown in </w:t>
      </w:r>
      <w:r>
        <w:fldChar w:fldCharType="begin"/>
      </w:r>
      <w:r>
        <w:instrText xml:space="preserve"> REF _Ref528682242 \h </w:instrText>
      </w:r>
      <w:r>
        <w:fldChar w:fldCharType="separate"/>
      </w:r>
      <w:r w:rsidR="00983CF4">
        <w:t xml:space="preserve">Figure </w:t>
      </w:r>
      <w:r w:rsidR="00983CF4">
        <w:rPr>
          <w:noProof/>
        </w:rPr>
        <w:t>3</w:t>
      </w:r>
      <w:r>
        <w:fldChar w:fldCharType="end"/>
      </w:r>
      <w:r>
        <w:t xml:space="preserve"> is that it appears to also violate the spirit of the first agreement (really an observation) from RAN1#94-bis</w:t>
      </w:r>
      <w:r w:rsidRPr="003B7E0B">
        <w:t xml:space="preserve"> </w:t>
      </w:r>
      <w:r>
        <w:t>of “</w:t>
      </w:r>
      <w:r w:rsidRPr="003B7E0B">
        <w:rPr>
          <w:highlight w:val="green"/>
        </w:rPr>
        <w:t>not requiring the gNB to change a pre-determined TBS for a PDSCH transmission depending on the LBT outcome</w:t>
      </w:r>
      <w:r>
        <w:t>”. It does mitigate the excessive PDCCH and DMRS overhead seen in Option 1 since there would now be only a single mini-slot spanning the entire partial slot. There would also not be any need for a reservation signal. However, the issue of how to facilitate the re-transmission of a mini-slot mentioned in Option 1 still remains with Option 3.</w:t>
      </w:r>
    </w:p>
    <w:p w14:paraId="0856DAED" w14:textId="77777777" w:rsidR="00AA17CF" w:rsidRPr="003B7E0B" w:rsidRDefault="00AA17CF" w:rsidP="00AA17CF">
      <w:r>
        <w:t>Since it was agreed that the proposed options from the agreement are not considered mutually exclusive we now propose some combinations of these options that serve to address some of the concern previously listed.</w:t>
      </w:r>
    </w:p>
    <w:p w14:paraId="07197AD0" w14:textId="77777777" w:rsidR="00AA17CF" w:rsidRDefault="00AA17CF" w:rsidP="00AA17CF">
      <w:pPr>
        <w:keepNext/>
      </w:pPr>
      <w:r w:rsidRPr="00995E8E">
        <w:rPr>
          <w:noProof/>
        </w:rPr>
        <w:drawing>
          <wp:inline distT="0" distB="0" distL="0" distR="0" wp14:anchorId="7CA0181C" wp14:editId="24C9D6BF">
            <wp:extent cx="6475730" cy="1836738"/>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75730" cy="1836738"/>
                    </a:xfrm>
                    <a:prstGeom prst="rect">
                      <a:avLst/>
                    </a:prstGeom>
                    <a:noFill/>
                    <a:ln>
                      <a:noFill/>
                    </a:ln>
                  </pic:spPr>
                </pic:pic>
              </a:graphicData>
            </a:graphic>
          </wp:inline>
        </w:drawing>
      </w:r>
    </w:p>
    <w:p w14:paraId="77892053" w14:textId="77777777" w:rsidR="00AA17CF" w:rsidRDefault="00AA17CF" w:rsidP="00AA17CF">
      <w:pPr>
        <w:pStyle w:val="Caption"/>
        <w:jc w:val="center"/>
      </w:pPr>
      <w:bookmarkStart w:id="5" w:name="_Ref528685221"/>
      <w:r>
        <w:t xml:space="preserve">Figure </w:t>
      </w:r>
      <w:r>
        <w:rPr>
          <w:noProof/>
        </w:rPr>
        <w:fldChar w:fldCharType="begin"/>
      </w:r>
      <w:r>
        <w:rPr>
          <w:noProof/>
        </w:rPr>
        <w:instrText xml:space="preserve"> SEQ Figure \* ARABIC </w:instrText>
      </w:r>
      <w:r>
        <w:rPr>
          <w:noProof/>
        </w:rPr>
        <w:fldChar w:fldCharType="separate"/>
      </w:r>
      <w:r w:rsidR="00C96A29">
        <w:rPr>
          <w:noProof/>
        </w:rPr>
        <w:t>4</w:t>
      </w:r>
      <w:r>
        <w:rPr>
          <w:noProof/>
        </w:rPr>
        <w:fldChar w:fldCharType="end"/>
      </w:r>
      <w:bookmarkEnd w:id="5"/>
      <w:r>
        <w:t xml:space="preserve"> Option 1 + Option 2 + Option 3 + Option 4</w:t>
      </w:r>
      <w:r>
        <w:rPr>
          <w:noProof/>
        </w:rPr>
        <w:t>: NR rate-match to fit, with slot aggregation if CR too high</w:t>
      </w:r>
    </w:p>
    <w:p w14:paraId="62AA1B24" w14:textId="7271FBC8" w:rsidR="00AA17CF" w:rsidRDefault="00AA17CF" w:rsidP="00AA17CF">
      <w:r>
        <w:t xml:space="preserve">First we present an option that </w:t>
      </w:r>
      <w:r w:rsidR="00B002DB">
        <w:t>utilises</w:t>
      </w:r>
      <w:r>
        <w:t xml:space="preserve"> NR channel coding rate-matching to achieve partial slot full utilization, as shown in </w:t>
      </w:r>
      <w:r>
        <w:fldChar w:fldCharType="begin"/>
      </w:r>
      <w:r>
        <w:instrText xml:space="preserve"> REF _Ref528685221 \h </w:instrText>
      </w:r>
      <w:r>
        <w:fldChar w:fldCharType="separate"/>
      </w:r>
      <w:r w:rsidR="00983CF4">
        <w:t xml:space="preserve">Figure </w:t>
      </w:r>
      <w:r w:rsidR="00983CF4">
        <w:rPr>
          <w:noProof/>
        </w:rPr>
        <w:t>4</w:t>
      </w:r>
      <w:r>
        <w:fldChar w:fldCharType="end"/>
      </w:r>
      <w:r>
        <w:t>. This should not be confused with puncturing, even though it is effectively also implementing puncturing, the difference between the two being what information is punctured. This can be considered a combination of all the proposed options since it a) uses NR rate-matching which b) could include puncturing. It c) utilizes the full partial slot as if it were a full slot and d) aggregates this with neighboring full slots if the partial slot is too small to achieve a sensible CR. One can consider this option as borrowing bit positions from one end of the COT to pad out bit positions at the other end of the COT. In this option a TB for the partial slot is prepared assuming a full slot is available. The</w:t>
      </w:r>
      <w:r w:rsidR="00B002DB">
        <w:t xml:space="preserve"> encoded code word is then rate-</w:t>
      </w:r>
      <w:r>
        <w:t>matched and mappe</w:t>
      </w:r>
      <w:r w:rsidR="00B002DB">
        <w:t>d onto the partial slot. In the</w:t>
      </w:r>
      <w:r>
        <w:t xml:space="preserve"> case</w:t>
      </w:r>
      <w:r w:rsidR="00B002DB">
        <w:t xml:space="preserve"> of no slot aggregation, as shown at the beginning of the COT</w:t>
      </w:r>
      <w:r>
        <w:t xml:space="preserve">, the effective code rate will be higher than or equal to the MCS target code rate. </w:t>
      </w:r>
      <w:r w:rsidR="00C96A29">
        <w:t xml:space="preserve">If this effective code rate become too high, it might be better to </w:t>
      </w:r>
      <w:r w:rsidR="00C96A29">
        <w:lastRenderedPageBreak/>
        <w:t xml:space="preserve">consider aggregating this partial slot with the next full slot. Depending on the starting CR as defined by the MCS, one may be required to aggregate </w:t>
      </w:r>
      <w:r w:rsidR="00B002DB">
        <w:t xml:space="preserve">partial </w:t>
      </w:r>
      <w:r w:rsidR="00C96A29">
        <w:t xml:space="preserve">slots and full slots at both ends of the COT. </w:t>
      </w:r>
      <w:r>
        <w:t xml:space="preserve">A specific redundancy version, RV, could be selected for this that is different from RV = 0 on the assumption that this has a high likelihood of failure anyway and would be useful incremental redundancy for in any re-transmission. The value of RV could be chosen differently based of the actual number of symbols used. The advantage of this option is that TB size selection and encoding into HARQ buffers need only be done once, however, </w:t>
      </w:r>
      <w:r w:rsidR="00B002DB">
        <w:t>constellation</w:t>
      </w:r>
      <w:r>
        <w:t xml:space="preserve"> mapping and resource mappin</w:t>
      </w:r>
      <w:r w:rsidR="00B002DB">
        <w:t>g will still need to be done on-the-</w:t>
      </w:r>
      <w:r>
        <w:t>fly. The other added advantage of this option is all TBs would be of near equal size, therefore rescheduling any of them would not require special treatment, unlike would be the case for any mini-slot re-transmission as described for Option 1.</w:t>
      </w:r>
    </w:p>
    <w:p w14:paraId="32E03209" w14:textId="77777777" w:rsidR="00AA17CF" w:rsidRDefault="00AA17CF" w:rsidP="00AA17CF">
      <w:pPr>
        <w:keepNext/>
      </w:pPr>
      <w:r w:rsidRPr="00BF42C2">
        <w:rPr>
          <w:noProof/>
        </w:rPr>
        <w:drawing>
          <wp:inline distT="0" distB="0" distL="0" distR="0" wp14:anchorId="6E40185A" wp14:editId="2BF33307">
            <wp:extent cx="6475730" cy="1815621"/>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75730" cy="1815621"/>
                    </a:xfrm>
                    <a:prstGeom prst="rect">
                      <a:avLst/>
                    </a:prstGeom>
                    <a:noFill/>
                    <a:ln>
                      <a:noFill/>
                    </a:ln>
                  </pic:spPr>
                </pic:pic>
              </a:graphicData>
            </a:graphic>
          </wp:inline>
        </w:drawing>
      </w:r>
    </w:p>
    <w:p w14:paraId="5DEC43B5" w14:textId="4FECDC56" w:rsidR="00AA17CF" w:rsidRDefault="00AA17CF" w:rsidP="00AA17CF">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C96A29">
        <w:rPr>
          <w:noProof/>
        </w:rPr>
        <w:t>5</w:t>
      </w:r>
      <w:r>
        <w:rPr>
          <w:noProof/>
        </w:rPr>
        <w:fldChar w:fldCharType="end"/>
      </w:r>
      <w:r>
        <w:t xml:space="preserve"> Option 3 + Option 4: Full slot first</w:t>
      </w:r>
      <w:r w:rsidR="00C96A29">
        <w:t>, mini-slot next</w:t>
      </w:r>
    </w:p>
    <w:p w14:paraId="4BEE58AF" w14:textId="098C87E3" w:rsidR="00AA17CF" w:rsidRDefault="00AA17CF" w:rsidP="00AA17CF">
      <w:r>
        <w:t xml:space="preserve">Next we consider an option that always transmits one full slot first, directly after a successful LBT, followed by a Type-B mini-slot in the next slot to fill up any remaining partial slot. This can be considered a combination of Option 3 and Option 4 since a) it uses any length mini-slots b) it spans an initial slot boundary. Another way to visualise this would be to temporarily shift the frame timing (only from the perspective of the PDSCH) of the transmission only to re-align it in the subsequent frame. This has the benefit that the gNB needs to build the first full slot just once, in advance, and then has this entire full slot worth of time to build any desired partial slot, once the length becomes known after LBT success. This option alleviates any need for on-the-fly preparation of a slot or mini-slot to be transmitted, including that of </w:t>
      </w:r>
      <w:r w:rsidR="00B002DB">
        <w:t>constellation</w:t>
      </w:r>
      <w:r>
        <w:t xml:space="preserve"> mapping and resource mapping.</w:t>
      </w:r>
    </w:p>
    <w:p w14:paraId="19D2982B" w14:textId="77777777" w:rsidR="00C96A29" w:rsidRDefault="00C96A29" w:rsidP="00C96A29">
      <w:pPr>
        <w:keepNext/>
      </w:pPr>
      <w:r w:rsidRPr="00C96A29">
        <w:rPr>
          <w:noProof/>
        </w:rPr>
        <w:drawing>
          <wp:inline distT="0" distB="0" distL="0" distR="0" wp14:anchorId="234D3C5C" wp14:editId="795066C6">
            <wp:extent cx="6475730" cy="1815621"/>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75730" cy="1815621"/>
                    </a:xfrm>
                    <a:prstGeom prst="rect">
                      <a:avLst/>
                    </a:prstGeom>
                    <a:noFill/>
                    <a:ln>
                      <a:noFill/>
                    </a:ln>
                  </pic:spPr>
                </pic:pic>
              </a:graphicData>
            </a:graphic>
          </wp:inline>
        </w:drawing>
      </w:r>
    </w:p>
    <w:p w14:paraId="3FFE0352" w14:textId="436D46B7" w:rsidR="00C96A29" w:rsidRDefault="00C96A29" w:rsidP="00C96A29">
      <w:pPr>
        <w:pStyle w:val="Caption"/>
      </w:pPr>
      <w:bookmarkStart w:id="6" w:name="_Ref528848413"/>
      <w:r>
        <w:t xml:space="preserve">Figure </w:t>
      </w:r>
      <w:r w:rsidR="004E4AE8">
        <w:rPr>
          <w:noProof/>
        </w:rPr>
        <w:fldChar w:fldCharType="begin"/>
      </w:r>
      <w:r w:rsidR="004E4AE8">
        <w:rPr>
          <w:noProof/>
        </w:rPr>
        <w:instrText xml:space="preserve"> SEQ Figure \* ARABIC </w:instrText>
      </w:r>
      <w:r w:rsidR="004E4AE8">
        <w:rPr>
          <w:noProof/>
        </w:rPr>
        <w:fldChar w:fldCharType="separate"/>
      </w:r>
      <w:r>
        <w:rPr>
          <w:noProof/>
        </w:rPr>
        <w:t>6</w:t>
      </w:r>
      <w:r w:rsidR="004E4AE8">
        <w:rPr>
          <w:noProof/>
        </w:rPr>
        <w:fldChar w:fldCharType="end"/>
      </w:r>
      <w:bookmarkEnd w:id="6"/>
      <w:r>
        <w:t xml:space="preserve"> Option 1 + Option 2 + Option</w:t>
      </w:r>
      <w:r>
        <w:rPr>
          <w:noProof/>
        </w:rPr>
        <w:t xml:space="preserve"> 3 + Option 4: Full slot first, NR rate-matching next</w:t>
      </w:r>
    </w:p>
    <w:p w14:paraId="030CF710" w14:textId="0D46ED0C" w:rsidR="00C96A29" w:rsidRDefault="00C96A29" w:rsidP="00AA17CF">
      <w:r>
        <w:t xml:space="preserve">Lastly we consider the option of combining the two previous options discussed. This is shown in </w:t>
      </w:r>
      <w:r>
        <w:fldChar w:fldCharType="begin"/>
      </w:r>
      <w:r>
        <w:instrText xml:space="preserve"> REF _Ref528848413 \h </w:instrText>
      </w:r>
      <w:r>
        <w:fldChar w:fldCharType="separate"/>
      </w:r>
      <w:r>
        <w:t xml:space="preserve">Figure </w:t>
      </w:r>
      <w:r>
        <w:rPr>
          <w:noProof/>
        </w:rPr>
        <w:t>6</w:t>
      </w:r>
      <w:r>
        <w:fldChar w:fldCharType="end"/>
      </w:r>
      <w:r>
        <w:t xml:space="preserve">. First a full slot of transmission is prepared and mapped onto the channel as soon as LBT passes. This first full slot will in all but the slot aligned case, span a slot boundary. Next the remaining partial slot now in the second (full) slot of the COT is transmitted using NR channel-coding rate-matching. It is essentially the same as the option shown in </w:t>
      </w:r>
      <w:r>
        <w:fldChar w:fldCharType="begin"/>
      </w:r>
      <w:r>
        <w:instrText xml:space="preserve"> REF _Ref528685221 \h </w:instrText>
      </w:r>
      <w:r>
        <w:fldChar w:fldCharType="separate"/>
      </w:r>
      <w:r>
        <w:t xml:space="preserve">Figure </w:t>
      </w:r>
      <w:r>
        <w:rPr>
          <w:noProof/>
        </w:rPr>
        <w:t>4</w:t>
      </w:r>
      <w:r>
        <w:fldChar w:fldCharType="end"/>
      </w:r>
      <w:r>
        <w:t>, except the NR channel coding rate-matched partial slot is moved to after one full slot of transmission has occurred, i.e. we swap the position of the first full slot and the partial slot. It can also be considered a combination of all the proposed options since it a) uses NR rate-matching which b) could include puncturing. It c) utilizes the full partial slot as if it were a full slot and d) aggregates this with neighboring full slots if the partial slot is too small to achieve a sensible CR. One can again consider this option as borrowing bit positions from one end of the COT to pad out bit positions at the other end of the COT. In this option a TB for the partial slot, now in the second slot of the COT, is prepared assuming a full slot is available. The</w:t>
      </w:r>
      <w:r w:rsidR="00B002DB">
        <w:t xml:space="preserve"> encoded code word is then rate-</w:t>
      </w:r>
      <w:r>
        <w:t xml:space="preserve">matched and mapped onto the partial slot. In </w:t>
      </w:r>
      <w:r w:rsidR="00B002DB">
        <w:t>the</w:t>
      </w:r>
      <w:r>
        <w:t xml:space="preserve"> case</w:t>
      </w:r>
      <w:r w:rsidR="00B002DB">
        <w:t xml:space="preserve"> of no slot aggregation</w:t>
      </w:r>
      <w:r>
        <w:t>, the effective code rate will be higher than or equal to the MCS target code rate. If this effective code rate become too high, it might be better to consider aggregating this partial slot with the next full slot. Depending on the starting CR as defined by the MCS, one may be required to aggregate partial and full slots at both ends of the COT. A specific redundancy version, RV, could be selected for this that is different from RV = 0 on the assumption that this has a high likelihood of failure anyway and would be useful incremental redundancy for in any re-</w:t>
      </w:r>
      <w:r>
        <w:lastRenderedPageBreak/>
        <w:t xml:space="preserve">transmission. The value of RV could be chosen differently based of the actual number of symbols used. This option does, however, alleviate the concern with the option described in </w:t>
      </w:r>
      <w:r>
        <w:fldChar w:fldCharType="begin"/>
      </w:r>
      <w:r>
        <w:instrText xml:space="preserve"> REF _Ref528685221 \h </w:instrText>
      </w:r>
      <w:r>
        <w:fldChar w:fldCharType="separate"/>
      </w:r>
      <w:r>
        <w:t xml:space="preserve">Figure </w:t>
      </w:r>
      <w:r>
        <w:rPr>
          <w:noProof/>
        </w:rPr>
        <w:t>4</w:t>
      </w:r>
      <w:r>
        <w:fldChar w:fldCharType="end"/>
      </w:r>
      <w:r>
        <w:t xml:space="preserve"> where the gNB would still need to rebuild the OFDM symbol on-the-fly from </w:t>
      </w:r>
      <w:r w:rsidR="00B002DB">
        <w:t xml:space="preserve">constellation </w:t>
      </w:r>
      <w:r>
        <w:t>mapping onwards. Here there would no need to on-the-fly rebuild and an entire OFDM symbol can be prepared ahead of time before LBT outcomes are known, and then has this entire full slot worth of time to build any desired partial slot, once the length becomes known after LBT success.</w:t>
      </w:r>
    </w:p>
    <w:p w14:paraId="11CD1AED" w14:textId="77777777" w:rsidR="00AA17CF" w:rsidRDefault="00AA17CF" w:rsidP="00AA17CF">
      <w:pPr>
        <w:rPr>
          <w:rFonts w:eastAsia="SimSun"/>
          <w:b/>
          <w:lang w:eastAsia="zh-CN"/>
        </w:rPr>
      </w:pPr>
      <w:r>
        <w:rPr>
          <w:rFonts w:eastAsia="SimSun"/>
          <w:b/>
          <w:lang w:eastAsia="zh-CN"/>
        </w:rPr>
        <w:t>Observation 3: NR rate-matching, slot aggregation and full slot first all help alleviate the concerns with Option 1, Option 2 and Option 3.</w:t>
      </w:r>
    </w:p>
    <w:p w14:paraId="048EB86A" w14:textId="77777777" w:rsidR="00AA17CF" w:rsidRDefault="00AA17CF" w:rsidP="00AA17CF">
      <w:pPr>
        <w:rPr>
          <w:rFonts w:eastAsia="SimSun"/>
          <w:b/>
          <w:lang w:eastAsia="zh-CN"/>
        </w:rPr>
      </w:pPr>
      <w:r>
        <w:rPr>
          <w:rFonts w:eastAsia="SimSun"/>
          <w:b/>
          <w:lang w:eastAsia="zh-CN"/>
        </w:rPr>
        <w:t>Observation 4: For the partial slot located at the beginning of a COT, it may be beneficial to consider slot aggregation (partial slot + the next full slot) when the number of symbols within this partial slot is relatively small.</w:t>
      </w:r>
    </w:p>
    <w:p w14:paraId="72456477" w14:textId="581E51F1" w:rsidR="00AA17CF" w:rsidRPr="00501509" w:rsidRDefault="00AA17CF" w:rsidP="00AA17CF">
      <w:r>
        <w:rPr>
          <w:rFonts w:eastAsia="SimSun"/>
          <w:lang w:eastAsia="zh-CN"/>
        </w:rPr>
        <w:t xml:space="preserve">Below we present a table of all the options discussed above highlighting the disadvantages we observe with each presented option. Where the option applies to a single option from the agreement </w:t>
      </w:r>
      <w:r w:rsidR="00D571EF">
        <w:t xml:space="preserve">from RAN1#94-bis </w:t>
      </w:r>
      <w:r w:rsidR="00D571EF">
        <w:fldChar w:fldCharType="begin"/>
      </w:r>
      <w:r w:rsidR="00D571EF">
        <w:instrText xml:space="preserve"> REF _Ref528834416 \r \h </w:instrText>
      </w:r>
      <w:r w:rsidR="00D571EF">
        <w:fldChar w:fldCharType="separate"/>
      </w:r>
      <w:r w:rsidR="00D571EF">
        <w:t>[2]</w:t>
      </w:r>
      <w:r w:rsidR="00D571EF">
        <w:fldChar w:fldCharType="end"/>
      </w:r>
      <w:r>
        <w:t xml:space="preserve">, this option is parenthesized in the title. It is worth highlighting in </w:t>
      </w:r>
      <w:r w:rsidRPr="00501509">
        <w:rPr>
          <w:highlight w:val="green"/>
        </w:rPr>
        <w:t>green</w:t>
      </w:r>
      <w:r>
        <w:t xml:space="preserve"> that on-the-fly transmission rebuild was </w:t>
      </w:r>
      <w:r w:rsidR="00D571EF">
        <w:rPr>
          <w:rFonts w:eastAsia="SimSun"/>
          <w:lang w:eastAsia="zh-CN"/>
        </w:rPr>
        <w:t xml:space="preserve">agreed in </w:t>
      </w:r>
      <w:r w:rsidR="00D571EF">
        <w:rPr>
          <w:rFonts w:eastAsia="SimSun"/>
          <w:lang w:eastAsia="zh-CN"/>
        </w:rPr>
        <w:fldChar w:fldCharType="begin"/>
      </w:r>
      <w:r w:rsidR="00D571EF">
        <w:rPr>
          <w:rFonts w:eastAsia="SimSun"/>
          <w:lang w:eastAsia="zh-CN"/>
        </w:rPr>
        <w:instrText xml:space="preserve"> REF _Ref528834416 \r \h </w:instrText>
      </w:r>
      <w:r w:rsidR="00D571EF">
        <w:rPr>
          <w:rFonts w:eastAsia="SimSun"/>
          <w:lang w:eastAsia="zh-CN"/>
        </w:rPr>
      </w:r>
      <w:r w:rsidR="00D571EF">
        <w:rPr>
          <w:rFonts w:eastAsia="SimSun"/>
          <w:lang w:eastAsia="zh-CN"/>
        </w:rPr>
        <w:fldChar w:fldCharType="separate"/>
      </w:r>
      <w:r w:rsidR="00D571EF">
        <w:rPr>
          <w:rFonts w:eastAsia="SimSun"/>
          <w:lang w:eastAsia="zh-CN"/>
        </w:rPr>
        <w:t>[2]</w:t>
      </w:r>
      <w:r w:rsidR="00D571EF">
        <w:rPr>
          <w:rFonts w:eastAsia="SimSun"/>
          <w:lang w:eastAsia="zh-CN"/>
        </w:rPr>
        <w:fldChar w:fldCharType="end"/>
      </w:r>
      <w:r>
        <w:rPr>
          <w:rFonts w:eastAsia="SimSun"/>
          <w:lang w:eastAsia="zh-CN"/>
        </w:rPr>
        <w:t xml:space="preserve"> as something to strive to avoid. If there is any opportunity to down-select then options that violate this should be the obvious candidates to eliminate first.</w:t>
      </w:r>
    </w:p>
    <w:p w14:paraId="6B2C1EA4" w14:textId="77777777" w:rsidR="00AA17CF" w:rsidRDefault="00AA17CF" w:rsidP="00AA17CF">
      <w:pPr>
        <w:pStyle w:val="Caption"/>
        <w:jc w:val="center"/>
      </w:pPr>
      <w:r>
        <w:t xml:space="preserve">Table </w:t>
      </w:r>
      <w:r>
        <w:rPr>
          <w:noProof/>
        </w:rPr>
        <w:fldChar w:fldCharType="begin"/>
      </w:r>
      <w:r>
        <w:rPr>
          <w:noProof/>
        </w:rPr>
        <w:instrText xml:space="preserve"> SEQ Table \* ARABIC </w:instrText>
      </w:r>
      <w:r>
        <w:rPr>
          <w:noProof/>
        </w:rPr>
        <w:fldChar w:fldCharType="separate"/>
      </w:r>
      <w:r w:rsidR="00983CF4">
        <w:rPr>
          <w:noProof/>
        </w:rPr>
        <w:t>1</w:t>
      </w:r>
      <w:r>
        <w:rPr>
          <w:noProof/>
        </w:rPr>
        <w:fldChar w:fldCharType="end"/>
      </w:r>
      <w:r>
        <w:t>: Disadvantages of various options</w:t>
      </w:r>
    </w:p>
    <w:tbl>
      <w:tblPr>
        <w:tblStyle w:val="TableGrid"/>
        <w:tblW w:w="10885" w:type="dxa"/>
        <w:jc w:val="center"/>
        <w:tblLayout w:type="fixed"/>
        <w:tblLook w:val="04A0" w:firstRow="1" w:lastRow="0" w:firstColumn="1" w:lastColumn="0" w:noHBand="0" w:noVBand="1"/>
      </w:tblPr>
      <w:tblGrid>
        <w:gridCol w:w="1165"/>
        <w:gridCol w:w="1080"/>
        <w:gridCol w:w="1080"/>
        <w:gridCol w:w="1260"/>
        <w:gridCol w:w="990"/>
        <w:gridCol w:w="1080"/>
        <w:gridCol w:w="1170"/>
        <w:gridCol w:w="1080"/>
        <w:gridCol w:w="990"/>
        <w:gridCol w:w="990"/>
      </w:tblGrid>
      <w:tr w:rsidR="004E4AE8" w:rsidRPr="00B4322E" w14:paraId="414739E6" w14:textId="77777777" w:rsidTr="004E4AE8">
        <w:trPr>
          <w:jc w:val="center"/>
        </w:trPr>
        <w:tc>
          <w:tcPr>
            <w:tcW w:w="1165" w:type="dxa"/>
            <w:vAlign w:val="center"/>
          </w:tcPr>
          <w:p w14:paraId="16A06B8C" w14:textId="77777777" w:rsidR="004E4AE8" w:rsidRPr="00B4322E" w:rsidRDefault="004E4AE8" w:rsidP="00080C04">
            <w:pPr>
              <w:jc w:val="center"/>
              <w:rPr>
                <w:b/>
              </w:rPr>
            </w:pPr>
            <w:r w:rsidRPr="00B4322E">
              <w:rPr>
                <w:b/>
              </w:rPr>
              <w:t>Option</w:t>
            </w:r>
          </w:p>
        </w:tc>
        <w:tc>
          <w:tcPr>
            <w:tcW w:w="1080" w:type="dxa"/>
            <w:vAlign w:val="center"/>
          </w:tcPr>
          <w:p w14:paraId="234A97D4" w14:textId="77777777" w:rsidR="004E4AE8" w:rsidRPr="006A39C3" w:rsidRDefault="004E4AE8" w:rsidP="00080C04">
            <w:pPr>
              <w:jc w:val="center"/>
              <w:rPr>
                <w:b/>
                <w:highlight w:val="green"/>
              </w:rPr>
            </w:pPr>
            <w:r w:rsidRPr="006A39C3">
              <w:rPr>
                <w:b/>
                <w:highlight w:val="green"/>
              </w:rPr>
              <w:t>Tx rebuild</w:t>
            </w:r>
          </w:p>
        </w:tc>
        <w:tc>
          <w:tcPr>
            <w:tcW w:w="1080" w:type="dxa"/>
            <w:vAlign w:val="center"/>
          </w:tcPr>
          <w:p w14:paraId="7FAF5BCE" w14:textId="5F289F5D" w:rsidR="004E4AE8" w:rsidRPr="00B4322E" w:rsidRDefault="004E4AE8" w:rsidP="00080C04">
            <w:pPr>
              <w:jc w:val="center"/>
              <w:rPr>
                <w:b/>
              </w:rPr>
            </w:pPr>
            <w:r w:rsidRPr="00B4322E">
              <w:rPr>
                <w:b/>
              </w:rPr>
              <w:t>HARQ re-Tx</w:t>
            </w:r>
            <w:r>
              <w:rPr>
                <w:b/>
              </w:rPr>
              <w:t xml:space="preserve"> in next COT</w:t>
            </w:r>
          </w:p>
        </w:tc>
        <w:tc>
          <w:tcPr>
            <w:tcW w:w="1260" w:type="dxa"/>
            <w:vAlign w:val="center"/>
          </w:tcPr>
          <w:p w14:paraId="0561EC18" w14:textId="77777777" w:rsidR="004E4AE8" w:rsidRPr="00B4322E" w:rsidRDefault="004E4AE8" w:rsidP="00080C04">
            <w:pPr>
              <w:jc w:val="center"/>
              <w:rPr>
                <w:b/>
              </w:rPr>
            </w:pPr>
            <w:r>
              <w:rPr>
                <w:b/>
              </w:rPr>
              <w:t>Needs reservation signal</w:t>
            </w:r>
          </w:p>
        </w:tc>
        <w:tc>
          <w:tcPr>
            <w:tcW w:w="990" w:type="dxa"/>
            <w:vAlign w:val="center"/>
          </w:tcPr>
          <w:p w14:paraId="18AB0A98" w14:textId="77777777" w:rsidR="004E4AE8" w:rsidRPr="00B4322E" w:rsidRDefault="004E4AE8" w:rsidP="00080C04">
            <w:pPr>
              <w:jc w:val="center"/>
              <w:rPr>
                <w:b/>
              </w:rPr>
            </w:pPr>
            <w:r w:rsidRPr="00B4322E">
              <w:rPr>
                <w:b/>
              </w:rPr>
              <w:t>Mini-slot re-Tx</w:t>
            </w:r>
          </w:p>
        </w:tc>
        <w:tc>
          <w:tcPr>
            <w:tcW w:w="1080" w:type="dxa"/>
            <w:vAlign w:val="center"/>
          </w:tcPr>
          <w:p w14:paraId="74C233B2" w14:textId="77777777" w:rsidR="004E4AE8" w:rsidRDefault="004E4AE8" w:rsidP="00080C04">
            <w:pPr>
              <w:jc w:val="center"/>
              <w:rPr>
                <w:b/>
              </w:rPr>
            </w:pPr>
            <w:r>
              <w:rPr>
                <w:b/>
              </w:rPr>
              <w:t>Higher PDCCH overhead</w:t>
            </w:r>
          </w:p>
        </w:tc>
        <w:tc>
          <w:tcPr>
            <w:tcW w:w="1170" w:type="dxa"/>
            <w:vAlign w:val="center"/>
          </w:tcPr>
          <w:p w14:paraId="594622A2" w14:textId="77777777" w:rsidR="004E4AE8" w:rsidRPr="00B4322E" w:rsidRDefault="004E4AE8" w:rsidP="00080C04">
            <w:pPr>
              <w:jc w:val="center"/>
              <w:rPr>
                <w:b/>
              </w:rPr>
            </w:pPr>
            <w:r>
              <w:rPr>
                <w:b/>
              </w:rPr>
              <w:t>Coding with diff LDPC BG</w:t>
            </w:r>
          </w:p>
        </w:tc>
        <w:tc>
          <w:tcPr>
            <w:tcW w:w="1080" w:type="dxa"/>
            <w:vAlign w:val="center"/>
          </w:tcPr>
          <w:p w14:paraId="72AB7AFD" w14:textId="77777777" w:rsidR="004E4AE8" w:rsidRPr="00B4322E" w:rsidRDefault="004E4AE8" w:rsidP="00080C04">
            <w:pPr>
              <w:jc w:val="center"/>
              <w:rPr>
                <w:b/>
              </w:rPr>
            </w:pPr>
            <w:r>
              <w:rPr>
                <w:b/>
              </w:rPr>
              <w:t>CR won’t match MCS</w:t>
            </w:r>
          </w:p>
        </w:tc>
        <w:tc>
          <w:tcPr>
            <w:tcW w:w="990" w:type="dxa"/>
            <w:vAlign w:val="center"/>
          </w:tcPr>
          <w:p w14:paraId="379A2975" w14:textId="77777777" w:rsidR="004E4AE8" w:rsidRPr="00B4322E" w:rsidRDefault="004E4AE8" w:rsidP="00080C04">
            <w:pPr>
              <w:jc w:val="center"/>
              <w:rPr>
                <w:b/>
              </w:rPr>
            </w:pPr>
            <w:r>
              <w:rPr>
                <w:b/>
              </w:rPr>
              <w:t>Lowered T-put</w:t>
            </w:r>
          </w:p>
        </w:tc>
        <w:tc>
          <w:tcPr>
            <w:tcW w:w="990" w:type="dxa"/>
            <w:vAlign w:val="center"/>
          </w:tcPr>
          <w:p w14:paraId="30353643" w14:textId="77777777" w:rsidR="004E4AE8" w:rsidRDefault="004E4AE8" w:rsidP="00080C04">
            <w:pPr>
              <w:jc w:val="center"/>
              <w:rPr>
                <w:b/>
              </w:rPr>
            </w:pPr>
            <w:r>
              <w:rPr>
                <w:b/>
              </w:rPr>
              <w:t>Spec change</w:t>
            </w:r>
          </w:p>
        </w:tc>
      </w:tr>
      <w:tr w:rsidR="004E4AE8" w14:paraId="25C495AE" w14:textId="77777777" w:rsidTr="004E4AE8">
        <w:trPr>
          <w:jc w:val="center"/>
        </w:trPr>
        <w:tc>
          <w:tcPr>
            <w:tcW w:w="1165" w:type="dxa"/>
            <w:vAlign w:val="center"/>
          </w:tcPr>
          <w:p w14:paraId="6484F216" w14:textId="77777777" w:rsidR="004E4AE8" w:rsidRPr="00B4322E" w:rsidRDefault="004E4AE8" w:rsidP="00080C04">
            <w:pPr>
              <w:jc w:val="center"/>
              <w:rPr>
                <w:b/>
              </w:rPr>
            </w:pPr>
            <w:r w:rsidRPr="00B4322E">
              <w:rPr>
                <w:b/>
              </w:rPr>
              <w:t>NR mini-slots</w:t>
            </w:r>
            <w:r>
              <w:rPr>
                <w:b/>
              </w:rPr>
              <w:t xml:space="preserve"> (1)</w:t>
            </w:r>
          </w:p>
        </w:tc>
        <w:tc>
          <w:tcPr>
            <w:tcW w:w="1080" w:type="dxa"/>
            <w:vAlign w:val="center"/>
          </w:tcPr>
          <w:p w14:paraId="5B482569" w14:textId="77777777" w:rsidR="004E4AE8" w:rsidRPr="006A39C3" w:rsidRDefault="004E4AE8" w:rsidP="00080C04">
            <w:pPr>
              <w:jc w:val="center"/>
              <w:rPr>
                <w:highlight w:val="green"/>
              </w:rPr>
            </w:pPr>
            <w:r w:rsidRPr="006A39C3">
              <w:rPr>
                <w:highlight w:val="green"/>
              </w:rPr>
              <w:t>X</w:t>
            </w:r>
          </w:p>
        </w:tc>
        <w:tc>
          <w:tcPr>
            <w:tcW w:w="1080" w:type="dxa"/>
            <w:vAlign w:val="center"/>
          </w:tcPr>
          <w:p w14:paraId="79D00ACD" w14:textId="77777777" w:rsidR="004E4AE8" w:rsidRDefault="004E4AE8" w:rsidP="00080C04">
            <w:pPr>
              <w:jc w:val="center"/>
            </w:pPr>
          </w:p>
        </w:tc>
        <w:tc>
          <w:tcPr>
            <w:tcW w:w="1260" w:type="dxa"/>
            <w:vAlign w:val="center"/>
          </w:tcPr>
          <w:p w14:paraId="3D3B5CA0" w14:textId="77777777" w:rsidR="004E4AE8" w:rsidRDefault="004E4AE8" w:rsidP="00080C04">
            <w:pPr>
              <w:jc w:val="center"/>
            </w:pPr>
            <w:r>
              <w:t>X</w:t>
            </w:r>
          </w:p>
        </w:tc>
        <w:tc>
          <w:tcPr>
            <w:tcW w:w="990" w:type="dxa"/>
            <w:vAlign w:val="center"/>
          </w:tcPr>
          <w:p w14:paraId="295D2D15" w14:textId="77777777" w:rsidR="004E4AE8" w:rsidRDefault="004E4AE8" w:rsidP="00080C04">
            <w:pPr>
              <w:jc w:val="center"/>
            </w:pPr>
            <w:r>
              <w:t>X</w:t>
            </w:r>
          </w:p>
        </w:tc>
        <w:tc>
          <w:tcPr>
            <w:tcW w:w="1080" w:type="dxa"/>
            <w:vAlign w:val="center"/>
          </w:tcPr>
          <w:p w14:paraId="769758FD" w14:textId="77777777" w:rsidR="004E4AE8" w:rsidRDefault="004E4AE8" w:rsidP="00080C04">
            <w:pPr>
              <w:jc w:val="center"/>
            </w:pPr>
            <w:r>
              <w:t>X</w:t>
            </w:r>
          </w:p>
        </w:tc>
        <w:tc>
          <w:tcPr>
            <w:tcW w:w="1170" w:type="dxa"/>
            <w:vAlign w:val="center"/>
          </w:tcPr>
          <w:p w14:paraId="273DE45D" w14:textId="77777777" w:rsidR="004E4AE8" w:rsidRDefault="004E4AE8" w:rsidP="00080C04">
            <w:pPr>
              <w:jc w:val="center"/>
            </w:pPr>
            <w:r>
              <w:t>possible</w:t>
            </w:r>
          </w:p>
        </w:tc>
        <w:tc>
          <w:tcPr>
            <w:tcW w:w="1080" w:type="dxa"/>
            <w:vAlign w:val="center"/>
          </w:tcPr>
          <w:p w14:paraId="0C6E8041" w14:textId="77777777" w:rsidR="004E4AE8" w:rsidRDefault="004E4AE8" w:rsidP="00080C04">
            <w:pPr>
              <w:jc w:val="center"/>
            </w:pPr>
          </w:p>
        </w:tc>
        <w:tc>
          <w:tcPr>
            <w:tcW w:w="990" w:type="dxa"/>
            <w:vAlign w:val="center"/>
          </w:tcPr>
          <w:p w14:paraId="063B077F" w14:textId="77777777" w:rsidR="004E4AE8" w:rsidRDefault="004E4AE8" w:rsidP="00080C04">
            <w:pPr>
              <w:jc w:val="center"/>
            </w:pPr>
            <w:r>
              <w:t>X</w:t>
            </w:r>
          </w:p>
        </w:tc>
        <w:tc>
          <w:tcPr>
            <w:tcW w:w="990" w:type="dxa"/>
            <w:vAlign w:val="center"/>
          </w:tcPr>
          <w:p w14:paraId="219B4A5C" w14:textId="77777777" w:rsidR="004E4AE8" w:rsidRDefault="004E4AE8" w:rsidP="00080C04">
            <w:pPr>
              <w:jc w:val="center"/>
            </w:pPr>
          </w:p>
        </w:tc>
      </w:tr>
      <w:tr w:rsidR="004E4AE8" w14:paraId="0D61848A" w14:textId="77777777" w:rsidTr="004E4AE8">
        <w:trPr>
          <w:jc w:val="center"/>
        </w:trPr>
        <w:tc>
          <w:tcPr>
            <w:tcW w:w="1165" w:type="dxa"/>
            <w:vAlign w:val="center"/>
          </w:tcPr>
          <w:p w14:paraId="01AEEECF" w14:textId="77777777" w:rsidR="004E4AE8" w:rsidRPr="00B4322E" w:rsidRDefault="004E4AE8" w:rsidP="00080C04">
            <w:pPr>
              <w:jc w:val="center"/>
              <w:rPr>
                <w:b/>
              </w:rPr>
            </w:pPr>
            <w:r w:rsidRPr="00B4322E">
              <w:rPr>
                <w:b/>
              </w:rPr>
              <w:t>Puncture first</w:t>
            </w:r>
            <w:r>
              <w:rPr>
                <w:b/>
              </w:rPr>
              <w:t xml:space="preserve"> (2)</w:t>
            </w:r>
          </w:p>
        </w:tc>
        <w:tc>
          <w:tcPr>
            <w:tcW w:w="1080" w:type="dxa"/>
            <w:vAlign w:val="center"/>
          </w:tcPr>
          <w:p w14:paraId="2F0C3053" w14:textId="77777777" w:rsidR="004E4AE8" w:rsidRPr="006A39C3" w:rsidRDefault="004E4AE8" w:rsidP="00080C04">
            <w:pPr>
              <w:jc w:val="center"/>
              <w:rPr>
                <w:highlight w:val="green"/>
              </w:rPr>
            </w:pPr>
          </w:p>
        </w:tc>
        <w:tc>
          <w:tcPr>
            <w:tcW w:w="1080" w:type="dxa"/>
            <w:vAlign w:val="center"/>
          </w:tcPr>
          <w:p w14:paraId="01A6B1AE" w14:textId="77777777" w:rsidR="004E4AE8" w:rsidRDefault="004E4AE8" w:rsidP="00080C04">
            <w:pPr>
              <w:jc w:val="center"/>
            </w:pPr>
            <w:r>
              <w:t>X</w:t>
            </w:r>
          </w:p>
        </w:tc>
        <w:tc>
          <w:tcPr>
            <w:tcW w:w="1260" w:type="dxa"/>
            <w:vAlign w:val="center"/>
          </w:tcPr>
          <w:p w14:paraId="72FB054C" w14:textId="77777777" w:rsidR="004E4AE8" w:rsidRDefault="004E4AE8" w:rsidP="00080C04">
            <w:pPr>
              <w:jc w:val="center"/>
            </w:pPr>
          </w:p>
        </w:tc>
        <w:tc>
          <w:tcPr>
            <w:tcW w:w="990" w:type="dxa"/>
            <w:vAlign w:val="center"/>
          </w:tcPr>
          <w:p w14:paraId="23073171" w14:textId="77777777" w:rsidR="004E4AE8" w:rsidRDefault="004E4AE8" w:rsidP="00080C04">
            <w:pPr>
              <w:jc w:val="center"/>
            </w:pPr>
          </w:p>
        </w:tc>
        <w:tc>
          <w:tcPr>
            <w:tcW w:w="1080" w:type="dxa"/>
            <w:vAlign w:val="center"/>
          </w:tcPr>
          <w:p w14:paraId="66009271" w14:textId="77777777" w:rsidR="004E4AE8" w:rsidRDefault="004E4AE8" w:rsidP="00080C04">
            <w:pPr>
              <w:jc w:val="center"/>
            </w:pPr>
          </w:p>
        </w:tc>
        <w:tc>
          <w:tcPr>
            <w:tcW w:w="1170" w:type="dxa"/>
            <w:vAlign w:val="center"/>
          </w:tcPr>
          <w:p w14:paraId="3EFEE373" w14:textId="77777777" w:rsidR="004E4AE8" w:rsidRDefault="004E4AE8" w:rsidP="00080C04">
            <w:pPr>
              <w:jc w:val="center"/>
            </w:pPr>
          </w:p>
        </w:tc>
        <w:tc>
          <w:tcPr>
            <w:tcW w:w="1080" w:type="dxa"/>
            <w:vAlign w:val="center"/>
          </w:tcPr>
          <w:p w14:paraId="536889EB" w14:textId="77777777" w:rsidR="004E4AE8" w:rsidRDefault="004E4AE8" w:rsidP="00080C04">
            <w:pPr>
              <w:jc w:val="center"/>
            </w:pPr>
          </w:p>
        </w:tc>
        <w:tc>
          <w:tcPr>
            <w:tcW w:w="990" w:type="dxa"/>
            <w:vAlign w:val="center"/>
          </w:tcPr>
          <w:p w14:paraId="6C7FDFB9" w14:textId="77777777" w:rsidR="004E4AE8" w:rsidRDefault="004E4AE8" w:rsidP="00080C04">
            <w:pPr>
              <w:jc w:val="center"/>
            </w:pPr>
            <w:r>
              <w:t>X</w:t>
            </w:r>
          </w:p>
        </w:tc>
        <w:tc>
          <w:tcPr>
            <w:tcW w:w="990" w:type="dxa"/>
            <w:vAlign w:val="center"/>
          </w:tcPr>
          <w:p w14:paraId="00B6B6DE" w14:textId="77777777" w:rsidR="004E4AE8" w:rsidRDefault="004E4AE8" w:rsidP="00080C04">
            <w:pPr>
              <w:jc w:val="center"/>
            </w:pPr>
            <w:r>
              <w:t>X</w:t>
            </w:r>
          </w:p>
        </w:tc>
      </w:tr>
      <w:tr w:rsidR="004E4AE8" w14:paraId="7D8F33A6" w14:textId="77777777" w:rsidTr="004E4AE8">
        <w:trPr>
          <w:jc w:val="center"/>
        </w:trPr>
        <w:tc>
          <w:tcPr>
            <w:tcW w:w="1165" w:type="dxa"/>
            <w:vAlign w:val="center"/>
          </w:tcPr>
          <w:p w14:paraId="71266424" w14:textId="77777777" w:rsidR="004E4AE8" w:rsidRPr="00B4322E" w:rsidRDefault="004E4AE8" w:rsidP="00080C04">
            <w:pPr>
              <w:jc w:val="center"/>
              <w:rPr>
                <w:b/>
              </w:rPr>
            </w:pPr>
            <w:r w:rsidRPr="00B4322E">
              <w:rPr>
                <w:b/>
              </w:rPr>
              <w:t>Puncture last</w:t>
            </w:r>
            <w:r>
              <w:rPr>
                <w:b/>
              </w:rPr>
              <w:t xml:space="preserve"> (2)</w:t>
            </w:r>
          </w:p>
        </w:tc>
        <w:tc>
          <w:tcPr>
            <w:tcW w:w="1080" w:type="dxa"/>
            <w:vAlign w:val="center"/>
          </w:tcPr>
          <w:p w14:paraId="68DCBA41" w14:textId="77777777" w:rsidR="004E4AE8" w:rsidRPr="006A39C3" w:rsidRDefault="004E4AE8" w:rsidP="00080C04">
            <w:pPr>
              <w:jc w:val="center"/>
              <w:rPr>
                <w:highlight w:val="green"/>
              </w:rPr>
            </w:pPr>
          </w:p>
        </w:tc>
        <w:tc>
          <w:tcPr>
            <w:tcW w:w="1080" w:type="dxa"/>
            <w:vAlign w:val="center"/>
          </w:tcPr>
          <w:p w14:paraId="76E22EFE" w14:textId="77777777" w:rsidR="004E4AE8" w:rsidRDefault="004E4AE8" w:rsidP="00080C04">
            <w:pPr>
              <w:jc w:val="center"/>
            </w:pPr>
            <w:r>
              <w:t>X</w:t>
            </w:r>
          </w:p>
        </w:tc>
        <w:tc>
          <w:tcPr>
            <w:tcW w:w="1260" w:type="dxa"/>
            <w:vAlign w:val="center"/>
          </w:tcPr>
          <w:p w14:paraId="5E31CF3E" w14:textId="77777777" w:rsidR="004E4AE8" w:rsidRDefault="004E4AE8" w:rsidP="00080C04">
            <w:pPr>
              <w:jc w:val="center"/>
            </w:pPr>
          </w:p>
        </w:tc>
        <w:tc>
          <w:tcPr>
            <w:tcW w:w="990" w:type="dxa"/>
            <w:vAlign w:val="center"/>
          </w:tcPr>
          <w:p w14:paraId="37E858B6" w14:textId="77777777" w:rsidR="004E4AE8" w:rsidRDefault="004E4AE8" w:rsidP="00080C04">
            <w:pPr>
              <w:jc w:val="center"/>
            </w:pPr>
          </w:p>
        </w:tc>
        <w:tc>
          <w:tcPr>
            <w:tcW w:w="1080" w:type="dxa"/>
            <w:vAlign w:val="center"/>
          </w:tcPr>
          <w:p w14:paraId="67A01A21" w14:textId="77777777" w:rsidR="004E4AE8" w:rsidRDefault="004E4AE8" w:rsidP="00080C04">
            <w:pPr>
              <w:jc w:val="center"/>
            </w:pPr>
          </w:p>
        </w:tc>
        <w:tc>
          <w:tcPr>
            <w:tcW w:w="1170" w:type="dxa"/>
            <w:vAlign w:val="center"/>
          </w:tcPr>
          <w:p w14:paraId="04173FEE" w14:textId="77777777" w:rsidR="004E4AE8" w:rsidRDefault="004E4AE8" w:rsidP="00080C04">
            <w:pPr>
              <w:jc w:val="center"/>
            </w:pPr>
          </w:p>
        </w:tc>
        <w:tc>
          <w:tcPr>
            <w:tcW w:w="1080" w:type="dxa"/>
            <w:vAlign w:val="center"/>
          </w:tcPr>
          <w:p w14:paraId="0AFC3C12" w14:textId="77777777" w:rsidR="004E4AE8" w:rsidRDefault="004E4AE8" w:rsidP="00080C04">
            <w:pPr>
              <w:jc w:val="center"/>
            </w:pPr>
          </w:p>
        </w:tc>
        <w:tc>
          <w:tcPr>
            <w:tcW w:w="990" w:type="dxa"/>
            <w:vAlign w:val="center"/>
          </w:tcPr>
          <w:p w14:paraId="09993145" w14:textId="77777777" w:rsidR="004E4AE8" w:rsidRDefault="004E4AE8" w:rsidP="00080C04">
            <w:pPr>
              <w:jc w:val="center"/>
            </w:pPr>
            <w:r>
              <w:t>X</w:t>
            </w:r>
          </w:p>
        </w:tc>
        <w:tc>
          <w:tcPr>
            <w:tcW w:w="990" w:type="dxa"/>
            <w:vAlign w:val="center"/>
          </w:tcPr>
          <w:p w14:paraId="5503D66B" w14:textId="77777777" w:rsidR="004E4AE8" w:rsidRDefault="004E4AE8" w:rsidP="00080C04">
            <w:pPr>
              <w:jc w:val="center"/>
            </w:pPr>
            <w:r>
              <w:t>X</w:t>
            </w:r>
          </w:p>
        </w:tc>
      </w:tr>
      <w:tr w:rsidR="004E4AE8" w14:paraId="7050678F" w14:textId="77777777" w:rsidTr="004E4AE8">
        <w:trPr>
          <w:jc w:val="center"/>
        </w:trPr>
        <w:tc>
          <w:tcPr>
            <w:tcW w:w="1165" w:type="dxa"/>
            <w:vAlign w:val="center"/>
          </w:tcPr>
          <w:p w14:paraId="79BD5645" w14:textId="77777777" w:rsidR="004E4AE8" w:rsidRPr="00B4322E" w:rsidRDefault="004E4AE8" w:rsidP="00080C04">
            <w:pPr>
              <w:jc w:val="center"/>
              <w:rPr>
                <w:b/>
              </w:rPr>
            </w:pPr>
            <w:r>
              <w:rPr>
                <w:b/>
              </w:rPr>
              <w:t>(3) More mini-slots</w:t>
            </w:r>
          </w:p>
        </w:tc>
        <w:tc>
          <w:tcPr>
            <w:tcW w:w="1080" w:type="dxa"/>
            <w:vAlign w:val="center"/>
          </w:tcPr>
          <w:p w14:paraId="6FA39591" w14:textId="77777777" w:rsidR="004E4AE8" w:rsidRPr="006A39C3" w:rsidRDefault="004E4AE8" w:rsidP="00080C04">
            <w:pPr>
              <w:jc w:val="center"/>
              <w:rPr>
                <w:highlight w:val="green"/>
              </w:rPr>
            </w:pPr>
            <w:r w:rsidRPr="006A39C3">
              <w:rPr>
                <w:highlight w:val="green"/>
              </w:rPr>
              <w:t>X</w:t>
            </w:r>
          </w:p>
        </w:tc>
        <w:tc>
          <w:tcPr>
            <w:tcW w:w="1080" w:type="dxa"/>
            <w:vAlign w:val="center"/>
          </w:tcPr>
          <w:p w14:paraId="71ADC925" w14:textId="77777777" w:rsidR="004E4AE8" w:rsidRDefault="004E4AE8" w:rsidP="00080C04">
            <w:pPr>
              <w:jc w:val="center"/>
            </w:pPr>
          </w:p>
        </w:tc>
        <w:tc>
          <w:tcPr>
            <w:tcW w:w="1260" w:type="dxa"/>
            <w:vAlign w:val="center"/>
          </w:tcPr>
          <w:p w14:paraId="330A78AB" w14:textId="77777777" w:rsidR="004E4AE8" w:rsidRDefault="004E4AE8" w:rsidP="00080C04">
            <w:pPr>
              <w:jc w:val="center"/>
            </w:pPr>
          </w:p>
        </w:tc>
        <w:tc>
          <w:tcPr>
            <w:tcW w:w="990" w:type="dxa"/>
            <w:vAlign w:val="center"/>
          </w:tcPr>
          <w:p w14:paraId="33C404EC" w14:textId="77777777" w:rsidR="004E4AE8" w:rsidRDefault="004E4AE8" w:rsidP="00080C04">
            <w:pPr>
              <w:jc w:val="center"/>
            </w:pPr>
            <w:r>
              <w:t>X</w:t>
            </w:r>
          </w:p>
        </w:tc>
        <w:tc>
          <w:tcPr>
            <w:tcW w:w="1080" w:type="dxa"/>
            <w:vAlign w:val="center"/>
          </w:tcPr>
          <w:p w14:paraId="01FDB28C" w14:textId="77777777" w:rsidR="004E4AE8" w:rsidRDefault="004E4AE8" w:rsidP="00080C04">
            <w:pPr>
              <w:jc w:val="center"/>
            </w:pPr>
          </w:p>
        </w:tc>
        <w:tc>
          <w:tcPr>
            <w:tcW w:w="1170" w:type="dxa"/>
            <w:vAlign w:val="center"/>
          </w:tcPr>
          <w:p w14:paraId="7CB74C0B" w14:textId="77777777" w:rsidR="004E4AE8" w:rsidRDefault="004E4AE8" w:rsidP="00080C04">
            <w:pPr>
              <w:jc w:val="center"/>
            </w:pPr>
            <w:r>
              <w:t>possible</w:t>
            </w:r>
          </w:p>
        </w:tc>
        <w:tc>
          <w:tcPr>
            <w:tcW w:w="1080" w:type="dxa"/>
            <w:vAlign w:val="center"/>
          </w:tcPr>
          <w:p w14:paraId="1EED4220" w14:textId="77777777" w:rsidR="004E4AE8" w:rsidRDefault="004E4AE8" w:rsidP="00080C04">
            <w:pPr>
              <w:jc w:val="center"/>
            </w:pPr>
          </w:p>
        </w:tc>
        <w:tc>
          <w:tcPr>
            <w:tcW w:w="990" w:type="dxa"/>
            <w:vAlign w:val="center"/>
          </w:tcPr>
          <w:p w14:paraId="0F0E902F" w14:textId="77777777" w:rsidR="004E4AE8" w:rsidRDefault="004E4AE8" w:rsidP="00080C04">
            <w:pPr>
              <w:jc w:val="center"/>
            </w:pPr>
          </w:p>
        </w:tc>
        <w:tc>
          <w:tcPr>
            <w:tcW w:w="990" w:type="dxa"/>
            <w:vAlign w:val="center"/>
          </w:tcPr>
          <w:p w14:paraId="3CBE0449" w14:textId="77777777" w:rsidR="004E4AE8" w:rsidRDefault="004E4AE8" w:rsidP="00080C04">
            <w:pPr>
              <w:jc w:val="center"/>
            </w:pPr>
            <w:r>
              <w:t>X</w:t>
            </w:r>
          </w:p>
        </w:tc>
      </w:tr>
      <w:tr w:rsidR="004E4AE8" w14:paraId="42B9562C" w14:textId="77777777" w:rsidTr="004E4AE8">
        <w:trPr>
          <w:jc w:val="center"/>
        </w:trPr>
        <w:tc>
          <w:tcPr>
            <w:tcW w:w="1165" w:type="dxa"/>
            <w:vAlign w:val="center"/>
          </w:tcPr>
          <w:p w14:paraId="57A1C093" w14:textId="77777777" w:rsidR="004E4AE8" w:rsidRPr="00B4322E" w:rsidRDefault="004E4AE8" w:rsidP="00080C04">
            <w:pPr>
              <w:jc w:val="center"/>
              <w:rPr>
                <w:b/>
              </w:rPr>
            </w:pPr>
            <w:r w:rsidRPr="00B4322E">
              <w:rPr>
                <w:b/>
              </w:rPr>
              <w:t>NR rate match</w:t>
            </w:r>
          </w:p>
        </w:tc>
        <w:tc>
          <w:tcPr>
            <w:tcW w:w="1080" w:type="dxa"/>
            <w:vAlign w:val="center"/>
          </w:tcPr>
          <w:p w14:paraId="7365A92E" w14:textId="709CC608" w:rsidR="004E4AE8" w:rsidRPr="004E4AE8" w:rsidRDefault="004E4AE8" w:rsidP="00080C04">
            <w:pPr>
              <w:jc w:val="center"/>
              <w:rPr>
                <w:sz w:val="16"/>
                <w:szCs w:val="16"/>
                <w:highlight w:val="green"/>
              </w:rPr>
            </w:pPr>
            <w:r w:rsidRPr="004E4AE8">
              <w:rPr>
                <w:sz w:val="16"/>
                <w:szCs w:val="16"/>
                <w:highlight w:val="green"/>
              </w:rPr>
              <w:t>Constellation map onwards</w:t>
            </w:r>
          </w:p>
        </w:tc>
        <w:tc>
          <w:tcPr>
            <w:tcW w:w="1080" w:type="dxa"/>
            <w:vAlign w:val="center"/>
          </w:tcPr>
          <w:p w14:paraId="1E184B7D" w14:textId="77777777" w:rsidR="004E4AE8" w:rsidRDefault="004E4AE8" w:rsidP="00080C04">
            <w:pPr>
              <w:jc w:val="center"/>
            </w:pPr>
          </w:p>
        </w:tc>
        <w:tc>
          <w:tcPr>
            <w:tcW w:w="1260" w:type="dxa"/>
            <w:vAlign w:val="center"/>
          </w:tcPr>
          <w:p w14:paraId="2514C4D1" w14:textId="77777777" w:rsidR="004E4AE8" w:rsidRDefault="004E4AE8" w:rsidP="00080C04">
            <w:pPr>
              <w:jc w:val="center"/>
            </w:pPr>
          </w:p>
        </w:tc>
        <w:tc>
          <w:tcPr>
            <w:tcW w:w="990" w:type="dxa"/>
            <w:vAlign w:val="center"/>
          </w:tcPr>
          <w:p w14:paraId="28CF4791" w14:textId="77777777" w:rsidR="004E4AE8" w:rsidRDefault="004E4AE8" w:rsidP="00080C04">
            <w:pPr>
              <w:jc w:val="center"/>
            </w:pPr>
          </w:p>
        </w:tc>
        <w:tc>
          <w:tcPr>
            <w:tcW w:w="1080" w:type="dxa"/>
            <w:vAlign w:val="center"/>
          </w:tcPr>
          <w:p w14:paraId="32F93DA6" w14:textId="77777777" w:rsidR="004E4AE8" w:rsidRDefault="004E4AE8" w:rsidP="00080C04">
            <w:pPr>
              <w:jc w:val="center"/>
            </w:pPr>
          </w:p>
        </w:tc>
        <w:tc>
          <w:tcPr>
            <w:tcW w:w="1170" w:type="dxa"/>
            <w:vAlign w:val="center"/>
          </w:tcPr>
          <w:p w14:paraId="1EBED715" w14:textId="77777777" w:rsidR="004E4AE8" w:rsidRDefault="004E4AE8" w:rsidP="00080C04">
            <w:pPr>
              <w:jc w:val="center"/>
            </w:pPr>
          </w:p>
        </w:tc>
        <w:tc>
          <w:tcPr>
            <w:tcW w:w="1080" w:type="dxa"/>
            <w:vAlign w:val="center"/>
          </w:tcPr>
          <w:p w14:paraId="1A4E08F0" w14:textId="77777777" w:rsidR="004E4AE8" w:rsidRDefault="004E4AE8" w:rsidP="00080C04">
            <w:pPr>
              <w:jc w:val="center"/>
            </w:pPr>
            <w:r>
              <w:t>X</w:t>
            </w:r>
          </w:p>
        </w:tc>
        <w:tc>
          <w:tcPr>
            <w:tcW w:w="990" w:type="dxa"/>
            <w:vAlign w:val="center"/>
          </w:tcPr>
          <w:p w14:paraId="3EB99D87" w14:textId="77777777" w:rsidR="004E4AE8" w:rsidRDefault="004E4AE8" w:rsidP="00080C04">
            <w:pPr>
              <w:jc w:val="center"/>
            </w:pPr>
          </w:p>
        </w:tc>
        <w:tc>
          <w:tcPr>
            <w:tcW w:w="990" w:type="dxa"/>
            <w:vAlign w:val="center"/>
          </w:tcPr>
          <w:p w14:paraId="71DD22AD" w14:textId="77777777" w:rsidR="004E4AE8" w:rsidRDefault="004E4AE8" w:rsidP="00080C04">
            <w:pPr>
              <w:jc w:val="center"/>
            </w:pPr>
            <w:r>
              <w:t>X</w:t>
            </w:r>
          </w:p>
        </w:tc>
      </w:tr>
      <w:tr w:rsidR="004E4AE8" w14:paraId="12B345E5" w14:textId="77777777" w:rsidTr="004E4AE8">
        <w:trPr>
          <w:jc w:val="center"/>
        </w:trPr>
        <w:tc>
          <w:tcPr>
            <w:tcW w:w="1165" w:type="dxa"/>
            <w:vAlign w:val="center"/>
          </w:tcPr>
          <w:p w14:paraId="5B2BAE40" w14:textId="29C4E1A2" w:rsidR="004E4AE8" w:rsidRPr="00B4322E" w:rsidRDefault="004E4AE8" w:rsidP="00080C04">
            <w:pPr>
              <w:jc w:val="center"/>
              <w:rPr>
                <w:b/>
              </w:rPr>
            </w:pPr>
            <w:r w:rsidRPr="00B4322E">
              <w:rPr>
                <w:b/>
              </w:rPr>
              <w:t>Full slot first</w:t>
            </w:r>
            <w:r>
              <w:rPr>
                <w:b/>
              </w:rPr>
              <w:t>, mini</w:t>
            </w:r>
          </w:p>
        </w:tc>
        <w:tc>
          <w:tcPr>
            <w:tcW w:w="1080" w:type="dxa"/>
            <w:vAlign w:val="center"/>
          </w:tcPr>
          <w:p w14:paraId="35C8A60A" w14:textId="77777777" w:rsidR="004E4AE8" w:rsidRPr="006A39C3" w:rsidRDefault="004E4AE8" w:rsidP="00080C04">
            <w:pPr>
              <w:jc w:val="center"/>
              <w:rPr>
                <w:highlight w:val="green"/>
              </w:rPr>
            </w:pPr>
          </w:p>
        </w:tc>
        <w:tc>
          <w:tcPr>
            <w:tcW w:w="1080" w:type="dxa"/>
            <w:vAlign w:val="center"/>
          </w:tcPr>
          <w:p w14:paraId="6D96B0D6" w14:textId="77777777" w:rsidR="004E4AE8" w:rsidRDefault="004E4AE8" w:rsidP="00080C04">
            <w:pPr>
              <w:jc w:val="center"/>
            </w:pPr>
          </w:p>
        </w:tc>
        <w:tc>
          <w:tcPr>
            <w:tcW w:w="1260" w:type="dxa"/>
            <w:vAlign w:val="center"/>
          </w:tcPr>
          <w:p w14:paraId="490AEE77" w14:textId="77777777" w:rsidR="004E4AE8" w:rsidRDefault="004E4AE8" w:rsidP="00080C04">
            <w:pPr>
              <w:jc w:val="center"/>
            </w:pPr>
          </w:p>
        </w:tc>
        <w:tc>
          <w:tcPr>
            <w:tcW w:w="990" w:type="dxa"/>
            <w:vAlign w:val="center"/>
          </w:tcPr>
          <w:p w14:paraId="436B1423" w14:textId="77777777" w:rsidR="004E4AE8" w:rsidRDefault="004E4AE8" w:rsidP="00080C04">
            <w:pPr>
              <w:jc w:val="center"/>
            </w:pPr>
            <w:r>
              <w:t>X</w:t>
            </w:r>
          </w:p>
        </w:tc>
        <w:tc>
          <w:tcPr>
            <w:tcW w:w="1080" w:type="dxa"/>
            <w:vAlign w:val="center"/>
          </w:tcPr>
          <w:p w14:paraId="7DF0526F" w14:textId="77777777" w:rsidR="004E4AE8" w:rsidRDefault="004E4AE8" w:rsidP="00080C04">
            <w:pPr>
              <w:jc w:val="center"/>
            </w:pPr>
          </w:p>
        </w:tc>
        <w:tc>
          <w:tcPr>
            <w:tcW w:w="1170" w:type="dxa"/>
            <w:vAlign w:val="center"/>
          </w:tcPr>
          <w:p w14:paraId="079776B8" w14:textId="77777777" w:rsidR="004E4AE8" w:rsidRDefault="004E4AE8" w:rsidP="00080C04">
            <w:pPr>
              <w:jc w:val="center"/>
            </w:pPr>
            <w:r>
              <w:t>possible</w:t>
            </w:r>
          </w:p>
        </w:tc>
        <w:tc>
          <w:tcPr>
            <w:tcW w:w="1080" w:type="dxa"/>
            <w:vAlign w:val="center"/>
          </w:tcPr>
          <w:p w14:paraId="58B2370D" w14:textId="77777777" w:rsidR="004E4AE8" w:rsidRDefault="004E4AE8" w:rsidP="00080C04">
            <w:pPr>
              <w:jc w:val="center"/>
            </w:pPr>
          </w:p>
        </w:tc>
        <w:tc>
          <w:tcPr>
            <w:tcW w:w="990" w:type="dxa"/>
            <w:vAlign w:val="center"/>
          </w:tcPr>
          <w:p w14:paraId="47F6CF21" w14:textId="77777777" w:rsidR="004E4AE8" w:rsidRDefault="004E4AE8" w:rsidP="00080C04">
            <w:pPr>
              <w:jc w:val="center"/>
            </w:pPr>
          </w:p>
        </w:tc>
        <w:tc>
          <w:tcPr>
            <w:tcW w:w="990" w:type="dxa"/>
            <w:vAlign w:val="center"/>
          </w:tcPr>
          <w:p w14:paraId="627503EC" w14:textId="77777777" w:rsidR="004E4AE8" w:rsidRDefault="004E4AE8" w:rsidP="00080C04">
            <w:pPr>
              <w:jc w:val="center"/>
            </w:pPr>
            <w:r>
              <w:t>X</w:t>
            </w:r>
          </w:p>
        </w:tc>
      </w:tr>
      <w:tr w:rsidR="004E4AE8" w14:paraId="493322B4" w14:textId="77777777" w:rsidTr="004E4AE8">
        <w:trPr>
          <w:jc w:val="center"/>
        </w:trPr>
        <w:tc>
          <w:tcPr>
            <w:tcW w:w="1165" w:type="dxa"/>
            <w:vAlign w:val="center"/>
          </w:tcPr>
          <w:p w14:paraId="3E1B5EBB" w14:textId="02CAD674" w:rsidR="004E4AE8" w:rsidRPr="00B4322E" w:rsidRDefault="004E4AE8" w:rsidP="00080C04">
            <w:pPr>
              <w:jc w:val="center"/>
              <w:rPr>
                <w:b/>
              </w:rPr>
            </w:pPr>
            <w:r>
              <w:rPr>
                <w:b/>
              </w:rPr>
              <w:t>Full slot first, RM</w:t>
            </w:r>
          </w:p>
        </w:tc>
        <w:tc>
          <w:tcPr>
            <w:tcW w:w="1080" w:type="dxa"/>
            <w:vAlign w:val="center"/>
          </w:tcPr>
          <w:p w14:paraId="3B0E0194" w14:textId="77777777" w:rsidR="004E4AE8" w:rsidRPr="006A39C3" w:rsidRDefault="004E4AE8" w:rsidP="00080C04">
            <w:pPr>
              <w:jc w:val="center"/>
              <w:rPr>
                <w:highlight w:val="green"/>
              </w:rPr>
            </w:pPr>
          </w:p>
        </w:tc>
        <w:tc>
          <w:tcPr>
            <w:tcW w:w="1080" w:type="dxa"/>
            <w:vAlign w:val="center"/>
          </w:tcPr>
          <w:p w14:paraId="235F55D9" w14:textId="77777777" w:rsidR="004E4AE8" w:rsidRDefault="004E4AE8" w:rsidP="00080C04">
            <w:pPr>
              <w:jc w:val="center"/>
            </w:pPr>
          </w:p>
        </w:tc>
        <w:tc>
          <w:tcPr>
            <w:tcW w:w="1260" w:type="dxa"/>
            <w:vAlign w:val="center"/>
          </w:tcPr>
          <w:p w14:paraId="1B6D1976" w14:textId="77777777" w:rsidR="004E4AE8" w:rsidRDefault="004E4AE8" w:rsidP="00080C04">
            <w:pPr>
              <w:jc w:val="center"/>
            </w:pPr>
          </w:p>
        </w:tc>
        <w:tc>
          <w:tcPr>
            <w:tcW w:w="990" w:type="dxa"/>
            <w:vAlign w:val="center"/>
          </w:tcPr>
          <w:p w14:paraId="43767D1D" w14:textId="77777777" w:rsidR="004E4AE8" w:rsidRDefault="004E4AE8" w:rsidP="00080C04">
            <w:pPr>
              <w:jc w:val="center"/>
            </w:pPr>
          </w:p>
        </w:tc>
        <w:tc>
          <w:tcPr>
            <w:tcW w:w="1080" w:type="dxa"/>
            <w:vAlign w:val="center"/>
          </w:tcPr>
          <w:p w14:paraId="33AA92AF" w14:textId="77777777" w:rsidR="004E4AE8" w:rsidRDefault="004E4AE8" w:rsidP="00080C04">
            <w:pPr>
              <w:jc w:val="center"/>
            </w:pPr>
          </w:p>
        </w:tc>
        <w:tc>
          <w:tcPr>
            <w:tcW w:w="1170" w:type="dxa"/>
            <w:vAlign w:val="center"/>
          </w:tcPr>
          <w:p w14:paraId="31CA128D" w14:textId="77777777" w:rsidR="004E4AE8" w:rsidRDefault="004E4AE8" w:rsidP="00080C04">
            <w:pPr>
              <w:jc w:val="center"/>
            </w:pPr>
          </w:p>
        </w:tc>
        <w:tc>
          <w:tcPr>
            <w:tcW w:w="1080" w:type="dxa"/>
            <w:vAlign w:val="center"/>
          </w:tcPr>
          <w:p w14:paraId="30366FEF" w14:textId="3A91CB9A" w:rsidR="004E4AE8" w:rsidRDefault="004E4AE8" w:rsidP="00080C04">
            <w:pPr>
              <w:jc w:val="center"/>
            </w:pPr>
            <w:r>
              <w:t>X</w:t>
            </w:r>
          </w:p>
        </w:tc>
        <w:tc>
          <w:tcPr>
            <w:tcW w:w="990" w:type="dxa"/>
            <w:vAlign w:val="center"/>
          </w:tcPr>
          <w:p w14:paraId="3370ECF5" w14:textId="77777777" w:rsidR="004E4AE8" w:rsidRDefault="004E4AE8" w:rsidP="00080C04">
            <w:pPr>
              <w:jc w:val="center"/>
            </w:pPr>
          </w:p>
        </w:tc>
        <w:tc>
          <w:tcPr>
            <w:tcW w:w="990" w:type="dxa"/>
            <w:vAlign w:val="center"/>
          </w:tcPr>
          <w:p w14:paraId="0E3F3146" w14:textId="063C93EA" w:rsidR="004E4AE8" w:rsidRDefault="004E4AE8" w:rsidP="00080C04">
            <w:pPr>
              <w:jc w:val="center"/>
            </w:pPr>
            <w:r>
              <w:t>X</w:t>
            </w:r>
          </w:p>
        </w:tc>
      </w:tr>
    </w:tbl>
    <w:p w14:paraId="3E513C47" w14:textId="77777777" w:rsidR="004B2AFD" w:rsidRDefault="004B2AFD" w:rsidP="00AA17CF">
      <w:pPr>
        <w:rPr>
          <w:rFonts w:eastAsia="SimSun"/>
          <w:b/>
          <w:lang w:eastAsia="zh-CN"/>
        </w:rPr>
      </w:pPr>
    </w:p>
    <w:p w14:paraId="028D2388" w14:textId="5F3091D1" w:rsidR="00AA17CF" w:rsidRPr="001876C9" w:rsidRDefault="00AA17CF" w:rsidP="00AA17CF">
      <w:r>
        <w:rPr>
          <w:rFonts w:eastAsia="SimSun"/>
          <w:b/>
          <w:lang w:eastAsia="zh-CN"/>
        </w:rPr>
        <w:t>Proposal 1</w:t>
      </w:r>
      <w:r w:rsidRPr="00B82644">
        <w:rPr>
          <w:rFonts w:eastAsia="SimSun"/>
          <w:b/>
          <w:lang w:eastAsia="zh-CN"/>
        </w:rPr>
        <w:t>:</w:t>
      </w:r>
      <w:r>
        <w:rPr>
          <w:rFonts w:eastAsia="SimSun"/>
          <w:b/>
          <w:lang w:eastAsia="zh-CN"/>
        </w:rPr>
        <w:t xml:space="preserve"> For the partial slot located at the beginning of a COT, NR-U should support any length partial slot allocation to a mini-slot for flexible TB to slot mapping using techniques such as </w:t>
      </w:r>
      <w:r w:rsidR="00B002DB">
        <w:rPr>
          <w:rFonts w:eastAsia="SimSun"/>
          <w:b/>
          <w:lang w:eastAsia="zh-CN"/>
        </w:rPr>
        <w:t xml:space="preserve">NR </w:t>
      </w:r>
      <w:r>
        <w:rPr>
          <w:rFonts w:eastAsia="SimSun"/>
          <w:b/>
          <w:lang w:eastAsia="zh-CN"/>
        </w:rPr>
        <w:t>rate matching and slot aggregation.</w:t>
      </w:r>
    </w:p>
    <w:p w14:paraId="7B98DADD" w14:textId="0CCDA8DD" w:rsidR="00AA17CF" w:rsidRPr="001876C9" w:rsidRDefault="00AA17CF" w:rsidP="00AA17CF">
      <w:r>
        <w:rPr>
          <w:rFonts w:eastAsia="SimSun"/>
          <w:b/>
          <w:lang w:eastAsia="zh-CN"/>
        </w:rPr>
        <w:t>Proposal 2</w:t>
      </w:r>
      <w:r w:rsidRPr="00B82644">
        <w:rPr>
          <w:rFonts w:eastAsia="SimSun"/>
          <w:b/>
          <w:lang w:eastAsia="zh-CN"/>
        </w:rPr>
        <w:t>:</w:t>
      </w:r>
      <w:r>
        <w:rPr>
          <w:rFonts w:eastAsia="SimSun"/>
          <w:b/>
          <w:lang w:eastAsia="zh-CN"/>
        </w:rPr>
        <w:t xml:space="preserve"> To alleviate the need for </w:t>
      </w:r>
      <w:r w:rsidR="00C96A29">
        <w:rPr>
          <w:rFonts w:eastAsia="SimSun"/>
          <w:b/>
          <w:lang w:eastAsia="zh-CN"/>
        </w:rPr>
        <w:t xml:space="preserve">any </w:t>
      </w:r>
      <w:r>
        <w:rPr>
          <w:rFonts w:eastAsia="SimSun"/>
          <w:b/>
          <w:lang w:eastAsia="zh-CN"/>
        </w:rPr>
        <w:t xml:space="preserve">on-the-fly rebuilding </w:t>
      </w:r>
      <w:r w:rsidR="00B002DB">
        <w:rPr>
          <w:rFonts w:eastAsia="SimSun"/>
          <w:b/>
          <w:lang w:eastAsia="zh-CN"/>
        </w:rPr>
        <w:t xml:space="preserve">of the initial transmission at the beginning of a COT </w:t>
      </w:r>
      <w:r>
        <w:rPr>
          <w:rFonts w:eastAsia="SimSun"/>
          <w:b/>
          <w:lang w:eastAsia="zh-CN"/>
        </w:rPr>
        <w:t>after LBT success, always proceed with a full 14-symbol slot transmission first</w:t>
      </w:r>
      <w:r w:rsidR="00B002DB">
        <w:rPr>
          <w:rFonts w:eastAsia="SimSun"/>
          <w:b/>
          <w:lang w:eastAsia="zh-CN"/>
        </w:rPr>
        <w:t>, followed by an NR rate-matched partial slot that may or may not be aggregated with the slot directly after the partial slot.</w:t>
      </w:r>
    </w:p>
    <w:p w14:paraId="321154E9" w14:textId="77777777" w:rsidR="00AA17CF" w:rsidRDefault="00AA17CF" w:rsidP="00AA17CF">
      <w:r>
        <w:t xml:space="preserve">We now present an overhead analysis for various SCS options. As our baseline, in LAA, DL transmission could start at the first or second slot boundary of a subframe. With a subcarrier spacing of 15KHz and assume uniform distribution of the transmission opportunities, the average temporal gap between time of LBT clearance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 xml:space="preserve"> and time of immediately following slot boundary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is  0.25ms. For a small packet transmission (e.g., 1 sub-frame only, which lasts only 1ms), this means a 25% overhead. Furthermore, to avoid the channel being occupied by other devices in this gap, a reservation signal needs to be transmitted. This further reduces the operation efficiency in terms of power consumption and measured spectral efficiency. Now consider NR with subcarrier spacing of 60KHz. In this case, an OFDM symbol has duration of 17.84us. If the mini-slot feature of NR is enabled, the average temporal gap between time of LBT clearance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 xml:space="preserve"> and time of the immediately following symbol boundary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is 8.92us. For a 1ms transmission, the overhead is 0.89%, which is nearly 30 times smaller than that of LAA. </w:t>
      </w:r>
      <w:r>
        <w:fldChar w:fldCharType="begin"/>
      </w:r>
      <w:r>
        <w:instrText xml:space="preserve"> REF _Ref513647053 \h </w:instrText>
      </w:r>
      <w:r>
        <w:fldChar w:fldCharType="separate"/>
      </w:r>
      <w:r w:rsidR="00983CF4">
        <w:t xml:space="preserve">Table </w:t>
      </w:r>
      <w:r w:rsidR="00983CF4">
        <w:rPr>
          <w:noProof/>
        </w:rPr>
        <w:t>2</w:t>
      </w:r>
      <w:r>
        <w:fldChar w:fldCharType="end"/>
      </w:r>
      <w:r>
        <w:t xml:space="preserve"> summarizes the overhead analysis for various SCS supported in NR-U. From the table, we can see that larger SCS yields smaller overhead, and the overhead corresponding to small SCS becomes significant as Transmission duration is reduced. Finally, it is worth noting that according to the current LBT specification, a reservation signal may still be needed for SCS of 15KHz and 30KHz in order to prevent other devices from “stealing” the transmission opportunity.</w:t>
      </w:r>
    </w:p>
    <w:p w14:paraId="5DF3354D" w14:textId="77777777" w:rsidR="00AA17CF" w:rsidRDefault="00AA17CF" w:rsidP="00AA17CF">
      <w:pPr>
        <w:pStyle w:val="Caption"/>
        <w:jc w:val="center"/>
      </w:pPr>
      <w:bookmarkStart w:id="7" w:name="_Ref513647053"/>
      <w:r>
        <w:lastRenderedPageBreak/>
        <w:t xml:space="preserve">Table </w:t>
      </w:r>
      <w:r>
        <w:rPr>
          <w:noProof/>
        </w:rPr>
        <w:fldChar w:fldCharType="begin"/>
      </w:r>
      <w:r>
        <w:rPr>
          <w:noProof/>
        </w:rPr>
        <w:instrText xml:space="preserve"> SEQ Table \* ARABIC </w:instrText>
      </w:r>
      <w:r>
        <w:rPr>
          <w:noProof/>
        </w:rPr>
        <w:fldChar w:fldCharType="separate"/>
      </w:r>
      <w:r w:rsidR="00983CF4">
        <w:rPr>
          <w:noProof/>
        </w:rPr>
        <w:t>2</w:t>
      </w:r>
      <w:r>
        <w:rPr>
          <w:noProof/>
        </w:rPr>
        <w:fldChar w:fldCharType="end"/>
      </w:r>
      <w:bookmarkEnd w:id="7"/>
      <w:r>
        <w:t>: Overhead Analysis for Various SCS for NR-U Operation</w:t>
      </w:r>
    </w:p>
    <w:tbl>
      <w:tblPr>
        <w:tblStyle w:val="TableGrid"/>
        <w:tblW w:w="0" w:type="auto"/>
        <w:jc w:val="center"/>
        <w:tblLook w:val="04A0" w:firstRow="1" w:lastRow="0" w:firstColumn="1" w:lastColumn="0" w:noHBand="0" w:noVBand="1"/>
      </w:tblPr>
      <w:tblGrid>
        <w:gridCol w:w="985"/>
        <w:gridCol w:w="1620"/>
        <w:gridCol w:w="1260"/>
        <w:gridCol w:w="2430"/>
        <w:gridCol w:w="2520"/>
      </w:tblGrid>
      <w:tr w:rsidR="00AA17CF" w14:paraId="0A96012A" w14:textId="77777777" w:rsidTr="00080C04">
        <w:trPr>
          <w:jc w:val="center"/>
        </w:trPr>
        <w:tc>
          <w:tcPr>
            <w:tcW w:w="985" w:type="dxa"/>
            <w:vAlign w:val="center"/>
          </w:tcPr>
          <w:p w14:paraId="5650AFD3" w14:textId="77777777" w:rsidR="00AA17CF" w:rsidRDefault="00AA17CF" w:rsidP="00080C04">
            <w:pPr>
              <w:jc w:val="center"/>
            </w:pPr>
            <w:r>
              <w:t>SCS (</w:t>
            </w:r>
            <m:oMath>
              <m:r>
                <w:rPr>
                  <w:rFonts w:ascii="Cambria Math" w:hAnsi="Cambria Math"/>
                </w:rPr>
                <m:t>KHz</m:t>
              </m:r>
            </m:oMath>
            <w:r>
              <w:t>)</w:t>
            </w:r>
          </w:p>
        </w:tc>
        <w:tc>
          <w:tcPr>
            <w:tcW w:w="1620" w:type="dxa"/>
            <w:vAlign w:val="center"/>
          </w:tcPr>
          <w:p w14:paraId="70761E39" w14:textId="77777777" w:rsidR="00AA17CF" w:rsidRDefault="00AA17CF" w:rsidP="00080C04">
            <w:pPr>
              <w:jc w:val="center"/>
            </w:pPr>
            <w:r>
              <w:t>Symbol Duration (</w:t>
            </w:r>
            <m:oMath>
              <m:r>
                <w:rPr>
                  <w:rFonts w:ascii="Cambria Math" w:hAnsi="Cambria Math"/>
                </w:rPr>
                <m:t>μs)</m:t>
              </m:r>
            </m:oMath>
          </w:p>
        </w:tc>
        <w:tc>
          <w:tcPr>
            <w:tcW w:w="1260" w:type="dxa"/>
            <w:vAlign w:val="center"/>
          </w:tcPr>
          <w:p w14:paraId="7E72521C" w14:textId="77777777" w:rsidR="00AA17CF" w:rsidRDefault="00AA17CF" w:rsidP="00080C04">
            <w:pPr>
              <w:jc w:val="center"/>
            </w:pPr>
            <w:r>
              <w:t xml:space="preserve"> </w:t>
            </w:r>
            <m:oMath>
              <m:r>
                <w:rPr>
                  <w:rFonts w:ascii="Cambria Math" w:hAnsi="Cambria Math"/>
                </w:rPr>
                <m:t>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0</m:t>
                      </m:r>
                    </m:sub>
                  </m:sSub>
                </m:e>
              </m:d>
            </m:oMath>
            <w:r>
              <w:t xml:space="preserve"> (</w:t>
            </w:r>
            <m:oMath>
              <m:r>
                <w:rPr>
                  <w:rFonts w:ascii="Cambria Math" w:hAnsi="Cambria Math"/>
                </w:rPr>
                <m:t>μs)</m:t>
              </m:r>
            </m:oMath>
          </w:p>
        </w:tc>
        <w:tc>
          <w:tcPr>
            <w:tcW w:w="2430" w:type="dxa"/>
            <w:vAlign w:val="center"/>
          </w:tcPr>
          <w:p w14:paraId="02C50153" w14:textId="77777777" w:rsidR="00AA17CF" w:rsidRPr="00B9252D" w:rsidRDefault="00AA17CF" w:rsidP="00080C04">
            <w:pPr>
              <w:jc w:val="center"/>
            </w:pPr>
            <w:r>
              <w:t>Overhead (</w:t>
            </w:r>
            <m:oMath>
              <m:r>
                <w:rPr>
                  <w:rFonts w:ascii="Cambria Math" w:hAnsi="Cambria Math"/>
                </w:rPr>
                <m:t>%)</m:t>
              </m:r>
            </m:oMath>
            <w:r>
              <w:t xml:space="preserve">             </w:t>
            </w:r>
            <w:r w:rsidRPr="00B9252D">
              <w:rPr>
                <w:sz w:val="16"/>
                <w:szCs w:val="16"/>
              </w:rPr>
              <w:t>(assuming 1ms Tx duration)</w:t>
            </w:r>
          </w:p>
        </w:tc>
        <w:tc>
          <w:tcPr>
            <w:tcW w:w="2520" w:type="dxa"/>
            <w:vAlign w:val="center"/>
          </w:tcPr>
          <w:p w14:paraId="5AD077EF" w14:textId="77777777" w:rsidR="00AA17CF" w:rsidRDefault="00AA17CF" w:rsidP="00080C04">
            <w:pPr>
              <w:jc w:val="center"/>
            </w:pPr>
            <w:r>
              <w:t>Overhead (</w:t>
            </w:r>
            <m:oMath>
              <m:r>
                <w:rPr>
                  <w:rFonts w:ascii="Cambria Math" w:hAnsi="Cambria Math"/>
                </w:rPr>
                <m:t>%)</m:t>
              </m:r>
            </m:oMath>
            <w:r>
              <w:t xml:space="preserve">          </w:t>
            </w:r>
            <w:r w:rsidRPr="00B9252D">
              <w:rPr>
                <w:sz w:val="16"/>
                <w:szCs w:val="16"/>
              </w:rPr>
              <w:t xml:space="preserve">(assuming </w:t>
            </w:r>
            <w:r>
              <w:rPr>
                <w:sz w:val="16"/>
                <w:szCs w:val="16"/>
              </w:rPr>
              <w:t>0.5</w:t>
            </w:r>
            <w:r w:rsidRPr="00B9252D">
              <w:rPr>
                <w:sz w:val="16"/>
                <w:szCs w:val="16"/>
              </w:rPr>
              <w:t>ms Tx duration)</w:t>
            </w:r>
          </w:p>
        </w:tc>
      </w:tr>
      <w:tr w:rsidR="00AA17CF" w14:paraId="3B220E89" w14:textId="77777777" w:rsidTr="00080C04">
        <w:trPr>
          <w:jc w:val="center"/>
        </w:trPr>
        <w:tc>
          <w:tcPr>
            <w:tcW w:w="985" w:type="dxa"/>
            <w:vAlign w:val="center"/>
          </w:tcPr>
          <w:p w14:paraId="37B76CF8" w14:textId="77777777" w:rsidR="00AA17CF" w:rsidRDefault="00AA17CF" w:rsidP="00080C04">
            <w:pPr>
              <w:jc w:val="center"/>
            </w:pPr>
            <w:r>
              <w:t>15</w:t>
            </w:r>
          </w:p>
        </w:tc>
        <w:tc>
          <w:tcPr>
            <w:tcW w:w="1620" w:type="dxa"/>
            <w:vAlign w:val="center"/>
          </w:tcPr>
          <w:p w14:paraId="12DC2F3A" w14:textId="77777777" w:rsidR="00AA17CF" w:rsidRDefault="00AA17CF" w:rsidP="00080C04">
            <w:pPr>
              <w:jc w:val="center"/>
            </w:pPr>
            <w:r>
              <w:t>71.35</w:t>
            </w:r>
          </w:p>
        </w:tc>
        <w:tc>
          <w:tcPr>
            <w:tcW w:w="1260" w:type="dxa"/>
            <w:vAlign w:val="center"/>
          </w:tcPr>
          <w:p w14:paraId="240C8256" w14:textId="77777777" w:rsidR="00AA17CF" w:rsidRDefault="00AA17CF" w:rsidP="00080C04">
            <w:pPr>
              <w:jc w:val="center"/>
            </w:pPr>
            <w:r>
              <w:t>35.68</w:t>
            </w:r>
          </w:p>
        </w:tc>
        <w:tc>
          <w:tcPr>
            <w:tcW w:w="2430" w:type="dxa"/>
            <w:vAlign w:val="center"/>
          </w:tcPr>
          <w:p w14:paraId="0EF0F4E9" w14:textId="77777777" w:rsidR="00AA17CF" w:rsidRDefault="00AA17CF" w:rsidP="00080C04">
            <w:pPr>
              <w:jc w:val="center"/>
            </w:pPr>
            <w:r>
              <w:t>3.57</w:t>
            </w:r>
          </w:p>
        </w:tc>
        <w:tc>
          <w:tcPr>
            <w:tcW w:w="2520" w:type="dxa"/>
            <w:vAlign w:val="center"/>
          </w:tcPr>
          <w:p w14:paraId="4CF0560D" w14:textId="77777777" w:rsidR="00AA17CF" w:rsidRDefault="00AA17CF" w:rsidP="00080C04">
            <w:pPr>
              <w:jc w:val="center"/>
            </w:pPr>
            <w:r>
              <w:t>7.14</w:t>
            </w:r>
          </w:p>
        </w:tc>
      </w:tr>
      <w:tr w:rsidR="00AA17CF" w14:paraId="64906E9A" w14:textId="77777777" w:rsidTr="00080C04">
        <w:trPr>
          <w:jc w:val="center"/>
        </w:trPr>
        <w:tc>
          <w:tcPr>
            <w:tcW w:w="985" w:type="dxa"/>
            <w:vAlign w:val="center"/>
          </w:tcPr>
          <w:p w14:paraId="24946122" w14:textId="77777777" w:rsidR="00AA17CF" w:rsidRDefault="00AA17CF" w:rsidP="00080C04">
            <w:pPr>
              <w:jc w:val="center"/>
            </w:pPr>
            <w:r>
              <w:t>30</w:t>
            </w:r>
          </w:p>
        </w:tc>
        <w:tc>
          <w:tcPr>
            <w:tcW w:w="1620" w:type="dxa"/>
            <w:vAlign w:val="center"/>
          </w:tcPr>
          <w:p w14:paraId="6B5F1424" w14:textId="77777777" w:rsidR="00AA17CF" w:rsidRDefault="00AA17CF" w:rsidP="00080C04">
            <w:pPr>
              <w:jc w:val="center"/>
            </w:pPr>
            <w:r>
              <w:t>35.68</w:t>
            </w:r>
          </w:p>
        </w:tc>
        <w:tc>
          <w:tcPr>
            <w:tcW w:w="1260" w:type="dxa"/>
            <w:vAlign w:val="center"/>
          </w:tcPr>
          <w:p w14:paraId="39948B29" w14:textId="77777777" w:rsidR="00AA17CF" w:rsidRDefault="00AA17CF" w:rsidP="00080C04">
            <w:pPr>
              <w:jc w:val="center"/>
            </w:pPr>
            <w:r>
              <w:t>17.84</w:t>
            </w:r>
          </w:p>
        </w:tc>
        <w:tc>
          <w:tcPr>
            <w:tcW w:w="2430" w:type="dxa"/>
            <w:vAlign w:val="center"/>
          </w:tcPr>
          <w:p w14:paraId="12AB74BF" w14:textId="77777777" w:rsidR="00AA17CF" w:rsidRDefault="00AA17CF" w:rsidP="00080C04">
            <w:pPr>
              <w:jc w:val="center"/>
            </w:pPr>
            <w:r>
              <w:t>1.78</w:t>
            </w:r>
          </w:p>
        </w:tc>
        <w:tc>
          <w:tcPr>
            <w:tcW w:w="2520" w:type="dxa"/>
            <w:vAlign w:val="center"/>
          </w:tcPr>
          <w:p w14:paraId="56AA767D" w14:textId="77777777" w:rsidR="00AA17CF" w:rsidRDefault="00AA17CF" w:rsidP="00080C04">
            <w:pPr>
              <w:jc w:val="center"/>
            </w:pPr>
            <w:r>
              <w:t>3.57</w:t>
            </w:r>
          </w:p>
        </w:tc>
      </w:tr>
      <w:tr w:rsidR="00AA17CF" w14:paraId="103EEC24" w14:textId="77777777" w:rsidTr="00080C04">
        <w:trPr>
          <w:jc w:val="center"/>
        </w:trPr>
        <w:tc>
          <w:tcPr>
            <w:tcW w:w="985" w:type="dxa"/>
            <w:vAlign w:val="center"/>
          </w:tcPr>
          <w:p w14:paraId="13EFF7F1" w14:textId="77777777" w:rsidR="00AA17CF" w:rsidRDefault="00AA17CF" w:rsidP="00080C04">
            <w:pPr>
              <w:jc w:val="center"/>
            </w:pPr>
            <w:r>
              <w:t>60</w:t>
            </w:r>
          </w:p>
        </w:tc>
        <w:tc>
          <w:tcPr>
            <w:tcW w:w="1620" w:type="dxa"/>
            <w:vAlign w:val="center"/>
          </w:tcPr>
          <w:p w14:paraId="7807A4E6" w14:textId="77777777" w:rsidR="00AA17CF" w:rsidRDefault="00AA17CF" w:rsidP="00080C04">
            <w:pPr>
              <w:jc w:val="center"/>
            </w:pPr>
            <w:r>
              <w:t>17.84</w:t>
            </w:r>
          </w:p>
        </w:tc>
        <w:tc>
          <w:tcPr>
            <w:tcW w:w="1260" w:type="dxa"/>
            <w:vAlign w:val="center"/>
          </w:tcPr>
          <w:p w14:paraId="584E0F47" w14:textId="77777777" w:rsidR="00AA17CF" w:rsidRDefault="00AA17CF" w:rsidP="00080C04">
            <w:pPr>
              <w:jc w:val="center"/>
            </w:pPr>
            <w:r>
              <w:t>8.92</w:t>
            </w:r>
          </w:p>
        </w:tc>
        <w:tc>
          <w:tcPr>
            <w:tcW w:w="2430" w:type="dxa"/>
            <w:vAlign w:val="center"/>
          </w:tcPr>
          <w:p w14:paraId="45ACFCEC" w14:textId="77777777" w:rsidR="00AA17CF" w:rsidRDefault="00AA17CF" w:rsidP="00080C04">
            <w:pPr>
              <w:jc w:val="center"/>
            </w:pPr>
            <w:r>
              <w:t>0.89</w:t>
            </w:r>
          </w:p>
        </w:tc>
        <w:tc>
          <w:tcPr>
            <w:tcW w:w="2520" w:type="dxa"/>
            <w:vAlign w:val="center"/>
          </w:tcPr>
          <w:p w14:paraId="186FB351" w14:textId="77777777" w:rsidR="00AA17CF" w:rsidRDefault="00AA17CF" w:rsidP="00080C04">
            <w:pPr>
              <w:jc w:val="center"/>
            </w:pPr>
            <w:r>
              <w:t>1.78</w:t>
            </w:r>
          </w:p>
        </w:tc>
      </w:tr>
    </w:tbl>
    <w:p w14:paraId="58F5E004" w14:textId="77777777" w:rsidR="00AA17CF" w:rsidRDefault="00AA17CF" w:rsidP="00AA17CF"/>
    <w:p w14:paraId="6B9FE978" w14:textId="77777777" w:rsidR="00AA17CF" w:rsidRDefault="00AA17CF" w:rsidP="00AA17CF">
      <w:pPr>
        <w:rPr>
          <w:rFonts w:eastAsia="SimSun"/>
          <w:b/>
          <w:lang w:eastAsia="zh-CN"/>
        </w:rPr>
      </w:pPr>
      <w:r>
        <w:rPr>
          <w:rFonts w:eastAsia="SimSun"/>
          <w:b/>
          <w:lang w:eastAsia="zh-CN"/>
        </w:rPr>
        <w:t>Observation 5: Larger SCS enjoys less overhead for both DL and UL transmission.</w:t>
      </w:r>
    </w:p>
    <w:p w14:paraId="70CC8FA3" w14:textId="77777777" w:rsidR="00AA17CF" w:rsidRDefault="00AA17CF" w:rsidP="00AA17CF">
      <w:pPr>
        <w:rPr>
          <w:rFonts w:eastAsia="SimSun"/>
          <w:b/>
          <w:lang w:eastAsia="zh-CN"/>
        </w:rPr>
      </w:pPr>
      <w:r>
        <w:rPr>
          <w:rFonts w:eastAsia="SimSun"/>
          <w:b/>
          <w:lang w:eastAsia="zh-CN"/>
        </w:rPr>
        <w:t>Observation 6: Reservation signal may still be needed for SCS of 15KHz and 30KHz.</w:t>
      </w:r>
    </w:p>
    <w:p w14:paraId="692DA888" w14:textId="2BF95050" w:rsidR="00AA17CF" w:rsidRPr="00AA17CF" w:rsidRDefault="00AA17CF" w:rsidP="00AA17CF">
      <w:pPr>
        <w:rPr>
          <w:rFonts w:eastAsia="SimSun"/>
          <w:b/>
          <w:lang w:eastAsia="zh-CN"/>
        </w:rPr>
      </w:pPr>
      <w:r>
        <w:rPr>
          <w:rFonts w:eastAsia="SimSun"/>
          <w:b/>
          <w:lang w:eastAsia="zh-CN"/>
        </w:rPr>
        <w:t>Proposal 3</w:t>
      </w:r>
      <w:r w:rsidRPr="00B82644">
        <w:rPr>
          <w:rFonts w:eastAsia="SimSun"/>
          <w:b/>
          <w:lang w:eastAsia="zh-CN"/>
        </w:rPr>
        <w:t>:</w:t>
      </w:r>
      <w:r>
        <w:rPr>
          <w:rFonts w:eastAsia="SimSun"/>
          <w:b/>
          <w:lang w:eastAsia="zh-CN"/>
        </w:rPr>
        <w:t xml:space="preserve"> NR-U should consider SCS of 60KHz for DL and UL transmission.</w:t>
      </w:r>
    </w:p>
    <w:p w14:paraId="61112A84" w14:textId="77777777" w:rsidR="00644AE4" w:rsidRDefault="00644AE4" w:rsidP="001F11C7">
      <w:pPr>
        <w:pStyle w:val="Heading1"/>
        <w:numPr>
          <w:ilvl w:val="0"/>
          <w:numId w:val="5"/>
        </w:numPr>
        <w:spacing w:after="120"/>
        <w:ind w:right="288"/>
      </w:pPr>
      <w:r>
        <w:t>Wideband Operation</w:t>
      </w:r>
    </w:p>
    <w:tbl>
      <w:tblPr>
        <w:tblStyle w:val="TableGrid"/>
        <w:tblW w:w="0" w:type="auto"/>
        <w:tblLook w:val="04A0" w:firstRow="1" w:lastRow="0" w:firstColumn="1" w:lastColumn="0" w:noHBand="0" w:noVBand="1"/>
      </w:tblPr>
      <w:tblGrid>
        <w:gridCol w:w="9631"/>
      </w:tblGrid>
      <w:tr w:rsidR="00644AE4" w:rsidRPr="00A05CCF" w14:paraId="65D73FB3" w14:textId="77777777" w:rsidTr="00C7169C">
        <w:tc>
          <w:tcPr>
            <w:tcW w:w="9631" w:type="dxa"/>
          </w:tcPr>
          <w:p w14:paraId="6A98F4CC" w14:textId="0EFEFA13" w:rsidR="00644AE4" w:rsidRPr="00A05CCF" w:rsidRDefault="00644AE4" w:rsidP="00C7169C">
            <w:r w:rsidRPr="00A05CCF">
              <w:rPr>
                <w:highlight w:val="green"/>
              </w:rPr>
              <w:t>Agreement:</w:t>
            </w:r>
            <w:r w:rsidRPr="00A05CCF">
              <w:t xml:space="preserve"> (RAN1 #93</w:t>
            </w:r>
            <w:r w:rsidR="00606829">
              <w:t xml:space="preserve"> </w:t>
            </w:r>
            <w:r w:rsidR="00606829">
              <w:fldChar w:fldCharType="begin"/>
            </w:r>
            <w:r w:rsidR="00606829">
              <w:instrText xml:space="preserve"> REF _Ref528832966 \r \h </w:instrText>
            </w:r>
            <w:r w:rsidR="00606829">
              <w:fldChar w:fldCharType="separate"/>
            </w:r>
            <w:r w:rsidR="00606829">
              <w:t>[4]</w:t>
            </w:r>
            <w:r w:rsidR="00606829">
              <w:fldChar w:fldCharType="end"/>
            </w:r>
            <w:r w:rsidRPr="00A05CCF">
              <w:t>)</w:t>
            </w:r>
          </w:p>
          <w:p w14:paraId="08F43711" w14:textId="77777777" w:rsidR="00644AE4" w:rsidRPr="00A05CCF" w:rsidRDefault="00644AE4" w:rsidP="00644AE4">
            <w:pPr>
              <w:pStyle w:val="ListParagraph"/>
              <w:numPr>
                <w:ilvl w:val="0"/>
                <w:numId w:val="22"/>
              </w:numPr>
              <w:spacing w:after="0" w:line="259" w:lineRule="auto"/>
              <w:rPr>
                <w:sz w:val="20"/>
                <w:szCs w:val="20"/>
              </w:rPr>
            </w:pPr>
            <w:r w:rsidRPr="00A05CCF">
              <w:rPr>
                <w:sz w:val="20"/>
                <w:szCs w:val="20"/>
              </w:rPr>
              <w:t>Initial active DL/UL BWP is approximately 20MHz for 5GHz band</w:t>
            </w:r>
          </w:p>
          <w:p w14:paraId="1BF12B72" w14:textId="77777777" w:rsidR="00644AE4" w:rsidRPr="00A05CCF" w:rsidRDefault="00644AE4" w:rsidP="00644AE4">
            <w:pPr>
              <w:pStyle w:val="ListParagraph"/>
              <w:numPr>
                <w:ilvl w:val="1"/>
                <w:numId w:val="22"/>
              </w:numPr>
              <w:spacing w:after="0" w:line="259" w:lineRule="auto"/>
              <w:rPr>
                <w:sz w:val="20"/>
                <w:szCs w:val="20"/>
              </w:rPr>
            </w:pPr>
            <w:r w:rsidRPr="00A05CCF">
              <w:rPr>
                <w:sz w:val="20"/>
                <w:szCs w:val="20"/>
              </w:rPr>
              <w:t>The final value will be quantized to number of PRBs</w:t>
            </w:r>
          </w:p>
          <w:p w14:paraId="0E1C6499" w14:textId="77777777" w:rsidR="00644AE4" w:rsidRPr="00A05CCF" w:rsidRDefault="00644AE4" w:rsidP="00644AE4">
            <w:pPr>
              <w:pStyle w:val="ListParagraph"/>
              <w:numPr>
                <w:ilvl w:val="0"/>
                <w:numId w:val="22"/>
              </w:numPr>
              <w:spacing w:after="0" w:line="259" w:lineRule="auto"/>
              <w:rPr>
                <w:sz w:val="20"/>
                <w:szCs w:val="20"/>
              </w:rPr>
            </w:pPr>
            <w:r w:rsidRPr="00A05CCF">
              <w:rPr>
                <w:sz w:val="20"/>
                <w:szCs w:val="20"/>
              </w:rPr>
              <w:t>Initial active DL/UL BWP is approximately 20MHz for 6GHz band if similar channelization as 5GHz band is used for 6GHz band</w:t>
            </w:r>
          </w:p>
          <w:p w14:paraId="724BED30" w14:textId="77777777" w:rsidR="00644AE4" w:rsidRPr="00A05CCF" w:rsidRDefault="00644AE4" w:rsidP="00644AE4">
            <w:pPr>
              <w:pStyle w:val="ListParagraph"/>
              <w:numPr>
                <w:ilvl w:val="0"/>
                <w:numId w:val="22"/>
              </w:numPr>
              <w:spacing w:after="0" w:line="259" w:lineRule="auto"/>
              <w:rPr>
                <w:sz w:val="20"/>
                <w:szCs w:val="20"/>
              </w:rPr>
            </w:pPr>
            <w:r w:rsidRPr="00A05CCF">
              <w:rPr>
                <w:sz w:val="20"/>
                <w:szCs w:val="20"/>
              </w:rPr>
              <w:t>FFS: Initial active DL/UL BWP for other applicable bands, including 60GHz</w:t>
            </w:r>
          </w:p>
        </w:tc>
      </w:tr>
    </w:tbl>
    <w:p w14:paraId="0C78C371" w14:textId="60063D82" w:rsidR="002834FF" w:rsidRPr="00EC7EF4" w:rsidRDefault="00644AE4" w:rsidP="002834FF">
      <w:pPr>
        <w:jc w:val="both"/>
      </w:pPr>
      <w:r>
        <w:rPr>
          <w:lang w:val="en-GB" w:eastAsia="zh-CN"/>
        </w:rPr>
        <w:t xml:space="preserve">Both carrier aggregation (CA) and bandwidth part (BWP) adaptation mechanisms are supported in NR for wideband operation. </w:t>
      </w:r>
      <w:r w:rsidRPr="006428A3">
        <w:rPr>
          <w:lang w:val="en-GB" w:eastAsia="zh-CN"/>
        </w:rPr>
        <w:t xml:space="preserve">In NR-U, </w:t>
      </w:r>
      <w:r>
        <w:rPr>
          <w:lang w:val="en-GB" w:eastAsia="zh-CN"/>
        </w:rPr>
        <w:t>we think both mechanisms should be supported as well since they offer different benefits. With CA, the access channels are not necessarily to be contiguous to each other. But it takes longer time to activate and</w:t>
      </w:r>
      <w:r w:rsidR="00546E9C">
        <w:rPr>
          <w:lang w:val="en-GB" w:eastAsia="zh-CN"/>
        </w:rPr>
        <w:t xml:space="preserve"> deactivate a carrier component</w:t>
      </w:r>
      <w:r>
        <w:rPr>
          <w:lang w:val="en-GB" w:eastAsia="zh-CN"/>
        </w:rPr>
        <w:t xml:space="preserve"> </w:t>
      </w:r>
      <w:r w:rsidR="00546E9C">
        <w:rPr>
          <w:lang w:val="en-GB" w:eastAsia="zh-CN"/>
        </w:rPr>
        <w:t>(t</w:t>
      </w:r>
      <w:r w:rsidR="00546E9C" w:rsidRPr="00546E9C">
        <w:t xml:space="preserve">he activation </w:t>
      </w:r>
      <w:r w:rsidR="00546E9C">
        <w:t>time</w:t>
      </w:r>
      <w:r w:rsidR="00546E9C" w:rsidRPr="00546E9C">
        <w:t xml:space="preserve"> </w:t>
      </w:r>
      <w:r w:rsidR="00546E9C">
        <w:t>and de</w:t>
      </w:r>
      <w:r w:rsidR="00546E9C" w:rsidRPr="00546E9C">
        <w:t xml:space="preserve">activation </w:t>
      </w:r>
      <w:r w:rsidR="00546E9C">
        <w:t>time</w:t>
      </w:r>
      <w:r w:rsidR="00546E9C" w:rsidRPr="00546E9C">
        <w:t xml:space="preserve"> </w:t>
      </w:r>
      <w:r w:rsidR="00546E9C">
        <w:t>of a carrier</w:t>
      </w:r>
      <w:r w:rsidR="00546E9C" w:rsidRPr="00546E9C">
        <w:t xml:space="preserve"> </w:t>
      </w:r>
      <w:r w:rsidR="00546E9C">
        <w:t>can be tens of milliseconds)</w:t>
      </w:r>
      <w:r w:rsidR="00546E9C" w:rsidRPr="00546E9C">
        <w:rPr>
          <w:lang w:val="en-GB"/>
        </w:rPr>
        <w:t>.</w:t>
      </w:r>
      <w:r w:rsidR="002834FF">
        <w:rPr>
          <w:lang w:val="en-GB" w:eastAsia="zh-CN"/>
        </w:rPr>
        <w:t xml:space="preserve"> </w:t>
      </w:r>
      <w:r>
        <w:rPr>
          <w:lang w:val="en-GB" w:eastAsia="zh-CN"/>
        </w:rPr>
        <w:t>BWP is adopted to NR in order to provide more dynamic and efficient c</w:t>
      </w:r>
      <w:r w:rsidR="00546E9C">
        <w:rPr>
          <w:lang w:val="en-GB" w:eastAsia="zh-CN"/>
        </w:rPr>
        <w:t>ontrol over wideband operation (t</w:t>
      </w:r>
      <w:r w:rsidR="00546E9C" w:rsidRPr="00546E9C">
        <w:t xml:space="preserve">he activation delay of BWP is 2 to 3 </w:t>
      </w:r>
      <w:r w:rsidR="00546E9C">
        <w:t>milliseconds).</w:t>
      </w:r>
      <w:r w:rsidR="002834FF">
        <w:rPr>
          <w:lang w:val="en-GB" w:eastAsia="zh-CN"/>
        </w:rPr>
        <w:t xml:space="preserve"> </w:t>
      </w:r>
      <w:r>
        <w:rPr>
          <w:lang w:val="en-GB" w:eastAsia="zh-CN"/>
        </w:rPr>
        <w:t xml:space="preserve">When UE is in a low activity stage such as idle or inactive modes, UE can stay on a narrowband BWP so that it can save its power significantly. Power saving is very important to UEs. </w:t>
      </w:r>
      <w:r w:rsidR="002834FF">
        <w:t>In addition, f</w:t>
      </w:r>
      <w:r w:rsidR="002834FF" w:rsidRPr="00546E9C">
        <w:t xml:space="preserve">or high traffic load, using a single wideband carrier </w:t>
      </w:r>
      <w:r w:rsidR="00EC7EF4">
        <w:t>results in</w:t>
      </w:r>
      <w:r w:rsidR="002834FF">
        <w:t xml:space="preserve"> a better spectral efficiency since the gap duration</w:t>
      </w:r>
      <w:r w:rsidR="002834FF" w:rsidRPr="00546E9C">
        <w:t xml:space="preserve"> for CA is larger than that of a single wideband.</w:t>
      </w:r>
      <w:r w:rsidR="00EC7EF4">
        <w:t xml:space="preserve"> For example, the percentage of gap for CA and single wideband channel is shown in </w:t>
      </w:r>
      <w:r w:rsidR="00EC7EF4">
        <w:fldChar w:fldCharType="begin"/>
      </w:r>
      <w:r w:rsidR="00EC7EF4">
        <w:instrText xml:space="preserve"> REF _Ref528829955 \h </w:instrText>
      </w:r>
      <w:r w:rsidR="00EC7EF4">
        <w:fldChar w:fldCharType="separate"/>
      </w:r>
      <w:r w:rsidR="00983CF4" w:rsidRPr="002834FF">
        <w:t xml:space="preserve">Table </w:t>
      </w:r>
      <w:r w:rsidR="00983CF4">
        <w:rPr>
          <w:noProof/>
        </w:rPr>
        <w:t>3</w:t>
      </w:r>
      <w:r w:rsidR="00EC7EF4">
        <w:fldChar w:fldCharType="end"/>
      </w:r>
      <w:r w:rsidR="00EC7EF4">
        <w:t xml:space="preserve">. For the CA case, we assume there are 4 CCs with 20 MHz channel bandwidth per CC. For the single wideband case, we assume the bandwidth is 80 MHz. From the table, we can see that the gap of CA is two time larger than the gap of the single wideband.  </w:t>
      </w:r>
    </w:p>
    <w:p w14:paraId="03178520" w14:textId="0F00F753" w:rsidR="002834FF" w:rsidRPr="002834FF" w:rsidRDefault="002834FF" w:rsidP="002834FF">
      <w:pPr>
        <w:pStyle w:val="Caption"/>
        <w:jc w:val="center"/>
        <w:rPr>
          <w:lang w:eastAsia="zh-CN"/>
        </w:rPr>
      </w:pPr>
      <w:bookmarkStart w:id="8" w:name="_Ref528829955"/>
      <w:r w:rsidRPr="002834FF">
        <w:t xml:space="preserve">Table </w:t>
      </w:r>
      <w:r w:rsidR="00C96A29">
        <w:rPr>
          <w:noProof/>
        </w:rPr>
        <w:fldChar w:fldCharType="begin"/>
      </w:r>
      <w:r w:rsidR="00C96A29">
        <w:rPr>
          <w:noProof/>
        </w:rPr>
        <w:instrText xml:space="preserve"> SEQ Table \* ARABIC </w:instrText>
      </w:r>
      <w:r w:rsidR="00C96A29">
        <w:rPr>
          <w:noProof/>
        </w:rPr>
        <w:fldChar w:fldCharType="separate"/>
      </w:r>
      <w:r w:rsidR="00983CF4">
        <w:rPr>
          <w:noProof/>
        </w:rPr>
        <w:t>3</w:t>
      </w:r>
      <w:r w:rsidR="00C96A29">
        <w:rPr>
          <w:noProof/>
        </w:rPr>
        <w:fldChar w:fldCharType="end"/>
      </w:r>
      <w:bookmarkEnd w:id="8"/>
      <w:r w:rsidRPr="002834FF">
        <w:t xml:space="preserve"> </w:t>
      </w:r>
      <w:r w:rsidR="00EC7EF4" w:rsidRPr="00EC7EF4">
        <w:rPr>
          <w:rFonts w:eastAsia="Times New Roman"/>
          <w:color w:val="000000" w:themeColor="text1"/>
          <w:kern w:val="24"/>
          <w:lang w:eastAsia="zh-CN"/>
        </w:rPr>
        <w:t xml:space="preserve">Percentage of gap </w:t>
      </w:r>
      <w:r w:rsidRPr="002834FF">
        <w:t xml:space="preserve">for CA and single wideband </w:t>
      </w:r>
      <w:r w:rsidR="00EC7EF4">
        <w:t>channel</w:t>
      </w:r>
    </w:p>
    <w:tbl>
      <w:tblPr>
        <w:tblStyle w:val="TableGrid"/>
        <w:tblW w:w="0" w:type="auto"/>
        <w:jc w:val="center"/>
        <w:tblLook w:val="04A0" w:firstRow="1" w:lastRow="0" w:firstColumn="1" w:lastColumn="0" w:noHBand="0" w:noVBand="1"/>
      </w:tblPr>
      <w:tblGrid>
        <w:gridCol w:w="3021"/>
        <w:gridCol w:w="566"/>
        <w:gridCol w:w="566"/>
      </w:tblGrid>
      <w:tr w:rsidR="00EC7EF4" w14:paraId="3F2544DA" w14:textId="77777777" w:rsidTr="00E91E91">
        <w:trPr>
          <w:jc w:val="center"/>
        </w:trPr>
        <w:tc>
          <w:tcPr>
            <w:tcW w:w="0" w:type="auto"/>
            <w:gridSpan w:val="3"/>
          </w:tcPr>
          <w:p w14:paraId="613B6883" w14:textId="647879E7" w:rsidR="00EC7EF4" w:rsidRDefault="00EC7EF4" w:rsidP="00402C58">
            <w:pPr>
              <w:rPr>
                <w:rFonts w:eastAsia="Times New Roman"/>
                <w:color w:val="000000" w:themeColor="text1"/>
                <w:kern w:val="24"/>
                <w:lang w:eastAsia="zh-CN"/>
              </w:rPr>
            </w:pPr>
            <w:r w:rsidRPr="00EC7EF4">
              <w:rPr>
                <w:rFonts w:eastAsia="Times New Roman"/>
                <w:b/>
                <w:bCs/>
                <w:color w:val="000000" w:themeColor="text1"/>
                <w:kern w:val="24"/>
                <w:lang w:eastAsia="zh-CN"/>
              </w:rPr>
              <w:t xml:space="preserve">Percentage of gap </w:t>
            </w:r>
            <w:r>
              <w:rPr>
                <w:rFonts w:eastAsia="Times New Roman"/>
                <w:b/>
                <w:bCs/>
                <w:color w:val="000000" w:themeColor="text1"/>
                <w:kern w:val="24"/>
                <w:lang w:eastAsia="zh-CN"/>
              </w:rPr>
              <w:t>(sum of gaps/80 MHz</w:t>
            </w:r>
            <w:r w:rsidR="00402C58">
              <w:rPr>
                <w:rFonts w:eastAsia="Times New Roman"/>
                <w:b/>
                <w:bCs/>
                <w:color w:val="000000" w:themeColor="text1"/>
                <w:kern w:val="24"/>
                <w:lang w:eastAsia="zh-CN"/>
              </w:rPr>
              <w:t>,</w:t>
            </w:r>
            <w:r>
              <w:rPr>
                <w:rFonts w:eastAsia="Times New Roman"/>
                <w:b/>
                <w:bCs/>
                <w:color w:val="000000" w:themeColor="text1"/>
                <w:kern w:val="24"/>
                <w:lang w:eastAsia="zh-CN"/>
              </w:rPr>
              <w:t xml:space="preserve"> %)</w:t>
            </w:r>
          </w:p>
        </w:tc>
      </w:tr>
      <w:tr w:rsidR="002834FF" w14:paraId="512D9E4C" w14:textId="77777777" w:rsidTr="00C12D67">
        <w:trPr>
          <w:jc w:val="center"/>
        </w:trPr>
        <w:tc>
          <w:tcPr>
            <w:tcW w:w="0" w:type="auto"/>
          </w:tcPr>
          <w:p w14:paraId="40DA4547" w14:textId="599F732F" w:rsidR="002834FF" w:rsidRDefault="002834FF" w:rsidP="00080C04">
            <w:r>
              <w:rPr>
                <w:rFonts w:eastAsia="Times New Roman"/>
                <w:color w:val="000000" w:themeColor="dark1"/>
                <w:kern w:val="24"/>
                <w:lang w:eastAsia="zh-CN"/>
              </w:rPr>
              <w:t>Subcarrier spacing</w:t>
            </w:r>
            <w:r w:rsidR="008C582D">
              <w:rPr>
                <w:rFonts w:eastAsia="Times New Roman"/>
                <w:color w:val="000000" w:themeColor="dark1"/>
                <w:kern w:val="24"/>
                <w:lang w:eastAsia="zh-CN"/>
              </w:rPr>
              <w:t xml:space="preserve"> (kHz)</w:t>
            </w:r>
          </w:p>
        </w:tc>
        <w:tc>
          <w:tcPr>
            <w:tcW w:w="0" w:type="auto"/>
          </w:tcPr>
          <w:p w14:paraId="10A080C6" w14:textId="77777777" w:rsidR="002834FF" w:rsidRDefault="002834FF" w:rsidP="00080C04">
            <w:r>
              <w:rPr>
                <w:rFonts w:eastAsia="Times New Roman"/>
                <w:color w:val="000000" w:themeColor="dark1"/>
                <w:kern w:val="24"/>
                <w:lang w:eastAsia="zh-CN"/>
              </w:rPr>
              <w:t>30</w:t>
            </w:r>
          </w:p>
        </w:tc>
        <w:tc>
          <w:tcPr>
            <w:tcW w:w="0" w:type="auto"/>
          </w:tcPr>
          <w:p w14:paraId="7878E672" w14:textId="77777777" w:rsidR="002834FF" w:rsidRDefault="002834FF" w:rsidP="00080C04">
            <w:r>
              <w:rPr>
                <w:rFonts w:eastAsia="Times New Roman"/>
                <w:color w:val="000000" w:themeColor="text1"/>
                <w:kern w:val="24"/>
                <w:lang w:eastAsia="zh-CN"/>
              </w:rPr>
              <w:t>60</w:t>
            </w:r>
          </w:p>
        </w:tc>
      </w:tr>
      <w:tr w:rsidR="002834FF" w14:paraId="78F71915" w14:textId="77777777" w:rsidTr="00C12D67">
        <w:trPr>
          <w:jc w:val="center"/>
        </w:trPr>
        <w:tc>
          <w:tcPr>
            <w:tcW w:w="0" w:type="auto"/>
          </w:tcPr>
          <w:p w14:paraId="5E1E9F1A" w14:textId="6DB54F98" w:rsidR="002834FF" w:rsidRDefault="002834FF" w:rsidP="00080C04">
            <w:r w:rsidRPr="00546E9C">
              <w:rPr>
                <w:rFonts w:eastAsia="Times New Roman"/>
                <w:color w:val="000000" w:themeColor="dark1"/>
                <w:kern w:val="24"/>
                <w:lang w:eastAsia="zh-CN"/>
              </w:rPr>
              <w:t>CA (</w:t>
            </w:r>
            <w:r w:rsidR="00EC7EF4">
              <w:rPr>
                <w:rFonts w:eastAsia="Times New Roman"/>
                <w:color w:val="000000" w:themeColor="dark1"/>
                <w:kern w:val="24"/>
                <w:lang w:eastAsia="zh-CN"/>
              </w:rPr>
              <w:t xml:space="preserve">4CCs, </w:t>
            </w:r>
            <w:r w:rsidRPr="00546E9C">
              <w:rPr>
                <w:rFonts w:eastAsia="Times New Roman"/>
                <w:color w:val="000000" w:themeColor="dark1"/>
                <w:kern w:val="24"/>
                <w:lang w:eastAsia="zh-CN"/>
              </w:rPr>
              <w:t>each of 20MHZ)</w:t>
            </w:r>
          </w:p>
        </w:tc>
        <w:tc>
          <w:tcPr>
            <w:tcW w:w="0" w:type="auto"/>
          </w:tcPr>
          <w:p w14:paraId="57CA8BF3" w14:textId="77777777" w:rsidR="002834FF" w:rsidRPr="00546E9C" w:rsidRDefault="002834FF" w:rsidP="00080C04">
            <w:pPr>
              <w:rPr>
                <w:color w:val="000000" w:themeColor="text1"/>
              </w:rPr>
            </w:pPr>
            <w:r w:rsidRPr="00546E9C">
              <w:rPr>
                <w:rFonts w:eastAsia="Times New Roman"/>
                <w:color w:val="000000" w:themeColor="text1"/>
                <w:kern w:val="24"/>
                <w:lang w:eastAsia="zh-CN"/>
              </w:rPr>
              <w:t>5.03</w:t>
            </w:r>
          </w:p>
        </w:tc>
        <w:tc>
          <w:tcPr>
            <w:tcW w:w="0" w:type="auto"/>
          </w:tcPr>
          <w:p w14:paraId="1067CB83" w14:textId="77777777" w:rsidR="002834FF" w:rsidRPr="00546E9C" w:rsidRDefault="002834FF" w:rsidP="00080C04">
            <w:pPr>
              <w:rPr>
                <w:color w:val="000000" w:themeColor="text1"/>
              </w:rPr>
            </w:pPr>
            <w:r w:rsidRPr="00546E9C">
              <w:rPr>
                <w:rFonts w:eastAsia="Times New Roman"/>
                <w:color w:val="000000" w:themeColor="text1"/>
                <w:kern w:val="24"/>
                <w:lang w:eastAsia="zh-CN"/>
              </w:rPr>
              <w:t>8.31</w:t>
            </w:r>
          </w:p>
        </w:tc>
      </w:tr>
      <w:tr w:rsidR="002834FF" w14:paraId="3B907B69" w14:textId="77777777" w:rsidTr="00C12D67">
        <w:trPr>
          <w:jc w:val="center"/>
        </w:trPr>
        <w:tc>
          <w:tcPr>
            <w:tcW w:w="0" w:type="auto"/>
          </w:tcPr>
          <w:p w14:paraId="3A8A392F" w14:textId="2B41584D" w:rsidR="002834FF" w:rsidRDefault="002834FF" w:rsidP="00080C04">
            <w:r w:rsidRPr="00546E9C">
              <w:rPr>
                <w:rFonts w:eastAsia="Times New Roman"/>
                <w:color w:val="000000" w:themeColor="dark1"/>
                <w:kern w:val="24"/>
                <w:lang w:eastAsia="zh-CN"/>
              </w:rPr>
              <w:t xml:space="preserve">Single wideband </w:t>
            </w:r>
            <w:r w:rsidR="00EC7EF4">
              <w:rPr>
                <w:rFonts w:eastAsia="Times New Roman"/>
                <w:color w:val="000000" w:themeColor="dark1"/>
                <w:kern w:val="24"/>
                <w:lang w:eastAsia="zh-CN"/>
              </w:rPr>
              <w:t xml:space="preserve">channel </w:t>
            </w:r>
            <w:r w:rsidRPr="00546E9C">
              <w:rPr>
                <w:rFonts w:eastAsia="Times New Roman"/>
                <w:color w:val="000000" w:themeColor="dark1"/>
                <w:kern w:val="24"/>
                <w:lang w:eastAsia="zh-CN"/>
              </w:rPr>
              <w:t>(80MHz)</w:t>
            </w:r>
          </w:p>
        </w:tc>
        <w:tc>
          <w:tcPr>
            <w:tcW w:w="0" w:type="auto"/>
          </w:tcPr>
          <w:p w14:paraId="63C091D2" w14:textId="77777777" w:rsidR="002834FF" w:rsidRPr="00546E9C" w:rsidRDefault="002834FF" w:rsidP="00080C04">
            <w:pPr>
              <w:rPr>
                <w:color w:val="000000" w:themeColor="text1"/>
              </w:rPr>
            </w:pPr>
            <w:r w:rsidRPr="00546E9C">
              <w:rPr>
                <w:rFonts w:eastAsia="Times New Roman"/>
                <w:color w:val="000000" w:themeColor="text1"/>
                <w:kern w:val="24"/>
                <w:lang w:eastAsia="zh-CN"/>
              </w:rPr>
              <w:t>2.31</w:t>
            </w:r>
          </w:p>
        </w:tc>
        <w:tc>
          <w:tcPr>
            <w:tcW w:w="0" w:type="auto"/>
          </w:tcPr>
          <w:p w14:paraId="6DA705A5" w14:textId="77777777" w:rsidR="002834FF" w:rsidRPr="00546E9C" w:rsidRDefault="002834FF" w:rsidP="00080C04">
            <w:pPr>
              <w:rPr>
                <w:color w:val="000000" w:themeColor="text1"/>
              </w:rPr>
            </w:pPr>
            <w:r w:rsidRPr="00546E9C">
              <w:rPr>
                <w:rFonts w:eastAsia="Times New Roman"/>
                <w:color w:val="000000" w:themeColor="text1"/>
                <w:kern w:val="24"/>
                <w:lang w:eastAsia="zh-CN"/>
              </w:rPr>
              <w:t>3.63</w:t>
            </w:r>
          </w:p>
        </w:tc>
      </w:tr>
    </w:tbl>
    <w:p w14:paraId="41B84B42" w14:textId="22ED8AFB" w:rsidR="002834FF" w:rsidRDefault="00644AE4" w:rsidP="00644AE4">
      <w:pPr>
        <w:jc w:val="both"/>
        <w:rPr>
          <w:lang w:val="en-GB" w:eastAsia="zh-CN"/>
        </w:rPr>
      </w:pPr>
      <w:r>
        <w:rPr>
          <w:lang w:val="en-GB" w:eastAsia="zh-CN"/>
        </w:rPr>
        <w:t xml:space="preserve">Hence, we think BWP should be adopted to NR-U. </w:t>
      </w:r>
    </w:p>
    <w:p w14:paraId="6B11A94E" w14:textId="003262D9" w:rsidR="00644AE4" w:rsidRDefault="00644AE4" w:rsidP="00644AE4">
      <w:pPr>
        <w:pStyle w:val="Caption"/>
      </w:pPr>
      <w:bookmarkStart w:id="9" w:name="_Ref521417633"/>
      <w:r w:rsidRPr="00DC5023">
        <w:t xml:space="preserve">Proposal </w:t>
      </w:r>
      <w:r w:rsidR="00FE79DC" w:rsidRPr="00DC5023">
        <w:t>4</w:t>
      </w:r>
      <w:r w:rsidRPr="00DC5023">
        <w:t>: BWP</w:t>
      </w:r>
      <w:r w:rsidR="002834FF" w:rsidRPr="00DC5023">
        <w:t>-based operation</w:t>
      </w:r>
      <w:r w:rsidRPr="00DC5023">
        <w:t xml:space="preserve"> should be adopted to NR-U for wideband operation.</w:t>
      </w:r>
      <w:bookmarkEnd w:id="9"/>
    </w:p>
    <w:p w14:paraId="7DFFAF52" w14:textId="77777777" w:rsidR="00546E9C" w:rsidRDefault="00546E9C" w:rsidP="006E108B"/>
    <w:p w14:paraId="17C2D6E8" w14:textId="741BC3F9" w:rsidR="000433A5" w:rsidRPr="006E108B" w:rsidRDefault="000433A5" w:rsidP="006E108B">
      <w:pPr>
        <w:pStyle w:val="Heading1"/>
        <w:numPr>
          <w:ilvl w:val="1"/>
          <w:numId w:val="5"/>
        </w:numPr>
        <w:spacing w:after="120"/>
        <w:ind w:right="288"/>
      </w:pPr>
      <w:r w:rsidRPr="006E108B">
        <w:rPr>
          <w:color w:val="000000" w:themeColor="text1"/>
        </w:rPr>
        <w:t>BWP-based operation within a carrier with bandwidth larger than 20 MHz</w:t>
      </w:r>
    </w:p>
    <w:p w14:paraId="1B11D84A" w14:textId="402CCA59" w:rsidR="000433A5" w:rsidRDefault="00D2052E" w:rsidP="00D2052E">
      <w:pPr>
        <w:spacing w:after="0"/>
        <w:rPr>
          <w:lang w:eastAsia="x-none"/>
        </w:rPr>
      </w:pPr>
      <w:r w:rsidRPr="00D2052E">
        <w:t xml:space="preserve">In RAN1 meeting #94bis, </w:t>
      </w:r>
      <w:r>
        <w:t xml:space="preserve">for </w:t>
      </w:r>
      <w:r>
        <w:rPr>
          <w:lang w:eastAsia="x-none"/>
        </w:rPr>
        <w:t xml:space="preserve">a serving cell configured with bandwidth larger than 20 MHz, </w:t>
      </w:r>
      <w:r w:rsidRPr="00D2052E">
        <w:t xml:space="preserve">it </w:t>
      </w:r>
      <w:r>
        <w:t>was</w:t>
      </w:r>
      <w:r w:rsidRPr="00D2052E">
        <w:t xml:space="preserve"> agreed that [2]:</w:t>
      </w:r>
    </w:p>
    <w:p w14:paraId="75548285" w14:textId="77777777" w:rsidR="000433A5" w:rsidRDefault="000433A5" w:rsidP="00D2052E">
      <w:pPr>
        <w:numPr>
          <w:ilvl w:val="0"/>
          <w:numId w:val="31"/>
        </w:numPr>
        <w:spacing w:after="0"/>
        <w:rPr>
          <w:lang w:eastAsia="x-none"/>
        </w:rPr>
      </w:pPr>
      <w:r>
        <w:rPr>
          <w:lang w:eastAsia="x-none"/>
        </w:rPr>
        <w:t>For DL operation, the following options for BWP-based operation within a carrier with bandwidth larger than 20 MHz can be considered.</w:t>
      </w:r>
    </w:p>
    <w:p w14:paraId="46202526" w14:textId="77777777" w:rsidR="000433A5" w:rsidRDefault="000433A5" w:rsidP="00D2052E">
      <w:pPr>
        <w:numPr>
          <w:ilvl w:val="1"/>
          <w:numId w:val="31"/>
        </w:numPr>
        <w:spacing w:after="0"/>
        <w:rPr>
          <w:lang w:eastAsia="x-none"/>
        </w:rPr>
      </w:pPr>
      <w:r>
        <w:rPr>
          <w:lang w:eastAsia="x-none"/>
        </w:rPr>
        <w:t>Option 1a: Multiple BWPs configured, multiple BWPs activated, transmission of PDSCH on one or more BWPs</w:t>
      </w:r>
    </w:p>
    <w:p w14:paraId="5A3DEDF5" w14:textId="77777777" w:rsidR="000433A5" w:rsidRDefault="000433A5" w:rsidP="00D2052E">
      <w:pPr>
        <w:numPr>
          <w:ilvl w:val="1"/>
          <w:numId w:val="31"/>
        </w:numPr>
        <w:spacing w:after="0"/>
        <w:rPr>
          <w:lang w:eastAsia="x-none"/>
        </w:rPr>
      </w:pPr>
      <w:r>
        <w:rPr>
          <w:lang w:eastAsia="x-none"/>
        </w:rPr>
        <w:t>Option 1b: Multiple BWPs configured, multiple BWPs activated, transmission of PDSCH on single BWP</w:t>
      </w:r>
    </w:p>
    <w:p w14:paraId="14DEB0F7" w14:textId="77777777" w:rsidR="000433A5" w:rsidRDefault="000433A5" w:rsidP="00D2052E">
      <w:pPr>
        <w:numPr>
          <w:ilvl w:val="1"/>
          <w:numId w:val="31"/>
        </w:numPr>
        <w:spacing w:after="0"/>
        <w:rPr>
          <w:lang w:eastAsia="x-none"/>
        </w:rPr>
      </w:pPr>
      <w:r>
        <w:rPr>
          <w:lang w:eastAsia="x-none"/>
        </w:rPr>
        <w:t>Option 2: Multiple BWPs can be configured, single BWP activated, gNB transmits PDSCH on a single BWP if CCA is successful at gNB for the whole BWP</w:t>
      </w:r>
    </w:p>
    <w:p w14:paraId="3E37A8DB" w14:textId="77777777" w:rsidR="000433A5" w:rsidRDefault="000433A5" w:rsidP="00D2052E">
      <w:pPr>
        <w:numPr>
          <w:ilvl w:val="1"/>
          <w:numId w:val="31"/>
        </w:numPr>
        <w:spacing w:after="0"/>
        <w:rPr>
          <w:lang w:eastAsia="x-none"/>
        </w:rPr>
      </w:pPr>
      <w:r>
        <w:rPr>
          <w:lang w:eastAsia="x-none"/>
        </w:rPr>
        <w:t>Option 3: Multiple BWPs can be configured, single BWP activated, gNB transmits PDSCH on parts or whole of single BWP where CCA is successful at gNB</w:t>
      </w:r>
    </w:p>
    <w:p w14:paraId="7855AB14" w14:textId="77777777" w:rsidR="000433A5" w:rsidRDefault="000433A5" w:rsidP="00D2052E">
      <w:pPr>
        <w:numPr>
          <w:ilvl w:val="0"/>
          <w:numId w:val="31"/>
        </w:numPr>
        <w:spacing w:after="0"/>
        <w:rPr>
          <w:lang w:eastAsia="x-none"/>
        </w:rPr>
      </w:pPr>
      <w:r>
        <w:rPr>
          <w:lang w:eastAsia="x-none"/>
        </w:rPr>
        <w:lastRenderedPageBreak/>
        <w:t>Note: CCA is declared to be successful or not in multiples of 20 MHz.</w:t>
      </w:r>
    </w:p>
    <w:p w14:paraId="09911016" w14:textId="77777777" w:rsidR="000433A5" w:rsidRDefault="000433A5" w:rsidP="00D2052E">
      <w:pPr>
        <w:numPr>
          <w:ilvl w:val="0"/>
          <w:numId w:val="31"/>
        </w:numPr>
        <w:spacing w:after="0"/>
        <w:rPr>
          <w:lang w:eastAsia="x-none"/>
        </w:rPr>
      </w:pPr>
      <w:r>
        <w:rPr>
          <w:lang w:eastAsia="x-none"/>
        </w:rPr>
        <w:t>FFS for UL operation including some or all of above options can be applied</w:t>
      </w:r>
    </w:p>
    <w:p w14:paraId="1D9FE5C8" w14:textId="77777777" w:rsidR="004C5E47" w:rsidRDefault="004C5E47" w:rsidP="004C5E47">
      <w:pPr>
        <w:spacing w:after="0"/>
        <w:ind w:left="720"/>
        <w:rPr>
          <w:lang w:eastAsia="x-none"/>
        </w:rPr>
      </w:pPr>
    </w:p>
    <w:p w14:paraId="16A35BFD" w14:textId="4286D3D0" w:rsidR="000433A5" w:rsidRDefault="00875B09" w:rsidP="000433A5">
      <w:r>
        <w:t xml:space="preserve">In the following table, we </w:t>
      </w:r>
      <w:r w:rsidR="004C5E47">
        <w:t>list</w:t>
      </w:r>
      <w:r>
        <w:t xml:space="preserve"> the pros and cons of </w:t>
      </w:r>
      <w:r w:rsidR="0008631A">
        <w:t>the four</w:t>
      </w:r>
      <w:r>
        <w:t xml:space="preserve"> option</w:t>
      </w:r>
      <w:r w:rsidR="0008631A">
        <w:t>s</w:t>
      </w:r>
      <w:r>
        <w:t>.</w:t>
      </w:r>
    </w:p>
    <w:p w14:paraId="122FB83D" w14:textId="3871EE0E" w:rsidR="004C5E47" w:rsidRPr="002834FF" w:rsidRDefault="00AA17CF" w:rsidP="00AA17CF">
      <w:pPr>
        <w:pStyle w:val="Caption"/>
        <w:jc w:val="center"/>
      </w:pPr>
      <w:bookmarkStart w:id="10" w:name="_Ref528826699"/>
      <w:r w:rsidRPr="002834FF">
        <w:t xml:space="preserve">Table </w:t>
      </w:r>
      <w:r w:rsidR="00C96A29">
        <w:rPr>
          <w:noProof/>
        </w:rPr>
        <w:fldChar w:fldCharType="begin"/>
      </w:r>
      <w:r w:rsidR="00C96A29">
        <w:rPr>
          <w:noProof/>
        </w:rPr>
        <w:instrText xml:space="preserve"> SEQ Table \* ARABIC </w:instrText>
      </w:r>
      <w:r w:rsidR="00C96A29">
        <w:rPr>
          <w:noProof/>
        </w:rPr>
        <w:fldChar w:fldCharType="separate"/>
      </w:r>
      <w:r w:rsidR="00983CF4">
        <w:rPr>
          <w:noProof/>
        </w:rPr>
        <w:t>4</w:t>
      </w:r>
      <w:r w:rsidR="00C96A29">
        <w:rPr>
          <w:noProof/>
        </w:rPr>
        <w:fldChar w:fldCharType="end"/>
      </w:r>
      <w:bookmarkEnd w:id="10"/>
      <w:r w:rsidRPr="002834FF">
        <w:t xml:space="preserve"> Comparison of the options for BWP-based operation</w:t>
      </w:r>
    </w:p>
    <w:tbl>
      <w:tblPr>
        <w:tblStyle w:val="TableGrid"/>
        <w:tblW w:w="0" w:type="auto"/>
        <w:tblLook w:val="04A0" w:firstRow="1" w:lastRow="0" w:firstColumn="1" w:lastColumn="0" w:noHBand="0" w:noVBand="1"/>
      </w:tblPr>
      <w:tblGrid>
        <w:gridCol w:w="1075"/>
        <w:gridCol w:w="2700"/>
        <w:gridCol w:w="6413"/>
      </w:tblGrid>
      <w:tr w:rsidR="00875B09" w14:paraId="51A08D47" w14:textId="77777777" w:rsidTr="00A9338C">
        <w:tc>
          <w:tcPr>
            <w:tcW w:w="1075" w:type="dxa"/>
          </w:tcPr>
          <w:p w14:paraId="6B74A038" w14:textId="77777777" w:rsidR="00875B09" w:rsidRDefault="00875B09" w:rsidP="000433A5"/>
        </w:tc>
        <w:tc>
          <w:tcPr>
            <w:tcW w:w="2700" w:type="dxa"/>
          </w:tcPr>
          <w:p w14:paraId="74337662" w14:textId="2CE4746E" w:rsidR="00875B09" w:rsidRDefault="00875B09" w:rsidP="00875B09">
            <w:pPr>
              <w:jc w:val="center"/>
            </w:pPr>
            <w:r>
              <w:t>pros</w:t>
            </w:r>
          </w:p>
        </w:tc>
        <w:tc>
          <w:tcPr>
            <w:tcW w:w="6413" w:type="dxa"/>
          </w:tcPr>
          <w:p w14:paraId="7551791F" w14:textId="53535E87" w:rsidR="00875B09" w:rsidRDefault="00875B09" w:rsidP="00875B09">
            <w:pPr>
              <w:jc w:val="center"/>
            </w:pPr>
            <w:r>
              <w:t>cons</w:t>
            </w:r>
          </w:p>
        </w:tc>
      </w:tr>
      <w:tr w:rsidR="00875B09" w14:paraId="09B08A1D" w14:textId="77777777" w:rsidTr="00A9338C">
        <w:tc>
          <w:tcPr>
            <w:tcW w:w="1075" w:type="dxa"/>
          </w:tcPr>
          <w:p w14:paraId="1758AFBE" w14:textId="7E8A0803" w:rsidR="00875B09" w:rsidRDefault="00875B09" w:rsidP="000433A5">
            <w:r>
              <w:t xml:space="preserve">Option </w:t>
            </w:r>
            <w:r w:rsidRPr="00875B09">
              <w:t>1a</w:t>
            </w:r>
          </w:p>
        </w:tc>
        <w:tc>
          <w:tcPr>
            <w:tcW w:w="2700" w:type="dxa"/>
          </w:tcPr>
          <w:p w14:paraId="405AC26C" w14:textId="496B6095" w:rsidR="00875B09" w:rsidRDefault="00875B09" w:rsidP="00A9338C">
            <w:pPr>
              <w:numPr>
                <w:ilvl w:val="0"/>
                <w:numId w:val="32"/>
              </w:numPr>
            </w:pPr>
            <w:r w:rsidRPr="00875B09">
              <w:t>Best spectral efficiency</w:t>
            </w:r>
          </w:p>
        </w:tc>
        <w:tc>
          <w:tcPr>
            <w:tcW w:w="6413" w:type="dxa"/>
          </w:tcPr>
          <w:p w14:paraId="0000A77A" w14:textId="77777777" w:rsidR="00875B09" w:rsidRPr="00875B09" w:rsidRDefault="00875B09" w:rsidP="00875B09">
            <w:pPr>
              <w:numPr>
                <w:ilvl w:val="0"/>
                <w:numId w:val="32"/>
              </w:numPr>
            </w:pPr>
            <w:r w:rsidRPr="00875B09">
              <w:t>The activated BWPs may be non-contiguous, which leads to RF issues.</w:t>
            </w:r>
          </w:p>
          <w:p w14:paraId="3425AF7D" w14:textId="77777777" w:rsidR="00875B09" w:rsidRPr="00875B09" w:rsidRDefault="00875B09" w:rsidP="00875B09">
            <w:pPr>
              <w:numPr>
                <w:ilvl w:val="0"/>
                <w:numId w:val="32"/>
              </w:numPr>
            </w:pPr>
            <w:r w:rsidRPr="00875B09">
              <w:t>The number of BWP configuration is large in order to cover all the combination due to LBT (to achieve best efficiency).</w:t>
            </w:r>
          </w:p>
          <w:p w14:paraId="24CA22C8" w14:textId="368951F1" w:rsidR="00875B09" w:rsidRPr="00875B09" w:rsidRDefault="00875B09" w:rsidP="00875B09">
            <w:pPr>
              <w:numPr>
                <w:ilvl w:val="0"/>
                <w:numId w:val="32"/>
              </w:numPr>
            </w:pPr>
            <w:r w:rsidRPr="00875B09">
              <w:t>DCI overhead is increased due to activate multiple BWPs.</w:t>
            </w:r>
          </w:p>
          <w:p w14:paraId="79A52825" w14:textId="3200AE9F" w:rsidR="00875B09" w:rsidRPr="00875B09" w:rsidRDefault="00875B09" w:rsidP="00875B09">
            <w:pPr>
              <w:numPr>
                <w:ilvl w:val="0"/>
                <w:numId w:val="32"/>
              </w:numPr>
            </w:pPr>
            <w:r w:rsidRPr="00875B09">
              <w:t xml:space="preserve">CSI measurements </w:t>
            </w:r>
            <w:r w:rsidR="00E46E60">
              <w:t>are</w:t>
            </w:r>
            <w:r w:rsidRPr="00875B09">
              <w:t xml:space="preserve"> required for multiple </w:t>
            </w:r>
            <w:r w:rsidR="00E46E60">
              <w:t xml:space="preserve">activated </w:t>
            </w:r>
            <w:r w:rsidRPr="00875B09">
              <w:t>BWPs.</w:t>
            </w:r>
          </w:p>
          <w:p w14:paraId="50021D4F" w14:textId="03DEE167" w:rsidR="00875B09" w:rsidRPr="00875B09" w:rsidRDefault="00875B09" w:rsidP="00875B09">
            <w:pPr>
              <w:numPr>
                <w:ilvl w:val="0"/>
                <w:numId w:val="32"/>
              </w:numPr>
            </w:pPr>
            <w:r w:rsidRPr="00875B09">
              <w:t xml:space="preserve">The number of PDCCHs to be monitored is large due to </w:t>
            </w:r>
            <w:r w:rsidR="00E46E60">
              <w:t xml:space="preserve">multiple activated BWPs, which leads to the </w:t>
            </w:r>
            <w:r w:rsidRPr="00875B09">
              <w:t>problem for DCI size budget</w:t>
            </w:r>
            <w:r w:rsidR="00E46E60">
              <w:t xml:space="preserve"> (i.e., </w:t>
            </w:r>
            <w:r w:rsidRPr="00875B09">
              <w:t># of DCI sizes</w:t>
            </w:r>
            <w:r w:rsidR="00E46E60">
              <w:t xml:space="preserve"> per slot</w:t>
            </w:r>
            <w:r w:rsidRPr="00875B09">
              <w:t>, # of C-RNTI</w:t>
            </w:r>
            <w:r w:rsidR="00E46E60">
              <w:t>s</w:t>
            </w:r>
            <w:r w:rsidRPr="00875B09">
              <w:t xml:space="preserve"> </w:t>
            </w:r>
            <w:r w:rsidR="00E46E60">
              <w:t xml:space="preserve">per slot </w:t>
            </w:r>
            <w:r w:rsidRPr="00875B09">
              <w:t>and total # of RNTI</w:t>
            </w:r>
            <w:r w:rsidR="00E46E60">
              <w:t>s per slots</w:t>
            </w:r>
            <w:r w:rsidRPr="00875B09">
              <w:t>).</w:t>
            </w:r>
          </w:p>
          <w:p w14:paraId="7C2B41ED" w14:textId="15785269" w:rsidR="00875B09" w:rsidRPr="00875B09" w:rsidRDefault="00875B09" w:rsidP="00875B09">
            <w:pPr>
              <w:numPr>
                <w:ilvl w:val="0"/>
                <w:numId w:val="32"/>
              </w:numPr>
            </w:pPr>
            <w:r w:rsidRPr="00875B09">
              <w:t>Since the number of BDs per CC is fixed, increasi</w:t>
            </w:r>
            <w:r w:rsidR="00E46E60">
              <w:t xml:space="preserve">ng the # of activate CCs leads </w:t>
            </w:r>
            <w:r w:rsidRPr="00875B09">
              <w:t>to higher PDCCH blocking rate in a CC.</w:t>
            </w:r>
          </w:p>
          <w:p w14:paraId="74E17E20" w14:textId="2696B0A7" w:rsidR="00875B09" w:rsidRDefault="00875B09" w:rsidP="000433A5">
            <w:pPr>
              <w:numPr>
                <w:ilvl w:val="0"/>
                <w:numId w:val="32"/>
              </w:numPr>
            </w:pPr>
            <w:r w:rsidRPr="00875B09">
              <w:t>The gNB needs to prepare the PDSCHs for all combinations of BWPs.</w:t>
            </w:r>
          </w:p>
        </w:tc>
      </w:tr>
      <w:tr w:rsidR="00875B09" w14:paraId="6DF101C4" w14:textId="77777777" w:rsidTr="00A9338C">
        <w:tc>
          <w:tcPr>
            <w:tcW w:w="1075" w:type="dxa"/>
          </w:tcPr>
          <w:p w14:paraId="54AF3102" w14:textId="2D7FFFB4" w:rsidR="00875B09" w:rsidRDefault="00875B09" w:rsidP="00875B09">
            <w:r w:rsidRPr="00875B09">
              <w:t>Option 1</w:t>
            </w:r>
            <w:r>
              <w:t>b</w:t>
            </w:r>
          </w:p>
        </w:tc>
        <w:tc>
          <w:tcPr>
            <w:tcW w:w="2700" w:type="dxa"/>
          </w:tcPr>
          <w:p w14:paraId="57E26681" w14:textId="77777777" w:rsidR="00DE3034" w:rsidRPr="00875B09" w:rsidRDefault="00A4712D" w:rsidP="00875B09">
            <w:pPr>
              <w:numPr>
                <w:ilvl w:val="0"/>
                <w:numId w:val="33"/>
              </w:numPr>
              <w:tabs>
                <w:tab w:val="clear" w:pos="360"/>
              </w:tabs>
            </w:pPr>
            <w:r w:rsidRPr="00875B09">
              <w:t>Good spectral efficiency</w:t>
            </w:r>
          </w:p>
          <w:p w14:paraId="76C920B9" w14:textId="0B06ACBC" w:rsidR="00B539A0" w:rsidRPr="00875B09" w:rsidRDefault="00B539A0" w:rsidP="00875B09">
            <w:pPr>
              <w:numPr>
                <w:ilvl w:val="0"/>
                <w:numId w:val="33"/>
              </w:numPr>
            </w:pPr>
            <w:r>
              <w:t>The BWP used for transmission is contiguous.</w:t>
            </w:r>
          </w:p>
          <w:p w14:paraId="5FF7F596" w14:textId="77777777" w:rsidR="00875B09" w:rsidRDefault="00875B09" w:rsidP="00875B09">
            <w:pPr>
              <w:ind w:left="1440"/>
            </w:pPr>
          </w:p>
        </w:tc>
        <w:tc>
          <w:tcPr>
            <w:tcW w:w="6413" w:type="dxa"/>
          </w:tcPr>
          <w:p w14:paraId="0EAAA4D5" w14:textId="65A95A39" w:rsidR="00875B09" w:rsidRPr="00875B09" w:rsidRDefault="00875B09" w:rsidP="00E46E60">
            <w:pPr>
              <w:numPr>
                <w:ilvl w:val="0"/>
                <w:numId w:val="33"/>
              </w:numPr>
            </w:pPr>
            <w:r w:rsidRPr="00875B09">
              <w:t>The number of BWP configuration is large in order to cover all the combination due to LBT (to achieve best efficiency)</w:t>
            </w:r>
            <w:r>
              <w:t>.</w:t>
            </w:r>
          </w:p>
          <w:p w14:paraId="7AEA61BB" w14:textId="06045E85" w:rsidR="00E46E60" w:rsidRDefault="00E46E60" w:rsidP="00E46E60">
            <w:pPr>
              <w:numPr>
                <w:ilvl w:val="0"/>
                <w:numId w:val="33"/>
              </w:numPr>
            </w:pPr>
            <w:r w:rsidRPr="00875B09">
              <w:t xml:space="preserve">CSI measurements </w:t>
            </w:r>
            <w:r>
              <w:t>are</w:t>
            </w:r>
            <w:r w:rsidRPr="00875B09">
              <w:t xml:space="preserve"> required for multiple </w:t>
            </w:r>
            <w:r>
              <w:t xml:space="preserve">activated </w:t>
            </w:r>
            <w:r w:rsidRPr="00875B09">
              <w:t>BWPs.</w:t>
            </w:r>
          </w:p>
          <w:p w14:paraId="6565E9E5" w14:textId="58660BB0" w:rsidR="00E46E60" w:rsidRPr="00875B09" w:rsidRDefault="00E46E60" w:rsidP="00E46E60">
            <w:pPr>
              <w:numPr>
                <w:ilvl w:val="0"/>
                <w:numId w:val="33"/>
              </w:numPr>
            </w:pPr>
            <w:r w:rsidRPr="00875B09">
              <w:t xml:space="preserve">The number of PDCCHs to be monitored is large due to </w:t>
            </w:r>
            <w:r>
              <w:t xml:space="preserve">multiple activated BWPs, which leads to the </w:t>
            </w:r>
            <w:r w:rsidRPr="00875B09">
              <w:t>problem for DCI size budget</w:t>
            </w:r>
            <w:r>
              <w:t xml:space="preserve"> (i.e., </w:t>
            </w:r>
            <w:r w:rsidRPr="00875B09">
              <w:t># of DCI sizes</w:t>
            </w:r>
            <w:r>
              <w:t xml:space="preserve"> per slot</w:t>
            </w:r>
            <w:r w:rsidRPr="00875B09">
              <w:t>, # of C-RNTI</w:t>
            </w:r>
            <w:r>
              <w:t>s</w:t>
            </w:r>
            <w:r w:rsidRPr="00875B09">
              <w:t xml:space="preserve"> </w:t>
            </w:r>
            <w:r>
              <w:t xml:space="preserve">per slot </w:t>
            </w:r>
            <w:r w:rsidRPr="00875B09">
              <w:t>and total # of RNTI</w:t>
            </w:r>
            <w:r>
              <w:t>s per slots</w:t>
            </w:r>
            <w:r w:rsidRPr="00875B09">
              <w:t>).</w:t>
            </w:r>
          </w:p>
          <w:p w14:paraId="786C649E" w14:textId="21F17EF3" w:rsidR="00875B09" w:rsidRPr="00875B09" w:rsidRDefault="00875B09" w:rsidP="00E46E60">
            <w:pPr>
              <w:numPr>
                <w:ilvl w:val="0"/>
                <w:numId w:val="33"/>
              </w:numPr>
            </w:pPr>
            <w:r w:rsidRPr="00875B09">
              <w:t>Since the number of BDs per CC is fixed, increasin</w:t>
            </w:r>
            <w:r>
              <w:t>g the # of activate CCs leads</w:t>
            </w:r>
            <w:r w:rsidRPr="00875B09">
              <w:t xml:space="preserve"> to higher PDCCH blocking rate in a CC.</w:t>
            </w:r>
          </w:p>
          <w:p w14:paraId="46956FDB" w14:textId="53741DED" w:rsidR="00875B09" w:rsidRDefault="00875B09" w:rsidP="00E46E60">
            <w:pPr>
              <w:numPr>
                <w:ilvl w:val="0"/>
                <w:numId w:val="33"/>
              </w:numPr>
            </w:pPr>
            <w:r w:rsidRPr="00875B09">
              <w:t>The gNB needs to prepare the PDSCHs for all combinations of BWPs.</w:t>
            </w:r>
          </w:p>
        </w:tc>
      </w:tr>
      <w:tr w:rsidR="00875B09" w14:paraId="00BB4F79" w14:textId="77777777" w:rsidTr="00A9338C">
        <w:tc>
          <w:tcPr>
            <w:tcW w:w="1075" w:type="dxa"/>
          </w:tcPr>
          <w:p w14:paraId="51DDBAE8" w14:textId="3025AFCF" w:rsidR="00875B09" w:rsidRDefault="00875B09" w:rsidP="000433A5">
            <w:r>
              <w:t>Option 2</w:t>
            </w:r>
          </w:p>
        </w:tc>
        <w:tc>
          <w:tcPr>
            <w:tcW w:w="2700" w:type="dxa"/>
          </w:tcPr>
          <w:p w14:paraId="37651649" w14:textId="77777777" w:rsidR="00BC3A9B" w:rsidRDefault="00A9338C" w:rsidP="00A9338C">
            <w:pPr>
              <w:numPr>
                <w:ilvl w:val="0"/>
                <w:numId w:val="34"/>
              </w:numPr>
              <w:tabs>
                <w:tab w:val="clear" w:pos="360"/>
              </w:tabs>
            </w:pPr>
            <w:r>
              <w:t>No</w:t>
            </w:r>
            <w:r w:rsidR="00A4712D" w:rsidRPr="00875B09">
              <w:t xml:space="preserve"> spec</w:t>
            </w:r>
            <w:r>
              <w:t>.</w:t>
            </w:r>
            <w:r w:rsidR="00A4712D" w:rsidRPr="00875B09">
              <w:t xml:space="preserve"> impact</w:t>
            </w:r>
            <w:r>
              <w:t xml:space="preserve"> for BWP operation</w:t>
            </w:r>
            <w:r w:rsidR="00A4712D" w:rsidRPr="00875B09">
              <w:t>.</w:t>
            </w:r>
            <w:r>
              <w:t xml:space="preserve"> </w:t>
            </w:r>
          </w:p>
          <w:p w14:paraId="4258361D" w14:textId="3C14C669" w:rsidR="00875B09" w:rsidRDefault="00A4712D" w:rsidP="00A9338C">
            <w:pPr>
              <w:numPr>
                <w:ilvl w:val="0"/>
                <w:numId w:val="34"/>
              </w:numPr>
              <w:tabs>
                <w:tab w:val="clear" w:pos="360"/>
              </w:tabs>
            </w:pPr>
            <w:r w:rsidRPr="00875B09">
              <w:t>BWP operation in Rel-15 can be reused.</w:t>
            </w:r>
          </w:p>
        </w:tc>
        <w:tc>
          <w:tcPr>
            <w:tcW w:w="6413" w:type="dxa"/>
          </w:tcPr>
          <w:p w14:paraId="3D77A0AB" w14:textId="77777777" w:rsidR="00875B09" w:rsidRPr="00875B09" w:rsidRDefault="00875B09" w:rsidP="00875B09">
            <w:pPr>
              <w:numPr>
                <w:ilvl w:val="0"/>
                <w:numId w:val="34"/>
              </w:numPr>
              <w:tabs>
                <w:tab w:val="clear" w:pos="360"/>
              </w:tabs>
            </w:pPr>
            <w:r w:rsidRPr="00875B09">
              <w:t>Worst spectral efficiency.</w:t>
            </w:r>
          </w:p>
          <w:p w14:paraId="4D20DC96" w14:textId="08D5FFAE" w:rsidR="00875B09" w:rsidRDefault="00875B09" w:rsidP="00A9338C"/>
        </w:tc>
      </w:tr>
      <w:tr w:rsidR="00875B09" w14:paraId="67C4DA0C" w14:textId="77777777" w:rsidTr="00A9338C">
        <w:tc>
          <w:tcPr>
            <w:tcW w:w="1075" w:type="dxa"/>
          </w:tcPr>
          <w:p w14:paraId="2058A2C2" w14:textId="58E1B3D9" w:rsidR="00875B09" w:rsidRPr="00875B09" w:rsidRDefault="00875B09" w:rsidP="000433A5">
            <w:r>
              <w:t>Option 3</w:t>
            </w:r>
          </w:p>
        </w:tc>
        <w:tc>
          <w:tcPr>
            <w:tcW w:w="2700" w:type="dxa"/>
          </w:tcPr>
          <w:p w14:paraId="4BCCDDFA" w14:textId="39D20735" w:rsidR="00875B09" w:rsidRPr="00875B09" w:rsidRDefault="00BC3A9B" w:rsidP="00875B09">
            <w:pPr>
              <w:numPr>
                <w:ilvl w:val="0"/>
                <w:numId w:val="35"/>
              </w:numPr>
            </w:pPr>
            <w:r>
              <w:t>Best</w:t>
            </w:r>
            <w:r w:rsidR="00875B09" w:rsidRPr="00875B09">
              <w:t xml:space="preserve"> spectral efficiency</w:t>
            </w:r>
          </w:p>
          <w:p w14:paraId="0368A666" w14:textId="1A1D5E53" w:rsidR="00875B09" w:rsidRDefault="00875B09" w:rsidP="00B539A0">
            <w:pPr>
              <w:ind w:left="360"/>
            </w:pPr>
          </w:p>
        </w:tc>
        <w:tc>
          <w:tcPr>
            <w:tcW w:w="6413" w:type="dxa"/>
          </w:tcPr>
          <w:p w14:paraId="2B2EE0FA" w14:textId="4FC68C5E" w:rsidR="0008631A" w:rsidRPr="00875B09" w:rsidRDefault="00875B09" w:rsidP="0008631A">
            <w:pPr>
              <w:numPr>
                <w:ilvl w:val="0"/>
                <w:numId w:val="35"/>
              </w:numPr>
            </w:pPr>
            <w:r w:rsidRPr="00875B09">
              <w:t xml:space="preserve">The </w:t>
            </w:r>
            <w:r w:rsidR="00576D73">
              <w:t>data transmission on the active BWP</w:t>
            </w:r>
            <w:r w:rsidRPr="00875B09">
              <w:t xml:space="preserve"> may be non-contiguous</w:t>
            </w:r>
            <w:r w:rsidR="00576D73">
              <w:t xml:space="preserve"> in frequency</w:t>
            </w:r>
            <w:r w:rsidRPr="00875B09">
              <w:t>, which leads to RF issues.</w:t>
            </w:r>
          </w:p>
          <w:p w14:paraId="60C45A30" w14:textId="75DCAC45" w:rsidR="00875B09" w:rsidRDefault="00875B09" w:rsidP="00E46E60">
            <w:pPr>
              <w:numPr>
                <w:ilvl w:val="0"/>
                <w:numId w:val="35"/>
              </w:numPr>
            </w:pPr>
            <w:r w:rsidRPr="00875B09">
              <w:t>Uncertainty on PDSCH in frequency domain due to LBT.</w:t>
            </w:r>
            <w:r w:rsidR="00E46E60">
              <w:t xml:space="preserve"> To solve this problem, </w:t>
            </w:r>
            <w:r w:rsidRPr="00875B09">
              <w:t>gNB can prepares PDSCHs for all possible LBT outcomes.</w:t>
            </w:r>
          </w:p>
        </w:tc>
      </w:tr>
    </w:tbl>
    <w:p w14:paraId="0B882DF0" w14:textId="1EEA143E" w:rsidR="00725268" w:rsidRDefault="00BC3A9B" w:rsidP="00725268">
      <w:pPr>
        <w:jc w:val="both"/>
      </w:pPr>
      <w:r>
        <w:t xml:space="preserve">From </w:t>
      </w:r>
      <w:r>
        <w:fldChar w:fldCharType="begin"/>
      </w:r>
      <w:r>
        <w:instrText xml:space="preserve"> REF _Ref528826699 \h </w:instrText>
      </w:r>
      <w:r>
        <w:fldChar w:fldCharType="separate"/>
      </w:r>
      <w:r w:rsidR="00983CF4" w:rsidRPr="002834FF">
        <w:t xml:space="preserve">Table </w:t>
      </w:r>
      <w:r w:rsidR="00983CF4">
        <w:rPr>
          <w:noProof/>
        </w:rPr>
        <w:t>4</w:t>
      </w:r>
      <w:r>
        <w:fldChar w:fldCharType="end"/>
      </w:r>
      <w:r w:rsidR="00A9338C">
        <w:t xml:space="preserve">, although option 2 has </w:t>
      </w:r>
      <w:r w:rsidR="00725268">
        <w:t>least spec. impact, it leads to a great loss in spectral efficiency. For example, assume the channel bandwidth is 40 MHz. Assume only 20 MHz of the channel bandwidth is occupied by other transmission. When option 2 is used, there will be no data transmission even if the other 20 MHz of the channel is free. Although option 1a and option 1b can achieve better spectral efficiency than option 2, the main concerns</w:t>
      </w:r>
      <w:r w:rsidR="00576D73">
        <w:t xml:space="preserve"> on these two options</w:t>
      </w:r>
      <w:r w:rsidR="00725268">
        <w:t xml:space="preserve"> are</w:t>
      </w:r>
    </w:p>
    <w:p w14:paraId="26F6C012" w14:textId="51A255BA" w:rsidR="00725268" w:rsidRDefault="00725268" w:rsidP="00725268">
      <w:pPr>
        <w:pStyle w:val="ListParagraph"/>
        <w:numPr>
          <w:ilvl w:val="0"/>
          <w:numId w:val="36"/>
        </w:numPr>
        <w:jc w:val="both"/>
        <w:rPr>
          <w:sz w:val="20"/>
        </w:rPr>
      </w:pPr>
      <w:r>
        <w:rPr>
          <w:sz w:val="20"/>
        </w:rPr>
        <w:t>M</w:t>
      </w:r>
      <w:r w:rsidRPr="00725268">
        <w:rPr>
          <w:sz w:val="20"/>
        </w:rPr>
        <w:t xml:space="preserve">uch more spec. change </w:t>
      </w:r>
    </w:p>
    <w:p w14:paraId="71DA49EE" w14:textId="2A359357" w:rsidR="00725268" w:rsidRPr="00725268" w:rsidRDefault="00725268" w:rsidP="00725268">
      <w:pPr>
        <w:pStyle w:val="ListParagraph"/>
        <w:numPr>
          <w:ilvl w:val="0"/>
          <w:numId w:val="36"/>
        </w:numPr>
        <w:jc w:val="both"/>
        <w:rPr>
          <w:sz w:val="20"/>
        </w:rPr>
      </w:pPr>
      <w:r>
        <w:rPr>
          <w:sz w:val="20"/>
        </w:rPr>
        <w:t>T</w:t>
      </w:r>
      <w:r w:rsidRPr="00725268">
        <w:rPr>
          <w:sz w:val="20"/>
        </w:rPr>
        <w:t xml:space="preserve">he </w:t>
      </w:r>
      <w:r w:rsidR="001B5972">
        <w:rPr>
          <w:sz w:val="20"/>
        </w:rPr>
        <w:t xml:space="preserve">increased </w:t>
      </w:r>
      <w:r w:rsidRPr="00725268">
        <w:rPr>
          <w:sz w:val="20"/>
        </w:rPr>
        <w:t>complexity at both gNB side and UE side</w:t>
      </w:r>
      <w:r w:rsidR="001B5972">
        <w:rPr>
          <w:sz w:val="20"/>
        </w:rPr>
        <w:t xml:space="preserve"> </w:t>
      </w:r>
      <w:r>
        <w:rPr>
          <w:sz w:val="20"/>
        </w:rPr>
        <w:t xml:space="preserve">due to 1) </w:t>
      </w:r>
      <w:r>
        <w:rPr>
          <w:rFonts w:eastAsiaTheme="minorEastAsia"/>
          <w:sz w:val="20"/>
          <w:szCs w:val="20"/>
        </w:rPr>
        <w:t>m</w:t>
      </w:r>
      <w:r w:rsidRPr="00725268">
        <w:rPr>
          <w:rFonts w:eastAsiaTheme="minorEastAsia"/>
          <w:sz w:val="20"/>
          <w:szCs w:val="20"/>
        </w:rPr>
        <w:t xml:space="preserve">ultiple </w:t>
      </w:r>
      <w:r w:rsidRPr="00725268">
        <w:rPr>
          <w:sz w:val="20"/>
          <w:szCs w:val="20"/>
        </w:rPr>
        <w:t xml:space="preserve">activated </w:t>
      </w:r>
      <w:r w:rsidRPr="00725268">
        <w:rPr>
          <w:rFonts w:eastAsiaTheme="minorEastAsia"/>
          <w:sz w:val="20"/>
          <w:szCs w:val="20"/>
        </w:rPr>
        <w:t>BWP configurations</w:t>
      </w:r>
      <w:r>
        <w:rPr>
          <w:rFonts w:eastAsiaTheme="minorEastAsia"/>
          <w:sz w:val="20"/>
          <w:szCs w:val="20"/>
        </w:rPr>
        <w:t xml:space="preserve">, 2) </w:t>
      </w:r>
      <w:r w:rsidRPr="00725268">
        <w:rPr>
          <w:rFonts w:eastAsiaTheme="minorEastAsia"/>
          <w:sz w:val="20"/>
          <w:szCs w:val="20"/>
        </w:rPr>
        <w:t>PDCCH blind decodes on multiple BWPs</w:t>
      </w:r>
      <w:r>
        <w:rPr>
          <w:rFonts w:eastAsiaTheme="minorEastAsia"/>
          <w:sz w:val="20"/>
          <w:szCs w:val="20"/>
        </w:rPr>
        <w:t>, and 3) m</w:t>
      </w:r>
      <w:r w:rsidRPr="00725268">
        <w:rPr>
          <w:rFonts w:eastAsiaTheme="minorEastAsia"/>
          <w:sz w:val="20"/>
          <w:szCs w:val="20"/>
        </w:rPr>
        <w:t>ultiple TB</w:t>
      </w:r>
      <w:r w:rsidR="00A904A4">
        <w:rPr>
          <w:rFonts w:eastAsiaTheme="minorEastAsia"/>
          <w:sz w:val="20"/>
          <w:szCs w:val="20"/>
        </w:rPr>
        <w:t xml:space="preserve"> sizes</w:t>
      </w:r>
      <w:r w:rsidRPr="00725268">
        <w:rPr>
          <w:rFonts w:eastAsiaTheme="minorEastAsia"/>
          <w:sz w:val="20"/>
          <w:szCs w:val="20"/>
        </w:rPr>
        <w:t xml:space="preserve"> are prepared for each possible LBT outcome</w:t>
      </w:r>
      <w:r>
        <w:rPr>
          <w:rFonts w:eastAsiaTheme="minorEastAsia"/>
          <w:sz w:val="20"/>
          <w:szCs w:val="20"/>
        </w:rPr>
        <w:t>.</w:t>
      </w:r>
    </w:p>
    <w:p w14:paraId="7552D331" w14:textId="63E03F85" w:rsidR="00A9338C" w:rsidRDefault="00576D73" w:rsidP="00576D73">
      <w:pPr>
        <w:jc w:val="both"/>
      </w:pPr>
      <w:r>
        <w:t>For options 3,</w:t>
      </w:r>
      <w:r w:rsidRPr="00576D73">
        <w:t xml:space="preserve"> </w:t>
      </w:r>
      <w:r>
        <w:t>it can also achieve spectral efficiency but with less spec. change and complexity than option 1a/1b. Although t</w:t>
      </w:r>
      <w:r w:rsidRPr="00875B09">
        <w:t xml:space="preserve">he </w:t>
      </w:r>
      <w:r>
        <w:t>data transmission on the active BWP</w:t>
      </w:r>
      <w:r w:rsidRPr="00875B09">
        <w:t xml:space="preserve"> may be non-contiguous</w:t>
      </w:r>
      <w:r>
        <w:t xml:space="preserve"> in frequency, it seems not to be a big problem. </w:t>
      </w:r>
      <w:r w:rsidR="00C37393">
        <w:t>F</w:t>
      </w:r>
      <w:r>
        <w:t xml:space="preserve">or example, we can add some constraint on the partial part to ensure that data transmission is </w:t>
      </w:r>
      <w:r w:rsidRPr="00875B09">
        <w:t>contiguous</w:t>
      </w:r>
      <w:r>
        <w:t xml:space="preserve"> in frequency.</w:t>
      </w:r>
    </w:p>
    <w:p w14:paraId="057D01A1" w14:textId="485BCF33" w:rsidR="00A9338C" w:rsidRDefault="00576D73" w:rsidP="00576D73">
      <w:pPr>
        <w:pStyle w:val="Caption"/>
      </w:pPr>
      <w:r w:rsidRPr="00576D73">
        <w:lastRenderedPageBreak/>
        <w:t xml:space="preserve">Proposal </w:t>
      </w:r>
      <w:r>
        <w:t>5</w:t>
      </w:r>
      <w:r w:rsidRPr="00576D73">
        <w:t>: Option 3</w:t>
      </w:r>
      <w:r>
        <w:t xml:space="preserve"> should be</w:t>
      </w:r>
      <w:r w:rsidRPr="00576D73">
        <w:t xml:space="preserve"> </w:t>
      </w:r>
      <w:r>
        <w:t xml:space="preserve">supported for </w:t>
      </w:r>
      <w:r w:rsidRPr="00576D73">
        <w:t xml:space="preserve">BWP-based operation within a </w:t>
      </w:r>
      <w:r>
        <w:t>wideband carrier.</w:t>
      </w:r>
    </w:p>
    <w:p w14:paraId="44B709B7" w14:textId="77777777" w:rsidR="000433A5" w:rsidRPr="000433A5" w:rsidRDefault="000433A5" w:rsidP="000433A5"/>
    <w:p w14:paraId="53647A32" w14:textId="77777777" w:rsidR="00644AE4" w:rsidRPr="00715548" w:rsidRDefault="00644AE4" w:rsidP="001F11C7">
      <w:pPr>
        <w:pStyle w:val="Heading1"/>
        <w:numPr>
          <w:ilvl w:val="1"/>
          <w:numId w:val="5"/>
        </w:numPr>
        <w:spacing w:after="120"/>
        <w:ind w:right="288"/>
        <w:jc w:val="both"/>
        <w:rPr>
          <w:color w:val="000000" w:themeColor="text1"/>
        </w:rPr>
      </w:pPr>
      <w:r>
        <w:rPr>
          <w:color w:val="000000" w:themeColor="text1"/>
        </w:rPr>
        <w:t xml:space="preserve">CORESET monitoring for the channel with wider bandwidth </w:t>
      </w:r>
    </w:p>
    <w:p w14:paraId="50B0B23F" w14:textId="68FD9B27" w:rsidR="00644AE4" w:rsidRPr="00B94119" w:rsidRDefault="00644AE4" w:rsidP="00644AE4">
      <w:pPr>
        <w:jc w:val="both"/>
        <w:rPr>
          <w:color w:val="000000" w:themeColor="text1"/>
          <w:lang w:val="en-GB"/>
        </w:rPr>
      </w:pPr>
      <w:r w:rsidRPr="00B94119">
        <w:rPr>
          <w:color w:val="000000" w:themeColor="text1"/>
          <w:lang w:val="en-GB"/>
        </w:rPr>
        <w:t xml:space="preserve">In NR, </w:t>
      </w:r>
      <w:r>
        <w:rPr>
          <w:color w:val="000000" w:themeColor="text1"/>
          <w:lang w:val="en-GB"/>
        </w:rPr>
        <w:t xml:space="preserve">the </w:t>
      </w:r>
      <w:r w:rsidRPr="00B94119">
        <w:rPr>
          <w:color w:val="000000" w:themeColor="text1"/>
          <w:lang w:val="en-GB"/>
        </w:rPr>
        <w:t>channel bandwidth can be very large (</w:t>
      </w:r>
      <w:r>
        <w:rPr>
          <w:color w:val="000000" w:themeColor="text1"/>
          <w:lang w:val="en-GB"/>
        </w:rPr>
        <w:t>e.g., 100MHz for sub6 and 400MHz for mmW</w:t>
      </w:r>
      <w:r w:rsidRPr="00B94119">
        <w:rPr>
          <w:color w:val="000000" w:themeColor="text1"/>
          <w:lang w:val="en-GB"/>
        </w:rPr>
        <w:t xml:space="preserve">ave). </w:t>
      </w:r>
      <w:r>
        <w:rPr>
          <w:color w:val="000000" w:themeColor="text1"/>
          <w:lang w:val="en-GB"/>
        </w:rPr>
        <w:t xml:space="preserve">For the channel with wider bandwidth, applying LBT on the whole bandwidth is not efficient. For example, suppose the channel bandwidth is 100 MHz and only part of the channel bandwidth is occupied by other device (e.g., 20 MHz in the channel is busy). Using the whole bandwidth LBT, the gNB cannot perform any transmission even if most of the resources in the channel are free. To </w:t>
      </w:r>
      <w:r w:rsidRPr="00B94119">
        <w:rPr>
          <w:color w:val="000000" w:themeColor="text1"/>
          <w:lang w:val="en-GB"/>
        </w:rPr>
        <w:t>improve the spectral efficiency</w:t>
      </w:r>
      <w:r>
        <w:rPr>
          <w:color w:val="000000" w:themeColor="text1"/>
        </w:rPr>
        <w:t>,</w:t>
      </w:r>
      <w:r w:rsidRPr="00B94119">
        <w:rPr>
          <w:color w:val="000000" w:themeColor="text1"/>
          <w:lang w:val="en-GB"/>
        </w:rPr>
        <w:t xml:space="preserve"> subband LBT </w:t>
      </w:r>
      <w:r>
        <w:rPr>
          <w:color w:val="000000" w:themeColor="text1"/>
          <w:lang w:val="en-GB"/>
        </w:rPr>
        <w:t>can</w:t>
      </w:r>
      <w:r w:rsidRPr="00B94119">
        <w:rPr>
          <w:color w:val="000000" w:themeColor="text1"/>
          <w:lang w:val="en-GB"/>
        </w:rPr>
        <w:t xml:space="preserve"> be used.</w:t>
      </w:r>
      <w:r>
        <w:rPr>
          <w:color w:val="000000" w:themeColor="text1"/>
          <w:lang w:val="en-GB"/>
        </w:rPr>
        <w:t xml:space="preserve"> </w:t>
      </w:r>
      <w:r w:rsidRPr="00B94119">
        <w:rPr>
          <w:color w:val="000000" w:themeColor="text1"/>
          <w:lang w:eastAsia="ja-JP"/>
        </w:rPr>
        <w:t>In RAN1 #92</w:t>
      </w:r>
      <w:r w:rsidRPr="00B94119">
        <w:rPr>
          <w:rFonts w:hint="eastAsia"/>
          <w:color w:val="000000" w:themeColor="text1"/>
          <w:lang w:eastAsia="zh-TW"/>
        </w:rPr>
        <w:t>bis</w:t>
      </w:r>
      <w:r w:rsidR="001E1025">
        <w:rPr>
          <w:color w:val="000000" w:themeColor="text1"/>
          <w:lang w:eastAsia="zh-TW"/>
        </w:rPr>
        <w:t xml:space="preserve"> </w:t>
      </w:r>
      <w:r w:rsidR="001E1025">
        <w:rPr>
          <w:color w:val="000000" w:themeColor="text1"/>
          <w:lang w:eastAsia="zh-TW"/>
        </w:rPr>
        <w:fldChar w:fldCharType="begin"/>
      </w:r>
      <w:r w:rsidR="001E1025">
        <w:rPr>
          <w:color w:val="000000" w:themeColor="text1"/>
          <w:lang w:eastAsia="zh-TW"/>
        </w:rPr>
        <w:instrText xml:space="preserve"> REF _Ref513820022 \r \h </w:instrText>
      </w:r>
      <w:r w:rsidR="001E1025">
        <w:rPr>
          <w:color w:val="000000" w:themeColor="text1"/>
          <w:lang w:eastAsia="zh-TW"/>
        </w:rPr>
      </w:r>
      <w:r w:rsidR="001E1025">
        <w:rPr>
          <w:color w:val="000000" w:themeColor="text1"/>
          <w:lang w:eastAsia="zh-TW"/>
        </w:rPr>
        <w:fldChar w:fldCharType="separate"/>
      </w:r>
      <w:r w:rsidR="00983CF4">
        <w:rPr>
          <w:color w:val="000000" w:themeColor="text1"/>
          <w:lang w:eastAsia="zh-TW"/>
        </w:rPr>
        <w:t>[3]</w:t>
      </w:r>
      <w:r w:rsidR="001E1025">
        <w:rPr>
          <w:color w:val="000000" w:themeColor="text1"/>
          <w:lang w:eastAsia="zh-TW"/>
        </w:rPr>
        <w:fldChar w:fldCharType="end"/>
      </w:r>
      <w:r>
        <w:rPr>
          <w:color w:val="000000" w:themeColor="text1"/>
          <w:lang w:eastAsia="ja-JP"/>
        </w:rPr>
        <w:t xml:space="preserve">, </w:t>
      </w:r>
      <w:r w:rsidRPr="00B94119">
        <w:rPr>
          <w:color w:val="000000" w:themeColor="text1"/>
          <w:lang w:eastAsia="ja-JP"/>
        </w:rPr>
        <w:t>the following agreement was made</w:t>
      </w:r>
      <w:r>
        <w:rPr>
          <w:color w:val="000000" w:themeColor="text1"/>
          <w:lang w:eastAsia="ja-JP"/>
        </w:rPr>
        <w:t xml:space="preserve"> for the unit of LBT.</w:t>
      </w:r>
    </w:p>
    <w:p w14:paraId="235D42EA" w14:textId="77777777" w:rsidR="00644AE4" w:rsidRPr="001F11C7" w:rsidRDefault="00644AE4" w:rsidP="00644AE4">
      <w:pPr>
        <w:rPr>
          <w:highlight w:val="green"/>
          <w:lang w:val="en-GB"/>
        </w:rPr>
      </w:pPr>
    </w:p>
    <w:tbl>
      <w:tblPr>
        <w:tblStyle w:val="TableGrid"/>
        <w:tblW w:w="0" w:type="auto"/>
        <w:tblLook w:val="04A0" w:firstRow="1" w:lastRow="0" w:firstColumn="1" w:lastColumn="0" w:noHBand="0" w:noVBand="1"/>
      </w:tblPr>
      <w:tblGrid>
        <w:gridCol w:w="9631"/>
      </w:tblGrid>
      <w:tr w:rsidR="00644AE4" w:rsidRPr="00A05CCF" w14:paraId="76C60EEF" w14:textId="77777777" w:rsidTr="00C7169C">
        <w:tc>
          <w:tcPr>
            <w:tcW w:w="9631" w:type="dxa"/>
          </w:tcPr>
          <w:p w14:paraId="719AD404" w14:textId="40E3582B" w:rsidR="00644AE4" w:rsidRPr="00085D5D" w:rsidRDefault="00644AE4" w:rsidP="00644AE4">
            <w:r w:rsidRPr="00DB483B">
              <w:rPr>
                <w:highlight w:val="green"/>
              </w:rPr>
              <w:t>Agreement:</w:t>
            </w:r>
            <w:r>
              <w:t xml:space="preserve"> </w:t>
            </w:r>
            <w:r w:rsidRPr="00A05CCF">
              <w:t>(RAN1 #9</w:t>
            </w:r>
            <w:r>
              <w:t>2bis</w:t>
            </w:r>
            <w:r w:rsidRPr="00A05CCF">
              <w:t>)</w:t>
            </w:r>
          </w:p>
          <w:p w14:paraId="5BC495C9" w14:textId="77777777" w:rsidR="00644AE4" w:rsidRDefault="00644AE4" w:rsidP="00644AE4">
            <w:pPr>
              <w:widowControl w:val="0"/>
              <w:numPr>
                <w:ilvl w:val="0"/>
                <w:numId w:val="23"/>
              </w:numPr>
              <w:spacing w:after="0"/>
              <w:jc w:val="both"/>
            </w:pPr>
            <w:r w:rsidRPr="00113B5C">
              <w:t>At least for band where absence of Wi-Fi cannot be guaranteed (e.g. by regulation), LBT can be performed</w:t>
            </w:r>
            <w:r>
              <w:t xml:space="preserve"> in units of 20 MHz. </w:t>
            </w:r>
          </w:p>
          <w:p w14:paraId="0BB9ED02" w14:textId="34341C04" w:rsidR="00644AE4" w:rsidRPr="00644AE4" w:rsidRDefault="00644AE4" w:rsidP="001F11C7">
            <w:pPr>
              <w:widowControl w:val="0"/>
              <w:numPr>
                <w:ilvl w:val="1"/>
                <w:numId w:val="23"/>
              </w:numPr>
              <w:spacing w:after="0"/>
              <w:jc w:val="both"/>
            </w:pPr>
            <w:r>
              <w:t>FFS: details on how to perform LBT for as single carrier with bandwidth greater than 20 MHz, i.e., integer multiples of 20 MHz.</w:t>
            </w:r>
          </w:p>
        </w:tc>
      </w:tr>
    </w:tbl>
    <w:p w14:paraId="72DFBA8A" w14:textId="77777777" w:rsidR="00644AE4" w:rsidRDefault="00644AE4" w:rsidP="00644AE4">
      <w:pPr>
        <w:rPr>
          <w:highlight w:val="green"/>
        </w:rPr>
      </w:pPr>
    </w:p>
    <w:p w14:paraId="3760D3A4" w14:textId="77777777" w:rsidR="00644AE4" w:rsidRDefault="00644AE4" w:rsidP="00644AE4">
      <w:pPr>
        <w:jc w:val="both"/>
        <w:rPr>
          <w:color w:val="000000" w:themeColor="text1"/>
        </w:rPr>
      </w:pPr>
      <w:r>
        <w:rPr>
          <w:color w:val="000000" w:themeColor="text1"/>
        </w:rPr>
        <w:t xml:space="preserve">From the agreement, the LBT unit is 20 MHz for NR-U when </w:t>
      </w:r>
      <w:r w:rsidRPr="00113B5C">
        <w:t>absence of Wi-Fi cannot be guaranteed</w:t>
      </w:r>
      <w:r>
        <w:rPr>
          <w:color w:val="000000" w:themeColor="text1"/>
        </w:rPr>
        <w:t xml:space="preserve">. Although using multiple LBT units for a single channel with wider bandwidth can provide the benefit on spectral efficiency, there is a problem on how to determine the frequency domain resource of the CORESET with the </w:t>
      </w:r>
      <w:r w:rsidRPr="002F610C">
        <w:rPr>
          <w:color w:val="000000" w:themeColor="text1"/>
        </w:rPr>
        <w:t>uncertainty of LBT</w:t>
      </w:r>
      <w:r>
        <w:rPr>
          <w:color w:val="000000" w:themeColor="text1"/>
        </w:rPr>
        <w:t xml:space="preserve">. For example, as shown in </w:t>
      </w:r>
      <w:r>
        <w:rPr>
          <w:color w:val="000000" w:themeColor="text1"/>
        </w:rPr>
        <w:fldChar w:fldCharType="begin"/>
      </w:r>
      <w:r>
        <w:rPr>
          <w:color w:val="000000" w:themeColor="text1"/>
        </w:rPr>
        <w:instrText xml:space="preserve"> REF _Ref521412471 \h  \* MERGEFORMAT </w:instrText>
      </w:r>
      <w:r>
        <w:rPr>
          <w:color w:val="000000" w:themeColor="text1"/>
        </w:rPr>
      </w:r>
      <w:r>
        <w:rPr>
          <w:color w:val="000000" w:themeColor="text1"/>
        </w:rPr>
        <w:fldChar w:fldCharType="separate"/>
      </w:r>
      <w:r w:rsidR="00983CF4" w:rsidRPr="002834FF">
        <w:t xml:space="preserve">Figure </w:t>
      </w:r>
      <w:r w:rsidR="00983CF4">
        <w:rPr>
          <w:noProof/>
        </w:rPr>
        <w:t>6</w:t>
      </w:r>
      <w:r>
        <w:rPr>
          <w:color w:val="000000" w:themeColor="text1"/>
        </w:rPr>
        <w:fldChar w:fldCharType="end"/>
      </w:r>
      <w:r>
        <w:rPr>
          <w:color w:val="000000" w:themeColor="text1"/>
        </w:rPr>
        <w:t>, suppose the bandwidth of the channel is 80 MHz. To improve spectral efficiency, the LBT is performed for each 20 MHz subband. Suppose three CORESETs are configured for the UE, where CORESET#1 is located in subband #2, CORESET#2 is located in subband #3, and CORESET#3 is located in the union of subband #1, #2, and #3. When the LBT results of subband #2 and 3 are “channel busy”, the PDCCHs cannot be transmitted in neither CORESET#1 nor CORESET #2. For CORESET #3, only part of the frequency resources is available. Thus the PDCCH cannot be transmitted in CORESET #3 if it has large aggregation level or interleaved structure.</w:t>
      </w:r>
    </w:p>
    <w:p w14:paraId="18A40356" w14:textId="77777777" w:rsidR="00644AE4" w:rsidRPr="00CB3850" w:rsidRDefault="00644AE4" w:rsidP="00644AE4">
      <w:pPr>
        <w:jc w:val="center"/>
        <w:rPr>
          <w:color w:val="000000" w:themeColor="text1"/>
        </w:rPr>
      </w:pPr>
      <w:r>
        <w:object w:dxaOrig="8288" w:dyaOrig="4663" w14:anchorId="1F303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pt;height:174.85pt" o:ole="">
            <v:imagedata r:id="rId17" o:title=""/>
          </v:shape>
          <o:OLEObject Type="Embed" ProgID="Visio.Drawing.11" ShapeID="_x0000_i1025" DrawAspect="Content" ObjectID="_1602669961" r:id="rId18"/>
        </w:object>
      </w:r>
    </w:p>
    <w:p w14:paraId="6720BC07" w14:textId="77777777" w:rsidR="00644AE4" w:rsidRPr="002834FF" w:rsidRDefault="00644AE4" w:rsidP="00644AE4">
      <w:pPr>
        <w:pStyle w:val="Caption"/>
        <w:jc w:val="center"/>
      </w:pPr>
      <w:bookmarkStart w:id="11" w:name="_Ref521412471"/>
      <w:r w:rsidRPr="002834FF">
        <w:t xml:space="preserve">Figure </w:t>
      </w:r>
      <w:r w:rsidR="00C96A29">
        <w:rPr>
          <w:noProof/>
        </w:rPr>
        <w:fldChar w:fldCharType="begin"/>
      </w:r>
      <w:r w:rsidR="00C96A29">
        <w:rPr>
          <w:noProof/>
        </w:rPr>
        <w:instrText xml:space="preserve"> SEQ Figure \* ARABIC </w:instrText>
      </w:r>
      <w:r w:rsidR="00C96A29">
        <w:rPr>
          <w:noProof/>
        </w:rPr>
        <w:fldChar w:fldCharType="separate"/>
      </w:r>
      <w:r w:rsidR="00C96A29">
        <w:rPr>
          <w:noProof/>
        </w:rPr>
        <w:t>7</w:t>
      </w:r>
      <w:r w:rsidR="00C96A29">
        <w:rPr>
          <w:noProof/>
        </w:rPr>
        <w:fldChar w:fldCharType="end"/>
      </w:r>
      <w:bookmarkEnd w:id="11"/>
      <w:r w:rsidRPr="002834FF">
        <w:t>: CORESET for the channel with wider bandwidth</w:t>
      </w:r>
    </w:p>
    <w:p w14:paraId="523B1EE2" w14:textId="77777777" w:rsidR="00783F9C" w:rsidRPr="00783F9C" w:rsidRDefault="00783F9C" w:rsidP="00783F9C">
      <w:pPr>
        <w:jc w:val="both"/>
        <w:rPr>
          <w:color w:val="000000" w:themeColor="text1"/>
        </w:rPr>
      </w:pPr>
      <w:r w:rsidRPr="001F11C7">
        <w:rPr>
          <w:b/>
        </w:rPr>
        <w:t xml:space="preserve">Observation </w:t>
      </w:r>
      <w:r>
        <w:rPr>
          <w:b/>
        </w:rPr>
        <w:t>7</w:t>
      </w:r>
      <w:r w:rsidRPr="001F11C7">
        <w:rPr>
          <w:b/>
        </w:rPr>
        <w:t xml:space="preserve">: </w:t>
      </w:r>
      <w:r>
        <w:rPr>
          <w:rFonts w:eastAsia="SimSun"/>
          <w:b/>
          <w:color w:val="000000" w:themeColor="text1"/>
          <w:lang w:eastAsia="zh-CN"/>
        </w:rPr>
        <w:t>NR-U should consider</w:t>
      </w:r>
      <w:r w:rsidRPr="00715548">
        <w:rPr>
          <w:rFonts w:eastAsia="SimSun"/>
          <w:b/>
          <w:color w:val="000000" w:themeColor="text1"/>
          <w:lang w:eastAsia="zh-CN"/>
        </w:rPr>
        <w:t xml:space="preserve"> </w:t>
      </w:r>
      <w:r>
        <w:rPr>
          <w:rFonts w:eastAsia="SimSun"/>
          <w:b/>
          <w:color w:val="000000" w:themeColor="text1"/>
          <w:lang w:eastAsia="zh-CN"/>
        </w:rPr>
        <w:t>the CORESET design for the single wideband channel.</w:t>
      </w:r>
    </w:p>
    <w:p w14:paraId="5C098C09" w14:textId="7B2D74B8" w:rsidR="00EC5BBC" w:rsidRDefault="00644AE4" w:rsidP="00644AE4">
      <w:pPr>
        <w:jc w:val="both"/>
        <w:rPr>
          <w:color w:val="000000" w:themeColor="text1"/>
        </w:rPr>
      </w:pPr>
      <w:r>
        <w:t>To solve the problem that CORESETs may be unavailable for PDCCH transmission, the frequency location of the CORESET should be varied with the results of LBT. That is, the frequency location of the CORESET is changed per TX</w:t>
      </w:r>
      <w:r w:rsidRPr="00476D41">
        <w:t xml:space="preserve">OP. </w:t>
      </w:r>
      <w:r w:rsidRPr="00476D41">
        <w:fldChar w:fldCharType="begin"/>
      </w:r>
      <w:r w:rsidRPr="00476D41">
        <w:instrText xml:space="preserve"> REF _Ref521419211 \h  \* MERGEFORMAT </w:instrText>
      </w:r>
      <w:r w:rsidRPr="00476D41">
        <w:fldChar w:fldCharType="separate"/>
      </w:r>
      <w:r w:rsidR="00983CF4" w:rsidRPr="002834FF">
        <w:t xml:space="preserve">Figure </w:t>
      </w:r>
      <w:r w:rsidR="00983CF4">
        <w:rPr>
          <w:noProof/>
        </w:rPr>
        <w:t>7</w:t>
      </w:r>
      <w:r w:rsidRPr="00476D41">
        <w:fldChar w:fldCharType="end"/>
      </w:r>
      <w:r>
        <w:t xml:space="preserve"> shows the example of CORESET adaptation. In this example, since subband #2 and #3 are busy, the CORESETs are moved to other subbands. For the current TXOP, </w:t>
      </w:r>
      <w:r>
        <w:rPr>
          <w:color w:val="000000" w:themeColor="text1"/>
        </w:rPr>
        <w:t xml:space="preserve">CORESET#1 is located in subband #1, CORESET#2 is located in subband #4, and CORESET#3 is located in the union of subband #1 and #4. Since the location of the CORESET is changed per TXOP, it is necessary to have a common understanding between </w:t>
      </w:r>
      <w:r w:rsidRPr="006F22FD">
        <w:rPr>
          <w:color w:val="000000" w:themeColor="text1"/>
        </w:rPr>
        <w:t xml:space="preserve">the </w:t>
      </w:r>
      <w:r>
        <w:rPr>
          <w:color w:val="000000" w:themeColor="text1"/>
        </w:rPr>
        <w:t>g</w:t>
      </w:r>
      <w:r w:rsidRPr="006F22FD">
        <w:rPr>
          <w:color w:val="000000" w:themeColor="text1"/>
        </w:rPr>
        <w:t>NB and UE</w:t>
      </w:r>
      <w:r>
        <w:rPr>
          <w:color w:val="000000" w:themeColor="text1"/>
        </w:rPr>
        <w:t xml:space="preserve">. </w:t>
      </w:r>
      <w:r w:rsidR="00EC5BBC">
        <w:rPr>
          <w:color w:val="000000" w:themeColor="text1"/>
        </w:rPr>
        <w:t xml:space="preserve">For example, UE can determine the location of the CORESET by detecting PDCCH DMRS on all possible subband combinations. However, there are some concerns on </w:t>
      </w:r>
      <w:r w:rsidR="00DC2783">
        <w:rPr>
          <w:color w:val="000000" w:themeColor="text1"/>
        </w:rPr>
        <w:t>using</w:t>
      </w:r>
      <w:r w:rsidR="00EC5BBC">
        <w:rPr>
          <w:color w:val="000000" w:themeColor="text1"/>
        </w:rPr>
        <w:t xml:space="preserve"> </w:t>
      </w:r>
      <w:r w:rsidR="00FC1C62">
        <w:rPr>
          <w:color w:val="000000" w:themeColor="text1"/>
        </w:rPr>
        <w:t>PDCCH DMRS:</w:t>
      </w:r>
    </w:p>
    <w:p w14:paraId="1447DC78" w14:textId="30D3A904" w:rsidR="00EC5BBC" w:rsidRPr="00D13DFD" w:rsidRDefault="00EC5BBC" w:rsidP="001F11C7">
      <w:pPr>
        <w:numPr>
          <w:ilvl w:val="0"/>
          <w:numId w:val="25"/>
        </w:numPr>
        <w:tabs>
          <w:tab w:val="num" w:pos="2160"/>
        </w:tabs>
        <w:jc w:val="both"/>
        <w:rPr>
          <w:color w:val="000000" w:themeColor="text1"/>
        </w:rPr>
      </w:pPr>
      <w:r>
        <w:rPr>
          <w:color w:val="000000" w:themeColor="text1"/>
        </w:rPr>
        <w:t>For</w:t>
      </w:r>
      <w:r w:rsidR="00AD37E9" w:rsidRPr="00EC5BBC">
        <w:rPr>
          <w:color w:val="000000" w:themeColor="text1"/>
        </w:rPr>
        <w:t xml:space="preserve"> narr</w:t>
      </w:r>
      <w:r>
        <w:rPr>
          <w:color w:val="000000" w:themeColor="text1"/>
        </w:rPr>
        <w:t>ow band PDCCH DMRS</w:t>
      </w:r>
      <w:r w:rsidR="00AD37E9" w:rsidRPr="00EC5BBC">
        <w:rPr>
          <w:color w:val="000000" w:themeColor="text1"/>
        </w:rPr>
        <w:t xml:space="preserve">, </w:t>
      </w:r>
      <w:r>
        <w:rPr>
          <w:color w:val="000000" w:themeColor="text1"/>
        </w:rPr>
        <w:t xml:space="preserve">since DMRS </w:t>
      </w:r>
      <w:r w:rsidR="00715D9F">
        <w:rPr>
          <w:color w:val="000000" w:themeColor="text1"/>
        </w:rPr>
        <w:t>only</w:t>
      </w:r>
      <w:r>
        <w:rPr>
          <w:color w:val="000000" w:themeColor="text1"/>
        </w:rPr>
        <w:t xml:space="preserve"> appear</w:t>
      </w:r>
      <w:r w:rsidR="00715D9F">
        <w:rPr>
          <w:color w:val="000000" w:themeColor="text1"/>
        </w:rPr>
        <w:t>s</w:t>
      </w:r>
      <w:r>
        <w:rPr>
          <w:color w:val="000000" w:themeColor="text1"/>
        </w:rPr>
        <w:t xml:space="preserve"> in the candidate where </w:t>
      </w:r>
      <w:r w:rsidR="00715D9F">
        <w:rPr>
          <w:color w:val="000000" w:themeColor="text1"/>
        </w:rPr>
        <w:t xml:space="preserve">PDCCH is </w:t>
      </w:r>
      <w:r>
        <w:rPr>
          <w:color w:val="000000" w:themeColor="text1"/>
        </w:rPr>
        <w:t xml:space="preserve">transmitted, </w:t>
      </w:r>
      <w:r w:rsidR="00D13DFD">
        <w:rPr>
          <w:color w:val="000000" w:themeColor="text1"/>
        </w:rPr>
        <w:t xml:space="preserve">there is a trade-off between the detection performance and PDCCH blocking rate. </w:t>
      </w:r>
      <w:r w:rsidR="0022536F" w:rsidRPr="00D13DFD">
        <w:rPr>
          <w:color w:val="000000" w:themeColor="text1"/>
        </w:rPr>
        <w:t xml:space="preserve">For example, </w:t>
      </w:r>
      <w:r w:rsidR="00EE0D87" w:rsidRPr="00D13DFD">
        <w:rPr>
          <w:color w:val="000000" w:themeColor="text1"/>
        </w:rPr>
        <w:t xml:space="preserve">assume the </w:t>
      </w:r>
      <w:r w:rsidR="000E088B" w:rsidRPr="00D13DFD">
        <w:rPr>
          <w:color w:val="000000" w:themeColor="text1"/>
        </w:rPr>
        <w:t>aggregation level of the PDCCH is one</w:t>
      </w:r>
      <w:r w:rsidR="00EE0D87" w:rsidRPr="00D13DFD">
        <w:rPr>
          <w:color w:val="000000" w:themeColor="text1"/>
        </w:rPr>
        <w:t xml:space="preserve"> and </w:t>
      </w:r>
      <w:r w:rsidR="00C85217" w:rsidRPr="00D13DFD">
        <w:rPr>
          <w:color w:val="000000" w:themeColor="text1"/>
        </w:rPr>
        <w:t xml:space="preserve">the bandwidth of the channel is 20 MHz. </w:t>
      </w:r>
      <w:r w:rsidR="000E088B" w:rsidRPr="00D13DFD">
        <w:rPr>
          <w:color w:val="000000" w:themeColor="text1"/>
        </w:rPr>
        <w:t>In this case only</w:t>
      </w:r>
      <w:r w:rsidR="00EE0D87" w:rsidRPr="00D13DFD">
        <w:rPr>
          <w:color w:val="000000" w:themeColor="text1"/>
        </w:rPr>
        <w:t xml:space="preserve"> </w:t>
      </w:r>
      <w:r w:rsidR="0022536F" w:rsidRPr="00D13DFD">
        <w:rPr>
          <w:color w:val="000000" w:themeColor="text1"/>
        </w:rPr>
        <w:t>6*3=18 DMRS REs</w:t>
      </w:r>
      <w:r w:rsidR="00C85217" w:rsidRPr="00D13DFD">
        <w:rPr>
          <w:color w:val="000000" w:themeColor="text1"/>
        </w:rPr>
        <w:t xml:space="preserve"> can be used for detection</w:t>
      </w:r>
      <w:r w:rsidR="00715D9F" w:rsidRPr="00D13DFD">
        <w:rPr>
          <w:color w:val="000000" w:themeColor="text1"/>
        </w:rPr>
        <w:t xml:space="preserve">. </w:t>
      </w:r>
      <w:r w:rsidR="00D13DFD">
        <w:rPr>
          <w:color w:val="000000" w:themeColor="text1"/>
        </w:rPr>
        <w:t>Note that</w:t>
      </w:r>
      <w:r w:rsidR="00C85217" w:rsidRPr="00D13DFD">
        <w:rPr>
          <w:color w:val="000000" w:themeColor="text1"/>
        </w:rPr>
        <w:t xml:space="preserve"> in LAA 400 CRS REs can be used </w:t>
      </w:r>
      <w:r w:rsidR="000E088B" w:rsidRPr="00D13DFD">
        <w:rPr>
          <w:color w:val="000000" w:themeColor="text1"/>
        </w:rPr>
        <w:t xml:space="preserve">for the same channel bandwidth </w:t>
      </w:r>
      <w:r w:rsidR="00C85217" w:rsidRPr="00D13DFD">
        <w:rPr>
          <w:color w:val="000000" w:themeColor="text1"/>
        </w:rPr>
        <w:t xml:space="preserve">(100 RBs*2 REs per RB*2 </w:t>
      </w:r>
      <w:r w:rsidR="00C85217" w:rsidRPr="00D13DFD">
        <w:rPr>
          <w:color w:val="000000" w:themeColor="text1"/>
        </w:rPr>
        <w:lastRenderedPageBreak/>
        <w:t>OFDM symbols=400 CRS REs).</w:t>
      </w:r>
      <w:r w:rsidR="00D13DFD" w:rsidRPr="00D13DFD">
        <w:rPr>
          <w:color w:val="000000" w:themeColor="text1"/>
        </w:rPr>
        <w:t xml:space="preserve"> If the aggregation level of the PDCCH is 8, 8*6*3=144 DMRS REs </w:t>
      </w:r>
      <w:r w:rsidR="00D13DFD">
        <w:rPr>
          <w:color w:val="000000" w:themeColor="text1"/>
        </w:rPr>
        <w:t>can be used. Although u</w:t>
      </w:r>
      <w:r w:rsidR="00D13DFD" w:rsidRPr="00D13DFD">
        <w:rPr>
          <w:color w:val="000000" w:themeColor="text1"/>
        </w:rPr>
        <w:t>sing higher aggregation level can increase the number of DMRS REs</w:t>
      </w:r>
      <w:r w:rsidR="00D13DFD">
        <w:rPr>
          <w:color w:val="000000" w:themeColor="text1"/>
        </w:rPr>
        <w:t>, the PDCCH blocking rate will be increased.</w:t>
      </w:r>
    </w:p>
    <w:p w14:paraId="59946611" w14:textId="1D5F2F6E" w:rsidR="007D7FD9" w:rsidRDefault="00EC5BBC" w:rsidP="000D7F74">
      <w:pPr>
        <w:numPr>
          <w:ilvl w:val="0"/>
          <w:numId w:val="25"/>
        </w:numPr>
        <w:tabs>
          <w:tab w:val="num" w:pos="2160"/>
        </w:tabs>
        <w:jc w:val="both"/>
        <w:rPr>
          <w:color w:val="000000" w:themeColor="text1"/>
        </w:rPr>
      </w:pPr>
      <w:r>
        <w:rPr>
          <w:color w:val="000000" w:themeColor="text1"/>
        </w:rPr>
        <w:t xml:space="preserve">For </w:t>
      </w:r>
      <w:r w:rsidR="00AD37E9" w:rsidRPr="00EC5BBC">
        <w:rPr>
          <w:color w:val="000000" w:themeColor="text1"/>
        </w:rPr>
        <w:t>w</w:t>
      </w:r>
      <w:r>
        <w:rPr>
          <w:color w:val="000000" w:themeColor="text1"/>
        </w:rPr>
        <w:t>ideband PDCCH DMRS</w:t>
      </w:r>
      <w:r w:rsidR="00AD37E9" w:rsidRPr="00EC5BBC">
        <w:rPr>
          <w:color w:val="000000" w:themeColor="text1"/>
        </w:rPr>
        <w:t xml:space="preserve">, </w:t>
      </w:r>
      <w:r w:rsidR="00D13DFD">
        <w:rPr>
          <w:color w:val="000000" w:themeColor="text1"/>
        </w:rPr>
        <w:t xml:space="preserve">there is a trade-off between the detection performance and </w:t>
      </w:r>
      <w:r w:rsidR="007D7FD9">
        <w:rPr>
          <w:color w:val="000000" w:themeColor="text1"/>
        </w:rPr>
        <w:t xml:space="preserve">PDCCH decoding performance. In LTE, </w:t>
      </w:r>
      <w:r w:rsidR="007D7FD9" w:rsidRPr="007D7FD9">
        <w:rPr>
          <w:color w:val="000000" w:themeColor="text1"/>
        </w:rPr>
        <w:t>space</w:t>
      </w:r>
      <w:r w:rsidR="00D83BF5">
        <w:rPr>
          <w:color w:val="000000" w:themeColor="text1"/>
        </w:rPr>
        <w:t>-</w:t>
      </w:r>
      <w:r w:rsidR="007D7FD9" w:rsidRPr="007D7FD9">
        <w:rPr>
          <w:color w:val="000000" w:themeColor="text1"/>
        </w:rPr>
        <w:t>frequency block coding</w:t>
      </w:r>
      <w:r w:rsidR="007D7FD9">
        <w:rPr>
          <w:color w:val="000000" w:themeColor="text1"/>
        </w:rPr>
        <w:t xml:space="preserve"> (</w:t>
      </w:r>
      <w:r w:rsidR="00A4712D" w:rsidRPr="007D7FD9">
        <w:rPr>
          <w:color w:val="000000" w:themeColor="text1"/>
        </w:rPr>
        <w:t>SFBC</w:t>
      </w:r>
      <w:r w:rsidR="007D7FD9">
        <w:rPr>
          <w:color w:val="000000" w:themeColor="text1"/>
        </w:rPr>
        <w:t>)</w:t>
      </w:r>
      <w:r w:rsidR="00A4712D" w:rsidRPr="007D7FD9">
        <w:rPr>
          <w:color w:val="000000" w:themeColor="text1"/>
        </w:rPr>
        <w:t xml:space="preserve"> is used </w:t>
      </w:r>
      <w:r w:rsidR="007D7FD9">
        <w:rPr>
          <w:color w:val="000000" w:themeColor="text1"/>
        </w:rPr>
        <w:t>for</w:t>
      </w:r>
      <w:r w:rsidR="00A4712D" w:rsidRPr="007D7FD9">
        <w:rPr>
          <w:color w:val="000000" w:themeColor="text1"/>
        </w:rPr>
        <w:t xml:space="preserve"> PDCCH.</w:t>
      </w:r>
      <w:r w:rsidR="007D7FD9">
        <w:rPr>
          <w:color w:val="000000" w:themeColor="text1"/>
        </w:rPr>
        <w:t xml:space="preserve"> Since </w:t>
      </w:r>
      <w:r w:rsidR="00A4712D" w:rsidRPr="007D7FD9">
        <w:rPr>
          <w:color w:val="000000" w:themeColor="text1"/>
        </w:rPr>
        <w:t xml:space="preserve">SFBC can provide </w:t>
      </w:r>
      <w:r w:rsidR="007D7FD9">
        <w:rPr>
          <w:color w:val="000000" w:themeColor="text1"/>
        </w:rPr>
        <w:t>sufficient</w:t>
      </w:r>
      <w:r w:rsidR="00A4712D" w:rsidRPr="007D7FD9">
        <w:rPr>
          <w:color w:val="000000" w:themeColor="text1"/>
        </w:rPr>
        <w:t xml:space="preserve"> space-frequency diversity gain</w:t>
      </w:r>
      <w:r w:rsidR="007D7FD9">
        <w:rPr>
          <w:color w:val="000000" w:themeColor="text1"/>
        </w:rPr>
        <w:t>, a robust PDCCH decoding performance can be achieved. In</w:t>
      </w:r>
      <w:r w:rsidR="00A4712D" w:rsidRPr="007D7FD9">
        <w:rPr>
          <w:color w:val="000000" w:themeColor="text1"/>
        </w:rPr>
        <w:t xml:space="preserve"> NR, </w:t>
      </w:r>
      <w:r w:rsidR="007D7FD9">
        <w:rPr>
          <w:color w:val="000000" w:themeColor="text1"/>
        </w:rPr>
        <w:t xml:space="preserve">since the number of transmit antenna can be large, a DMRS based solution is used for PDCCH and </w:t>
      </w:r>
      <w:r w:rsidR="00A4712D" w:rsidRPr="007D7FD9">
        <w:rPr>
          <w:color w:val="000000" w:themeColor="text1"/>
        </w:rPr>
        <w:t>precoder cycling is used to provide the frequency diversity gain.</w:t>
      </w:r>
      <w:r w:rsidR="007D7FD9">
        <w:rPr>
          <w:color w:val="000000" w:themeColor="text1"/>
        </w:rPr>
        <w:t xml:space="preserve"> However, when wideband PDCCH DMRS is used, the precoder is the same for all the REG bundle</w:t>
      </w:r>
      <w:r w:rsidR="00E14B30">
        <w:rPr>
          <w:color w:val="000000" w:themeColor="text1"/>
        </w:rPr>
        <w:t>s</w:t>
      </w:r>
      <w:r w:rsidR="007D7FD9">
        <w:rPr>
          <w:color w:val="000000" w:themeColor="text1"/>
        </w:rPr>
        <w:t>, which lead to a poor PDCCH decoding performance. One solution for solving this problem is to use s</w:t>
      </w:r>
      <w:r w:rsidR="007D7FD9" w:rsidRPr="007D7FD9">
        <w:rPr>
          <w:color w:val="000000" w:themeColor="text1"/>
        </w:rPr>
        <w:t>mall-delay cyclic delay diversity</w:t>
      </w:r>
      <w:r w:rsidR="007D7FD9">
        <w:rPr>
          <w:color w:val="000000" w:themeColor="text1"/>
        </w:rPr>
        <w:t xml:space="preserve"> (SCDD). When SCDD is used, an </w:t>
      </w:r>
      <w:r w:rsidR="007D7FD9" w:rsidRPr="007D7FD9">
        <w:rPr>
          <w:color w:val="000000" w:themeColor="text1"/>
        </w:rPr>
        <w:t>artificial</w:t>
      </w:r>
      <w:r w:rsidR="007D7FD9">
        <w:rPr>
          <w:color w:val="000000" w:themeColor="text1"/>
        </w:rPr>
        <w:t xml:space="preserve"> delay will be introduced and thus the equivalent channel becomes more frequency-selective. The frequency selectivity would lead to a degradation in the detection performance of </w:t>
      </w:r>
      <w:r w:rsidR="00E14B30">
        <w:rPr>
          <w:color w:val="000000" w:themeColor="text1"/>
        </w:rPr>
        <w:t xml:space="preserve">PDCCH </w:t>
      </w:r>
      <w:r w:rsidR="007D7FD9">
        <w:rPr>
          <w:color w:val="000000" w:themeColor="text1"/>
        </w:rPr>
        <w:t xml:space="preserve">DMRS. </w:t>
      </w:r>
      <w:r w:rsidR="00D83BF5">
        <w:rPr>
          <w:color w:val="000000" w:themeColor="text1"/>
        </w:rPr>
        <w:t>Th</w:t>
      </w:r>
      <w:r w:rsidR="00E14B30">
        <w:rPr>
          <w:color w:val="000000" w:themeColor="text1"/>
        </w:rPr>
        <w:t xml:space="preserve">us it </w:t>
      </w:r>
      <w:r w:rsidR="007D7FD9">
        <w:rPr>
          <w:color w:val="000000" w:themeColor="text1"/>
        </w:rPr>
        <w:t xml:space="preserve">is a trade-off between the detection performance and decoding performance. </w:t>
      </w:r>
    </w:p>
    <w:p w14:paraId="0C263497" w14:textId="522E2E5A" w:rsidR="007D7FD9" w:rsidRPr="007D7FD9" w:rsidRDefault="007D7FD9" w:rsidP="007D7FD9">
      <w:pPr>
        <w:numPr>
          <w:ilvl w:val="0"/>
          <w:numId w:val="25"/>
        </w:numPr>
        <w:tabs>
          <w:tab w:val="num" w:pos="2160"/>
        </w:tabs>
        <w:jc w:val="both"/>
        <w:rPr>
          <w:color w:val="000000" w:themeColor="text1"/>
        </w:rPr>
      </w:pPr>
      <w:r>
        <w:rPr>
          <w:color w:val="000000" w:themeColor="text1"/>
        </w:rPr>
        <w:t xml:space="preserve">For NR PDCCH, </w:t>
      </w:r>
      <w:r>
        <w:rPr>
          <w:color w:val="000000" w:themeColor="text1"/>
          <w:lang w:val="pt-BR"/>
        </w:rPr>
        <w:t xml:space="preserve">the location of the DMRS </w:t>
      </w:r>
      <w:r w:rsidR="00A4712D" w:rsidRPr="007D7FD9">
        <w:rPr>
          <w:color w:val="000000" w:themeColor="text1"/>
          <w:lang w:val="pt-BR"/>
        </w:rPr>
        <w:t>RE</w:t>
      </w:r>
      <w:r>
        <w:rPr>
          <w:color w:val="000000" w:themeColor="text1"/>
          <w:lang w:val="pt-BR"/>
        </w:rPr>
        <w:t>s</w:t>
      </w:r>
      <w:r w:rsidR="00A4712D" w:rsidRPr="007D7FD9">
        <w:rPr>
          <w:color w:val="000000" w:themeColor="text1"/>
          <w:lang w:val="pt-BR"/>
        </w:rPr>
        <w:t xml:space="preserve"> is not contiguous</w:t>
      </w:r>
      <w:r>
        <w:rPr>
          <w:color w:val="000000" w:themeColor="text1"/>
          <w:lang w:val="pt-BR"/>
        </w:rPr>
        <w:t xml:space="preserve"> in frequency</w:t>
      </w:r>
      <w:r w:rsidR="00A4712D" w:rsidRPr="007D7FD9">
        <w:rPr>
          <w:color w:val="000000" w:themeColor="text1"/>
          <w:lang w:val="pt-BR"/>
        </w:rPr>
        <w:t>. It</w:t>
      </w:r>
      <w:r>
        <w:rPr>
          <w:color w:val="000000" w:themeColor="text1"/>
          <w:lang w:val="pt-BR"/>
        </w:rPr>
        <w:t>’s more</w:t>
      </w:r>
      <w:r w:rsidR="00A4712D" w:rsidRPr="007D7FD9">
        <w:rPr>
          <w:color w:val="000000" w:themeColor="text1"/>
          <w:lang w:val="pt-BR"/>
        </w:rPr>
        <w:t xml:space="preserve"> like the RE-based </w:t>
      </w:r>
      <w:r>
        <w:rPr>
          <w:color w:val="000000" w:themeColor="text1"/>
          <w:lang w:val="pt-BR"/>
        </w:rPr>
        <w:t xml:space="preserve">interlace structure, which </w:t>
      </w:r>
      <w:r w:rsidR="00A4712D" w:rsidRPr="007D7FD9">
        <w:rPr>
          <w:color w:val="000000" w:themeColor="text1"/>
          <w:lang w:val="pt-BR"/>
        </w:rPr>
        <w:t xml:space="preserve">leads to </w:t>
      </w:r>
      <w:r>
        <w:rPr>
          <w:color w:val="000000" w:themeColor="text1"/>
          <w:lang w:val="pt-BR"/>
        </w:rPr>
        <w:t>worse</w:t>
      </w:r>
      <w:r w:rsidR="00A4712D" w:rsidRPr="007D7FD9">
        <w:rPr>
          <w:color w:val="000000" w:themeColor="text1"/>
          <w:lang w:val="pt-BR"/>
        </w:rPr>
        <w:t xml:space="preserve"> detection performance.</w:t>
      </w:r>
    </w:p>
    <w:p w14:paraId="37CD01E0" w14:textId="6B2596E1" w:rsidR="00B711A4" w:rsidRPr="001F11C7" w:rsidRDefault="00B711A4" w:rsidP="001F11C7">
      <w:pPr>
        <w:numPr>
          <w:ilvl w:val="0"/>
          <w:numId w:val="25"/>
        </w:numPr>
        <w:tabs>
          <w:tab w:val="num" w:pos="2160"/>
        </w:tabs>
        <w:jc w:val="both"/>
        <w:rPr>
          <w:color w:val="000000" w:themeColor="text1"/>
        </w:rPr>
      </w:pPr>
      <w:r>
        <w:rPr>
          <w:color w:val="000000" w:themeColor="text1"/>
        </w:rPr>
        <w:t xml:space="preserve">The PDCCH DMRS is hard to carry the </w:t>
      </w:r>
      <w:r w:rsidR="00750F7A">
        <w:rPr>
          <w:color w:val="000000" w:themeColor="text1"/>
        </w:rPr>
        <w:t xml:space="preserve">assisting information (e.g., COT structure), which can be utilized by the UE. </w:t>
      </w:r>
      <w:r w:rsidRPr="001F11C7">
        <w:rPr>
          <w:color w:val="000000" w:themeColor="text1"/>
        </w:rPr>
        <w:t>As discussed in</w:t>
      </w:r>
      <w:r w:rsidR="004F317C">
        <w:rPr>
          <w:color w:val="000000" w:themeColor="text1"/>
        </w:rPr>
        <w:t xml:space="preserve"> </w:t>
      </w:r>
      <w:r w:rsidR="004F317C">
        <w:rPr>
          <w:color w:val="000000" w:themeColor="text1"/>
        </w:rPr>
        <w:fldChar w:fldCharType="begin"/>
      </w:r>
      <w:r w:rsidR="004F317C">
        <w:rPr>
          <w:color w:val="000000" w:themeColor="text1"/>
        </w:rPr>
        <w:instrText xml:space="preserve"> REF _Ref525911860 \r \h </w:instrText>
      </w:r>
      <w:r w:rsidR="004F317C">
        <w:rPr>
          <w:color w:val="000000" w:themeColor="text1"/>
        </w:rPr>
      </w:r>
      <w:r w:rsidR="004F317C">
        <w:rPr>
          <w:color w:val="000000" w:themeColor="text1"/>
        </w:rPr>
        <w:fldChar w:fldCharType="separate"/>
      </w:r>
      <w:r w:rsidR="00983CF4">
        <w:rPr>
          <w:color w:val="000000" w:themeColor="text1"/>
        </w:rPr>
        <w:t>[5]</w:t>
      </w:r>
      <w:r w:rsidR="004F317C">
        <w:rPr>
          <w:color w:val="000000" w:themeColor="text1"/>
        </w:rPr>
        <w:fldChar w:fldCharType="end"/>
      </w:r>
      <w:r w:rsidRPr="001F11C7">
        <w:rPr>
          <w:color w:val="000000" w:themeColor="text1"/>
        </w:rPr>
        <w:t xml:space="preserve">, </w:t>
      </w:r>
      <w:r w:rsidR="00360D74">
        <w:t>i</w:t>
      </w:r>
      <w:r>
        <w:t>f the UE knows the COT structure, it could avoid monitoring slots which do not contain PDCCH (e.g., UL only slots). For UL, knowing the COT structure will allow</w:t>
      </w:r>
      <w:r w:rsidR="00172F57">
        <w:t xml:space="preserve"> the UE to prepare for </w:t>
      </w:r>
      <w:r>
        <w:t xml:space="preserve">UL transmissions within the COT. </w:t>
      </w:r>
    </w:p>
    <w:p w14:paraId="66E176B8" w14:textId="209B6C99" w:rsidR="00B711A4" w:rsidRDefault="00B711A4" w:rsidP="001F11C7">
      <w:pPr>
        <w:tabs>
          <w:tab w:val="num" w:pos="2160"/>
        </w:tabs>
        <w:jc w:val="both"/>
        <w:rPr>
          <w:b/>
          <w:color w:val="000000" w:themeColor="text1"/>
        </w:rPr>
      </w:pPr>
      <w:r w:rsidRPr="001F11C7">
        <w:rPr>
          <w:b/>
        </w:rPr>
        <w:t xml:space="preserve">Observation </w:t>
      </w:r>
      <w:r w:rsidR="00783F9C">
        <w:rPr>
          <w:b/>
        </w:rPr>
        <w:t>8</w:t>
      </w:r>
      <w:r w:rsidRPr="001F11C7">
        <w:rPr>
          <w:b/>
        </w:rPr>
        <w:t xml:space="preserve">: </w:t>
      </w:r>
      <w:r w:rsidR="008D1BA0" w:rsidRPr="008D1BA0">
        <w:rPr>
          <w:b/>
        </w:rPr>
        <w:t xml:space="preserve">For narrow band PDCCH DMRS, there is a trade-off between the </w:t>
      </w:r>
      <w:r w:rsidR="00A44C06">
        <w:rPr>
          <w:b/>
        </w:rPr>
        <w:t xml:space="preserve">DMRS </w:t>
      </w:r>
      <w:r w:rsidR="008D1BA0" w:rsidRPr="008D1BA0">
        <w:rPr>
          <w:b/>
        </w:rPr>
        <w:t>detection</w:t>
      </w:r>
      <w:r w:rsidR="001A0C4B">
        <w:rPr>
          <w:b/>
        </w:rPr>
        <w:t xml:space="preserve"> </w:t>
      </w:r>
      <w:r w:rsidR="00A44C06">
        <w:rPr>
          <w:b/>
        </w:rPr>
        <w:t>rate</w:t>
      </w:r>
      <w:r w:rsidR="001A0C4B">
        <w:rPr>
          <w:b/>
        </w:rPr>
        <w:t xml:space="preserve"> and PDCCH blocking rate</w:t>
      </w:r>
      <w:r w:rsidR="008D1BA0" w:rsidRPr="008D1BA0">
        <w:rPr>
          <w:b/>
        </w:rPr>
        <w:t>.</w:t>
      </w:r>
    </w:p>
    <w:p w14:paraId="67AB4D26" w14:textId="61B7FA9F" w:rsidR="00E14B30" w:rsidRDefault="008D1BA0" w:rsidP="00360D74">
      <w:pPr>
        <w:tabs>
          <w:tab w:val="num" w:pos="2160"/>
        </w:tabs>
        <w:jc w:val="both"/>
        <w:rPr>
          <w:color w:val="000000" w:themeColor="text1"/>
        </w:rPr>
      </w:pPr>
      <w:r w:rsidRPr="001F11C7">
        <w:rPr>
          <w:b/>
        </w:rPr>
        <w:t xml:space="preserve">Observation </w:t>
      </w:r>
      <w:r w:rsidR="00783F9C">
        <w:rPr>
          <w:b/>
        </w:rPr>
        <w:t>9</w:t>
      </w:r>
      <w:r w:rsidRPr="008D1BA0">
        <w:rPr>
          <w:b/>
        </w:rPr>
        <w:t xml:space="preserve">: </w:t>
      </w:r>
      <w:r w:rsidRPr="00172E3C">
        <w:rPr>
          <w:b/>
          <w:color w:val="000000" w:themeColor="text1"/>
        </w:rPr>
        <w:t xml:space="preserve">For wideband PDCCH DMRS, there is a trade-off between the </w:t>
      </w:r>
      <w:r w:rsidR="00A44C06">
        <w:rPr>
          <w:b/>
          <w:color w:val="000000" w:themeColor="text1"/>
        </w:rPr>
        <w:t>DMRS detection rate</w:t>
      </w:r>
      <w:r w:rsidRPr="00172E3C">
        <w:rPr>
          <w:b/>
          <w:color w:val="000000" w:themeColor="text1"/>
        </w:rPr>
        <w:t xml:space="preserve"> and </w:t>
      </w:r>
      <w:r w:rsidR="00C9255D" w:rsidRPr="00172E3C">
        <w:rPr>
          <w:b/>
          <w:color w:val="000000" w:themeColor="text1"/>
        </w:rPr>
        <w:t>PDCCH decoding performance.</w:t>
      </w:r>
    </w:p>
    <w:p w14:paraId="2D45BCBF" w14:textId="714C642D" w:rsidR="00360D74" w:rsidRPr="00E8551E" w:rsidRDefault="00360D74" w:rsidP="001F11C7">
      <w:pPr>
        <w:tabs>
          <w:tab w:val="num" w:pos="2160"/>
        </w:tabs>
        <w:jc w:val="both"/>
        <w:rPr>
          <w:color w:val="000000" w:themeColor="text1"/>
        </w:rPr>
      </w:pPr>
      <w:r w:rsidRPr="0071614A">
        <w:rPr>
          <w:b/>
        </w:rPr>
        <w:t xml:space="preserve">Observation </w:t>
      </w:r>
      <w:r w:rsidR="00783F9C">
        <w:rPr>
          <w:b/>
        </w:rPr>
        <w:t>10</w:t>
      </w:r>
      <w:r w:rsidRPr="0071614A">
        <w:rPr>
          <w:b/>
        </w:rPr>
        <w:t xml:space="preserve">: </w:t>
      </w:r>
      <w:r>
        <w:rPr>
          <w:b/>
        </w:rPr>
        <w:t xml:space="preserve">PDCCH DMRS </w:t>
      </w:r>
      <w:r w:rsidRPr="00360D74">
        <w:rPr>
          <w:b/>
        </w:rPr>
        <w:t xml:space="preserve">is </w:t>
      </w:r>
      <w:r w:rsidR="00A44C06">
        <w:rPr>
          <w:b/>
        </w:rPr>
        <w:t xml:space="preserve">not suitable </w:t>
      </w:r>
      <w:r w:rsidRPr="00360D74">
        <w:rPr>
          <w:b/>
        </w:rPr>
        <w:t xml:space="preserve">to carry the </w:t>
      </w:r>
      <w:r w:rsidR="00A44C06">
        <w:rPr>
          <w:b/>
        </w:rPr>
        <w:t xml:space="preserve">information of </w:t>
      </w:r>
      <w:r w:rsidRPr="00360D74">
        <w:rPr>
          <w:b/>
        </w:rPr>
        <w:t>COT structure</w:t>
      </w:r>
      <w:r w:rsidR="00AD4484">
        <w:rPr>
          <w:b/>
        </w:rPr>
        <w:t>.</w:t>
      </w:r>
    </w:p>
    <w:p w14:paraId="698ECB75" w14:textId="60E9BF5B" w:rsidR="00644AE4" w:rsidRDefault="00603D89" w:rsidP="001F11C7">
      <w:pPr>
        <w:tabs>
          <w:tab w:val="num" w:pos="2160"/>
        </w:tabs>
        <w:jc w:val="both"/>
        <w:rPr>
          <w:color w:val="000000" w:themeColor="text1"/>
        </w:rPr>
      </w:pPr>
      <w:r w:rsidRPr="0022536F">
        <w:rPr>
          <w:color w:val="000000" w:themeColor="text1"/>
        </w:rPr>
        <w:t xml:space="preserve">If both narrow band and wideband PDCCH DMRS </w:t>
      </w:r>
      <w:r w:rsidR="00FB774E" w:rsidRPr="0022536F">
        <w:rPr>
          <w:color w:val="000000" w:themeColor="text1"/>
        </w:rPr>
        <w:t>are supporte</w:t>
      </w:r>
      <w:r w:rsidRPr="0022536F">
        <w:rPr>
          <w:color w:val="000000" w:themeColor="text1"/>
        </w:rPr>
        <w:t>d in NR</w:t>
      </w:r>
      <w:r w:rsidR="00FB774E" w:rsidRPr="0022536F">
        <w:rPr>
          <w:color w:val="000000" w:themeColor="text1"/>
        </w:rPr>
        <w:t>-U</w:t>
      </w:r>
      <w:r w:rsidRPr="0022536F">
        <w:rPr>
          <w:color w:val="000000" w:themeColor="text1"/>
        </w:rPr>
        <w:t xml:space="preserve">, determining the location of the CORESET by PDCCH DMRS </w:t>
      </w:r>
      <w:r w:rsidR="00D13DFD">
        <w:rPr>
          <w:color w:val="000000" w:themeColor="text1"/>
        </w:rPr>
        <w:t>seems</w:t>
      </w:r>
      <w:r w:rsidRPr="0022536F">
        <w:rPr>
          <w:color w:val="000000" w:themeColor="text1"/>
        </w:rPr>
        <w:t xml:space="preserve"> not</w:t>
      </w:r>
      <w:r w:rsidR="00D13DFD">
        <w:rPr>
          <w:color w:val="000000" w:themeColor="text1"/>
        </w:rPr>
        <w:t xml:space="preserve"> to be</w:t>
      </w:r>
      <w:r w:rsidRPr="0022536F">
        <w:rPr>
          <w:color w:val="000000" w:themeColor="text1"/>
        </w:rPr>
        <w:t xml:space="preserve"> </w:t>
      </w:r>
      <w:r w:rsidR="005A0C77">
        <w:rPr>
          <w:color w:val="000000" w:themeColor="text1"/>
        </w:rPr>
        <w:t>the best</w:t>
      </w:r>
      <w:r w:rsidR="001F64A9" w:rsidRPr="0022536F">
        <w:rPr>
          <w:color w:val="000000" w:themeColor="text1"/>
        </w:rPr>
        <w:t xml:space="preserve"> solution</w:t>
      </w:r>
      <w:r w:rsidRPr="0022536F">
        <w:rPr>
          <w:color w:val="000000" w:themeColor="text1"/>
        </w:rPr>
        <w:t xml:space="preserve">. </w:t>
      </w:r>
      <w:r w:rsidR="00DC2783" w:rsidRPr="0022536F">
        <w:rPr>
          <w:color w:val="000000" w:themeColor="text1"/>
        </w:rPr>
        <w:t>Another</w:t>
      </w:r>
      <w:r w:rsidR="00644AE4" w:rsidRPr="0022536F">
        <w:rPr>
          <w:color w:val="000000" w:themeColor="text1"/>
        </w:rPr>
        <w:t xml:space="preserve"> solution is to use </w:t>
      </w:r>
      <w:r w:rsidR="007E7263" w:rsidRPr="0022536F">
        <w:rPr>
          <w:color w:val="000000" w:themeColor="text1"/>
        </w:rPr>
        <w:t xml:space="preserve">the </w:t>
      </w:r>
      <w:r w:rsidR="00644AE4" w:rsidRPr="0022536F">
        <w:rPr>
          <w:color w:val="000000" w:themeColor="text1"/>
        </w:rPr>
        <w:t>preamble to inform UE the location of the CORESET for the TXOP</w:t>
      </w:r>
      <w:r w:rsidR="00DC2783" w:rsidRPr="0022536F">
        <w:rPr>
          <w:color w:val="000000" w:themeColor="text1"/>
        </w:rPr>
        <w:t>,</w:t>
      </w:r>
      <w:r w:rsidR="00015A01" w:rsidRPr="0022536F">
        <w:rPr>
          <w:color w:val="000000" w:themeColor="text1"/>
        </w:rPr>
        <w:t xml:space="preserve"> wherein</w:t>
      </w:r>
      <w:r w:rsidR="00DC2783" w:rsidRPr="0022536F">
        <w:rPr>
          <w:color w:val="000000" w:themeColor="text1"/>
        </w:rPr>
        <w:t xml:space="preserve"> the preamble can be designed to have a more robust detection performance.</w:t>
      </w:r>
    </w:p>
    <w:p w14:paraId="3BA263ED" w14:textId="620997DB" w:rsidR="0093570B" w:rsidRDefault="0093570B" w:rsidP="0093570B">
      <w:pPr>
        <w:jc w:val="both"/>
        <w:rPr>
          <w:b/>
        </w:rPr>
      </w:pPr>
      <w:r>
        <w:rPr>
          <w:rFonts w:eastAsia="SimSun"/>
          <w:b/>
          <w:color w:val="000000" w:themeColor="text1"/>
          <w:lang w:eastAsia="zh-CN"/>
        </w:rPr>
        <w:t xml:space="preserve">Proposal </w:t>
      </w:r>
      <w:r w:rsidR="00783F9C">
        <w:rPr>
          <w:rFonts w:eastAsia="SimSun"/>
          <w:b/>
          <w:color w:val="000000" w:themeColor="text1"/>
          <w:lang w:eastAsia="zh-CN"/>
        </w:rPr>
        <w:t>6</w:t>
      </w:r>
      <w:r w:rsidRPr="00715548">
        <w:rPr>
          <w:rFonts w:eastAsia="SimSun"/>
          <w:b/>
          <w:color w:val="000000" w:themeColor="text1"/>
          <w:lang w:eastAsia="zh-CN"/>
        </w:rPr>
        <w:t>:</w:t>
      </w:r>
      <w:r>
        <w:rPr>
          <w:rFonts w:eastAsia="SimSun"/>
          <w:b/>
          <w:color w:val="000000" w:themeColor="text1"/>
          <w:lang w:eastAsia="zh-CN"/>
        </w:rPr>
        <w:t xml:space="preserve"> </w:t>
      </w:r>
      <w:r w:rsidR="00477D1E">
        <w:rPr>
          <w:rFonts w:eastAsia="SimSun"/>
          <w:b/>
          <w:color w:val="000000" w:themeColor="text1"/>
          <w:lang w:eastAsia="zh-CN"/>
        </w:rPr>
        <w:t>For the single wideband operation, t</w:t>
      </w:r>
      <w:r w:rsidRPr="00F67C88">
        <w:rPr>
          <w:b/>
        </w:rPr>
        <w:t xml:space="preserve">he frequency-domain location of the CORESET should be </w:t>
      </w:r>
      <w:r>
        <w:rPr>
          <w:b/>
        </w:rPr>
        <w:t>adjusted</w:t>
      </w:r>
      <w:r w:rsidRPr="00F67C88">
        <w:rPr>
          <w:b/>
        </w:rPr>
        <w:t xml:space="preserve"> according to </w:t>
      </w:r>
      <w:r>
        <w:rPr>
          <w:b/>
        </w:rPr>
        <w:t>the</w:t>
      </w:r>
      <w:r w:rsidRPr="00F67C88">
        <w:rPr>
          <w:b/>
        </w:rPr>
        <w:t xml:space="preserve"> results of LBT.</w:t>
      </w:r>
    </w:p>
    <w:p w14:paraId="7A05342E" w14:textId="541808EC" w:rsidR="00477D1E" w:rsidRPr="00477D1E" w:rsidRDefault="00477D1E" w:rsidP="00477D1E">
      <w:pPr>
        <w:rPr>
          <w:rFonts w:eastAsia="SimSun"/>
          <w:b/>
        </w:rPr>
      </w:pPr>
      <w:r w:rsidRPr="00477D1E">
        <w:rPr>
          <w:rFonts w:eastAsia="SimSun"/>
          <w:b/>
          <w:color w:val="000000" w:themeColor="text1"/>
          <w:lang w:eastAsia="zh-CN"/>
        </w:rPr>
        <w:t xml:space="preserve">Proposal </w:t>
      </w:r>
      <w:r>
        <w:rPr>
          <w:rFonts w:eastAsia="SimSun"/>
          <w:b/>
          <w:color w:val="000000" w:themeColor="text1"/>
          <w:lang w:eastAsia="zh-CN"/>
        </w:rPr>
        <w:t>7</w:t>
      </w:r>
      <w:r w:rsidRPr="00477D1E">
        <w:rPr>
          <w:rFonts w:eastAsia="SimSun"/>
          <w:b/>
          <w:color w:val="000000" w:themeColor="text1"/>
          <w:lang w:eastAsia="zh-CN"/>
        </w:rPr>
        <w:t xml:space="preserve">: </w:t>
      </w:r>
      <w:r w:rsidRPr="00477D1E">
        <w:rPr>
          <w:b/>
        </w:rPr>
        <w:t>Preamble can be used to indicate the location of the CORESET.</w:t>
      </w:r>
    </w:p>
    <w:p w14:paraId="262036C6" w14:textId="5A933F7B" w:rsidR="00644AE4" w:rsidRPr="00CB3850" w:rsidRDefault="00F850B3" w:rsidP="00644AE4">
      <w:pPr>
        <w:jc w:val="both"/>
        <w:rPr>
          <w:color w:val="000000" w:themeColor="text1"/>
        </w:rPr>
      </w:pPr>
      <w:r>
        <w:object w:dxaOrig="13238" w:dyaOrig="5590" w14:anchorId="33304AB7">
          <v:shape id="_x0000_i1026" type="#_x0000_t75" style="width:501.2pt;height:211.8pt" o:ole="">
            <v:imagedata r:id="rId19" o:title=""/>
          </v:shape>
          <o:OLEObject Type="Embed" ProgID="Visio.Drawing.11" ShapeID="_x0000_i1026" DrawAspect="Content" ObjectID="_1602669962" r:id="rId20"/>
        </w:object>
      </w:r>
    </w:p>
    <w:p w14:paraId="3CE219A7" w14:textId="77777777" w:rsidR="00644AE4" w:rsidRPr="002834FF" w:rsidRDefault="00644AE4" w:rsidP="00644AE4">
      <w:pPr>
        <w:pStyle w:val="Caption"/>
        <w:jc w:val="center"/>
      </w:pPr>
      <w:bookmarkStart w:id="12" w:name="_Ref521419211"/>
      <w:r w:rsidRPr="002834FF">
        <w:t xml:space="preserve">Figure </w:t>
      </w:r>
      <w:r w:rsidR="00C96A29">
        <w:rPr>
          <w:noProof/>
        </w:rPr>
        <w:fldChar w:fldCharType="begin"/>
      </w:r>
      <w:r w:rsidR="00C96A29">
        <w:rPr>
          <w:noProof/>
        </w:rPr>
        <w:instrText xml:space="preserve"> SEQ Figure \* ARABIC </w:instrText>
      </w:r>
      <w:r w:rsidR="00C96A29">
        <w:rPr>
          <w:noProof/>
        </w:rPr>
        <w:fldChar w:fldCharType="separate"/>
      </w:r>
      <w:r w:rsidR="00C96A29">
        <w:rPr>
          <w:noProof/>
        </w:rPr>
        <w:t>8</w:t>
      </w:r>
      <w:r w:rsidR="00C96A29">
        <w:rPr>
          <w:noProof/>
        </w:rPr>
        <w:fldChar w:fldCharType="end"/>
      </w:r>
      <w:bookmarkEnd w:id="12"/>
      <w:r w:rsidRPr="002834FF">
        <w:t>: CORESET adaption with the results of LBT</w:t>
      </w:r>
    </w:p>
    <w:p w14:paraId="784959EF" w14:textId="77777777" w:rsidR="00C91077" w:rsidRDefault="00C91077" w:rsidP="00AA46A3">
      <w:pPr>
        <w:pStyle w:val="Heading1"/>
        <w:numPr>
          <w:ilvl w:val="0"/>
          <w:numId w:val="5"/>
        </w:numPr>
        <w:spacing w:after="120"/>
        <w:ind w:right="288"/>
      </w:pPr>
      <w:r>
        <w:t>Conclusion</w:t>
      </w:r>
    </w:p>
    <w:p w14:paraId="5B2B59F0" w14:textId="20191089" w:rsidR="002D5249" w:rsidRPr="00E07B6E" w:rsidRDefault="00607302" w:rsidP="004D0F00">
      <w:r>
        <w:t xml:space="preserve">In summary, we </w:t>
      </w:r>
      <w:r w:rsidR="006D0FDF">
        <w:t>have the following observations:</w:t>
      </w:r>
    </w:p>
    <w:p w14:paraId="73D742FB" w14:textId="77777777" w:rsidR="003A2ADF" w:rsidRDefault="003A2ADF" w:rsidP="003A2ADF">
      <w:pPr>
        <w:rPr>
          <w:rFonts w:eastAsia="SimSun"/>
          <w:b/>
          <w:lang w:eastAsia="zh-CN"/>
        </w:rPr>
      </w:pPr>
      <w:r>
        <w:rPr>
          <w:rFonts w:eastAsia="SimSun"/>
          <w:b/>
          <w:lang w:eastAsia="zh-CN"/>
        </w:rPr>
        <w:t>Observation 1: With Type-A and Type-B mapping supported in NR-U, DL and UL transmissions could start at almost any symbol position within a slot.</w:t>
      </w:r>
    </w:p>
    <w:p w14:paraId="64D8043B" w14:textId="6360E695" w:rsidR="00783F9C" w:rsidRPr="003B7E0B" w:rsidRDefault="00783F9C" w:rsidP="00783F9C">
      <w:r>
        <w:rPr>
          <w:rFonts w:eastAsia="SimSun"/>
          <w:b/>
          <w:lang w:eastAsia="zh-CN"/>
        </w:rPr>
        <w:lastRenderedPageBreak/>
        <w:t xml:space="preserve">Observation 2: </w:t>
      </w:r>
      <w:r w:rsidR="00B002DB">
        <w:rPr>
          <w:rFonts w:eastAsia="SimSun"/>
          <w:b/>
          <w:lang w:eastAsia="zh-CN"/>
        </w:rPr>
        <w:t>Type-A and Type-B slot lengths together are insufficient to cover every possible partial slot length immediately following a successful LBT. 1-, 3- or 5-</w:t>
      </w:r>
      <w:r w:rsidR="00B002DB" w:rsidRPr="00501509">
        <w:rPr>
          <w:rFonts w:eastAsia="SimSun"/>
          <w:b/>
          <w:lang w:eastAsia="zh-CN"/>
        </w:rPr>
        <w:t>symbol partial slot</w:t>
      </w:r>
      <w:r w:rsidR="00B002DB">
        <w:rPr>
          <w:rFonts w:eastAsia="SimSun"/>
          <w:b/>
          <w:lang w:eastAsia="zh-CN"/>
        </w:rPr>
        <w:t>s</w:t>
      </w:r>
      <w:r w:rsidR="00B002DB" w:rsidRPr="00501509">
        <w:rPr>
          <w:rFonts w:eastAsia="SimSun"/>
          <w:b/>
          <w:lang w:eastAsia="zh-CN"/>
        </w:rPr>
        <w:t xml:space="preserve"> will still need a 1-symbol reservation signal.</w:t>
      </w:r>
    </w:p>
    <w:p w14:paraId="0DFDE1E8" w14:textId="77777777" w:rsidR="00B002DB" w:rsidRDefault="00B002DB" w:rsidP="00B002DB">
      <w:pPr>
        <w:rPr>
          <w:rFonts w:eastAsia="SimSun"/>
          <w:b/>
          <w:lang w:eastAsia="zh-CN"/>
        </w:rPr>
      </w:pPr>
      <w:r>
        <w:rPr>
          <w:rFonts w:eastAsia="SimSun"/>
          <w:b/>
          <w:lang w:eastAsia="zh-CN"/>
        </w:rPr>
        <w:t>Observation 3: NR rate-matching, slot aggregation and full slot first all help alleviate the concerns with Option 1, Option 2 and Option 3.</w:t>
      </w:r>
    </w:p>
    <w:p w14:paraId="291D14ED" w14:textId="5FD03607" w:rsidR="00783F9C" w:rsidRDefault="00B002DB" w:rsidP="00B002DB">
      <w:pPr>
        <w:rPr>
          <w:rFonts w:eastAsia="SimSun"/>
          <w:b/>
          <w:lang w:eastAsia="zh-CN"/>
        </w:rPr>
      </w:pPr>
      <w:r>
        <w:rPr>
          <w:rFonts w:eastAsia="SimSun"/>
          <w:b/>
          <w:lang w:eastAsia="zh-CN"/>
        </w:rPr>
        <w:t>Observation 4: For the partial slot located at the beginning of a COT, it may be beneficial to consider slot aggregation (partial slot + the next full slot) when the number of symbols within this partial slot is relatively small.</w:t>
      </w:r>
    </w:p>
    <w:p w14:paraId="2949F63C" w14:textId="77777777" w:rsidR="00783F9C" w:rsidRDefault="00783F9C" w:rsidP="00783F9C">
      <w:pPr>
        <w:rPr>
          <w:rFonts w:eastAsia="SimSun"/>
          <w:b/>
          <w:lang w:eastAsia="zh-CN"/>
        </w:rPr>
      </w:pPr>
      <w:r>
        <w:rPr>
          <w:rFonts w:eastAsia="SimSun"/>
          <w:b/>
          <w:lang w:eastAsia="zh-CN"/>
        </w:rPr>
        <w:t>Observation 5: Larger SCS enjoys less overhead for both DL and UL transmission.</w:t>
      </w:r>
    </w:p>
    <w:p w14:paraId="157817F8" w14:textId="77777777" w:rsidR="00783F9C" w:rsidRDefault="00783F9C" w:rsidP="00783F9C">
      <w:pPr>
        <w:rPr>
          <w:rFonts w:eastAsia="SimSun"/>
          <w:b/>
          <w:lang w:eastAsia="zh-CN"/>
        </w:rPr>
      </w:pPr>
      <w:r>
        <w:rPr>
          <w:rFonts w:eastAsia="SimSun"/>
          <w:b/>
          <w:lang w:eastAsia="zh-CN"/>
        </w:rPr>
        <w:t>Observation 6: Reservation signal may still be needed for SCS of 15KHz and 30KHz.</w:t>
      </w:r>
    </w:p>
    <w:p w14:paraId="1371170B" w14:textId="44899C2D" w:rsidR="00783F9C" w:rsidRPr="00783F9C" w:rsidRDefault="00783F9C" w:rsidP="00783F9C">
      <w:pPr>
        <w:jc w:val="both"/>
        <w:rPr>
          <w:color w:val="000000" w:themeColor="text1"/>
        </w:rPr>
      </w:pPr>
      <w:r w:rsidRPr="001F11C7">
        <w:rPr>
          <w:b/>
        </w:rPr>
        <w:t xml:space="preserve">Observation </w:t>
      </w:r>
      <w:r>
        <w:rPr>
          <w:b/>
        </w:rPr>
        <w:t>7</w:t>
      </w:r>
      <w:r w:rsidRPr="001F11C7">
        <w:rPr>
          <w:b/>
        </w:rPr>
        <w:t xml:space="preserve">: </w:t>
      </w:r>
      <w:r>
        <w:rPr>
          <w:rFonts w:eastAsia="SimSun"/>
          <w:b/>
          <w:color w:val="000000" w:themeColor="text1"/>
          <w:lang w:eastAsia="zh-CN"/>
        </w:rPr>
        <w:t>NR-U should consider</w:t>
      </w:r>
      <w:r w:rsidRPr="00715548">
        <w:rPr>
          <w:rFonts w:eastAsia="SimSun"/>
          <w:b/>
          <w:color w:val="000000" w:themeColor="text1"/>
          <w:lang w:eastAsia="zh-CN"/>
        </w:rPr>
        <w:t xml:space="preserve"> </w:t>
      </w:r>
      <w:r>
        <w:rPr>
          <w:rFonts w:eastAsia="SimSun"/>
          <w:b/>
          <w:color w:val="000000" w:themeColor="text1"/>
          <w:lang w:eastAsia="zh-CN"/>
        </w:rPr>
        <w:t>the CORESET design for the single wideband channel.</w:t>
      </w:r>
    </w:p>
    <w:p w14:paraId="71778F15" w14:textId="77777777" w:rsidR="00BC112E" w:rsidRDefault="00BC112E" w:rsidP="00BC112E">
      <w:pPr>
        <w:tabs>
          <w:tab w:val="num" w:pos="2160"/>
        </w:tabs>
        <w:jc w:val="both"/>
        <w:rPr>
          <w:b/>
          <w:color w:val="000000" w:themeColor="text1"/>
        </w:rPr>
      </w:pPr>
      <w:r w:rsidRPr="001F11C7">
        <w:rPr>
          <w:b/>
        </w:rPr>
        <w:t xml:space="preserve">Observation </w:t>
      </w:r>
      <w:r>
        <w:rPr>
          <w:b/>
        </w:rPr>
        <w:t>8</w:t>
      </w:r>
      <w:r w:rsidRPr="001F11C7">
        <w:rPr>
          <w:b/>
        </w:rPr>
        <w:t xml:space="preserve">: </w:t>
      </w:r>
      <w:r w:rsidRPr="008D1BA0">
        <w:rPr>
          <w:b/>
        </w:rPr>
        <w:t xml:space="preserve">For narrow band PDCCH DMRS, there is a trade-off between the </w:t>
      </w:r>
      <w:r>
        <w:rPr>
          <w:b/>
        </w:rPr>
        <w:t xml:space="preserve">DMRS </w:t>
      </w:r>
      <w:r w:rsidRPr="008D1BA0">
        <w:rPr>
          <w:b/>
        </w:rPr>
        <w:t>detection</w:t>
      </w:r>
      <w:r>
        <w:rPr>
          <w:b/>
        </w:rPr>
        <w:t xml:space="preserve"> rate and PDCCH blocking rate</w:t>
      </w:r>
      <w:r w:rsidRPr="008D1BA0">
        <w:rPr>
          <w:b/>
        </w:rPr>
        <w:t>.</w:t>
      </w:r>
    </w:p>
    <w:p w14:paraId="12B908CD" w14:textId="77777777" w:rsidR="00BC112E" w:rsidRDefault="00BC112E" w:rsidP="00BC112E">
      <w:pPr>
        <w:tabs>
          <w:tab w:val="num" w:pos="2160"/>
        </w:tabs>
        <w:jc w:val="both"/>
        <w:rPr>
          <w:color w:val="000000" w:themeColor="text1"/>
        </w:rPr>
      </w:pPr>
      <w:r w:rsidRPr="001F11C7">
        <w:rPr>
          <w:b/>
        </w:rPr>
        <w:t xml:space="preserve">Observation </w:t>
      </w:r>
      <w:r>
        <w:rPr>
          <w:b/>
        </w:rPr>
        <w:t>9</w:t>
      </w:r>
      <w:r w:rsidRPr="008D1BA0">
        <w:rPr>
          <w:b/>
        </w:rPr>
        <w:t xml:space="preserve">: </w:t>
      </w:r>
      <w:r w:rsidRPr="00172E3C">
        <w:rPr>
          <w:b/>
          <w:color w:val="000000" w:themeColor="text1"/>
        </w:rPr>
        <w:t xml:space="preserve">For wideband PDCCH DMRS, there is a trade-off between the </w:t>
      </w:r>
      <w:r>
        <w:rPr>
          <w:b/>
          <w:color w:val="000000" w:themeColor="text1"/>
        </w:rPr>
        <w:t>DMRS detection rate</w:t>
      </w:r>
      <w:r w:rsidRPr="00172E3C">
        <w:rPr>
          <w:b/>
          <w:color w:val="000000" w:themeColor="text1"/>
        </w:rPr>
        <w:t xml:space="preserve"> and PDCCH decoding performance.</w:t>
      </w:r>
    </w:p>
    <w:p w14:paraId="24317CA3" w14:textId="6496B549" w:rsidR="003A2ADF" w:rsidRDefault="00BC112E" w:rsidP="00960140">
      <w:pPr>
        <w:tabs>
          <w:tab w:val="num" w:pos="2160"/>
        </w:tabs>
        <w:jc w:val="both"/>
        <w:rPr>
          <w:color w:val="000000" w:themeColor="text1"/>
        </w:rPr>
      </w:pPr>
      <w:r w:rsidRPr="0071614A">
        <w:rPr>
          <w:b/>
        </w:rPr>
        <w:t xml:space="preserve">Observation </w:t>
      </w:r>
      <w:r>
        <w:rPr>
          <w:b/>
        </w:rPr>
        <w:t>10</w:t>
      </w:r>
      <w:r w:rsidRPr="0071614A">
        <w:rPr>
          <w:b/>
        </w:rPr>
        <w:t xml:space="preserve">: </w:t>
      </w:r>
      <w:r>
        <w:rPr>
          <w:b/>
        </w:rPr>
        <w:t xml:space="preserve">PDCCH DMRS </w:t>
      </w:r>
      <w:r w:rsidRPr="00360D74">
        <w:rPr>
          <w:b/>
        </w:rPr>
        <w:t xml:space="preserve">is </w:t>
      </w:r>
      <w:r>
        <w:rPr>
          <w:b/>
        </w:rPr>
        <w:t xml:space="preserve">not suitable </w:t>
      </w:r>
      <w:r w:rsidRPr="00360D74">
        <w:rPr>
          <w:b/>
        </w:rPr>
        <w:t xml:space="preserve">to carry the </w:t>
      </w:r>
      <w:r>
        <w:rPr>
          <w:b/>
        </w:rPr>
        <w:t xml:space="preserve">information of </w:t>
      </w:r>
      <w:r w:rsidRPr="00360D74">
        <w:rPr>
          <w:b/>
        </w:rPr>
        <w:t>COT structure</w:t>
      </w:r>
      <w:r>
        <w:rPr>
          <w:b/>
        </w:rPr>
        <w:t>.</w:t>
      </w:r>
    </w:p>
    <w:p w14:paraId="784959F4" w14:textId="77777777" w:rsidR="00592106" w:rsidRDefault="00592106" w:rsidP="00C11634">
      <w:pPr>
        <w:rPr>
          <w:rFonts w:eastAsia="SimSun"/>
          <w:lang w:eastAsia="zh-CN"/>
        </w:rPr>
      </w:pPr>
      <w:r>
        <w:rPr>
          <w:rFonts w:eastAsia="SimSun"/>
          <w:lang w:eastAsia="zh-CN"/>
        </w:rPr>
        <w:t>Based on these observations, we propose that</w:t>
      </w:r>
    </w:p>
    <w:p w14:paraId="337DB4A1" w14:textId="77777777" w:rsidR="00B002DB" w:rsidRPr="001876C9" w:rsidRDefault="00B002DB" w:rsidP="00B002DB">
      <w:r>
        <w:rPr>
          <w:rFonts w:eastAsia="SimSun"/>
          <w:b/>
          <w:lang w:eastAsia="zh-CN"/>
        </w:rPr>
        <w:t>Proposal 1</w:t>
      </w:r>
      <w:r w:rsidRPr="00B82644">
        <w:rPr>
          <w:rFonts w:eastAsia="SimSun"/>
          <w:b/>
          <w:lang w:eastAsia="zh-CN"/>
        </w:rPr>
        <w:t>:</w:t>
      </w:r>
      <w:r>
        <w:rPr>
          <w:rFonts w:eastAsia="SimSun"/>
          <w:b/>
          <w:lang w:eastAsia="zh-CN"/>
        </w:rPr>
        <w:t xml:space="preserve"> For the partial slot located at the beginning of a COT, NR-U should support any length partial slot allocation to a mini-slot for flexible TB to slot mapping using techniques such as NR rate matching and slot aggregation.</w:t>
      </w:r>
    </w:p>
    <w:p w14:paraId="78874539" w14:textId="77777777" w:rsidR="00B002DB" w:rsidRPr="001876C9" w:rsidRDefault="00B002DB" w:rsidP="00B002DB">
      <w:r>
        <w:rPr>
          <w:rFonts w:eastAsia="SimSun"/>
          <w:b/>
          <w:lang w:eastAsia="zh-CN"/>
        </w:rPr>
        <w:t>Proposal 2</w:t>
      </w:r>
      <w:r w:rsidRPr="00B82644">
        <w:rPr>
          <w:rFonts w:eastAsia="SimSun"/>
          <w:b/>
          <w:lang w:eastAsia="zh-CN"/>
        </w:rPr>
        <w:t>:</w:t>
      </w:r>
      <w:r>
        <w:rPr>
          <w:rFonts w:eastAsia="SimSun"/>
          <w:b/>
          <w:lang w:eastAsia="zh-CN"/>
        </w:rPr>
        <w:t xml:space="preserve"> To alleviate the need for any on-the-fly rebuilding of the initial transmission at the beginning of a COT after LBT success, always proceed with a full 14-symbol slot transmission first, followed by an NR rate-matched partial slot that may or may not be aggregated with the slot directly after the partial slot.</w:t>
      </w:r>
    </w:p>
    <w:p w14:paraId="700A5AAE" w14:textId="78779982" w:rsidR="00783F9C" w:rsidRPr="00AA17CF" w:rsidRDefault="00B002DB" w:rsidP="00B002DB">
      <w:pPr>
        <w:rPr>
          <w:rFonts w:eastAsia="SimSun"/>
          <w:b/>
          <w:lang w:eastAsia="zh-CN"/>
        </w:rPr>
      </w:pPr>
      <w:r>
        <w:rPr>
          <w:rFonts w:eastAsia="SimSun"/>
          <w:b/>
          <w:lang w:eastAsia="zh-CN"/>
        </w:rPr>
        <w:t xml:space="preserve"> </w:t>
      </w:r>
      <w:r w:rsidR="00783F9C">
        <w:rPr>
          <w:rFonts w:eastAsia="SimSun"/>
          <w:b/>
          <w:lang w:eastAsia="zh-CN"/>
        </w:rPr>
        <w:t>Proposal 3</w:t>
      </w:r>
      <w:r w:rsidR="00783F9C" w:rsidRPr="00B82644">
        <w:rPr>
          <w:rFonts w:eastAsia="SimSun"/>
          <w:b/>
          <w:lang w:eastAsia="zh-CN"/>
        </w:rPr>
        <w:t>:</w:t>
      </w:r>
      <w:r w:rsidR="00783F9C">
        <w:rPr>
          <w:rFonts w:eastAsia="SimSun"/>
          <w:b/>
          <w:lang w:eastAsia="zh-CN"/>
        </w:rPr>
        <w:t xml:space="preserve"> NR-U should consider SCS of 60KHz for DL and UL transmission.</w:t>
      </w:r>
    </w:p>
    <w:p w14:paraId="051E22DB" w14:textId="77777777" w:rsidR="00783F9C" w:rsidRDefault="00783F9C" w:rsidP="00783F9C">
      <w:pPr>
        <w:pStyle w:val="Caption"/>
      </w:pPr>
      <w:r w:rsidRPr="00DC5023">
        <w:t>Proposal 4: BWP-based operation should be adopted to NR-U for wideband operation.</w:t>
      </w:r>
    </w:p>
    <w:p w14:paraId="5B4C6E24" w14:textId="77777777" w:rsidR="00783F9C" w:rsidRDefault="00783F9C" w:rsidP="00783F9C">
      <w:pPr>
        <w:pStyle w:val="Caption"/>
      </w:pPr>
      <w:r w:rsidRPr="00576D73">
        <w:t xml:space="preserve">Proposal </w:t>
      </w:r>
      <w:r>
        <w:t>5</w:t>
      </w:r>
      <w:r w:rsidRPr="00576D73">
        <w:t>: Option 3</w:t>
      </w:r>
      <w:r>
        <w:t xml:space="preserve"> should be</w:t>
      </w:r>
      <w:r w:rsidRPr="00576D73">
        <w:t xml:space="preserve"> </w:t>
      </w:r>
      <w:r>
        <w:t xml:space="preserve">supported for </w:t>
      </w:r>
      <w:r w:rsidRPr="00576D73">
        <w:t xml:space="preserve">BWP-based operation within a </w:t>
      </w:r>
      <w:r>
        <w:t>wideband carrier.</w:t>
      </w:r>
    </w:p>
    <w:p w14:paraId="10851C60" w14:textId="77777777" w:rsidR="00477D1E" w:rsidRPr="00477D1E" w:rsidRDefault="00477D1E" w:rsidP="00477D1E">
      <w:pPr>
        <w:jc w:val="both"/>
        <w:rPr>
          <w:rFonts w:eastAsia="SimSun"/>
          <w:b/>
          <w:color w:val="000000" w:themeColor="text1"/>
          <w:lang w:eastAsia="zh-CN"/>
        </w:rPr>
      </w:pPr>
      <w:r w:rsidRPr="00477D1E">
        <w:rPr>
          <w:rFonts w:eastAsia="SimSun"/>
          <w:b/>
          <w:color w:val="000000" w:themeColor="text1"/>
          <w:lang w:eastAsia="zh-CN"/>
        </w:rPr>
        <w:t>Proposal 6: For the single wideband operation, the frequency-domain location of the CORESET should be adjusted according to the results of LBT.</w:t>
      </w:r>
    </w:p>
    <w:p w14:paraId="52CEF8EC" w14:textId="196119C1" w:rsidR="00477D1E" w:rsidRPr="00477D1E" w:rsidRDefault="00477D1E" w:rsidP="00477D1E">
      <w:pPr>
        <w:rPr>
          <w:rFonts w:eastAsia="SimSun"/>
          <w:b/>
        </w:rPr>
      </w:pPr>
      <w:r w:rsidRPr="00477D1E">
        <w:rPr>
          <w:rFonts w:eastAsia="SimSun"/>
          <w:b/>
          <w:color w:val="000000" w:themeColor="text1"/>
          <w:lang w:eastAsia="zh-CN"/>
        </w:rPr>
        <w:t xml:space="preserve">Proposal </w:t>
      </w:r>
      <w:r>
        <w:rPr>
          <w:rFonts w:eastAsia="SimSun"/>
          <w:b/>
          <w:color w:val="000000" w:themeColor="text1"/>
          <w:lang w:eastAsia="zh-CN"/>
        </w:rPr>
        <w:t>7</w:t>
      </w:r>
      <w:r w:rsidRPr="00477D1E">
        <w:rPr>
          <w:rFonts w:eastAsia="SimSun"/>
          <w:b/>
          <w:color w:val="000000" w:themeColor="text1"/>
          <w:lang w:eastAsia="zh-CN"/>
        </w:rPr>
        <w:t xml:space="preserve">: </w:t>
      </w:r>
      <w:r w:rsidRPr="00477D1E">
        <w:rPr>
          <w:b/>
        </w:rPr>
        <w:t>Preamble can be used to indicate the location of the CORESET.</w:t>
      </w:r>
    </w:p>
    <w:p w14:paraId="00355544" w14:textId="77777777" w:rsidR="00783F9C" w:rsidRPr="00592106" w:rsidRDefault="00783F9C" w:rsidP="00C11634">
      <w:pPr>
        <w:rPr>
          <w:rFonts w:eastAsia="SimSun"/>
          <w:lang w:eastAsia="zh-CN"/>
        </w:rPr>
      </w:pPr>
    </w:p>
    <w:p w14:paraId="784959F9" w14:textId="77777777" w:rsidR="006C0CA7" w:rsidRPr="00C91077" w:rsidRDefault="00C91077" w:rsidP="006C0CA7">
      <w:pPr>
        <w:pStyle w:val="Heading1"/>
        <w:numPr>
          <w:ilvl w:val="0"/>
          <w:numId w:val="5"/>
        </w:numPr>
        <w:spacing w:after="120"/>
        <w:ind w:right="288"/>
      </w:pPr>
      <w:r>
        <w:t>References</w:t>
      </w:r>
    </w:p>
    <w:p w14:paraId="784959FA" w14:textId="77777777" w:rsidR="006C0CA7" w:rsidRDefault="00815506" w:rsidP="005C4F36">
      <w:pPr>
        <w:numPr>
          <w:ilvl w:val="0"/>
          <w:numId w:val="10"/>
        </w:numPr>
      </w:pPr>
      <w:bookmarkStart w:id="13" w:name="_Ref494442004"/>
      <w:bookmarkStart w:id="14" w:name="_Ref498453616"/>
      <w:bookmarkStart w:id="15" w:name="_Ref481596356"/>
      <w:bookmarkStart w:id="16" w:name="_Ref481781528"/>
      <w:bookmarkStart w:id="17" w:name="_Ref481782557"/>
      <w:r w:rsidRPr="00815506">
        <w:t>RP-</w:t>
      </w:r>
      <w:r w:rsidR="005C4F36" w:rsidRPr="005C4F36">
        <w:t>170828</w:t>
      </w:r>
      <w:r w:rsidR="006C0CA7">
        <w:t>, “</w:t>
      </w:r>
      <w:r w:rsidR="005C4F36" w:rsidRPr="005C4F36">
        <w:t>Study on NR-based Access to Unlicensed Spectrum</w:t>
      </w:r>
      <w:r w:rsidR="006C0CA7">
        <w:t xml:space="preserve">,” </w:t>
      </w:r>
      <w:bookmarkEnd w:id="13"/>
      <w:r>
        <w:t>Qualcomm Inc.</w:t>
      </w:r>
      <w:bookmarkEnd w:id="14"/>
    </w:p>
    <w:p w14:paraId="43134981" w14:textId="54CC609E" w:rsidR="00AB4D40" w:rsidRPr="00E06258" w:rsidRDefault="00AB4D40" w:rsidP="00E06258">
      <w:pPr>
        <w:numPr>
          <w:ilvl w:val="0"/>
          <w:numId w:val="10"/>
        </w:numPr>
      </w:pPr>
      <w:bookmarkStart w:id="18" w:name="_Ref510782313"/>
      <w:bookmarkStart w:id="19" w:name="_Ref528834416"/>
      <w:r w:rsidRPr="00E06258">
        <w:t>3GPP RAN1</w:t>
      </w:r>
      <w:r w:rsidR="001E63F0" w:rsidRPr="00E06258">
        <w:t xml:space="preserve"> #9</w:t>
      </w:r>
      <w:r w:rsidR="00E06258" w:rsidRPr="00E06258">
        <w:t>4bis</w:t>
      </w:r>
      <w:r w:rsidR="001E63F0" w:rsidRPr="00E06258">
        <w:t xml:space="preserve">, </w:t>
      </w:r>
      <w:bookmarkEnd w:id="18"/>
      <w:r w:rsidR="00E06258">
        <w:t>“</w:t>
      </w:r>
      <w:r w:rsidR="00E06258" w:rsidRPr="00E06258">
        <w:t>Chairman’s Notes RAN1 94b</w:t>
      </w:r>
      <w:r w:rsidR="007D78CC">
        <w:t>is</w:t>
      </w:r>
      <w:r w:rsidR="00E06258" w:rsidRPr="00E06258">
        <w:t xml:space="preserve"> final”, Chengdu, China, Oct 2018.</w:t>
      </w:r>
      <w:bookmarkEnd w:id="19"/>
    </w:p>
    <w:p w14:paraId="6F9E3599" w14:textId="7ACAE551" w:rsidR="00A05538" w:rsidRDefault="00A05538" w:rsidP="005C4F36">
      <w:pPr>
        <w:numPr>
          <w:ilvl w:val="0"/>
          <w:numId w:val="10"/>
        </w:numPr>
      </w:pPr>
      <w:bookmarkStart w:id="20" w:name="_Ref513820022"/>
      <w:r w:rsidRPr="00A05538">
        <w:t>3GPP RAN1 #92b</w:t>
      </w:r>
      <w:r w:rsidR="001E1025">
        <w:t>is, “Chairman’s Notes RAN1 92b</w:t>
      </w:r>
      <w:r w:rsidR="007D78CC">
        <w:t>is</w:t>
      </w:r>
      <w:r w:rsidRPr="00A05538">
        <w:t xml:space="preserve"> final”, Sanya, China, April 2018.</w:t>
      </w:r>
      <w:bookmarkEnd w:id="20"/>
    </w:p>
    <w:p w14:paraId="362103A9" w14:textId="0B56B416" w:rsidR="00EC7EF4" w:rsidRDefault="00EC7EF4" w:rsidP="00EC7EF4">
      <w:pPr>
        <w:numPr>
          <w:ilvl w:val="0"/>
          <w:numId w:val="10"/>
        </w:numPr>
      </w:pPr>
      <w:bookmarkStart w:id="21" w:name="_Ref528832966"/>
      <w:r>
        <w:t>3GPP RAN1 #93, “Chairman’s Notes RAN1 9</w:t>
      </w:r>
      <w:r w:rsidR="00CA4598">
        <w:t>3</w:t>
      </w:r>
      <w:r w:rsidRPr="00A05538">
        <w:t xml:space="preserve"> final”, </w:t>
      </w:r>
      <w:r w:rsidRPr="00EC7EF4">
        <w:t>Busan, Korea, May 2018</w:t>
      </w:r>
      <w:r>
        <w:t>.</w:t>
      </w:r>
      <w:bookmarkEnd w:id="21"/>
    </w:p>
    <w:p w14:paraId="3830ABC5" w14:textId="6682B831" w:rsidR="00A05538" w:rsidRPr="000761F1" w:rsidRDefault="00B711A4" w:rsidP="000761F1">
      <w:pPr>
        <w:numPr>
          <w:ilvl w:val="0"/>
          <w:numId w:val="10"/>
        </w:numPr>
      </w:pPr>
      <w:bookmarkStart w:id="22" w:name="_Ref525908164"/>
      <w:bookmarkStart w:id="23" w:name="_Ref525911860"/>
      <w:bookmarkEnd w:id="15"/>
      <w:bookmarkEnd w:id="16"/>
      <w:bookmarkEnd w:id="17"/>
      <w:r w:rsidRPr="000761F1">
        <w:t>R1-181</w:t>
      </w:r>
      <w:r w:rsidR="000761F1" w:rsidRPr="000761F1">
        <w:t>2354</w:t>
      </w:r>
      <w:r w:rsidRPr="000761F1">
        <w:t>, “</w:t>
      </w:r>
      <w:r w:rsidR="000761F1" w:rsidRPr="000761F1">
        <w:t>DL Signals and Channels for NR-U operation</w:t>
      </w:r>
      <w:r w:rsidRPr="000761F1">
        <w:t>,” Mediatek Inc.</w:t>
      </w:r>
      <w:bookmarkEnd w:id="22"/>
      <w:bookmarkEnd w:id="23"/>
    </w:p>
    <w:sectPr w:rsidR="00A05538" w:rsidRPr="000761F1"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E8B4D" w14:textId="77777777" w:rsidR="0044296A" w:rsidRDefault="0044296A">
      <w:r>
        <w:separator/>
      </w:r>
    </w:p>
  </w:endnote>
  <w:endnote w:type="continuationSeparator" w:id="0">
    <w:p w14:paraId="2E3E172E" w14:textId="77777777" w:rsidR="0044296A" w:rsidRDefault="00442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D0AC6" w14:textId="77777777" w:rsidR="0044296A" w:rsidRDefault="0044296A">
      <w:r>
        <w:separator/>
      </w:r>
    </w:p>
  </w:footnote>
  <w:footnote w:type="continuationSeparator" w:id="0">
    <w:p w14:paraId="0880E708" w14:textId="77777777" w:rsidR="0044296A" w:rsidRDefault="004429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26E4E"/>
    <w:multiLevelType w:val="hybridMultilevel"/>
    <w:tmpl w:val="46BCF308"/>
    <w:lvl w:ilvl="0" w:tplc="590A3554">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15:restartNumberingAfterBreak="0">
    <w:nsid w:val="29A26C69"/>
    <w:multiLevelType w:val="hybridMultilevel"/>
    <w:tmpl w:val="79644CEA"/>
    <w:lvl w:ilvl="0" w:tplc="3CE467D0">
      <w:start w:val="1"/>
      <w:numFmt w:val="bullet"/>
      <w:lvlText w:val="•"/>
      <w:lvlJc w:val="left"/>
      <w:pPr>
        <w:tabs>
          <w:tab w:val="num" w:pos="360"/>
        </w:tabs>
        <w:ind w:left="360" w:hanging="360"/>
      </w:pPr>
      <w:rPr>
        <w:rFonts w:ascii="Arial" w:hAnsi="Arial" w:hint="default"/>
      </w:rPr>
    </w:lvl>
    <w:lvl w:ilvl="1" w:tplc="2E7A748A">
      <w:start w:val="1"/>
      <w:numFmt w:val="bullet"/>
      <w:lvlText w:val="•"/>
      <w:lvlJc w:val="left"/>
      <w:pPr>
        <w:tabs>
          <w:tab w:val="num" w:pos="1080"/>
        </w:tabs>
        <w:ind w:left="1080" w:hanging="360"/>
      </w:pPr>
      <w:rPr>
        <w:rFonts w:ascii="Arial" w:hAnsi="Arial" w:hint="default"/>
      </w:rPr>
    </w:lvl>
    <w:lvl w:ilvl="2" w:tplc="350C5F2A">
      <w:start w:val="50"/>
      <w:numFmt w:val="bullet"/>
      <w:lvlText w:val="▪"/>
      <w:lvlJc w:val="left"/>
      <w:pPr>
        <w:tabs>
          <w:tab w:val="num" w:pos="1800"/>
        </w:tabs>
        <w:ind w:left="1800" w:hanging="360"/>
      </w:pPr>
      <w:rPr>
        <w:rFonts w:ascii="Lucida Grande" w:hAnsi="Lucida Grande" w:hint="default"/>
      </w:rPr>
    </w:lvl>
    <w:lvl w:ilvl="3" w:tplc="6882B15E">
      <w:start w:val="50"/>
      <w:numFmt w:val="bullet"/>
      <w:lvlText w:val="•"/>
      <w:lvlJc w:val="left"/>
      <w:pPr>
        <w:tabs>
          <w:tab w:val="num" w:pos="2520"/>
        </w:tabs>
        <w:ind w:left="2520" w:hanging="360"/>
      </w:pPr>
      <w:rPr>
        <w:rFonts w:ascii="Arial" w:hAnsi="Arial" w:hint="default"/>
      </w:rPr>
    </w:lvl>
    <w:lvl w:ilvl="4" w:tplc="F4C84504" w:tentative="1">
      <w:start w:val="1"/>
      <w:numFmt w:val="bullet"/>
      <w:lvlText w:val="•"/>
      <w:lvlJc w:val="left"/>
      <w:pPr>
        <w:tabs>
          <w:tab w:val="num" w:pos="3240"/>
        </w:tabs>
        <w:ind w:left="3240" w:hanging="360"/>
      </w:pPr>
      <w:rPr>
        <w:rFonts w:ascii="Arial" w:hAnsi="Arial" w:hint="default"/>
      </w:rPr>
    </w:lvl>
    <w:lvl w:ilvl="5" w:tplc="FFBA2A3C" w:tentative="1">
      <w:start w:val="1"/>
      <w:numFmt w:val="bullet"/>
      <w:lvlText w:val="•"/>
      <w:lvlJc w:val="left"/>
      <w:pPr>
        <w:tabs>
          <w:tab w:val="num" w:pos="3960"/>
        </w:tabs>
        <w:ind w:left="3960" w:hanging="360"/>
      </w:pPr>
      <w:rPr>
        <w:rFonts w:ascii="Arial" w:hAnsi="Arial" w:hint="default"/>
      </w:rPr>
    </w:lvl>
    <w:lvl w:ilvl="6" w:tplc="C94608A6" w:tentative="1">
      <w:start w:val="1"/>
      <w:numFmt w:val="bullet"/>
      <w:lvlText w:val="•"/>
      <w:lvlJc w:val="left"/>
      <w:pPr>
        <w:tabs>
          <w:tab w:val="num" w:pos="4680"/>
        </w:tabs>
        <w:ind w:left="4680" w:hanging="360"/>
      </w:pPr>
      <w:rPr>
        <w:rFonts w:ascii="Arial" w:hAnsi="Arial" w:hint="default"/>
      </w:rPr>
    </w:lvl>
    <w:lvl w:ilvl="7" w:tplc="23E2098E" w:tentative="1">
      <w:start w:val="1"/>
      <w:numFmt w:val="bullet"/>
      <w:lvlText w:val="•"/>
      <w:lvlJc w:val="left"/>
      <w:pPr>
        <w:tabs>
          <w:tab w:val="num" w:pos="5400"/>
        </w:tabs>
        <w:ind w:left="5400" w:hanging="360"/>
      </w:pPr>
      <w:rPr>
        <w:rFonts w:ascii="Arial" w:hAnsi="Arial" w:hint="default"/>
      </w:rPr>
    </w:lvl>
    <w:lvl w:ilvl="8" w:tplc="04B6303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43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AE3B73"/>
    <w:multiLevelType w:val="hybridMultilevel"/>
    <w:tmpl w:val="E94CB9C4"/>
    <w:lvl w:ilvl="0" w:tplc="2F24D10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3F54A71"/>
    <w:multiLevelType w:val="hybridMultilevel"/>
    <w:tmpl w:val="6972B7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C65D68"/>
    <w:multiLevelType w:val="hybridMultilevel"/>
    <w:tmpl w:val="3AD67ABA"/>
    <w:lvl w:ilvl="0" w:tplc="9BE420FE">
      <w:start w:val="1"/>
      <w:numFmt w:val="bullet"/>
      <w:lvlText w:val="▪"/>
      <w:lvlJc w:val="left"/>
      <w:pPr>
        <w:tabs>
          <w:tab w:val="num" w:pos="360"/>
        </w:tabs>
        <w:ind w:left="360" w:hanging="360"/>
      </w:pPr>
      <w:rPr>
        <w:rFonts w:ascii="Lucida Grande" w:hAnsi="Lucida Grande" w:hint="default"/>
      </w:rPr>
    </w:lvl>
    <w:lvl w:ilvl="1" w:tplc="2AC8BB26">
      <w:start w:val="50"/>
      <w:numFmt w:val="bullet"/>
      <w:lvlText w:val="•"/>
      <w:lvlJc w:val="left"/>
      <w:pPr>
        <w:tabs>
          <w:tab w:val="num" w:pos="1080"/>
        </w:tabs>
        <w:ind w:left="1080" w:hanging="360"/>
      </w:pPr>
      <w:rPr>
        <w:rFonts w:ascii="Arial" w:hAnsi="Arial" w:hint="default"/>
      </w:rPr>
    </w:lvl>
    <w:lvl w:ilvl="2" w:tplc="36C0D5A2">
      <w:start w:val="50"/>
      <w:numFmt w:val="bullet"/>
      <w:lvlText w:val="▪"/>
      <w:lvlJc w:val="left"/>
      <w:pPr>
        <w:tabs>
          <w:tab w:val="num" w:pos="1800"/>
        </w:tabs>
        <w:ind w:left="1800" w:hanging="360"/>
      </w:pPr>
      <w:rPr>
        <w:rFonts w:ascii="Lucida Grande" w:hAnsi="Lucida Grande" w:hint="default"/>
      </w:rPr>
    </w:lvl>
    <w:lvl w:ilvl="3" w:tplc="5B309B52">
      <w:start w:val="50"/>
      <w:numFmt w:val="bullet"/>
      <w:lvlText w:val="•"/>
      <w:lvlJc w:val="left"/>
      <w:pPr>
        <w:tabs>
          <w:tab w:val="num" w:pos="2520"/>
        </w:tabs>
        <w:ind w:left="2520" w:hanging="360"/>
      </w:pPr>
      <w:rPr>
        <w:rFonts w:ascii="Arial" w:hAnsi="Arial" w:hint="default"/>
      </w:rPr>
    </w:lvl>
    <w:lvl w:ilvl="4" w:tplc="050E65E0" w:tentative="1">
      <w:start w:val="1"/>
      <w:numFmt w:val="bullet"/>
      <w:lvlText w:val="▪"/>
      <w:lvlJc w:val="left"/>
      <w:pPr>
        <w:tabs>
          <w:tab w:val="num" w:pos="3240"/>
        </w:tabs>
        <w:ind w:left="3240" w:hanging="360"/>
      </w:pPr>
      <w:rPr>
        <w:rFonts w:ascii="Lucida Grande" w:hAnsi="Lucida Grande" w:hint="default"/>
      </w:rPr>
    </w:lvl>
    <w:lvl w:ilvl="5" w:tplc="B94410F6" w:tentative="1">
      <w:start w:val="1"/>
      <w:numFmt w:val="bullet"/>
      <w:lvlText w:val="▪"/>
      <w:lvlJc w:val="left"/>
      <w:pPr>
        <w:tabs>
          <w:tab w:val="num" w:pos="3960"/>
        </w:tabs>
        <w:ind w:left="3960" w:hanging="360"/>
      </w:pPr>
      <w:rPr>
        <w:rFonts w:ascii="Lucida Grande" w:hAnsi="Lucida Grande" w:hint="default"/>
      </w:rPr>
    </w:lvl>
    <w:lvl w:ilvl="6" w:tplc="F7A40B90" w:tentative="1">
      <w:start w:val="1"/>
      <w:numFmt w:val="bullet"/>
      <w:lvlText w:val="▪"/>
      <w:lvlJc w:val="left"/>
      <w:pPr>
        <w:tabs>
          <w:tab w:val="num" w:pos="4680"/>
        </w:tabs>
        <w:ind w:left="4680" w:hanging="360"/>
      </w:pPr>
      <w:rPr>
        <w:rFonts w:ascii="Lucida Grande" w:hAnsi="Lucida Grande" w:hint="default"/>
      </w:rPr>
    </w:lvl>
    <w:lvl w:ilvl="7" w:tplc="077438F6" w:tentative="1">
      <w:start w:val="1"/>
      <w:numFmt w:val="bullet"/>
      <w:lvlText w:val="▪"/>
      <w:lvlJc w:val="left"/>
      <w:pPr>
        <w:tabs>
          <w:tab w:val="num" w:pos="5400"/>
        </w:tabs>
        <w:ind w:left="5400" w:hanging="360"/>
      </w:pPr>
      <w:rPr>
        <w:rFonts w:ascii="Lucida Grande" w:hAnsi="Lucida Grande" w:hint="default"/>
      </w:rPr>
    </w:lvl>
    <w:lvl w:ilvl="8" w:tplc="917A5AAA" w:tentative="1">
      <w:start w:val="1"/>
      <w:numFmt w:val="bullet"/>
      <w:lvlText w:val="▪"/>
      <w:lvlJc w:val="left"/>
      <w:pPr>
        <w:tabs>
          <w:tab w:val="num" w:pos="6120"/>
        </w:tabs>
        <w:ind w:left="6120" w:hanging="360"/>
      </w:pPr>
      <w:rPr>
        <w:rFonts w:ascii="Lucida Grande" w:hAnsi="Lucida Grande" w:hint="default"/>
      </w:rPr>
    </w:lvl>
  </w:abstractNum>
  <w:abstractNum w:abstractNumId="17" w15:restartNumberingAfterBreak="0">
    <w:nsid w:val="4C0E7327"/>
    <w:multiLevelType w:val="hybridMultilevel"/>
    <w:tmpl w:val="0E68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EE198D"/>
    <w:multiLevelType w:val="hybridMultilevel"/>
    <w:tmpl w:val="F5DA5DCE"/>
    <w:lvl w:ilvl="0" w:tplc="37CC1626">
      <w:start w:val="1"/>
      <w:numFmt w:val="bullet"/>
      <w:lvlText w:val="▪"/>
      <w:lvlJc w:val="left"/>
      <w:pPr>
        <w:tabs>
          <w:tab w:val="num" w:pos="720"/>
        </w:tabs>
        <w:ind w:left="720" w:hanging="360"/>
      </w:pPr>
      <w:rPr>
        <w:rFonts w:ascii="Lucida Grande" w:hAnsi="Lucida Grande" w:hint="default"/>
      </w:rPr>
    </w:lvl>
    <w:lvl w:ilvl="1" w:tplc="2708E8E4">
      <w:start w:val="50"/>
      <w:numFmt w:val="bullet"/>
      <w:lvlText w:val="•"/>
      <w:lvlJc w:val="left"/>
      <w:pPr>
        <w:tabs>
          <w:tab w:val="num" w:pos="1440"/>
        </w:tabs>
        <w:ind w:left="1440" w:hanging="360"/>
      </w:pPr>
      <w:rPr>
        <w:rFonts w:ascii="Arial" w:hAnsi="Arial" w:hint="default"/>
      </w:rPr>
    </w:lvl>
    <w:lvl w:ilvl="2" w:tplc="F9F60CDE" w:tentative="1">
      <w:start w:val="1"/>
      <w:numFmt w:val="bullet"/>
      <w:lvlText w:val="▪"/>
      <w:lvlJc w:val="left"/>
      <w:pPr>
        <w:tabs>
          <w:tab w:val="num" w:pos="2160"/>
        </w:tabs>
        <w:ind w:left="2160" w:hanging="360"/>
      </w:pPr>
      <w:rPr>
        <w:rFonts w:ascii="Lucida Grande" w:hAnsi="Lucida Grande" w:hint="default"/>
      </w:rPr>
    </w:lvl>
    <w:lvl w:ilvl="3" w:tplc="059A5D7A" w:tentative="1">
      <w:start w:val="1"/>
      <w:numFmt w:val="bullet"/>
      <w:lvlText w:val="▪"/>
      <w:lvlJc w:val="left"/>
      <w:pPr>
        <w:tabs>
          <w:tab w:val="num" w:pos="2880"/>
        </w:tabs>
        <w:ind w:left="2880" w:hanging="360"/>
      </w:pPr>
      <w:rPr>
        <w:rFonts w:ascii="Lucida Grande" w:hAnsi="Lucida Grande" w:hint="default"/>
      </w:rPr>
    </w:lvl>
    <w:lvl w:ilvl="4" w:tplc="86AC04DE" w:tentative="1">
      <w:start w:val="1"/>
      <w:numFmt w:val="bullet"/>
      <w:lvlText w:val="▪"/>
      <w:lvlJc w:val="left"/>
      <w:pPr>
        <w:tabs>
          <w:tab w:val="num" w:pos="3600"/>
        </w:tabs>
        <w:ind w:left="3600" w:hanging="360"/>
      </w:pPr>
      <w:rPr>
        <w:rFonts w:ascii="Lucida Grande" w:hAnsi="Lucida Grande" w:hint="default"/>
      </w:rPr>
    </w:lvl>
    <w:lvl w:ilvl="5" w:tplc="FC143B0C" w:tentative="1">
      <w:start w:val="1"/>
      <w:numFmt w:val="bullet"/>
      <w:lvlText w:val="▪"/>
      <w:lvlJc w:val="left"/>
      <w:pPr>
        <w:tabs>
          <w:tab w:val="num" w:pos="4320"/>
        </w:tabs>
        <w:ind w:left="4320" w:hanging="360"/>
      </w:pPr>
      <w:rPr>
        <w:rFonts w:ascii="Lucida Grande" w:hAnsi="Lucida Grande" w:hint="default"/>
      </w:rPr>
    </w:lvl>
    <w:lvl w:ilvl="6" w:tplc="8A9635F0" w:tentative="1">
      <w:start w:val="1"/>
      <w:numFmt w:val="bullet"/>
      <w:lvlText w:val="▪"/>
      <w:lvlJc w:val="left"/>
      <w:pPr>
        <w:tabs>
          <w:tab w:val="num" w:pos="5040"/>
        </w:tabs>
        <w:ind w:left="5040" w:hanging="360"/>
      </w:pPr>
      <w:rPr>
        <w:rFonts w:ascii="Lucida Grande" w:hAnsi="Lucida Grande" w:hint="default"/>
      </w:rPr>
    </w:lvl>
    <w:lvl w:ilvl="7" w:tplc="9A8EE1A6" w:tentative="1">
      <w:start w:val="1"/>
      <w:numFmt w:val="bullet"/>
      <w:lvlText w:val="▪"/>
      <w:lvlJc w:val="left"/>
      <w:pPr>
        <w:tabs>
          <w:tab w:val="num" w:pos="5760"/>
        </w:tabs>
        <w:ind w:left="5760" w:hanging="360"/>
      </w:pPr>
      <w:rPr>
        <w:rFonts w:ascii="Lucida Grande" w:hAnsi="Lucida Grande" w:hint="default"/>
      </w:rPr>
    </w:lvl>
    <w:lvl w:ilvl="8" w:tplc="37E23FD4"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77447EF"/>
    <w:multiLevelType w:val="hybridMultilevel"/>
    <w:tmpl w:val="C1FC5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5634C5"/>
    <w:multiLevelType w:val="hybridMultilevel"/>
    <w:tmpl w:val="71C656CA"/>
    <w:lvl w:ilvl="0" w:tplc="D520EC98">
      <w:start w:val="1"/>
      <w:numFmt w:val="bullet"/>
      <w:lvlText w:val="▪"/>
      <w:lvlJc w:val="left"/>
      <w:pPr>
        <w:tabs>
          <w:tab w:val="num" w:pos="720"/>
        </w:tabs>
        <w:ind w:left="720" w:hanging="360"/>
      </w:pPr>
      <w:rPr>
        <w:rFonts w:ascii="Lucida Grande" w:hAnsi="Lucida Grande" w:hint="default"/>
      </w:rPr>
    </w:lvl>
    <w:lvl w:ilvl="1" w:tplc="1E34F6A4">
      <w:start w:val="50"/>
      <w:numFmt w:val="bullet"/>
      <w:lvlText w:val="•"/>
      <w:lvlJc w:val="left"/>
      <w:pPr>
        <w:tabs>
          <w:tab w:val="num" w:pos="1440"/>
        </w:tabs>
        <w:ind w:left="1440" w:hanging="360"/>
      </w:pPr>
      <w:rPr>
        <w:rFonts w:ascii="Arial" w:hAnsi="Arial" w:hint="default"/>
      </w:rPr>
    </w:lvl>
    <w:lvl w:ilvl="2" w:tplc="A31A85C6">
      <w:start w:val="50"/>
      <w:numFmt w:val="bullet"/>
      <w:lvlText w:val="▪"/>
      <w:lvlJc w:val="left"/>
      <w:pPr>
        <w:tabs>
          <w:tab w:val="num" w:pos="2160"/>
        </w:tabs>
        <w:ind w:left="2160" w:hanging="360"/>
      </w:pPr>
      <w:rPr>
        <w:rFonts w:ascii="Lucida Grande" w:hAnsi="Lucida Grande" w:hint="default"/>
      </w:rPr>
    </w:lvl>
    <w:lvl w:ilvl="3" w:tplc="7152F53E">
      <w:start w:val="50"/>
      <w:numFmt w:val="bullet"/>
      <w:lvlText w:val="•"/>
      <w:lvlJc w:val="left"/>
      <w:pPr>
        <w:tabs>
          <w:tab w:val="num" w:pos="2880"/>
        </w:tabs>
        <w:ind w:left="2880" w:hanging="360"/>
      </w:pPr>
      <w:rPr>
        <w:rFonts w:ascii="Arial" w:hAnsi="Arial" w:hint="default"/>
      </w:rPr>
    </w:lvl>
    <w:lvl w:ilvl="4" w:tplc="D09EBDA2" w:tentative="1">
      <w:start w:val="1"/>
      <w:numFmt w:val="bullet"/>
      <w:lvlText w:val="▪"/>
      <w:lvlJc w:val="left"/>
      <w:pPr>
        <w:tabs>
          <w:tab w:val="num" w:pos="3600"/>
        </w:tabs>
        <w:ind w:left="3600" w:hanging="360"/>
      </w:pPr>
      <w:rPr>
        <w:rFonts w:ascii="Lucida Grande" w:hAnsi="Lucida Grande" w:hint="default"/>
      </w:rPr>
    </w:lvl>
    <w:lvl w:ilvl="5" w:tplc="8842EFEA" w:tentative="1">
      <w:start w:val="1"/>
      <w:numFmt w:val="bullet"/>
      <w:lvlText w:val="▪"/>
      <w:lvlJc w:val="left"/>
      <w:pPr>
        <w:tabs>
          <w:tab w:val="num" w:pos="4320"/>
        </w:tabs>
        <w:ind w:left="4320" w:hanging="360"/>
      </w:pPr>
      <w:rPr>
        <w:rFonts w:ascii="Lucida Grande" w:hAnsi="Lucida Grande" w:hint="default"/>
      </w:rPr>
    </w:lvl>
    <w:lvl w:ilvl="6" w:tplc="9264809E" w:tentative="1">
      <w:start w:val="1"/>
      <w:numFmt w:val="bullet"/>
      <w:lvlText w:val="▪"/>
      <w:lvlJc w:val="left"/>
      <w:pPr>
        <w:tabs>
          <w:tab w:val="num" w:pos="5040"/>
        </w:tabs>
        <w:ind w:left="5040" w:hanging="360"/>
      </w:pPr>
      <w:rPr>
        <w:rFonts w:ascii="Lucida Grande" w:hAnsi="Lucida Grande" w:hint="default"/>
      </w:rPr>
    </w:lvl>
    <w:lvl w:ilvl="7" w:tplc="B284E91E" w:tentative="1">
      <w:start w:val="1"/>
      <w:numFmt w:val="bullet"/>
      <w:lvlText w:val="▪"/>
      <w:lvlJc w:val="left"/>
      <w:pPr>
        <w:tabs>
          <w:tab w:val="num" w:pos="5760"/>
        </w:tabs>
        <w:ind w:left="5760" w:hanging="360"/>
      </w:pPr>
      <w:rPr>
        <w:rFonts w:ascii="Lucida Grande" w:hAnsi="Lucida Grande" w:hint="default"/>
      </w:rPr>
    </w:lvl>
    <w:lvl w:ilvl="8" w:tplc="D17C0B76" w:tentative="1">
      <w:start w:val="1"/>
      <w:numFmt w:val="bullet"/>
      <w:lvlText w:val="▪"/>
      <w:lvlJc w:val="left"/>
      <w:pPr>
        <w:tabs>
          <w:tab w:val="num" w:pos="6480"/>
        </w:tabs>
        <w:ind w:left="6480" w:hanging="360"/>
      </w:pPr>
      <w:rPr>
        <w:rFonts w:ascii="Lucida Grande" w:hAnsi="Lucida Grande" w:hint="default"/>
      </w:rPr>
    </w:lvl>
  </w:abstractNum>
  <w:abstractNum w:abstractNumId="22" w15:restartNumberingAfterBreak="0">
    <w:nsid w:val="5D670C95"/>
    <w:multiLevelType w:val="hybridMultilevel"/>
    <w:tmpl w:val="B0285E8C"/>
    <w:lvl w:ilvl="0" w:tplc="BBCAB9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877CF"/>
    <w:multiLevelType w:val="hybridMultilevel"/>
    <w:tmpl w:val="06F43566"/>
    <w:lvl w:ilvl="0" w:tplc="FDA2F1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FF565C"/>
    <w:multiLevelType w:val="hybridMultilevel"/>
    <w:tmpl w:val="49721D64"/>
    <w:lvl w:ilvl="0" w:tplc="FDA2F1EA">
      <w:start w:val="1"/>
      <w:numFmt w:val="bullet"/>
      <w:lvlText w:val="•"/>
      <w:lvlJc w:val="left"/>
      <w:pPr>
        <w:tabs>
          <w:tab w:val="num" w:pos="360"/>
        </w:tabs>
        <w:ind w:left="360" w:hanging="360"/>
      </w:pPr>
      <w:rPr>
        <w:rFonts w:ascii="Arial" w:hAnsi="Arial" w:hint="default"/>
      </w:rPr>
    </w:lvl>
    <w:lvl w:ilvl="1" w:tplc="353EE5D4">
      <w:start w:val="1"/>
      <w:numFmt w:val="bullet"/>
      <w:lvlText w:val="•"/>
      <w:lvlJc w:val="left"/>
      <w:pPr>
        <w:tabs>
          <w:tab w:val="num" w:pos="1080"/>
        </w:tabs>
        <w:ind w:left="1080" w:hanging="360"/>
      </w:pPr>
      <w:rPr>
        <w:rFonts w:ascii="Arial" w:hAnsi="Arial" w:hint="default"/>
      </w:rPr>
    </w:lvl>
    <w:lvl w:ilvl="2" w:tplc="8BEC81B6">
      <w:start w:val="50"/>
      <w:numFmt w:val="bullet"/>
      <w:lvlText w:val="▪"/>
      <w:lvlJc w:val="left"/>
      <w:pPr>
        <w:tabs>
          <w:tab w:val="num" w:pos="1800"/>
        </w:tabs>
        <w:ind w:left="1800" w:hanging="360"/>
      </w:pPr>
      <w:rPr>
        <w:rFonts w:ascii="Lucida Grande" w:hAnsi="Lucida Grande" w:hint="default"/>
      </w:rPr>
    </w:lvl>
    <w:lvl w:ilvl="3" w:tplc="AE9AE8E0" w:tentative="1">
      <w:start w:val="1"/>
      <w:numFmt w:val="bullet"/>
      <w:lvlText w:val="•"/>
      <w:lvlJc w:val="left"/>
      <w:pPr>
        <w:tabs>
          <w:tab w:val="num" w:pos="2520"/>
        </w:tabs>
        <w:ind w:left="2520" w:hanging="360"/>
      </w:pPr>
      <w:rPr>
        <w:rFonts w:ascii="Arial" w:hAnsi="Arial" w:hint="default"/>
      </w:rPr>
    </w:lvl>
    <w:lvl w:ilvl="4" w:tplc="80C48168" w:tentative="1">
      <w:start w:val="1"/>
      <w:numFmt w:val="bullet"/>
      <w:lvlText w:val="•"/>
      <w:lvlJc w:val="left"/>
      <w:pPr>
        <w:tabs>
          <w:tab w:val="num" w:pos="3240"/>
        </w:tabs>
        <w:ind w:left="3240" w:hanging="360"/>
      </w:pPr>
      <w:rPr>
        <w:rFonts w:ascii="Arial" w:hAnsi="Arial" w:hint="default"/>
      </w:rPr>
    </w:lvl>
    <w:lvl w:ilvl="5" w:tplc="EDC4F868" w:tentative="1">
      <w:start w:val="1"/>
      <w:numFmt w:val="bullet"/>
      <w:lvlText w:val="•"/>
      <w:lvlJc w:val="left"/>
      <w:pPr>
        <w:tabs>
          <w:tab w:val="num" w:pos="3960"/>
        </w:tabs>
        <w:ind w:left="3960" w:hanging="360"/>
      </w:pPr>
      <w:rPr>
        <w:rFonts w:ascii="Arial" w:hAnsi="Arial" w:hint="default"/>
      </w:rPr>
    </w:lvl>
    <w:lvl w:ilvl="6" w:tplc="7B04E9C6" w:tentative="1">
      <w:start w:val="1"/>
      <w:numFmt w:val="bullet"/>
      <w:lvlText w:val="•"/>
      <w:lvlJc w:val="left"/>
      <w:pPr>
        <w:tabs>
          <w:tab w:val="num" w:pos="4680"/>
        </w:tabs>
        <w:ind w:left="4680" w:hanging="360"/>
      </w:pPr>
      <w:rPr>
        <w:rFonts w:ascii="Arial" w:hAnsi="Arial" w:hint="default"/>
      </w:rPr>
    </w:lvl>
    <w:lvl w:ilvl="7" w:tplc="FF9A6716" w:tentative="1">
      <w:start w:val="1"/>
      <w:numFmt w:val="bullet"/>
      <w:lvlText w:val="•"/>
      <w:lvlJc w:val="left"/>
      <w:pPr>
        <w:tabs>
          <w:tab w:val="num" w:pos="5400"/>
        </w:tabs>
        <w:ind w:left="5400" w:hanging="360"/>
      </w:pPr>
      <w:rPr>
        <w:rFonts w:ascii="Arial" w:hAnsi="Arial" w:hint="default"/>
      </w:rPr>
    </w:lvl>
    <w:lvl w:ilvl="8" w:tplc="10226F28"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43211B"/>
    <w:multiLevelType w:val="hybridMultilevel"/>
    <w:tmpl w:val="47FE6F5A"/>
    <w:lvl w:ilvl="0" w:tplc="5B46F9BE">
      <w:start w:val="1"/>
      <w:numFmt w:val="bullet"/>
      <w:lvlText w:val="▪"/>
      <w:lvlJc w:val="left"/>
      <w:pPr>
        <w:tabs>
          <w:tab w:val="num" w:pos="360"/>
        </w:tabs>
        <w:ind w:left="360" w:hanging="360"/>
      </w:pPr>
      <w:rPr>
        <w:rFonts w:ascii="Lucida Grande" w:hAnsi="Lucida Grande" w:hint="default"/>
      </w:rPr>
    </w:lvl>
    <w:lvl w:ilvl="1" w:tplc="86806C0A">
      <w:start w:val="50"/>
      <w:numFmt w:val="bullet"/>
      <w:lvlText w:val="•"/>
      <w:lvlJc w:val="left"/>
      <w:pPr>
        <w:tabs>
          <w:tab w:val="num" w:pos="720"/>
        </w:tabs>
        <w:ind w:left="720" w:hanging="360"/>
      </w:pPr>
      <w:rPr>
        <w:rFonts w:ascii="Arial" w:hAnsi="Arial" w:hint="default"/>
      </w:rPr>
    </w:lvl>
    <w:lvl w:ilvl="2" w:tplc="5AB09928">
      <w:start w:val="50"/>
      <w:numFmt w:val="bullet"/>
      <w:lvlText w:val="▪"/>
      <w:lvlJc w:val="left"/>
      <w:pPr>
        <w:tabs>
          <w:tab w:val="num" w:pos="1800"/>
        </w:tabs>
        <w:ind w:left="1800" w:hanging="360"/>
      </w:pPr>
      <w:rPr>
        <w:rFonts w:ascii="Lucida Grande" w:hAnsi="Lucida Grande" w:hint="default"/>
      </w:rPr>
    </w:lvl>
    <w:lvl w:ilvl="3" w:tplc="346A4598">
      <w:start w:val="50"/>
      <w:numFmt w:val="bullet"/>
      <w:lvlText w:val="•"/>
      <w:lvlJc w:val="left"/>
      <w:pPr>
        <w:tabs>
          <w:tab w:val="num" w:pos="2520"/>
        </w:tabs>
        <w:ind w:left="2520" w:hanging="360"/>
      </w:pPr>
      <w:rPr>
        <w:rFonts w:ascii="Arial" w:hAnsi="Arial" w:hint="default"/>
      </w:rPr>
    </w:lvl>
    <w:lvl w:ilvl="4" w:tplc="303AABB2" w:tentative="1">
      <w:start w:val="1"/>
      <w:numFmt w:val="bullet"/>
      <w:lvlText w:val="▪"/>
      <w:lvlJc w:val="left"/>
      <w:pPr>
        <w:tabs>
          <w:tab w:val="num" w:pos="3240"/>
        </w:tabs>
        <w:ind w:left="3240" w:hanging="360"/>
      </w:pPr>
      <w:rPr>
        <w:rFonts w:ascii="Lucida Grande" w:hAnsi="Lucida Grande" w:hint="default"/>
      </w:rPr>
    </w:lvl>
    <w:lvl w:ilvl="5" w:tplc="4FC473A2" w:tentative="1">
      <w:start w:val="1"/>
      <w:numFmt w:val="bullet"/>
      <w:lvlText w:val="▪"/>
      <w:lvlJc w:val="left"/>
      <w:pPr>
        <w:tabs>
          <w:tab w:val="num" w:pos="3960"/>
        </w:tabs>
        <w:ind w:left="3960" w:hanging="360"/>
      </w:pPr>
      <w:rPr>
        <w:rFonts w:ascii="Lucida Grande" w:hAnsi="Lucida Grande" w:hint="default"/>
      </w:rPr>
    </w:lvl>
    <w:lvl w:ilvl="6" w:tplc="9E28F7BA" w:tentative="1">
      <w:start w:val="1"/>
      <w:numFmt w:val="bullet"/>
      <w:lvlText w:val="▪"/>
      <w:lvlJc w:val="left"/>
      <w:pPr>
        <w:tabs>
          <w:tab w:val="num" w:pos="4680"/>
        </w:tabs>
        <w:ind w:left="4680" w:hanging="360"/>
      </w:pPr>
      <w:rPr>
        <w:rFonts w:ascii="Lucida Grande" w:hAnsi="Lucida Grande" w:hint="default"/>
      </w:rPr>
    </w:lvl>
    <w:lvl w:ilvl="7" w:tplc="5AE22970" w:tentative="1">
      <w:start w:val="1"/>
      <w:numFmt w:val="bullet"/>
      <w:lvlText w:val="▪"/>
      <w:lvlJc w:val="left"/>
      <w:pPr>
        <w:tabs>
          <w:tab w:val="num" w:pos="5400"/>
        </w:tabs>
        <w:ind w:left="5400" w:hanging="360"/>
      </w:pPr>
      <w:rPr>
        <w:rFonts w:ascii="Lucida Grande" w:hAnsi="Lucida Grande" w:hint="default"/>
      </w:rPr>
    </w:lvl>
    <w:lvl w:ilvl="8" w:tplc="F1026DA4" w:tentative="1">
      <w:start w:val="1"/>
      <w:numFmt w:val="bullet"/>
      <w:lvlText w:val="▪"/>
      <w:lvlJc w:val="left"/>
      <w:pPr>
        <w:tabs>
          <w:tab w:val="num" w:pos="6120"/>
        </w:tabs>
        <w:ind w:left="6120" w:hanging="360"/>
      </w:pPr>
      <w:rPr>
        <w:rFonts w:ascii="Lucida Grande" w:hAnsi="Lucida Grande" w:hint="default"/>
      </w:rPr>
    </w:lvl>
  </w:abstractNum>
  <w:abstractNum w:abstractNumId="31" w15:restartNumberingAfterBreak="0">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741C34E6"/>
    <w:multiLevelType w:val="hybridMultilevel"/>
    <w:tmpl w:val="24A05AB0"/>
    <w:lvl w:ilvl="0" w:tplc="365E01FE">
      <w:start w:val="1"/>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3D7175"/>
    <w:multiLevelType w:val="hybridMultilevel"/>
    <w:tmpl w:val="A864B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B76BD"/>
    <w:multiLevelType w:val="hybridMultilevel"/>
    <w:tmpl w:val="D4E4A52E"/>
    <w:lvl w:ilvl="0" w:tplc="39420EA2">
      <w:start w:val="1"/>
      <w:numFmt w:val="bullet"/>
      <w:lvlText w:val="•"/>
      <w:lvlJc w:val="left"/>
      <w:pPr>
        <w:tabs>
          <w:tab w:val="num" w:pos="720"/>
        </w:tabs>
        <w:ind w:left="720" w:hanging="360"/>
      </w:pPr>
      <w:rPr>
        <w:rFonts w:ascii="Arial" w:hAnsi="Arial" w:hint="default"/>
      </w:rPr>
    </w:lvl>
    <w:lvl w:ilvl="1" w:tplc="C01A31E0">
      <w:start w:val="1"/>
      <w:numFmt w:val="bullet"/>
      <w:lvlText w:val="•"/>
      <w:lvlJc w:val="left"/>
      <w:pPr>
        <w:tabs>
          <w:tab w:val="num" w:pos="1440"/>
        </w:tabs>
        <w:ind w:left="1440" w:hanging="360"/>
      </w:pPr>
      <w:rPr>
        <w:rFonts w:ascii="Arial" w:hAnsi="Arial" w:hint="default"/>
      </w:rPr>
    </w:lvl>
    <w:lvl w:ilvl="2" w:tplc="A91AD8D0">
      <w:start w:val="96"/>
      <w:numFmt w:val="bullet"/>
      <w:lvlText w:val="▪"/>
      <w:lvlJc w:val="left"/>
      <w:pPr>
        <w:tabs>
          <w:tab w:val="num" w:pos="2160"/>
        </w:tabs>
        <w:ind w:left="2160" w:hanging="360"/>
      </w:pPr>
      <w:rPr>
        <w:rFonts w:ascii="Lucida Grande" w:hAnsi="Lucida Grande" w:hint="default"/>
      </w:rPr>
    </w:lvl>
    <w:lvl w:ilvl="3" w:tplc="1CC2B298">
      <w:start w:val="96"/>
      <w:numFmt w:val="bullet"/>
      <w:lvlText w:val="•"/>
      <w:lvlJc w:val="left"/>
      <w:pPr>
        <w:tabs>
          <w:tab w:val="num" w:pos="2880"/>
        </w:tabs>
        <w:ind w:left="2880" w:hanging="360"/>
      </w:pPr>
      <w:rPr>
        <w:rFonts w:ascii="Arial" w:hAnsi="Arial" w:hint="default"/>
      </w:rPr>
    </w:lvl>
    <w:lvl w:ilvl="4" w:tplc="F398D99E" w:tentative="1">
      <w:start w:val="1"/>
      <w:numFmt w:val="bullet"/>
      <w:lvlText w:val="•"/>
      <w:lvlJc w:val="left"/>
      <w:pPr>
        <w:tabs>
          <w:tab w:val="num" w:pos="3600"/>
        </w:tabs>
        <w:ind w:left="3600" w:hanging="360"/>
      </w:pPr>
      <w:rPr>
        <w:rFonts w:ascii="Arial" w:hAnsi="Arial" w:hint="default"/>
      </w:rPr>
    </w:lvl>
    <w:lvl w:ilvl="5" w:tplc="0438529E" w:tentative="1">
      <w:start w:val="1"/>
      <w:numFmt w:val="bullet"/>
      <w:lvlText w:val="•"/>
      <w:lvlJc w:val="left"/>
      <w:pPr>
        <w:tabs>
          <w:tab w:val="num" w:pos="4320"/>
        </w:tabs>
        <w:ind w:left="4320" w:hanging="360"/>
      </w:pPr>
      <w:rPr>
        <w:rFonts w:ascii="Arial" w:hAnsi="Arial" w:hint="default"/>
      </w:rPr>
    </w:lvl>
    <w:lvl w:ilvl="6" w:tplc="0C0A4782" w:tentative="1">
      <w:start w:val="1"/>
      <w:numFmt w:val="bullet"/>
      <w:lvlText w:val="•"/>
      <w:lvlJc w:val="left"/>
      <w:pPr>
        <w:tabs>
          <w:tab w:val="num" w:pos="5040"/>
        </w:tabs>
        <w:ind w:left="5040" w:hanging="360"/>
      </w:pPr>
      <w:rPr>
        <w:rFonts w:ascii="Arial" w:hAnsi="Arial" w:hint="default"/>
      </w:rPr>
    </w:lvl>
    <w:lvl w:ilvl="7" w:tplc="C9B80EDC" w:tentative="1">
      <w:start w:val="1"/>
      <w:numFmt w:val="bullet"/>
      <w:lvlText w:val="•"/>
      <w:lvlJc w:val="left"/>
      <w:pPr>
        <w:tabs>
          <w:tab w:val="num" w:pos="5760"/>
        </w:tabs>
        <w:ind w:left="5760" w:hanging="360"/>
      </w:pPr>
      <w:rPr>
        <w:rFonts w:ascii="Arial" w:hAnsi="Arial" w:hint="default"/>
      </w:rPr>
    </w:lvl>
    <w:lvl w:ilvl="8" w:tplc="493C01D2"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9"/>
  </w:num>
  <w:num w:numId="3">
    <w:abstractNumId w:val="14"/>
  </w:num>
  <w:num w:numId="4">
    <w:abstractNumId w:val="5"/>
  </w:num>
  <w:num w:numId="5">
    <w:abstractNumId w:val="9"/>
  </w:num>
  <w:num w:numId="6">
    <w:abstractNumId w:val="7"/>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0"/>
  </w:num>
  <w:num w:numId="10">
    <w:abstractNumId w:val="10"/>
  </w:num>
  <w:num w:numId="11">
    <w:abstractNumId w:val="2"/>
  </w:num>
  <w:num w:numId="12">
    <w:abstractNumId w:val="1"/>
  </w:num>
  <w:num w:numId="13">
    <w:abstractNumId w:val="32"/>
  </w:num>
  <w:num w:numId="14">
    <w:abstractNumId w:val="33"/>
  </w:num>
  <w:num w:numId="15">
    <w:abstractNumId w:val="6"/>
  </w:num>
  <w:num w:numId="16">
    <w:abstractNumId w:val="4"/>
  </w:num>
  <w:num w:numId="17">
    <w:abstractNumId w:val="15"/>
  </w:num>
  <w:num w:numId="18">
    <w:abstractNumId w:val="25"/>
  </w:num>
  <w:num w:numId="19">
    <w:abstractNumId w:val="20"/>
  </w:num>
  <w:num w:numId="20">
    <w:abstractNumId w:val="11"/>
  </w:num>
  <w:num w:numId="21">
    <w:abstractNumId w:val="13"/>
  </w:num>
  <w:num w:numId="22">
    <w:abstractNumId w:val="3"/>
  </w:num>
  <w:num w:numId="23">
    <w:abstractNumId w:val="29"/>
  </w:num>
  <w:num w:numId="24">
    <w:abstractNumId w:val="17"/>
  </w:num>
  <w:num w:numId="25">
    <w:abstractNumId w:val="35"/>
  </w:num>
  <w:num w:numId="26">
    <w:abstractNumId w:val="34"/>
  </w:num>
  <w:num w:numId="27">
    <w:abstractNumId w:val="22"/>
  </w:num>
  <w:num w:numId="28">
    <w:abstractNumId w:val="12"/>
  </w:num>
  <w:num w:numId="29">
    <w:abstractNumId w:val="21"/>
  </w:num>
  <w:num w:numId="30">
    <w:abstractNumId w:val="24"/>
  </w:num>
  <w:num w:numId="31">
    <w:abstractNumId w:val="28"/>
  </w:num>
  <w:num w:numId="32">
    <w:abstractNumId w:val="30"/>
  </w:num>
  <w:num w:numId="33">
    <w:abstractNumId w:val="8"/>
  </w:num>
  <w:num w:numId="34">
    <w:abstractNumId w:val="27"/>
  </w:num>
  <w:num w:numId="35">
    <w:abstractNumId w:val="16"/>
  </w:num>
  <w:num w:numId="36">
    <w:abstractNumId w:val="23"/>
  </w:num>
  <w:num w:numId="37">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39"/>
    <w:rsid w:val="00006925"/>
    <w:rsid w:val="00006B8B"/>
    <w:rsid w:val="000110AC"/>
    <w:rsid w:val="00015A01"/>
    <w:rsid w:val="00016194"/>
    <w:rsid w:val="00016CE6"/>
    <w:rsid w:val="00020FD3"/>
    <w:rsid w:val="00021CC2"/>
    <w:rsid w:val="00021EE8"/>
    <w:rsid w:val="00021FE9"/>
    <w:rsid w:val="000315DA"/>
    <w:rsid w:val="00031647"/>
    <w:rsid w:val="00040278"/>
    <w:rsid w:val="00042D66"/>
    <w:rsid w:val="000433A5"/>
    <w:rsid w:val="00045399"/>
    <w:rsid w:val="000457AE"/>
    <w:rsid w:val="00045845"/>
    <w:rsid w:val="00045C1B"/>
    <w:rsid w:val="00047056"/>
    <w:rsid w:val="00052194"/>
    <w:rsid w:val="000521E2"/>
    <w:rsid w:val="00052330"/>
    <w:rsid w:val="00053F90"/>
    <w:rsid w:val="00055A41"/>
    <w:rsid w:val="00056B54"/>
    <w:rsid w:val="00056CC9"/>
    <w:rsid w:val="00057A5C"/>
    <w:rsid w:val="00057A8F"/>
    <w:rsid w:val="00057F8B"/>
    <w:rsid w:val="0006005A"/>
    <w:rsid w:val="00061CB1"/>
    <w:rsid w:val="00062A93"/>
    <w:rsid w:val="000647C0"/>
    <w:rsid w:val="00065D70"/>
    <w:rsid w:val="000671AC"/>
    <w:rsid w:val="00067A78"/>
    <w:rsid w:val="00073BC3"/>
    <w:rsid w:val="00075251"/>
    <w:rsid w:val="00075540"/>
    <w:rsid w:val="00075FE5"/>
    <w:rsid w:val="000761F1"/>
    <w:rsid w:val="000761F5"/>
    <w:rsid w:val="00076B98"/>
    <w:rsid w:val="000773DA"/>
    <w:rsid w:val="000804BA"/>
    <w:rsid w:val="00080D27"/>
    <w:rsid w:val="00083027"/>
    <w:rsid w:val="0008343C"/>
    <w:rsid w:val="00084A7D"/>
    <w:rsid w:val="0008631A"/>
    <w:rsid w:val="00087FA3"/>
    <w:rsid w:val="0009076A"/>
    <w:rsid w:val="0009117E"/>
    <w:rsid w:val="00091C8A"/>
    <w:rsid w:val="0009381F"/>
    <w:rsid w:val="00094AB3"/>
    <w:rsid w:val="000955C4"/>
    <w:rsid w:val="000A3C08"/>
    <w:rsid w:val="000A471A"/>
    <w:rsid w:val="000A7B1E"/>
    <w:rsid w:val="000B3299"/>
    <w:rsid w:val="000B565C"/>
    <w:rsid w:val="000B7E80"/>
    <w:rsid w:val="000C1B39"/>
    <w:rsid w:val="000C47BF"/>
    <w:rsid w:val="000C498F"/>
    <w:rsid w:val="000C5611"/>
    <w:rsid w:val="000C632B"/>
    <w:rsid w:val="000C63C5"/>
    <w:rsid w:val="000C6F99"/>
    <w:rsid w:val="000D19CD"/>
    <w:rsid w:val="000D21E2"/>
    <w:rsid w:val="000D2A94"/>
    <w:rsid w:val="000D47D9"/>
    <w:rsid w:val="000D493E"/>
    <w:rsid w:val="000D62C5"/>
    <w:rsid w:val="000D784F"/>
    <w:rsid w:val="000D7F74"/>
    <w:rsid w:val="000E088B"/>
    <w:rsid w:val="000E13E3"/>
    <w:rsid w:val="000E4BCD"/>
    <w:rsid w:val="000E639C"/>
    <w:rsid w:val="000E6D4B"/>
    <w:rsid w:val="000F4C3D"/>
    <w:rsid w:val="000F5FE4"/>
    <w:rsid w:val="000F757F"/>
    <w:rsid w:val="00100ACC"/>
    <w:rsid w:val="001036C1"/>
    <w:rsid w:val="00105D24"/>
    <w:rsid w:val="00105E44"/>
    <w:rsid w:val="00106A20"/>
    <w:rsid w:val="00110248"/>
    <w:rsid w:val="00110756"/>
    <w:rsid w:val="00111E05"/>
    <w:rsid w:val="00112895"/>
    <w:rsid w:val="00114BF2"/>
    <w:rsid w:val="00117C64"/>
    <w:rsid w:val="00121200"/>
    <w:rsid w:val="001225B7"/>
    <w:rsid w:val="001236A4"/>
    <w:rsid w:val="00123908"/>
    <w:rsid w:val="001245BC"/>
    <w:rsid w:val="00125716"/>
    <w:rsid w:val="00126774"/>
    <w:rsid w:val="00131534"/>
    <w:rsid w:val="001324BD"/>
    <w:rsid w:val="00135ADB"/>
    <w:rsid w:val="00135CC2"/>
    <w:rsid w:val="00135D0C"/>
    <w:rsid w:val="00137F31"/>
    <w:rsid w:val="00137F3D"/>
    <w:rsid w:val="00137F5E"/>
    <w:rsid w:val="0014305D"/>
    <w:rsid w:val="00144DFC"/>
    <w:rsid w:val="00145F1C"/>
    <w:rsid w:val="00146391"/>
    <w:rsid w:val="00146558"/>
    <w:rsid w:val="001479BA"/>
    <w:rsid w:val="00152DB4"/>
    <w:rsid w:val="00153063"/>
    <w:rsid w:val="00156128"/>
    <w:rsid w:val="001601AD"/>
    <w:rsid w:val="00160343"/>
    <w:rsid w:val="00161062"/>
    <w:rsid w:val="00164ED6"/>
    <w:rsid w:val="001667BD"/>
    <w:rsid w:val="00167084"/>
    <w:rsid w:val="00171A58"/>
    <w:rsid w:val="00172E3C"/>
    <w:rsid w:val="00172F57"/>
    <w:rsid w:val="00173DFD"/>
    <w:rsid w:val="00180126"/>
    <w:rsid w:val="00180E36"/>
    <w:rsid w:val="0018358E"/>
    <w:rsid w:val="001876C9"/>
    <w:rsid w:val="00190D08"/>
    <w:rsid w:val="00190DFE"/>
    <w:rsid w:val="00194682"/>
    <w:rsid w:val="001948C2"/>
    <w:rsid w:val="00195717"/>
    <w:rsid w:val="001A0B1E"/>
    <w:rsid w:val="001A0C4B"/>
    <w:rsid w:val="001A28FE"/>
    <w:rsid w:val="001A2FF5"/>
    <w:rsid w:val="001A7B82"/>
    <w:rsid w:val="001B39A4"/>
    <w:rsid w:val="001B4281"/>
    <w:rsid w:val="001B5972"/>
    <w:rsid w:val="001B5E24"/>
    <w:rsid w:val="001C101A"/>
    <w:rsid w:val="001C15F6"/>
    <w:rsid w:val="001C17C4"/>
    <w:rsid w:val="001C5151"/>
    <w:rsid w:val="001C5FF7"/>
    <w:rsid w:val="001C7FAE"/>
    <w:rsid w:val="001D2C74"/>
    <w:rsid w:val="001D32FE"/>
    <w:rsid w:val="001D3D7B"/>
    <w:rsid w:val="001D4E29"/>
    <w:rsid w:val="001D77D5"/>
    <w:rsid w:val="001E0B66"/>
    <w:rsid w:val="001E1025"/>
    <w:rsid w:val="001E3EE1"/>
    <w:rsid w:val="001E63F0"/>
    <w:rsid w:val="001E6979"/>
    <w:rsid w:val="001F0231"/>
    <w:rsid w:val="001F11C7"/>
    <w:rsid w:val="001F24B6"/>
    <w:rsid w:val="001F4A0B"/>
    <w:rsid w:val="001F64A9"/>
    <w:rsid w:val="001F703D"/>
    <w:rsid w:val="001F755E"/>
    <w:rsid w:val="00200275"/>
    <w:rsid w:val="00200BE8"/>
    <w:rsid w:val="00202D37"/>
    <w:rsid w:val="00204F59"/>
    <w:rsid w:val="00205B9A"/>
    <w:rsid w:val="00205D8B"/>
    <w:rsid w:val="002076C2"/>
    <w:rsid w:val="00210590"/>
    <w:rsid w:val="002106ED"/>
    <w:rsid w:val="00221AE6"/>
    <w:rsid w:val="0022536F"/>
    <w:rsid w:val="00230019"/>
    <w:rsid w:val="0023012B"/>
    <w:rsid w:val="002309F0"/>
    <w:rsid w:val="00235A20"/>
    <w:rsid w:val="00235FDB"/>
    <w:rsid w:val="00236AA8"/>
    <w:rsid w:val="00241112"/>
    <w:rsid w:val="00243DC2"/>
    <w:rsid w:val="00245867"/>
    <w:rsid w:val="00246324"/>
    <w:rsid w:val="00246837"/>
    <w:rsid w:val="002476F1"/>
    <w:rsid w:val="00247F87"/>
    <w:rsid w:val="002538ED"/>
    <w:rsid w:val="002607F3"/>
    <w:rsid w:val="00261AAB"/>
    <w:rsid w:val="00261EF6"/>
    <w:rsid w:val="00263EEA"/>
    <w:rsid w:val="002648D9"/>
    <w:rsid w:val="002666EF"/>
    <w:rsid w:val="00266B8D"/>
    <w:rsid w:val="00267909"/>
    <w:rsid w:val="00271C64"/>
    <w:rsid w:val="0027235C"/>
    <w:rsid w:val="00272C1C"/>
    <w:rsid w:val="0027414C"/>
    <w:rsid w:val="00280103"/>
    <w:rsid w:val="002815F4"/>
    <w:rsid w:val="00281EB7"/>
    <w:rsid w:val="002834FF"/>
    <w:rsid w:val="00284C36"/>
    <w:rsid w:val="00290736"/>
    <w:rsid w:val="00290E8E"/>
    <w:rsid w:val="00292AB5"/>
    <w:rsid w:val="00293B1B"/>
    <w:rsid w:val="002946A4"/>
    <w:rsid w:val="00297B83"/>
    <w:rsid w:val="002A0AD7"/>
    <w:rsid w:val="002A7B32"/>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4E8F"/>
    <w:rsid w:val="002D5249"/>
    <w:rsid w:val="002D726C"/>
    <w:rsid w:val="002E20C2"/>
    <w:rsid w:val="002E4747"/>
    <w:rsid w:val="002E78BC"/>
    <w:rsid w:val="002F0B0B"/>
    <w:rsid w:val="002F4E48"/>
    <w:rsid w:val="003027C8"/>
    <w:rsid w:val="00302A97"/>
    <w:rsid w:val="00303C1F"/>
    <w:rsid w:val="00305D34"/>
    <w:rsid w:val="00311789"/>
    <w:rsid w:val="003119C3"/>
    <w:rsid w:val="0031308F"/>
    <w:rsid w:val="00313CFE"/>
    <w:rsid w:val="003143D5"/>
    <w:rsid w:val="00314490"/>
    <w:rsid w:val="00315A08"/>
    <w:rsid w:val="00317608"/>
    <w:rsid w:val="00317EB4"/>
    <w:rsid w:val="00317F48"/>
    <w:rsid w:val="003214DD"/>
    <w:rsid w:val="00322050"/>
    <w:rsid w:val="00326615"/>
    <w:rsid w:val="00327E72"/>
    <w:rsid w:val="00330F0B"/>
    <w:rsid w:val="00333758"/>
    <w:rsid w:val="00335660"/>
    <w:rsid w:val="00336533"/>
    <w:rsid w:val="003367E0"/>
    <w:rsid w:val="003374E0"/>
    <w:rsid w:val="00341882"/>
    <w:rsid w:val="0034247C"/>
    <w:rsid w:val="00343A2F"/>
    <w:rsid w:val="00345CE7"/>
    <w:rsid w:val="0034687F"/>
    <w:rsid w:val="0035139C"/>
    <w:rsid w:val="003521AD"/>
    <w:rsid w:val="003530DA"/>
    <w:rsid w:val="00354230"/>
    <w:rsid w:val="00354E8A"/>
    <w:rsid w:val="00355D12"/>
    <w:rsid w:val="003560F8"/>
    <w:rsid w:val="003566C3"/>
    <w:rsid w:val="00360D74"/>
    <w:rsid w:val="00361736"/>
    <w:rsid w:val="00364844"/>
    <w:rsid w:val="00366EF6"/>
    <w:rsid w:val="00367D46"/>
    <w:rsid w:val="00370DD4"/>
    <w:rsid w:val="003726ED"/>
    <w:rsid w:val="0038016E"/>
    <w:rsid w:val="00385B7E"/>
    <w:rsid w:val="00386FFB"/>
    <w:rsid w:val="0039058F"/>
    <w:rsid w:val="00390BE4"/>
    <w:rsid w:val="003914B8"/>
    <w:rsid w:val="00392EFB"/>
    <w:rsid w:val="00393073"/>
    <w:rsid w:val="0039451F"/>
    <w:rsid w:val="00395F40"/>
    <w:rsid w:val="00397033"/>
    <w:rsid w:val="0039712C"/>
    <w:rsid w:val="003A0C6B"/>
    <w:rsid w:val="003A2ADF"/>
    <w:rsid w:val="003A373F"/>
    <w:rsid w:val="003A55B7"/>
    <w:rsid w:val="003A6706"/>
    <w:rsid w:val="003B1C2E"/>
    <w:rsid w:val="003B2735"/>
    <w:rsid w:val="003B30B2"/>
    <w:rsid w:val="003B4327"/>
    <w:rsid w:val="003B50D8"/>
    <w:rsid w:val="003B665E"/>
    <w:rsid w:val="003B7160"/>
    <w:rsid w:val="003B72B4"/>
    <w:rsid w:val="003B7F0F"/>
    <w:rsid w:val="003C053B"/>
    <w:rsid w:val="003C1704"/>
    <w:rsid w:val="003C2775"/>
    <w:rsid w:val="003C74B3"/>
    <w:rsid w:val="003D063F"/>
    <w:rsid w:val="003D2687"/>
    <w:rsid w:val="003D46BE"/>
    <w:rsid w:val="003D46D1"/>
    <w:rsid w:val="003D4B3A"/>
    <w:rsid w:val="003D4BC8"/>
    <w:rsid w:val="003D51BD"/>
    <w:rsid w:val="003E3B10"/>
    <w:rsid w:val="003F1D19"/>
    <w:rsid w:val="003F1D8E"/>
    <w:rsid w:val="003F47CB"/>
    <w:rsid w:val="003F698B"/>
    <w:rsid w:val="004006F8"/>
    <w:rsid w:val="00400B4E"/>
    <w:rsid w:val="00402C58"/>
    <w:rsid w:val="004063B2"/>
    <w:rsid w:val="004141EB"/>
    <w:rsid w:val="00414ACF"/>
    <w:rsid w:val="0041604B"/>
    <w:rsid w:val="004170CE"/>
    <w:rsid w:val="004171DB"/>
    <w:rsid w:val="00421346"/>
    <w:rsid w:val="0042691E"/>
    <w:rsid w:val="004269C1"/>
    <w:rsid w:val="00430C8E"/>
    <w:rsid w:val="00432B61"/>
    <w:rsid w:val="00433B31"/>
    <w:rsid w:val="00433CA0"/>
    <w:rsid w:val="00434D2E"/>
    <w:rsid w:val="00435207"/>
    <w:rsid w:val="0043623D"/>
    <w:rsid w:val="00436FCF"/>
    <w:rsid w:val="00437807"/>
    <w:rsid w:val="00437A20"/>
    <w:rsid w:val="00437E50"/>
    <w:rsid w:val="004406C3"/>
    <w:rsid w:val="0044296A"/>
    <w:rsid w:val="00443317"/>
    <w:rsid w:val="00445DD0"/>
    <w:rsid w:val="00450D8B"/>
    <w:rsid w:val="004514D8"/>
    <w:rsid w:val="0045256C"/>
    <w:rsid w:val="0045403A"/>
    <w:rsid w:val="004546B9"/>
    <w:rsid w:val="00455435"/>
    <w:rsid w:val="00456650"/>
    <w:rsid w:val="004570C2"/>
    <w:rsid w:val="004572F5"/>
    <w:rsid w:val="004607C3"/>
    <w:rsid w:val="00463383"/>
    <w:rsid w:val="00463C56"/>
    <w:rsid w:val="004706A4"/>
    <w:rsid w:val="00470959"/>
    <w:rsid w:val="00471ADC"/>
    <w:rsid w:val="004724D3"/>
    <w:rsid w:val="004726AB"/>
    <w:rsid w:val="004731A6"/>
    <w:rsid w:val="00474EA4"/>
    <w:rsid w:val="004750C2"/>
    <w:rsid w:val="00476CB2"/>
    <w:rsid w:val="00476F46"/>
    <w:rsid w:val="00477D1E"/>
    <w:rsid w:val="00480C37"/>
    <w:rsid w:val="00480C51"/>
    <w:rsid w:val="0048132D"/>
    <w:rsid w:val="00483DAC"/>
    <w:rsid w:val="00486335"/>
    <w:rsid w:val="00490857"/>
    <w:rsid w:val="00491024"/>
    <w:rsid w:val="004912B8"/>
    <w:rsid w:val="0049335A"/>
    <w:rsid w:val="004963EA"/>
    <w:rsid w:val="00496643"/>
    <w:rsid w:val="004A182E"/>
    <w:rsid w:val="004A440A"/>
    <w:rsid w:val="004A5716"/>
    <w:rsid w:val="004A6738"/>
    <w:rsid w:val="004B0426"/>
    <w:rsid w:val="004B05A5"/>
    <w:rsid w:val="004B1775"/>
    <w:rsid w:val="004B2AFD"/>
    <w:rsid w:val="004B45F3"/>
    <w:rsid w:val="004B4948"/>
    <w:rsid w:val="004B4EC9"/>
    <w:rsid w:val="004B5464"/>
    <w:rsid w:val="004C00AD"/>
    <w:rsid w:val="004C0CB8"/>
    <w:rsid w:val="004C150F"/>
    <w:rsid w:val="004C15AF"/>
    <w:rsid w:val="004C4198"/>
    <w:rsid w:val="004C41F5"/>
    <w:rsid w:val="004C45F5"/>
    <w:rsid w:val="004C472B"/>
    <w:rsid w:val="004C5E47"/>
    <w:rsid w:val="004C605B"/>
    <w:rsid w:val="004C60CF"/>
    <w:rsid w:val="004D0F00"/>
    <w:rsid w:val="004D2EC3"/>
    <w:rsid w:val="004D44EA"/>
    <w:rsid w:val="004D56D8"/>
    <w:rsid w:val="004D6D63"/>
    <w:rsid w:val="004E01EA"/>
    <w:rsid w:val="004E3919"/>
    <w:rsid w:val="004E461C"/>
    <w:rsid w:val="004E4AE8"/>
    <w:rsid w:val="004E5A17"/>
    <w:rsid w:val="004F16E7"/>
    <w:rsid w:val="004F1E9C"/>
    <w:rsid w:val="004F2271"/>
    <w:rsid w:val="004F317C"/>
    <w:rsid w:val="004F354A"/>
    <w:rsid w:val="004F6594"/>
    <w:rsid w:val="004F6D51"/>
    <w:rsid w:val="004F778F"/>
    <w:rsid w:val="0050174D"/>
    <w:rsid w:val="00501B78"/>
    <w:rsid w:val="00503D6B"/>
    <w:rsid w:val="00507F04"/>
    <w:rsid w:val="00511BDD"/>
    <w:rsid w:val="00513927"/>
    <w:rsid w:val="005159CF"/>
    <w:rsid w:val="00517038"/>
    <w:rsid w:val="00520902"/>
    <w:rsid w:val="00522ED6"/>
    <w:rsid w:val="00524DCF"/>
    <w:rsid w:val="00525433"/>
    <w:rsid w:val="00525D28"/>
    <w:rsid w:val="005273BD"/>
    <w:rsid w:val="005365C9"/>
    <w:rsid w:val="0054263A"/>
    <w:rsid w:val="00543AAF"/>
    <w:rsid w:val="0054455E"/>
    <w:rsid w:val="00544883"/>
    <w:rsid w:val="00546E9C"/>
    <w:rsid w:val="00550D87"/>
    <w:rsid w:val="0055114D"/>
    <w:rsid w:val="00551422"/>
    <w:rsid w:val="00552CF7"/>
    <w:rsid w:val="00553CAE"/>
    <w:rsid w:val="005543B3"/>
    <w:rsid w:val="00560EF2"/>
    <w:rsid w:val="00562C91"/>
    <w:rsid w:val="00564265"/>
    <w:rsid w:val="00564B03"/>
    <w:rsid w:val="00564D60"/>
    <w:rsid w:val="00564E38"/>
    <w:rsid w:val="00566BE6"/>
    <w:rsid w:val="005701A9"/>
    <w:rsid w:val="00572500"/>
    <w:rsid w:val="00573041"/>
    <w:rsid w:val="00576D73"/>
    <w:rsid w:val="0058085F"/>
    <w:rsid w:val="00584C38"/>
    <w:rsid w:val="005864AD"/>
    <w:rsid w:val="00587DFB"/>
    <w:rsid w:val="00592106"/>
    <w:rsid w:val="00592912"/>
    <w:rsid w:val="00593806"/>
    <w:rsid w:val="00595A83"/>
    <w:rsid w:val="00596FDB"/>
    <w:rsid w:val="0059722A"/>
    <w:rsid w:val="005975E4"/>
    <w:rsid w:val="005A0C77"/>
    <w:rsid w:val="005A1DDB"/>
    <w:rsid w:val="005A2711"/>
    <w:rsid w:val="005A36F1"/>
    <w:rsid w:val="005A701A"/>
    <w:rsid w:val="005B5D3D"/>
    <w:rsid w:val="005B635F"/>
    <w:rsid w:val="005B67F5"/>
    <w:rsid w:val="005C01EF"/>
    <w:rsid w:val="005C1686"/>
    <w:rsid w:val="005C223E"/>
    <w:rsid w:val="005C25EC"/>
    <w:rsid w:val="005C4F36"/>
    <w:rsid w:val="005C7BC1"/>
    <w:rsid w:val="005D0976"/>
    <w:rsid w:val="005D1937"/>
    <w:rsid w:val="005D20F1"/>
    <w:rsid w:val="005D35B3"/>
    <w:rsid w:val="005D3C81"/>
    <w:rsid w:val="005D5A2E"/>
    <w:rsid w:val="005D6123"/>
    <w:rsid w:val="005D75E9"/>
    <w:rsid w:val="005E117C"/>
    <w:rsid w:val="005E12CA"/>
    <w:rsid w:val="005E1EF3"/>
    <w:rsid w:val="005E29A5"/>
    <w:rsid w:val="005F0197"/>
    <w:rsid w:val="005F1422"/>
    <w:rsid w:val="005F2E9A"/>
    <w:rsid w:val="005F33C7"/>
    <w:rsid w:val="005F49DE"/>
    <w:rsid w:val="005F64FF"/>
    <w:rsid w:val="005F7976"/>
    <w:rsid w:val="00603D89"/>
    <w:rsid w:val="00603F7B"/>
    <w:rsid w:val="00605E58"/>
    <w:rsid w:val="00606829"/>
    <w:rsid w:val="00606BAA"/>
    <w:rsid w:val="00607302"/>
    <w:rsid w:val="00610541"/>
    <w:rsid w:val="006166F0"/>
    <w:rsid w:val="00617343"/>
    <w:rsid w:val="00620BE8"/>
    <w:rsid w:val="00620F89"/>
    <w:rsid w:val="00621246"/>
    <w:rsid w:val="00621EE9"/>
    <w:rsid w:val="00623ECE"/>
    <w:rsid w:val="0062462F"/>
    <w:rsid w:val="006246ED"/>
    <w:rsid w:val="00624887"/>
    <w:rsid w:val="0062587D"/>
    <w:rsid w:val="00630416"/>
    <w:rsid w:val="00630A64"/>
    <w:rsid w:val="00631265"/>
    <w:rsid w:val="00636D1E"/>
    <w:rsid w:val="00637358"/>
    <w:rsid w:val="006377D0"/>
    <w:rsid w:val="006407B5"/>
    <w:rsid w:val="006409F5"/>
    <w:rsid w:val="00641141"/>
    <w:rsid w:val="006414B7"/>
    <w:rsid w:val="00644AE4"/>
    <w:rsid w:val="00645856"/>
    <w:rsid w:val="00645F4C"/>
    <w:rsid w:val="006471B0"/>
    <w:rsid w:val="00654E6E"/>
    <w:rsid w:val="00655B65"/>
    <w:rsid w:val="00657697"/>
    <w:rsid w:val="00664204"/>
    <w:rsid w:val="00666E4E"/>
    <w:rsid w:val="006713F3"/>
    <w:rsid w:val="00673D75"/>
    <w:rsid w:val="00674BBB"/>
    <w:rsid w:val="00675676"/>
    <w:rsid w:val="0067702F"/>
    <w:rsid w:val="00680A5A"/>
    <w:rsid w:val="00681EA2"/>
    <w:rsid w:val="006832D4"/>
    <w:rsid w:val="00691650"/>
    <w:rsid w:val="00691983"/>
    <w:rsid w:val="00693ADB"/>
    <w:rsid w:val="00695FE9"/>
    <w:rsid w:val="0069640D"/>
    <w:rsid w:val="00697BBB"/>
    <w:rsid w:val="006A242F"/>
    <w:rsid w:val="006A427B"/>
    <w:rsid w:val="006A4F06"/>
    <w:rsid w:val="006A5640"/>
    <w:rsid w:val="006A5FB0"/>
    <w:rsid w:val="006A6267"/>
    <w:rsid w:val="006A7C52"/>
    <w:rsid w:val="006B0486"/>
    <w:rsid w:val="006B1B05"/>
    <w:rsid w:val="006B1C90"/>
    <w:rsid w:val="006B44A8"/>
    <w:rsid w:val="006B4764"/>
    <w:rsid w:val="006B48E8"/>
    <w:rsid w:val="006B5DFA"/>
    <w:rsid w:val="006B7F53"/>
    <w:rsid w:val="006C0CA7"/>
    <w:rsid w:val="006C1D67"/>
    <w:rsid w:val="006C2FAE"/>
    <w:rsid w:val="006C346B"/>
    <w:rsid w:val="006C3C52"/>
    <w:rsid w:val="006C66AD"/>
    <w:rsid w:val="006C6E14"/>
    <w:rsid w:val="006D0FDF"/>
    <w:rsid w:val="006D1A1C"/>
    <w:rsid w:val="006D3730"/>
    <w:rsid w:val="006D6280"/>
    <w:rsid w:val="006E108B"/>
    <w:rsid w:val="006E26DD"/>
    <w:rsid w:val="006E31ED"/>
    <w:rsid w:val="006F36CB"/>
    <w:rsid w:val="006F3968"/>
    <w:rsid w:val="006F614A"/>
    <w:rsid w:val="006F65FB"/>
    <w:rsid w:val="006F7B83"/>
    <w:rsid w:val="00702C58"/>
    <w:rsid w:val="007101F9"/>
    <w:rsid w:val="00710323"/>
    <w:rsid w:val="00710F30"/>
    <w:rsid w:val="0071236A"/>
    <w:rsid w:val="00712516"/>
    <w:rsid w:val="007151BC"/>
    <w:rsid w:val="00715D9F"/>
    <w:rsid w:val="007166F9"/>
    <w:rsid w:val="00717340"/>
    <w:rsid w:val="007177D7"/>
    <w:rsid w:val="007208DC"/>
    <w:rsid w:val="00720AEA"/>
    <w:rsid w:val="0072212C"/>
    <w:rsid w:val="00725268"/>
    <w:rsid w:val="00735673"/>
    <w:rsid w:val="007358BD"/>
    <w:rsid w:val="007371B6"/>
    <w:rsid w:val="00741B34"/>
    <w:rsid w:val="00742EA9"/>
    <w:rsid w:val="00742F64"/>
    <w:rsid w:val="00743177"/>
    <w:rsid w:val="007458D6"/>
    <w:rsid w:val="0074592A"/>
    <w:rsid w:val="00747DDC"/>
    <w:rsid w:val="0075095F"/>
    <w:rsid w:val="00750F7A"/>
    <w:rsid w:val="00753021"/>
    <w:rsid w:val="00753F2B"/>
    <w:rsid w:val="0075633B"/>
    <w:rsid w:val="00757DC8"/>
    <w:rsid w:val="00760782"/>
    <w:rsid w:val="007626E5"/>
    <w:rsid w:val="00766B89"/>
    <w:rsid w:val="0076746E"/>
    <w:rsid w:val="007675FE"/>
    <w:rsid w:val="00771323"/>
    <w:rsid w:val="007729A6"/>
    <w:rsid w:val="00772B48"/>
    <w:rsid w:val="00772E36"/>
    <w:rsid w:val="00773AA3"/>
    <w:rsid w:val="00776F34"/>
    <w:rsid w:val="007773A5"/>
    <w:rsid w:val="007773CA"/>
    <w:rsid w:val="00780634"/>
    <w:rsid w:val="007815A3"/>
    <w:rsid w:val="00783E63"/>
    <w:rsid w:val="00783F9C"/>
    <w:rsid w:val="00786DA7"/>
    <w:rsid w:val="00787EAA"/>
    <w:rsid w:val="00787ED2"/>
    <w:rsid w:val="00790790"/>
    <w:rsid w:val="00790B4C"/>
    <w:rsid w:val="00791FCE"/>
    <w:rsid w:val="00793AE7"/>
    <w:rsid w:val="007A19F3"/>
    <w:rsid w:val="007A1CC4"/>
    <w:rsid w:val="007A4749"/>
    <w:rsid w:val="007A5761"/>
    <w:rsid w:val="007A5E04"/>
    <w:rsid w:val="007A5EB6"/>
    <w:rsid w:val="007A692C"/>
    <w:rsid w:val="007A6BD3"/>
    <w:rsid w:val="007A7564"/>
    <w:rsid w:val="007A7595"/>
    <w:rsid w:val="007A78FD"/>
    <w:rsid w:val="007B4F4C"/>
    <w:rsid w:val="007B5B43"/>
    <w:rsid w:val="007B6DA3"/>
    <w:rsid w:val="007B6FFB"/>
    <w:rsid w:val="007C21A5"/>
    <w:rsid w:val="007C246A"/>
    <w:rsid w:val="007C3E52"/>
    <w:rsid w:val="007C50E5"/>
    <w:rsid w:val="007C5637"/>
    <w:rsid w:val="007C636F"/>
    <w:rsid w:val="007C667A"/>
    <w:rsid w:val="007C7232"/>
    <w:rsid w:val="007D0233"/>
    <w:rsid w:val="007D1BE8"/>
    <w:rsid w:val="007D404E"/>
    <w:rsid w:val="007D4AAC"/>
    <w:rsid w:val="007D4F83"/>
    <w:rsid w:val="007D78CC"/>
    <w:rsid w:val="007D7A33"/>
    <w:rsid w:val="007D7FD9"/>
    <w:rsid w:val="007E0F32"/>
    <w:rsid w:val="007E36DB"/>
    <w:rsid w:val="007E40DA"/>
    <w:rsid w:val="007E52E1"/>
    <w:rsid w:val="007E6677"/>
    <w:rsid w:val="007E6A07"/>
    <w:rsid w:val="007E7263"/>
    <w:rsid w:val="007E79E0"/>
    <w:rsid w:val="007F01FD"/>
    <w:rsid w:val="007F1623"/>
    <w:rsid w:val="007F213E"/>
    <w:rsid w:val="007F21D7"/>
    <w:rsid w:val="007F2DC3"/>
    <w:rsid w:val="007F316F"/>
    <w:rsid w:val="007F4BB0"/>
    <w:rsid w:val="007F57A3"/>
    <w:rsid w:val="008003E3"/>
    <w:rsid w:val="00803B9C"/>
    <w:rsid w:val="00806378"/>
    <w:rsid w:val="008132F0"/>
    <w:rsid w:val="00815506"/>
    <w:rsid w:val="00816D90"/>
    <w:rsid w:val="00821311"/>
    <w:rsid w:val="008233F0"/>
    <w:rsid w:val="00823FE1"/>
    <w:rsid w:val="00824F30"/>
    <w:rsid w:val="00825069"/>
    <w:rsid w:val="008266A6"/>
    <w:rsid w:val="00826F7B"/>
    <w:rsid w:val="0082793D"/>
    <w:rsid w:val="008329EE"/>
    <w:rsid w:val="00833393"/>
    <w:rsid w:val="00833FCE"/>
    <w:rsid w:val="008351C1"/>
    <w:rsid w:val="00837A66"/>
    <w:rsid w:val="00842E03"/>
    <w:rsid w:val="008454A6"/>
    <w:rsid w:val="00845F42"/>
    <w:rsid w:val="008504A1"/>
    <w:rsid w:val="008523BF"/>
    <w:rsid w:val="00852894"/>
    <w:rsid w:val="00852C56"/>
    <w:rsid w:val="0085402E"/>
    <w:rsid w:val="0085438A"/>
    <w:rsid w:val="00854FB3"/>
    <w:rsid w:val="00855942"/>
    <w:rsid w:val="00855A87"/>
    <w:rsid w:val="0085704F"/>
    <w:rsid w:val="00857B0E"/>
    <w:rsid w:val="00864E4A"/>
    <w:rsid w:val="00866459"/>
    <w:rsid w:val="00867B4C"/>
    <w:rsid w:val="00867C8A"/>
    <w:rsid w:val="008715DA"/>
    <w:rsid w:val="008732C5"/>
    <w:rsid w:val="0087537B"/>
    <w:rsid w:val="00875B09"/>
    <w:rsid w:val="008800E8"/>
    <w:rsid w:val="0088192D"/>
    <w:rsid w:val="00882846"/>
    <w:rsid w:val="00883380"/>
    <w:rsid w:val="00885627"/>
    <w:rsid w:val="008909B3"/>
    <w:rsid w:val="008911EA"/>
    <w:rsid w:val="0089260E"/>
    <w:rsid w:val="00892E43"/>
    <w:rsid w:val="00892EF1"/>
    <w:rsid w:val="00893B6A"/>
    <w:rsid w:val="00894FD8"/>
    <w:rsid w:val="00896264"/>
    <w:rsid w:val="008969FF"/>
    <w:rsid w:val="00896EEB"/>
    <w:rsid w:val="008A2BA6"/>
    <w:rsid w:val="008A3C16"/>
    <w:rsid w:val="008A5849"/>
    <w:rsid w:val="008A74E8"/>
    <w:rsid w:val="008B3735"/>
    <w:rsid w:val="008B45F0"/>
    <w:rsid w:val="008B4D4B"/>
    <w:rsid w:val="008B5A17"/>
    <w:rsid w:val="008B6CB9"/>
    <w:rsid w:val="008C18F6"/>
    <w:rsid w:val="008C4247"/>
    <w:rsid w:val="008C582D"/>
    <w:rsid w:val="008C5852"/>
    <w:rsid w:val="008D0C16"/>
    <w:rsid w:val="008D0E94"/>
    <w:rsid w:val="008D1BA0"/>
    <w:rsid w:val="008D318C"/>
    <w:rsid w:val="008D376E"/>
    <w:rsid w:val="008D539A"/>
    <w:rsid w:val="008D61F1"/>
    <w:rsid w:val="008D7FE3"/>
    <w:rsid w:val="008E08A3"/>
    <w:rsid w:val="008E7348"/>
    <w:rsid w:val="008F0808"/>
    <w:rsid w:val="008F17A8"/>
    <w:rsid w:val="008F2727"/>
    <w:rsid w:val="008F5767"/>
    <w:rsid w:val="008F57BA"/>
    <w:rsid w:val="008F5E05"/>
    <w:rsid w:val="008F6F97"/>
    <w:rsid w:val="009008FF"/>
    <w:rsid w:val="00900B4D"/>
    <w:rsid w:val="00901EFB"/>
    <w:rsid w:val="00905796"/>
    <w:rsid w:val="00905BFC"/>
    <w:rsid w:val="009063DA"/>
    <w:rsid w:val="00906CF5"/>
    <w:rsid w:val="009078BD"/>
    <w:rsid w:val="009115AB"/>
    <w:rsid w:val="00912AEB"/>
    <w:rsid w:val="009150F5"/>
    <w:rsid w:val="009158B5"/>
    <w:rsid w:val="009179FE"/>
    <w:rsid w:val="00925AB7"/>
    <w:rsid w:val="00930042"/>
    <w:rsid w:val="00930DE8"/>
    <w:rsid w:val="009313EC"/>
    <w:rsid w:val="0093204F"/>
    <w:rsid w:val="0093219C"/>
    <w:rsid w:val="0093428B"/>
    <w:rsid w:val="0093570B"/>
    <w:rsid w:val="0093637F"/>
    <w:rsid w:val="00936E6E"/>
    <w:rsid w:val="00937D5D"/>
    <w:rsid w:val="00940498"/>
    <w:rsid w:val="00942E74"/>
    <w:rsid w:val="009434B9"/>
    <w:rsid w:val="00943A1D"/>
    <w:rsid w:val="00945913"/>
    <w:rsid w:val="009461C2"/>
    <w:rsid w:val="0094708D"/>
    <w:rsid w:val="009474F5"/>
    <w:rsid w:val="009506E5"/>
    <w:rsid w:val="00952DF2"/>
    <w:rsid w:val="00960140"/>
    <w:rsid w:val="009613D3"/>
    <w:rsid w:val="009655FC"/>
    <w:rsid w:val="009656D2"/>
    <w:rsid w:val="00971C1A"/>
    <w:rsid w:val="009720D8"/>
    <w:rsid w:val="009722BA"/>
    <w:rsid w:val="0097391E"/>
    <w:rsid w:val="00976AB9"/>
    <w:rsid w:val="00976F0C"/>
    <w:rsid w:val="00981FB1"/>
    <w:rsid w:val="00982A90"/>
    <w:rsid w:val="00983CF4"/>
    <w:rsid w:val="00986808"/>
    <w:rsid w:val="00986F47"/>
    <w:rsid w:val="00987649"/>
    <w:rsid w:val="0099522A"/>
    <w:rsid w:val="0099523E"/>
    <w:rsid w:val="009959D8"/>
    <w:rsid w:val="009964F3"/>
    <w:rsid w:val="0099739A"/>
    <w:rsid w:val="009A1744"/>
    <w:rsid w:val="009A1DFF"/>
    <w:rsid w:val="009A2478"/>
    <w:rsid w:val="009A4445"/>
    <w:rsid w:val="009A47BD"/>
    <w:rsid w:val="009A6428"/>
    <w:rsid w:val="009A7308"/>
    <w:rsid w:val="009B06B4"/>
    <w:rsid w:val="009B09F4"/>
    <w:rsid w:val="009B4AB8"/>
    <w:rsid w:val="009C3870"/>
    <w:rsid w:val="009C3FA8"/>
    <w:rsid w:val="009C4494"/>
    <w:rsid w:val="009C61D4"/>
    <w:rsid w:val="009D1886"/>
    <w:rsid w:val="009D2519"/>
    <w:rsid w:val="009D348B"/>
    <w:rsid w:val="009D5B55"/>
    <w:rsid w:val="009D5F23"/>
    <w:rsid w:val="009E250B"/>
    <w:rsid w:val="009E3882"/>
    <w:rsid w:val="009E5534"/>
    <w:rsid w:val="009E699D"/>
    <w:rsid w:val="009E6BE5"/>
    <w:rsid w:val="009E7222"/>
    <w:rsid w:val="009F00E5"/>
    <w:rsid w:val="009F4E11"/>
    <w:rsid w:val="00A002C9"/>
    <w:rsid w:val="00A01EC7"/>
    <w:rsid w:val="00A05538"/>
    <w:rsid w:val="00A06305"/>
    <w:rsid w:val="00A06610"/>
    <w:rsid w:val="00A0695F"/>
    <w:rsid w:val="00A07AB7"/>
    <w:rsid w:val="00A12141"/>
    <w:rsid w:val="00A145AC"/>
    <w:rsid w:val="00A14AC1"/>
    <w:rsid w:val="00A14B16"/>
    <w:rsid w:val="00A152C7"/>
    <w:rsid w:val="00A1698C"/>
    <w:rsid w:val="00A17456"/>
    <w:rsid w:val="00A21221"/>
    <w:rsid w:val="00A2163F"/>
    <w:rsid w:val="00A21D4A"/>
    <w:rsid w:val="00A2217B"/>
    <w:rsid w:val="00A24C5D"/>
    <w:rsid w:val="00A25759"/>
    <w:rsid w:val="00A25A7C"/>
    <w:rsid w:val="00A31484"/>
    <w:rsid w:val="00A322AE"/>
    <w:rsid w:val="00A337B5"/>
    <w:rsid w:val="00A3537F"/>
    <w:rsid w:val="00A361F7"/>
    <w:rsid w:val="00A3743A"/>
    <w:rsid w:val="00A375EE"/>
    <w:rsid w:val="00A40F6D"/>
    <w:rsid w:val="00A4161E"/>
    <w:rsid w:val="00A440DC"/>
    <w:rsid w:val="00A44C06"/>
    <w:rsid w:val="00A455B5"/>
    <w:rsid w:val="00A46EF7"/>
    <w:rsid w:val="00A47012"/>
    <w:rsid w:val="00A4712D"/>
    <w:rsid w:val="00A52A70"/>
    <w:rsid w:val="00A55078"/>
    <w:rsid w:val="00A55B67"/>
    <w:rsid w:val="00A56873"/>
    <w:rsid w:val="00A568DA"/>
    <w:rsid w:val="00A61C5E"/>
    <w:rsid w:val="00A62CE6"/>
    <w:rsid w:val="00A62F0A"/>
    <w:rsid w:val="00A635CC"/>
    <w:rsid w:val="00A66934"/>
    <w:rsid w:val="00A677FA"/>
    <w:rsid w:val="00A7184D"/>
    <w:rsid w:val="00A7242E"/>
    <w:rsid w:val="00A764D9"/>
    <w:rsid w:val="00A76F86"/>
    <w:rsid w:val="00A80F57"/>
    <w:rsid w:val="00A87721"/>
    <w:rsid w:val="00A904A4"/>
    <w:rsid w:val="00A918CD"/>
    <w:rsid w:val="00A91A49"/>
    <w:rsid w:val="00A9338C"/>
    <w:rsid w:val="00AA17CF"/>
    <w:rsid w:val="00AA39BD"/>
    <w:rsid w:val="00AA3E26"/>
    <w:rsid w:val="00AA46A3"/>
    <w:rsid w:val="00AA4F98"/>
    <w:rsid w:val="00AA572D"/>
    <w:rsid w:val="00AA6932"/>
    <w:rsid w:val="00AB065D"/>
    <w:rsid w:val="00AB1C9F"/>
    <w:rsid w:val="00AB2F49"/>
    <w:rsid w:val="00AB42D9"/>
    <w:rsid w:val="00AB495C"/>
    <w:rsid w:val="00AB4B47"/>
    <w:rsid w:val="00AB4D40"/>
    <w:rsid w:val="00AB62B1"/>
    <w:rsid w:val="00AB7529"/>
    <w:rsid w:val="00AB76CF"/>
    <w:rsid w:val="00AB7BA4"/>
    <w:rsid w:val="00AC10A4"/>
    <w:rsid w:val="00AC1D4F"/>
    <w:rsid w:val="00AC254E"/>
    <w:rsid w:val="00AC296E"/>
    <w:rsid w:val="00AC63D1"/>
    <w:rsid w:val="00AC677C"/>
    <w:rsid w:val="00AC7C5B"/>
    <w:rsid w:val="00AD37E9"/>
    <w:rsid w:val="00AD4484"/>
    <w:rsid w:val="00AD562B"/>
    <w:rsid w:val="00AD5644"/>
    <w:rsid w:val="00AE1B95"/>
    <w:rsid w:val="00AE245E"/>
    <w:rsid w:val="00AE5CED"/>
    <w:rsid w:val="00AE6ADA"/>
    <w:rsid w:val="00AE7EA7"/>
    <w:rsid w:val="00B002DB"/>
    <w:rsid w:val="00B0107B"/>
    <w:rsid w:val="00B05314"/>
    <w:rsid w:val="00B05597"/>
    <w:rsid w:val="00B068A9"/>
    <w:rsid w:val="00B07169"/>
    <w:rsid w:val="00B10F46"/>
    <w:rsid w:val="00B11E57"/>
    <w:rsid w:val="00B12BF5"/>
    <w:rsid w:val="00B1307E"/>
    <w:rsid w:val="00B130AC"/>
    <w:rsid w:val="00B133B6"/>
    <w:rsid w:val="00B15770"/>
    <w:rsid w:val="00B179B8"/>
    <w:rsid w:val="00B17F9C"/>
    <w:rsid w:val="00B2242E"/>
    <w:rsid w:val="00B2316C"/>
    <w:rsid w:val="00B24DA7"/>
    <w:rsid w:val="00B2662F"/>
    <w:rsid w:val="00B31B90"/>
    <w:rsid w:val="00B31F66"/>
    <w:rsid w:val="00B32A2A"/>
    <w:rsid w:val="00B3393D"/>
    <w:rsid w:val="00B33B8F"/>
    <w:rsid w:val="00B34D9F"/>
    <w:rsid w:val="00B36A67"/>
    <w:rsid w:val="00B3714D"/>
    <w:rsid w:val="00B37A45"/>
    <w:rsid w:val="00B40521"/>
    <w:rsid w:val="00B406F6"/>
    <w:rsid w:val="00B41FD4"/>
    <w:rsid w:val="00B458E5"/>
    <w:rsid w:val="00B47ACC"/>
    <w:rsid w:val="00B519EB"/>
    <w:rsid w:val="00B52E20"/>
    <w:rsid w:val="00B539A0"/>
    <w:rsid w:val="00B60171"/>
    <w:rsid w:val="00B61385"/>
    <w:rsid w:val="00B6298D"/>
    <w:rsid w:val="00B668FF"/>
    <w:rsid w:val="00B711A4"/>
    <w:rsid w:val="00B717A1"/>
    <w:rsid w:val="00B72EEA"/>
    <w:rsid w:val="00B74A2F"/>
    <w:rsid w:val="00B7627B"/>
    <w:rsid w:val="00B82644"/>
    <w:rsid w:val="00B83373"/>
    <w:rsid w:val="00B8361E"/>
    <w:rsid w:val="00B87533"/>
    <w:rsid w:val="00B8772E"/>
    <w:rsid w:val="00B9121F"/>
    <w:rsid w:val="00B9252D"/>
    <w:rsid w:val="00B92819"/>
    <w:rsid w:val="00B93EBF"/>
    <w:rsid w:val="00B94B33"/>
    <w:rsid w:val="00B95FEE"/>
    <w:rsid w:val="00B960E1"/>
    <w:rsid w:val="00B96C62"/>
    <w:rsid w:val="00B97256"/>
    <w:rsid w:val="00BA4CE0"/>
    <w:rsid w:val="00BA4E15"/>
    <w:rsid w:val="00BA57C0"/>
    <w:rsid w:val="00BA6430"/>
    <w:rsid w:val="00BB00DE"/>
    <w:rsid w:val="00BB2125"/>
    <w:rsid w:val="00BB2346"/>
    <w:rsid w:val="00BB31E5"/>
    <w:rsid w:val="00BB710A"/>
    <w:rsid w:val="00BC112E"/>
    <w:rsid w:val="00BC3A9B"/>
    <w:rsid w:val="00BC482C"/>
    <w:rsid w:val="00BC544A"/>
    <w:rsid w:val="00BC60F0"/>
    <w:rsid w:val="00BC6D0D"/>
    <w:rsid w:val="00BC728A"/>
    <w:rsid w:val="00BD2120"/>
    <w:rsid w:val="00BD431A"/>
    <w:rsid w:val="00BD46FD"/>
    <w:rsid w:val="00BD4D84"/>
    <w:rsid w:val="00BD753B"/>
    <w:rsid w:val="00BD7BBB"/>
    <w:rsid w:val="00BE05CB"/>
    <w:rsid w:val="00BE7406"/>
    <w:rsid w:val="00BE796E"/>
    <w:rsid w:val="00BF01C0"/>
    <w:rsid w:val="00BF0EC1"/>
    <w:rsid w:val="00BF5766"/>
    <w:rsid w:val="00BF5A89"/>
    <w:rsid w:val="00C003B8"/>
    <w:rsid w:val="00C007A7"/>
    <w:rsid w:val="00C0242D"/>
    <w:rsid w:val="00C03A02"/>
    <w:rsid w:val="00C064DF"/>
    <w:rsid w:val="00C10AB1"/>
    <w:rsid w:val="00C10C8F"/>
    <w:rsid w:val="00C11634"/>
    <w:rsid w:val="00C12D67"/>
    <w:rsid w:val="00C131A2"/>
    <w:rsid w:val="00C13AAA"/>
    <w:rsid w:val="00C13EE8"/>
    <w:rsid w:val="00C13FBB"/>
    <w:rsid w:val="00C140C7"/>
    <w:rsid w:val="00C14E11"/>
    <w:rsid w:val="00C2031B"/>
    <w:rsid w:val="00C2068C"/>
    <w:rsid w:val="00C2294C"/>
    <w:rsid w:val="00C2521A"/>
    <w:rsid w:val="00C2677C"/>
    <w:rsid w:val="00C273A7"/>
    <w:rsid w:val="00C30115"/>
    <w:rsid w:val="00C31F06"/>
    <w:rsid w:val="00C31F55"/>
    <w:rsid w:val="00C31FFF"/>
    <w:rsid w:val="00C32D3E"/>
    <w:rsid w:val="00C33509"/>
    <w:rsid w:val="00C340E5"/>
    <w:rsid w:val="00C34B21"/>
    <w:rsid w:val="00C35959"/>
    <w:rsid w:val="00C36B3E"/>
    <w:rsid w:val="00C37393"/>
    <w:rsid w:val="00C46206"/>
    <w:rsid w:val="00C52353"/>
    <w:rsid w:val="00C52A49"/>
    <w:rsid w:val="00C54EF2"/>
    <w:rsid w:val="00C56966"/>
    <w:rsid w:val="00C57F07"/>
    <w:rsid w:val="00C61275"/>
    <w:rsid w:val="00C62A2F"/>
    <w:rsid w:val="00C6413D"/>
    <w:rsid w:val="00C64278"/>
    <w:rsid w:val="00C65BF5"/>
    <w:rsid w:val="00C676FF"/>
    <w:rsid w:val="00C711CA"/>
    <w:rsid w:val="00C753E0"/>
    <w:rsid w:val="00C76F17"/>
    <w:rsid w:val="00C77940"/>
    <w:rsid w:val="00C84A21"/>
    <w:rsid w:val="00C85217"/>
    <w:rsid w:val="00C87F13"/>
    <w:rsid w:val="00C87FEB"/>
    <w:rsid w:val="00C91077"/>
    <w:rsid w:val="00C9255D"/>
    <w:rsid w:val="00C94D69"/>
    <w:rsid w:val="00C96A29"/>
    <w:rsid w:val="00CA0854"/>
    <w:rsid w:val="00CA4598"/>
    <w:rsid w:val="00CA5C25"/>
    <w:rsid w:val="00CB077B"/>
    <w:rsid w:val="00CB088F"/>
    <w:rsid w:val="00CB0918"/>
    <w:rsid w:val="00CB0B4B"/>
    <w:rsid w:val="00CB0F16"/>
    <w:rsid w:val="00CB0F45"/>
    <w:rsid w:val="00CB175E"/>
    <w:rsid w:val="00CB241A"/>
    <w:rsid w:val="00CB2D09"/>
    <w:rsid w:val="00CB4FD5"/>
    <w:rsid w:val="00CB530F"/>
    <w:rsid w:val="00CB6236"/>
    <w:rsid w:val="00CB6C40"/>
    <w:rsid w:val="00CB7892"/>
    <w:rsid w:val="00CB7E36"/>
    <w:rsid w:val="00CC39A0"/>
    <w:rsid w:val="00CC3F20"/>
    <w:rsid w:val="00CC6A99"/>
    <w:rsid w:val="00CC6F87"/>
    <w:rsid w:val="00CC7434"/>
    <w:rsid w:val="00CD7D5F"/>
    <w:rsid w:val="00CE4A63"/>
    <w:rsid w:val="00CE510B"/>
    <w:rsid w:val="00CE67D7"/>
    <w:rsid w:val="00CF1DFC"/>
    <w:rsid w:val="00CF3DF8"/>
    <w:rsid w:val="00CF443F"/>
    <w:rsid w:val="00CF6EF5"/>
    <w:rsid w:val="00D03376"/>
    <w:rsid w:val="00D074B3"/>
    <w:rsid w:val="00D0768D"/>
    <w:rsid w:val="00D13DFD"/>
    <w:rsid w:val="00D2052E"/>
    <w:rsid w:val="00D2272A"/>
    <w:rsid w:val="00D22A69"/>
    <w:rsid w:val="00D25D52"/>
    <w:rsid w:val="00D261B0"/>
    <w:rsid w:val="00D261DB"/>
    <w:rsid w:val="00D268F5"/>
    <w:rsid w:val="00D26BA5"/>
    <w:rsid w:val="00D26E44"/>
    <w:rsid w:val="00D27804"/>
    <w:rsid w:val="00D303A1"/>
    <w:rsid w:val="00D31F18"/>
    <w:rsid w:val="00D33A14"/>
    <w:rsid w:val="00D4075D"/>
    <w:rsid w:val="00D44351"/>
    <w:rsid w:val="00D45140"/>
    <w:rsid w:val="00D50E5B"/>
    <w:rsid w:val="00D512E0"/>
    <w:rsid w:val="00D51C82"/>
    <w:rsid w:val="00D5403D"/>
    <w:rsid w:val="00D549E0"/>
    <w:rsid w:val="00D54B45"/>
    <w:rsid w:val="00D571EF"/>
    <w:rsid w:val="00D602CE"/>
    <w:rsid w:val="00D603CE"/>
    <w:rsid w:val="00D615FE"/>
    <w:rsid w:val="00D64474"/>
    <w:rsid w:val="00D64DCE"/>
    <w:rsid w:val="00D662CC"/>
    <w:rsid w:val="00D67D2D"/>
    <w:rsid w:val="00D72C9B"/>
    <w:rsid w:val="00D72ED8"/>
    <w:rsid w:val="00D73980"/>
    <w:rsid w:val="00D74800"/>
    <w:rsid w:val="00D7651E"/>
    <w:rsid w:val="00D76EF6"/>
    <w:rsid w:val="00D803D1"/>
    <w:rsid w:val="00D81345"/>
    <w:rsid w:val="00D83BF5"/>
    <w:rsid w:val="00D840FF"/>
    <w:rsid w:val="00D84489"/>
    <w:rsid w:val="00D84C8C"/>
    <w:rsid w:val="00D864CD"/>
    <w:rsid w:val="00D9018C"/>
    <w:rsid w:val="00D901FB"/>
    <w:rsid w:val="00D91BFD"/>
    <w:rsid w:val="00D9757E"/>
    <w:rsid w:val="00D97A89"/>
    <w:rsid w:val="00DA0303"/>
    <w:rsid w:val="00DA0B74"/>
    <w:rsid w:val="00DA1881"/>
    <w:rsid w:val="00DA34D6"/>
    <w:rsid w:val="00DA3647"/>
    <w:rsid w:val="00DA41AA"/>
    <w:rsid w:val="00DA4395"/>
    <w:rsid w:val="00DA506C"/>
    <w:rsid w:val="00DA5D4A"/>
    <w:rsid w:val="00DA7294"/>
    <w:rsid w:val="00DB6E37"/>
    <w:rsid w:val="00DC20BE"/>
    <w:rsid w:val="00DC2783"/>
    <w:rsid w:val="00DC37A0"/>
    <w:rsid w:val="00DC3A8B"/>
    <w:rsid w:val="00DC4812"/>
    <w:rsid w:val="00DC5023"/>
    <w:rsid w:val="00DC6F2B"/>
    <w:rsid w:val="00DC799E"/>
    <w:rsid w:val="00DD1669"/>
    <w:rsid w:val="00DD17AC"/>
    <w:rsid w:val="00DD2B3A"/>
    <w:rsid w:val="00DD2D38"/>
    <w:rsid w:val="00DD454B"/>
    <w:rsid w:val="00DD47E9"/>
    <w:rsid w:val="00DD4A2A"/>
    <w:rsid w:val="00DD609A"/>
    <w:rsid w:val="00DD628C"/>
    <w:rsid w:val="00DD643C"/>
    <w:rsid w:val="00DD7033"/>
    <w:rsid w:val="00DE1561"/>
    <w:rsid w:val="00DE2A83"/>
    <w:rsid w:val="00DE3034"/>
    <w:rsid w:val="00DE76BC"/>
    <w:rsid w:val="00DF0656"/>
    <w:rsid w:val="00DF3AB5"/>
    <w:rsid w:val="00DF5053"/>
    <w:rsid w:val="00DF55C4"/>
    <w:rsid w:val="00DF5FBC"/>
    <w:rsid w:val="00DF6A3C"/>
    <w:rsid w:val="00E029E7"/>
    <w:rsid w:val="00E02D92"/>
    <w:rsid w:val="00E03240"/>
    <w:rsid w:val="00E05762"/>
    <w:rsid w:val="00E059AC"/>
    <w:rsid w:val="00E05DF5"/>
    <w:rsid w:val="00E06258"/>
    <w:rsid w:val="00E07A81"/>
    <w:rsid w:val="00E07B6E"/>
    <w:rsid w:val="00E11B21"/>
    <w:rsid w:val="00E1379E"/>
    <w:rsid w:val="00E14B30"/>
    <w:rsid w:val="00E14F64"/>
    <w:rsid w:val="00E16EE4"/>
    <w:rsid w:val="00E17314"/>
    <w:rsid w:val="00E20051"/>
    <w:rsid w:val="00E209EB"/>
    <w:rsid w:val="00E22B0D"/>
    <w:rsid w:val="00E23776"/>
    <w:rsid w:val="00E24DA7"/>
    <w:rsid w:val="00E31DF3"/>
    <w:rsid w:val="00E34399"/>
    <w:rsid w:val="00E3770B"/>
    <w:rsid w:val="00E403FC"/>
    <w:rsid w:val="00E4127F"/>
    <w:rsid w:val="00E4161B"/>
    <w:rsid w:val="00E41A19"/>
    <w:rsid w:val="00E450DB"/>
    <w:rsid w:val="00E45A31"/>
    <w:rsid w:val="00E46E60"/>
    <w:rsid w:val="00E50392"/>
    <w:rsid w:val="00E50CE8"/>
    <w:rsid w:val="00E51C64"/>
    <w:rsid w:val="00E525E0"/>
    <w:rsid w:val="00E54928"/>
    <w:rsid w:val="00E5617F"/>
    <w:rsid w:val="00E6785A"/>
    <w:rsid w:val="00E67880"/>
    <w:rsid w:val="00E7111A"/>
    <w:rsid w:val="00E71D9A"/>
    <w:rsid w:val="00E73323"/>
    <w:rsid w:val="00E74330"/>
    <w:rsid w:val="00E7491B"/>
    <w:rsid w:val="00E75AEB"/>
    <w:rsid w:val="00E775E1"/>
    <w:rsid w:val="00E77F50"/>
    <w:rsid w:val="00E81647"/>
    <w:rsid w:val="00E828A9"/>
    <w:rsid w:val="00E82A03"/>
    <w:rsid w:val="00E83DE8"/>
    <w:rsid w:val="00E85410"/>
    <w:rsid w:val="00E8551E"/>
    <w:rsid w:val="00E8646A"/>
    <w:rsid w:val="00E86F26"/>
    <w:rsid w:val="00E87A8C"/>
    <w:rsid w:val="00E9353F"/>
    <w:rsid w:val="00E94DEF"/>
    <w:rsid w:val="00E95A52"/>
    <w:rsid w:val="00E96155"/>
    <w:rsid w:val="00E97874"/>
    <w:rsid w:val="00E97CB2"/>
    <w:rsid w:val="00E97E6E"/>
    <w:rsid w:val="00EA18AF"/>
    <w:rsid w:val="00EA59C7"/>
    <w:rsid w:val="00EA664C"/>
    <w:rsid w:val="00EB11A0"/>
    <w:rsid w:val="00EB39E5"/>
    <w:rsid w:val="00EB4D13"/>
    <w:rsid w:val="00EB5224"/>
    <w:rsid w:val="00EC07BE"/>
    <w:rsid w:val="00EC5BBC"/>
    <w:rsid w:val="00EC67D8"/>
    <w:rsid w:val="00EC7509"/>
    <w:rsid w:val="00EC7E5B"/>
    <w:rsid w:val="00EC7EF4"/>
    <w:rsid w:val="00ED15F7"/>
    <w:rsid w:val="00ED46BB"/>
    <w:rsid w:val="00ED5C52"/>
    <w:rsid w:val="00ED5FC7"/>
    <w:rsid w:val="00ED72B8"/>
    <w:rsid w:val="00ED78C0"/>
    <w:rsid w:val="00EE0D87"/>
    <w:rsid w:val="00EE0F5D"/>
    <w:rsid w:val="00EE2FD4"/>
    <w:rsid w:val="00EE5AD4"/>
    <w:rsid w:val="00EE694F"/>
    <w:rsid w:val="00EF0CD7"/>
    <w:rsid w:val="00EF28FD"/>
    <w:rsid w:val="00EF501A"/>
    <w:rsid w:val="00EF7C8D"/>
    <w:rsid w:val="00F00522"/>
    <w:rsid w:val="00F006C2"/>
    <w:rsid w:val="00F0230A"/>
    <w:rsid w:val="00F02375"/>
    <w:rsid w:val="00F03B13"/>
    <w:rsid w:val="00F04665"/>
    <w:rsid w:val="00F05BE6"/>
    <w:rsid w:val="00F06485"/>
    <w:rsid w:val="00F11552"/>
    <w:rsid w:val="00F132BB"/>
    <w:rsid w:val="00F14579"/>
    <w:rsid w:val="00F15F9B"/>
    <w:rsid w:val="00F17B82"/>
    <w:rsid w:val="00F2045B"/>
    <w:rsid w:val="00F2068D"/>
    <w:rsid w:val="00F20869"/>
    <w:rsid w:val="00F2195C"/>
    <w:rsid w:val="00F23C10"/>
    <w:rsid w:val="00F267B6"/>
    <w:rsid w:val="00F268AC"/>
    <w:rsid w:val="00F303A6"/>
    <w:rsid w:val="00F34040"/>
    <w:rsid w:val="00F35369"/>
    <w:rsid w:val="00F36132"/>
    <w:rsid w:val="00F36F47"/>
    <w:rsid w:val="00F41427"/>
    <w:rsid w:val="00F41FD5"/>
    <w:rsid w:val="00F42CF5"/>
    <w:rsid w:val="00F43723"/>
    <w:rsid w:val="00F45A22"/>
    <w:rsid w:val="00F45C95"/>
    <w:rsid w:val="00F4785D"/>
    <w:rsid w:val="00F47C1F"/>
    <w:rsid w:val="00F503AF"/>
    <w:rsid w:val="00F5113D"/>
    <w:rsid w:val="00F51365"/>
    <w:rsid w:val="00F527E9"/>
    <w:rsid w:val="00F528D9"/>
    <w:rsid w:val="00F52928"/>
    <w:rsid w:val="00F5417F"/>
    <w:rsid w:val="00F5550E"/>
    <w:rsid w:val="00F55589"/>
    <w:rsid w:val="00F55A6C"/>
    <w:rsid w:val="00F5648C"/>
    <w:rsid w:val="00F5676C"/>
    <w:rsid w:val="00F600EF"/>
    <w:rsid w:val="00F607E5"/>
    <w:rsid w:val="00F60928"/>
    <w:rsid w:val="00F60D04"/>
    <w:rsid w:val="00F611FA"/>
    <w:rsid w:val="00F701B7"/>
    <w:rsid w:val="00F73D2B"/>
    <w:rsid w:val="00F7656A"/>
    <w:rsid w:val="00F815AF"/>
    <w:rsid w:val="00F8399D"/>
    <w:rsid w:val="00F84FE7"/>
    <w:rsid w:val="00F850AB"/>
    <w:rsid w:val="00F850B3"/>
    <w:rsid w:val="00F853B3"/>
    <w:rsid w:val="00F86617"/>
    <w:rsid w:val="00F910C7"/>
    <w:rsid w:val="00F920E0"/>
    <w:rsid w:val="00F944C7"/>
    <w:rsid w:val="00F960E7"/>
    <w:rsid w:val="00FA29F6"/>
    <w:rsid w:val="00FA2FD6"/>
    <w:rsid w:val="00FA3999"/>
    <w:rsid w:val="00FB061F"/>
    <w:rsid w:val="00FB1380"/>
    <w:rsid w:val="00FB1663"/>
    <w:rsid w:val="00FB1718"/>
    <w:rsid w:val="00FB3930"/>
    <w:rsid w:val="00FB69DC"/>
    <w:rsid w:val="00FB774E"/>
    <w:rsid w:val="00FC054B"/>
    <w:rsid w:val="00FC1C62"/>
    <w:rsid w:val="00FC5CC3"/>
    <w:rsid w:val="00FC5CEE"/>
    <w:rsid w:val="00FC6693"/>
    <w:rsid w:val="00FC7F1E"/>
    <w:rsid w:val="00FD5337"/>
    <w:rsid w:val="00FD60B5"/>
    <w:rsid w:val="00FE0166"/>
    <w:rsid w:val="00FE0B35"/>
    <w:rsid w:val="00FE273A"/>
    <w:rsid w:val="00FE2B69"/>
    <w:rsid w:val="00FE79DC"/>
    <w:rsid w:val="00FE7D4F"/>
    <w:rsid w:val="00FF08FB"/>
    <w:rsid w:val="00FF303C"/>
    <w:rsid w:val="00FF3434"/>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84959D7"/>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BBC"/>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link w:val="CaptionChar"/>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aliases w:val="- Bullets,목록 단락,リスト段落,列出段落,Lista1,?? ??,?????,????"/>
    <w:basedOn w:val="Normal"/>
    <w:link w:val="ListParagraphChar"/>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rsid w:val="00742EA9"/>
    <w:rPr>
      <w:rFonts w:eastAsia="Times New Roman"/>
      <w:sz w:val="24"/>
      <w:szCs w:val="24"/>
    </w:rPr>
  </w:style>
  <w:style w:type="paragraph" w:customStyle="1" w:styleId="bullet">
    <w:name w:val="bullet"/>
    <w:basedOn w:val="ListParagraph"/>
    <w:link w:val="bulletChar"/>
    <w:qFormat/>
    <w:rsid w:val="00742EA9"/>
    <w:pPr>
      <w:widowControl w:val="0"/>
      <w:numPr>
        <w:numId w:val="20"/>
      </w:numPr>
      <w:spacing w:after="60"/>
      <w:ind w:left="720"/>
      <w:jc w:val="both"/>
    </w:pPr>
    <w:rPr>
      <w:kern w:val="2"/>
      <w:sz w:val="20"/>
      <w:lang w:val="en-GB" w:eastAsia="en-US"/>
    </w:rPr>
  </w:style>
  <w:style w:type="character" w:customStyle="1" w:styleId="bulletChar">
    <w:name w:val="bullet Char"/>
    <w:link w:val="bullet"/>
    <w:rsid w:val="00742EA9"/>
    <w:rPr>
      <w:rFonts w:eastAsia="Times New Roman"/>
      <w:kern w:val="2"/>
      <w:szCs w:val="24"/>
      <w:lang w:val="en-GB" w:eastAsia="en-US"/>
    </w:rPr>
  </w:style>
  <w:style w:type="character" w:customStyle="1" w:styleId="CaptionChar">
    <w:name w:val="Caption Char"/>
    <w:aliases w:val="cap Char"/>
    <w:link w:val="Caption"/>
    <w:rsid w:val="00644AE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4221">
      <w:bodyDiv w:val="1"/>
      <w:marLeft w:val="0"/>
      <w:marRight w:val="0"/>
      <w:marTop w:val="0"/>
      <w:marBottom w:val="0"/>
      <w:divBdr>
        <w:top w:val="none" w:sz="0" w:space="0" w:color="auto"/>
        <w:left w:val="none" w:sz="0" w:space="0" w:color="auto"/>
        <w:bottom w:val="none" w:sz="0" w:space="0" w:color="auto"/>
        <w:right w:val="none" w:sz="0" w:space="0" w:color="auto"/>
      </w:divBdr>
      <w:divsChild>
        <w:div w:id="960111131">
          <w:marLeft w:val="547"/>
          <w:marRight w:val="0"/>
          <w:marTop w:val="77"/>
          <w:marBottom w:val="0"/>
          <w:divBdr>
            <w:top w:val="none" w:sz="0" w:space="0" w:color="auto"/>
            <w:left w:val="none" w:sz="0" w:space="0" w:color="auto"/>
            <w:bottom w:val="none" w:sz="0" w:space="0" w:color="auto"/>
            <w:right w:val="none" w:sz="0" w:space="0" w:color="auto"/>
          </w:divBdr>
        </w:div>
        <w:div w:id="618531556">
          <w:marLeft w:val="1166"/>
          <w:marRight w:val="0"/>
          <w:marTop w:val="67"/>
          <w:marBottom w:val="0"/>
          <w:divBdr>
            <w:top w:val="none" w:sz="0" w:space="0" w:color="auto"/>
            <w:left w:val="none" w:sz="0" w:space="0" w:color="auto"/>
            <w:bottom w:val="none" w:sz="0" w:space="0" w:color="auto"/>
            <w:right w:val="none" w:sz="0" w:space="0" w:color="auto"/>
          </w:divBdr>
        </w:div>
        <w:div w:id="851190535">
          <w:marLeft w:val="1800"/>
          <w:marRight w:val="0"/>
          <w:marTop w:val="67"/>
          <w:marBottom w:val="0"/>
          <w:divBdr>
            <w:top w:val="none" w:sz="0" w:space="0" w:color="auto"/>
            <w:left w:val="none" w:sz="0" w:space="0" w:color="auto"/>
            <w:bottom w:val="none" w:sz="0" w:space="0" w:color="auto"/>
            <w:right w:val="none" w:sz="0" w:space="0" w:color="auto"/>
          </w:divBdr>
        </w:div>
        <w:div w:id="351031391">
          <w:marLeft w:val="2520"/>
          <w:marRight w:val="0"/>
          <w:marTop w:val="67"/>
          <w:marBottom w:val="0"/>
          <w:divBdr>
            <w:top w:val="none" w:sz="0" w:space="0" w:color="auto"/>
            <w:left w:val="none" w:sz="0" w:space="0" w:color="auto"/>
            <w:bottom w:val="none" w:sz="0" w:space="0" w:color="auto"/>
            <w:right w:val="none" w:sz="0" w:space="0" w:color="auto"/>
          </w:divBdr>
        </w:div>
        <w:div w:id="379211921">
          <w:marLeft w:val="2520"/>
          <w:marRight w:val="0"/>
          <w:marTop w:val="67"/>
          <w:marBottom w:val="0"/>
          <w:divBdr>
            <w:top w:val="none" w:sz="0" w:space="0" w:color="auto"/>
            <w:left w:val="none" w:sz="0" w:space="0" w:color="auto"/>
            <w:bottom w:val="none" w:sz="0" w:space="0" w:color="auto"/>
            <w:right w:val="none" w:sz="0" w:space="0" w:color="auto"/>
          </w:divBdr>
        </w:div>
        <w:div w:id="489639814">
          <w:marLeft w:val="1166"/>
          <w:marRight w:val="0"/>
          <w:marTop w:val="67"/>
          <w:marBottom w:val="0"/>
          <w:divBdr>
            <w:top w:val="none" w:sz="0" w:space="0" w:color="auto"/>
            <w:left w:val="none" w:sz="0" w:space="0" w:color="auto"/>
            <w:bottom w:val="none" w:sz="0" w:space="0" w:color="auto"/>
            <w:right w:val="none" w:sz="0" w:space="0" w:color="auto"/>
          </w:divBdr>
        </w:div>
        <w:div w:id="919094910">
          <w:marLeft w:val="1800"/>
          <w:marRight w:val="0"/>
          <w:marTop w:val="67"/>
          <w:marBottom w:val="0"/>
          <w:divBdr>
            <w:top w:val="none" w:sz="0" w:space="0" w:color="auto"/>
            <w:left w:val="none" w:sz="0" w:space="0" w:color="auto"/>
            <w:bottom w:val="none" w:sz="0" w:space="0" w:color="auto"/>
            <w:right w:val="none" w:sz="0" w:space="0" w:color="auto"/>
          </w:divBdr>
        </w:div>
        <w:div w:id="609166503">
          <w:marLeft w:val="1800"/>
          <w:marRight w:val="0"/>
          <w:marTop w:val="67"/>
          <w:marBottom w:val="0"/>
          <w:divBdr>
            <w:top w:val="none" w:sz="0" w:space="0" w:color="auto"/>
            <w:left w:val="none" w:sz="0" w:space="0" w:color="auto"/>
            <w:bottom w:val="none" w:sz="0" w:space="0" w:color="auto"/>
            <w:right w:val="none" w:sz="0" w:space="0" w:color="auto"/>
          </w:divBdr>
        </w:div>
        <w:div w:id="2048867944">
          <w:marLeft w:val="1800"/>
          <w:marRight w:val="0"/>
          <w:marTop w:val="67"/>
          <w:marBottom w:val="0"/>
          <w:divBdr>
            <w:top w:val="none" w:sz="0" w:space="0" w:color="auto"/>
            <w:left w:val="none" w:sz="0" w:space="0" w:color="auto"/>
            <w:bottom w:val="none" w:sz="0" w:space="0" w:color="auto"/>
            <w:right w:val="none" w:sz="0" w:space="0" w:color="auto"/>
          </w:divBdr>
        </w:div>
        <w:div w:id="1188058568">
          <w:marLeft w:val="1800"/>
          <w:marRight w:val="0"/>
          <w:marTop w:val="67"/>
          <w:marBottom w:val="0"/>
          <w:divBdr>
            <w:top w:val="none" w:sz="0" w:space="0" w:color="auto"/>
            <w:left w:val="none" w:sz="0" w:space="0" w:color="auto"/>
            <w:bottom w:val="none" w:sz="0" w:space="0" w:color="auto"/>
            <w:right w:val="none" w:sz="0" w:space="0" w:color="auto"/>
          </w:divBdr>
        </w:div>
        <w:div w:id="1095058810">
          <w:marLeft w:val="1800"/>
          <w:marRight w:val="0"/>
          <w:marTop w:val="67"/>
          <w:marBottom w:val="0"/>
          <w:divBdr>
            <w:top w:val="none" w:sz="0" w:space="0" w:color="auto"/>
            <w:left w:val="none" w:sz="0" w:space="0" w:color="auto"/>
            <w:bottom w:val="none" w:sz="0" w:space="0" w:color="auto"/>
            <w:right w:val="none" w:sz="0" w:space="0" w:color="auto"/>
          </w:divBdr>
        </w:div>
        <w:div w:id="783811479">
          <w:marLeft w:val="1800"/>
          <w:marRight w:val="0"/>
          <w:marTop w:val="67"/>
          <w:marBottom w:val="0"/>
          <w:divBdr>
            <w:top w:val="none" w:sz="0" w:space="0" w:color="auto"/>
            <w:left w:val="none" w:sz="0" w:space="0" w:color="auto"/>
            <w:bottom w:val="none" w:sz="0" w:space="0" w:color="auto"/>
            <w:right w:val="none" w:sz="0" w:space="0" w:color="auto"/>
          </w:divBdr>
        </w:div>
        <w:div w:id="7603404">
          <w:marLeft w:val="1800"/>
          <w:marRight w:val="0"/>
          <w:marTop w:val="67"/>
          <w:marBottom w:val="0"/>
          <w:divBdr>
            <w:top w:val="none" w:sz="0" w:space="0" w:color="auto"/>
            <w:left w:val="none" w:sz="0" w:space="0" w:color="auto"/>
            <w:bottom w:val="none" w:sz="0" w:space="0" w:color="auto"/>
            <w:right w:val="none" w:sz="0" w:space="0" w:color="auto"/>
          </w:divBdr>
        </w:div>
      </w:divsChild>
    </w:div>
    <w:div w:id="168720483">
      <w:bodyDiv w:val="1"/>
      <w:marLeft w:val="0"/>
      <w:marRight w:val="0"/>
      <w:marTop w:val="0"/>
      <w:marBottom w:val="0"/>
      <w:divBdr>
        <w:top w:val="none" w:sz="0" w:space="0" w:color="auto"/>
        <w:left w:val="none" w:sz="0" w:space="0" w:color="auto"/>
        <w:bottom w:val="none" w:sz="0" w:space="0" w:color="auto"/>
        <w:right w:val="none" w:sz="0" w:space="0" w:color="auto"/>
      </w:divBdr>
      <w:divsChild>
        <w:div w:id="182129724">
          <w:marLeft w:val="547"/>
          <w:marRight w:val="0"/>
          <w:marTop w:val="77"/>
          <w:marBottom w:val="0"/>
          <w:divBdr>
            <w:top w:val="none" w:sz="0" w:space="0" w:color="auto"/>
            <w:left w:val="none" w:sz="0" w:space="0" w:color="auto"/>
            <w:bottom w:val="none" w:sz="0" w:space="0" w:color="auto"/>
            <w:right w:val="none" w:sz="0" w:space="0" w:color="auto"/>
          </w:divBdr>
        </w:div>
        <w:div w:id="449085248">
          <w:marLeft w:val="1166"/>
          <w:marRight w:val="0"/>
          <w:marTop w:val="67"/>
          <w:marBottom w:val="0"/>
          <w:divBdr>
            <w:top w:val="none" w:sz="0" w:space="0" w:color="auto"/>
            <w:left w:val="none" w:sz="0" w:space="0" w:color="auto"/>
            <w:bottom w:val="none" w:sz="0" w:space="0" w:color="auto"/>
            <w:right w:val="none" w:sz="0" w:space="0" w:color="auto"/>
          </w:divBdr>
        </w:div>
        <w:div w:id="411204437">
          <w:marLeft w:val="1800"/>
          <w:marRight w:val="0"/>
          <w:marTop w:val="67"/>
          <w:marBottom w:val="0"/>
          <w:divBdr>
            <w:top w:val="none" w:sz="0" w:space="0" w:color="auto"/>
            <w:left w:val="none" w:sz="0" w:space="0" w:color="auto"/>
            <w:bottom w:val="none" w:sz="0" w:space="0" w:color="auto"/>
            <w:right w:val="none" w:sz="0" w:space="0" w:color="auto"/>
          </w:divBdr>
        </w:div>
        <w:div w:id="753669644">
          <w:marLeft w:val="2520"/>
          <w:marRight w:val="0"/>
          <w:marTop w:val="67"/>
          <w:marBottom w:val="0"/>
          <w:divBdr>
            <w:top w:val="none" w:sz="0" w:space="0" w:color="auto"/>
            <w:left w:val="none" w:sz="0" w:space="0" w:color="auto"/>
            <w:bottom w:val="none" w:sz="0" w:space="0" w:color="auto"/>
            <w:right w:val="none" w:sz="0" w:space="0" w:color="auto"/>
          </w:divBdr>
        </w:div>
        <w:div w:id="935594477">
          <w:marLeft w:val="2520"/>
          <w:marRight w:val="0"/>
          <w:marTop w:val="67"/>
          <w:marBottom w:val="0"/>
          <w:divBdr>
            <w:top w:val="none" w:sz="0" w:space="0" w:color="auto"/>
            <w:left w:val="none" w:sz="0" w:space="0" w:color="auto"/>
            <w:bottom w:val="none" w:sz="0" w:space="0" w:color="auto"/>
            <w:right w:val="none" w:sz="0" w:space="0" w:color="auto"/>
          </w:divBdr>
        </w:div>
        <w:div w:id="1710453229">
          <w:marLeft w:val="1166"/>
          <w:marRight w:val="0"/>
          <w:marTop w:val="67"/>
          <w:marBottom w:val="0"/>
          <w:divBdr>
            <w:top w:val="none" w:sz="0" w:space="0" w:color="auto"/>
            <w:left w:val="none" w:sz="0" w:space="0" w:color="auto"/>
            <w:bottom w:val="none" w:sz="0" w:space="0" w:color="auto"/>
            <w:right w:val="none" w:sz="0" w:space="0" w:color="auto"/>
          </w:divBdr>
        </w:div>
        <w:div w:id="718818436">
          <w:marLeft w:val="1800"/>
          <w:marRight w:val="0"/>
          <w:marTop w:val="67"/>
          <w:marBottom w:val="0"/>
          <w:divBdr>
            <w:top w:val="none" w:sz="0" w:space="0" w:color="auto"/>
            <w:left w:val="none" w:sz="0" w:space="0" w:color="auto"/>
            <w:bottom w:val="none" w:sz="0" w:space="0" w:color="auto"/>
            <w:right w:val="none" w:sz="0" w:space="0" w:color="auto"/>
          </w:divBdr>
        </w:div>
        <w:div w:id="292291131">
          <w:marLeft w:val="1800"/>
          <w:marRight w:val="0"/>
          <w:marTop w:val="67"/>
          <w:marBottom w:val="0"/>
          <w:divBdr>
            <w:top w:val="none" w:sz="0" w:space="0" w:color="auto"/>
            <w:left w:val="none" w:sz="0" w:space="0" w:color="auto"/>
            <w:bottom w:val="none" w:sz="0" w:space="0" w:color="auto"/>
            <w:right w:val="none" w:sz="0" w:space="0" w:color="auto"/>
          </w:divBdr>
        </w:div>
        <w:div w:id="650405054">
          <w:marLeft w:val="1800"/>
          <w:marRight w:val="0"/>
          <w:marTop w:val="67"/>
          <w:marBottom w:val="0"/>
          <w:divBdr>
            <w:top w:val="none" w:sz="0" w:space="0" w:color="auto"/>
            <w:left w:val="none" w:sz="0" w:space="0" w:color="auto"/>
            <w:bottom w:val="none" w:sz="0" w:space="0" w:color="auto"/>
            <w:right w:val="none" w:sz="0" w:space="0" w:color="auto"/>
          </w:divBdr>
        </w:div>
        <w:div w:id="952636976">
          <w:marLeft w:val="1800"/>
          <w:marRight w:val="0"/>
          <w:marTop w:val="67"/>
          <w:marBottom w:val="0"/>
          <w:divBdr>
            <w:top w:val="none" w:sz="0" w:space="0" w:color="auto"/>
            <w:left w:val="none" w:sz="0" w:space="0" w:color="auto"/>
            <w:bottom w:val="none" w:sz="0" w:space="0" w:color="auto"/>
            <w:right w:val="none" w:sz="0" w:space="0" w:color="auto"/>
          </w:divBdr>
        </w:div>
        <w:div w:id="861555314">
          <w:marLeft w:val="1800"/>
          <w:marRight w:val="0"/>
          <w:marTop w:val="67"/>
          <w:marBottom w:val="0"/>
          <w:divBdr>
            <w:top w:val="none" w:sz="0" w:space="0" w:color="auto"/>
            <w:left w:val="none" w:sz="0" w:space="0" w:color="auto"/>
            <w:bottom w:val="none" w:sz="0" w:space="0" w:color="auto"/>
            <w:right w:val="none" w:sz="0" w:space="0" w:color="auto"/>
          </w:divBdr>
        </w:div>
        <w:div w:id="1198665087">
          <w:marLeft w:val="1800"/>
          <w:marRight w:val="0"/>
          <w:marTop w:val="67"/>
          <w:marBottom w:val="0"/>
          <w:divBdr>
            <w:top w:val="none" w:sz="0" w:space="0" w:color="auto"/>
            <w:left w:val="none" w:sz="0" w:space="0" w:color="auto"/>
            <w:bottom w:val="none" w:sz="0" w:space="0" w:color="auto"/>
            <w:right w:val="none" w:sz="0" w:space="0" w:color="auto"/>
          </w:divBdr>
        </w:div>
        <w:div w:id="201139963">
          <w:marLeft w:val="1800"/>
          <w:marRight w:val="0"/>
          <w:marTop w:val="67"/>
          <w:marBottom w:val="0"/>
          <w:divBdr>
            <w:top w:val="none" w:sz="0" w:space="0" w:color="auto"/>
            <w:left w:val="none" w:sz="0" w:space="0" w:color="auto"/>
            <w:bottom w:val="none" w:sz="0" w:space="0" w:color="auto"/>
            <w:right w:val="none" w:sz="0" w:space="0" w:color="auto"/>
          </w:divBdr>
        </w:div>
      </w:divsChild>
    </w:div>
    <w:div w:id="375357340">
      <w:bodyDiv w:val="1"/>
      <w:marLeft w:val="0"/>
      <w:marRight w:val="0"/>
      <w:marTop w:val="0"/>
      <w:marBottom w:val="0"/>
      <w:divBdr>
        <w:top w:val="none" w:sz="0" w:space="0" w:color="auto"/>
        <w:left w:val="none" w:sz="0" w:space="0" w:color="auto"/>
        <w:bottom w:val="none" w:sz="0" w:space="0" w:color="auto"/>
        <w:right w:val="none" w:sz="0" w:space="0" w:color="auto"/>
      </w:divBdr>
      <w:divsChild>
        <w:div w:id="891773667">
          <w:marLeft w:val="547"/>
          <w:marRight w:val="0"/>
          <w:marTop w:val="86"/>
          <w:marBottom w:val="0"/>
          <w:divBdr>
            <w:top w:val="none" w:sz="0" w:space="0" w:color="auto"/>
            <w:left w:val="none" w:sz="0" w:space="0" w:color="auto"/>
            <w:bottom w:val="none" w:sz="0" w:space="0" w:color="auto"/>
            <w:right w:val="none" w:sz="0" w:space="0" w:color="auto"/>
          </w:divBdr>
        </w:div>
        <w:div w:id="122508261">
          <w:marLeft w:val="1166"/>
          <w:marRight w:val="0"/>
          <w:marTop w:val="77"/>
          <w:marBottom w:val="0"/>
          <w:divBdr>
            <w:top w:val="none" w:sz="0" w:space="0" w:color="auto"/>
            <w:left w:val="none" w:sz="0" w:space="0" w:color="auto"/>
            <w:bottom w:val="none" w:sz="0" w:space="0" w:color="auto"/>
            <w:right w:val="none" w:sz="0" w:space="0" w:color="auto"/>
          </w:divBdr>
        </w:div>
        <w:div w:id="2044817593">
          <w:marLeft w:val="547"/>
          <w:marRight w:val="0"/>
          <w:marTop w:val="86"/>
          <w:marBottom w:val="0"/>
          <w:divBdr>
            <w:top w:val="none" w:sz="0" w:space="0" w:color="auto"/>
            <w:left w:val="none" w:sz="0" w:space="0" w:color="auto"/>
            <w:bottom w:val="none" w:sz="0" w:space="0" w:color="auto"/>
            <w:right w:val="none" w:sz="0" w:space="0" w:color="auto"/>
          </w:divBdr>
        </w:div>
        <w:div w:id="11998431">
          <w:marLeft w:val="1166"/>
          <w:marRight w:val="0"/>
          <w:marTop w:val="77"/>
          <w:marBottom w:val="0"/>
          <w:divBdr>
            <w:top w:val="none" w:sz="0" w:space="0" w:color="auto"/>
            <w:left w:val="none" w:sz="0" w:space="0" w:color="auto"/>
            <w:bottom w:val="none" w:sz="0" w:space="0" w:color="auto"/>
            <w:right w:val="none" w:sz="0" w:space="0" w:color="auto"/>
          </w:divBdr>
        </w:div>
        <w:div w:id="294020875">
          <w:marLeft w:val="1166"/>
          <w:marRight w:val="0"/>
          <w:marTop w:val="77"/>
          <w:marBottom w:val="0"/>
          <w:divBdr>
            <w:top w:val="none" w:sz="0" w:space="0" w:color="auto"/>
            <w:left w:val="none" w:sz="0" w:space="0" w:color="auto"/>
            <w:bottom w:val="none" w:sz="0" w:space="0" w:color="auto"/>
            <w:right w:val="none" w:sz="0" w:space="0" w:color="auto"/>
          </w:divBdr>
        </w:div>
        <w:div w:id="41096642">
          <w:marLeft w:val="547"/>
          <w:marRight w:val="0"/>
          <w:marTop w:val="86"/>
          <w:marBottom w:val="0"/>
          <w:divBdr>
            <w:top w:val="none" w:sz="0" w:space="0" w:color="auto"/>
            <w:left w:val="none" w:sz="0" w:space="0" w:color="auto"/>
            <w:bottom w:val="none" w:sz="0" w:space="0" w:color="auto"/>
            <w:right w:val="none" w:sz="0" w:space="0" w:color="auto"/>
          </w:divBdr>
        </w:div>
        <w:div w:id="1218739839">
          <w:marLeft w:val="1166"/>
          <w:marRight w:val="0"/>
          <w:marTop w:val="77"/>
          <w:marBottom w:val="0"/>
          <w:divBdr>
            <w:top w:val="none" w:sz="0" w:space="0" w:color="auto"/>
            <w:left w:val="none" w:sz="0" w:space="0" w:color="auto"/>
            <w:bottom w:val="none" w:sz="0" w:space="0" w:color="auto"/>
            <w:right w:val="none" w:sz="0" w:space="0" w:color="auto"/>
          </w:divBdr>
        </w:div>
        <w:div w:id="882252126">
          <w:marLeft w:val="1166"/>
          <w:marRight w:val="0"/>
          <w:marTop w:val="77"/>
          <w:marBottom w:val="0"/>
          <w:divBdr>
            <w:top w:val="none" w:sz="0" w:space="0" w:color="auto"/>
            <w:left w:val="none" w:sz="0" w:space="0" w:color="auto"/>
            <w:bottom w:val="none" w:sz="0" w:space="0" w:color="auto"/>
            <w:right w:val="none" w:sz="0" w:space="0" w:color="auto"/>
          </w:divBdr>
        </w:div>
        <w:div w:id="1967924740">
          <w:marLeft w:val="1800"/>
          <w:marRight w:val="0"/>
          <w:marTop w:val="67"/>
          <w:marBottom w:val="0"/>
          <w:divBdr>
            <w:top w:val="none" w:sz="0" w:space="0" w:color="auto"/>
            <w:left w:val="none" w:sz="0" w:space="0" w:color="auto"/>
            <w:bottom w:val="none" w:sz="0" w:space="0" w:color="auto"/>
            <w:right w:val="none" w:sz="0" w:space="0" w:color="auto"/>
          </w:divBdr>
        </w:div>
        <w:div w:id="1882206886">
          <w:marLeft w:val="2520"/>
          <w:marRight w:val="0"/>
          <w:marTop w:val="67"/>
          <w:marBottom w:val="0"/>
          <w:divBdr>
            <w:top w:val="none" w:sz="0" w:space="0" w:color="auto"/>
            <w:left w:val="none" w:sz="0" w:space="0" w:color="auto"/>
            <w:bottom w:val="none" w:sz="0" w:space="0" w:color="auto"/>
            <w:right w:val="none" w:sz="0" w:space="0" w:color="auto"/>
          </w:divBdr>
        </w:div>
        <w:div w:id="738601235">
          <w:marLeft w:val="547"/>
          <w:marRight w:val="0"/>
          <w:marTop w:val="86"/>
          <w:marBottom w:val="0"/>
          <w:divBdr>
            <w:top w:val="none" w:sz="0" w:space="0" w:color="auto"/>
            <w:left w:val="none" w:sz="0" w:space="0" w:color="auto"/>
            <w:bottom w:val="none" w:sz="0" w:space="0" w:color="auto"/>
            <w:right w:val="none" w:sz="0" w:space="0" w:color="auto"/>
          </w:divBdr>
        </w:div>
        <w:div w:id="31000847">
          <w:marLeft w:val="116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662782689">
      <w:bodyDiv w:val="1"/>
      <w:marLeft w:val="0"/>
      <w:marRight w:val="0"/>
      <w:marTop w:val="0"/>
      <w:marBottom w:val="0"/>
      <w:divBdr>
        <w:top w:val="none" w:sz="0" w:space="0" w:color="auto"/>
        <w:left w:val="none" w:sz="0" w:space="0" w:color="auto"/>
        <w:bottom w:val="none" w:sz="0" w:space="0" w:color="auto"/>
        <w:right w:val="none" w:sz="0" w:space="0" w:color="auto"/>
      </w:divBdr>
    </w:div>
    <w:div w:id="711997360">
      <w:bodyDiv w:val="1"/>
      <w:marLeft w:val="0"/>
      <w:marRight w:val="0"/>
      <w:marTop w:val="0"/>
      <w:marBottom w:val="0"/>
      <w:divBdr>
        <w:top w:val="none" w:sz="0" w:space="0" w:color="auto"/>
        <w:left w:val="none" w:sz="0" w:space="0" w:color="auto"/>
        <w:bottom w:val="none" w:sz="0" w:space="0" w:color="auto"/>
        <w:right w:val="none" w:sz="0" w:space="0" w:color="auto"/>
      </w:divBdr>
      <w:divsChild>
        <w:div w:id="1791706047">
          <w:marLeft w:val="547"/>
          <w:marRight w:val="0"/>
          <w:marTop w:val="86"/>
          <w:marBottom w:val="0"/>
          <w:divBdr>
            <w:top w:val="none" w:sz="0" w:space="0" w:color="auto"/>
            <w:left w:val="none" w:sz="0" w:space="0" w:color="auto"/>
            <w:bottom w:val="none" w:sz="0" w:space="0" w:color="auto"/>
            <w:right w:val="none" w:sz="0" w:space="0" w:color="auto"/>
          </w:divBdr>
        </w:div>
        <w:div w:id="1237666762">
          <w:marLeft w:val="1166"/>
          <w:marRight w:val="0"/>
          <w:marTop w:val="77"/>
          <w:marBottom w:val="0"/>
          <w:divBdr>
            <w:top w:val="none" w:sz="0" w:space="0" w:color="auto"/>
            <w:left w:val="none" w:sz="0" w:space="0" w:color="auto"/>
            <w:bottom w:val="none" w:sz="0" w:space="0" w:color="auto"/>
            <w:right w:val="none" w:sz="0" w:space="0" w:color="auto"/>
          </w:divBdr>
        </w:div>
        <w:div w:id="1301962785">
          <w:marLeft w:val="547"/>
          <w:marRight w:val="0"/>
          <w:marTop w:val="86"/>
          <w:marBottom w:val="0"/>
          <w:divBdr>
            <w:top w:val="none" w:sz="0" w:space="0" w:color="auto"/>
            <w:left w:val="none" w:sz="0" w:space="0" w:color="auto"/>
            <w:bottom w:val="none" w:sz="0" w:space="0" w:color="auto"/>
            <w:right w:val="none" w:sz="0" w:space="0" w:color="auto"/>
          </w:divBdr>
        </w:div>
        <w:div w:id="13121348">
          <w:marLeft w:val="1166"/>
          <w:marRight w:val="0"/>
          <w:marTop w:val="67"/>
          <w:marBottom w:val="0"/>
          <w:divBdr>
            <w:top w:val="none" w:sz="0" w:space="0" w:color="auto"/>
            <w:left w:val="none" w:sz="0" w:space="0" w:color="auto"/>
            <w:bottom w:val="none" w:sz="0" w:space="0" w:color="auto"/>
            <w:right w:val="none" w:sz="0" w:space="0" w:color="auto"/>
          </w:divBdr>
        </w:div>
        <w:div w:id="181936979">
          <w:marLeft w:val="1166"/>
          <w:marRight w:val="0"/>
          <w:marTop w:val="67"/>
          <w:marBottom w:val="0"/>
          <w:divBdr>
            <w:top w:val="none" w:sz="0" w:space="0" w:color="auto"/>
            <w:left w:val="none" w:sz="0" w:space="0" w:color="auto"/>
            <w:bottom w:val="none" w:sz="0" w:space="0" w:color="auto"/>
            <w:right w:val="none" w:sz="0" w:space="0" w:color="auto"/>
          </w:divBdr>
        </w:div>
        <w:div w:id="150947863">
          <w:marLeft w:val="1166"/>
          <w:marRight w:val="0"/>
          <w:marTop w:val="67"/>
          <w:marBottom w:val="0"/>
          <w:divBdr>
            <w:top w:val="none" w:sz="0" w:space="0" w:color="auto"/>
            <w:left w:val="none" w:sz="0" w:space="0" w:color="auto"/>
            <w:bottom w:val="none" w:sz="0" w:space="0" w:color="auto"/>
            <w:right w:val="none" w:sz="0" w:space="0" w:color="auto"/>
          </w:divBdr>
        </w:div>
        <w:div w:id="342629894">
          <w:marLeft w:val="547"/>
          <w:marRight w:val="0"/>
          <w:marTop w:val="86"/>
          <w:marBottom w:val="0"/>
          <w:divBdr>
            <w:top w:val="none" w:sz="0" w:space="0" w:color="auto"/>
            <w:left w:val="none" w:sz="0" w:space="0" w:color="auto"/>
            <w:bottom w:val="none" w:sz="0" w:space="0" w:color="auto"/>
            <w:right w:val="none" w:sz="0" w:space="0" w:color="auto"/>
          </w:divBdr>
        </w:div>
        <w:div w:id="1074930928">
          <w:marLeft w:val="1166"/>
          <w:marRight w:val="0"/>
          <w:marTop w:val="67"/>
          <w:marBottom w:val="0"/>
          <w:divBdr>
            <w:top w:val="none" w:sz="0" w:space="0" w:color="auto"/>
            <w:left w:val="none" w:sz="0" w:space="0" w:color="auto"/>
            <w:bottom w:val="none" w:sz="0" w:space="0" w:color="auto"/>
            <w:right w:val="none" w:sz="0" w:space="0" w:color="auto"/>
          </w:divBdr>
        </w:div>
        <w:div w:id="1982881359">
          <w:marLeft w:val="1166"/>
          <w:marRight w:val="0"/>
          <w:marTop w:val="67"/>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64804513">
      <w:bodyDiv w:val="1"/>
      <w:marLeft w:val="0"/>
      <w:marRight w:val="0"/>
      <w:marTop w:val="0"/>
      <w:marBottom w:val="0"/>
      <w:divBdr>
        <w:top w:val="none" w:sz="0" w:space="0" w:color="auto"/>
        <w:left w:val="none" w:sz="0" w:space="0" w:color="auto"/>
        <w:bottom w:val="none" w:sz="0" w:space="0" w:color="auto"/>
        <w:right w:val="none" w:sz="0" w:space="0" w:color="auto"/>
      </w:divBdr>
      <w:divsChild>
        <w:div w:id="1244530531">
          <w:marLeft w:val="1166"/>
          <w:marRight w:val="0"/>
          <w:marTop w:val="77"/>
          <w:marBottom w:val="0"/>
          <w:divBdr>
            <w:top w:val="none" w:sz="0" w:space="0" w:color="auto"/>
            <w:left w:val="none" w:sz="0" w:space="0" w:color="auto"/>
            <w:bottom w:val="none" w:sz="0" w:space="0" w:color="auto"/>
            <w:right w:val="none" w:sz="0" w:space="0" w:color="auto"/>
          </w:divBdr>
        </w:div>
        <w:div w:id="554318073">
          <w:marLeft w:val="1800"/>
          <w:marRight w:val="0"/>
          <w:marTop w:val="67"/>
          <w:marBottom w:val="0"/>
          <w:divBdr>
            <w:top w:val="none" w:sz="0" w:space="0" w:color="auto"/>
            <w:left w:val="none" w:sz="0" w:space="0" w:color="auto"/>
            <w:bottom w:val="none" w:sz="0" w:space="0" w:color="auto"/>
            <w:right w:val="none" w:sz="0" w:space="0" w:color="auto"/>
          </w:divBdr>
        </w:div>
        <w:div w:id="902789168">
          <w:marLeft w:val="1800"/>
          <w:marRight w:val="0"/>
          <w:marTop w:val="67"/>
          <w:marBottom w:val="0"/>
          <w:divBdr>
            <w:top w:val="none" w:sz="0" w:space="0" w:color="auto"/>
            <w:left w:val="none" w:sz="0" w:space="0" w:color="auto"/>
            <w:bottom w:val="none" w:sz="0" w:space="0" w:color="auto"/>
            <w:right w:val="none" w:sz="0" w:space="0" w:color="auto"/>
          </w:divBdr>
        </w:div>
        <w:div w:id="1404600277">
          <w:marLeft w:val="2520"/>
          <w:marRight w:val="0"/>
          <w:marTop w:val="67"/>
          <w:marBottom w:val="0"/>
          <w:divBdr>
            <w:top w:val="none" w:sz="0" w:space="0" w:color="auto"/>
            <w:left w:val="none" w:sz="0" w:space="0" w:color="auto"/>
            <w:bottom w:val="none" w:sz="0" w:space="0" w:color="auto"/>
            <w:right w:val="none" w:sz="0" w:space="0" w:color="auto"/>
          </w:divBdr>
        </w:div>
      </w:divsChild>
    </w:div>
    <w:div w:id="1311204542">
      <w:bodyDiv w:val="1"/>
      <w:marLeft w:val="0"/>
      <w:marRight w:val="0"/>
      <w:marTop w:val="0"/>
      <w:marBottom w:val="0"/>
      <w:divBdr>
        <w:top w:val="none" w:sz="0" w:space="0" w:color="auto"/>
        <w:left w:val="none" w:sz="0" w:space="0" w:color="auto"/>
        <w:bottom w:val="none" w:sz="0" w:space="0" w:color="auto"/>
        <w:right w:val="none" w:sz="0" w:space="0" w:color="auto"/>
      </w:divBdr>
    </w:div>
    <w:div w:id="1352221473">
      <w:bodyDiv w:val="1"/>
      <w:marLeft w:val="0"/>
      <w:marRight w:val="0"/>
      <w:marTop w:val="0"/>
      <w:marBottom w:val="0"/>
      <w:divBdr>
        <w:top w:val="none" w:sz="0" w:space="0" w:color="auto"/>
        <w:left w:val="none" w:sz="0" w:space="0" w:color="auto"/>
        <w:bottom w:val="none" w:sz="0" w:space="0" w:color="auto"/>
        <w:right w:val="none" w:sz="0" w:space="0" w:color="auto"/>
      </w:divBdr>
      <w:divsChild>
        <w:div w:id="1895005126">
          <w:marLeft w:val="1166"/>
          <w:marRight w:val="0"/>
          <w:marTop w:val="67"/>
          <w:marBottom w:val="0"/>
          <w:divBdr>
            <w:top w:val="none" w:sz="0" w:space="0" w:color="auto"/>
            <w:left w:val="none" w:sz="0" w:space="0" w:color="auto"/>
            <w:bottom w:val="none" w:sz="0" w:space="0" w:color="auto"/>
            <w:right w:val="none" w:sz="0" w:space="0" w:color="auto"/>
          </w:divBdr>
        </w:div>
        <w:div w:id="876746823">
          <w:marLeft w:val="1800"/>
          <w:marRight w:val="0"/>
          <w:marTop w:val="67"/>
          <w:marBottom w:val="0"/>
          <w:divBdr>
            <w:top w:val="none" w:sz="0" w:space="0" w:color="auto"/>
            <w:left w:val="none" w:sz="0" w:space="0" w:color="auto"/>
            <w:bottom w:val="none" w:sz="0" w:space="0" w:color="auto"/>
            <w:right w:val="none" w:sz="0" w:space="0" w:color="auto"/>
          </w:divBdr>
        </w:div>
        <w:div w:id="1492916127">
          <w:marLeft w:val="2520"/>
          <w:marRight w:val="0"/>
          <w:marTop w:val="67"/>
          <w:marBottom w:val="0"/>
          <w:divBdr>
            <w:top w:val="none" w:sz="0" w:space="0" w:color="auto"/>
            <w:left w:val="none" w:sz="0" w:space="0" w:color="auto"/>
            <w:bottom w:val="none" w:sz="0" w:space="0" w:color="auto"/>
            <w:right w:val="none" w:sz="0" w:space="0" w:color="auto"/>
          </w:divBdr>
        </w:div>
        <w:div w:id="212624474">
          <w:marLeft w:val="1166"/>
          <w:marRight w:val="0"/>
          <w:marTop w:val="67"/>
          <w:marBottom w:val="0"/>
          <w:divBdr>
            <w:top w:val="none" w:sz="0" w:space="0" w:color="auto"/>
            <w:left w:val="none" w:sz="0" w:space="0" w:color="auto"/>
            <w:bottom w:val="none" w:sz="0" w:space="0" w:color="auto"/>
            <w:right w:val="none" w:sz="0" w:space="0" w:color="auto"/>
          </w:divBdr>
        </w:div>
        <w:div w:id="1690377445">
          <w:marLeft w:val="1800"/>
          <w:marRight w:val="0"/>
          <w:marTop w:val="67"/>
          <w:marBottom w:val="0"/>
          <w:divBdr>
            <w:top w:val="none" w:sz="0" w:space="0" w:color="auto"/>
            <w:left w:val="none" w:sz="0" w:space="0" w:color="auto"/>
            <w:bottom w:val="none" w:sz="0" w:space="0" w:color="auto"/>
            <w:right w:val="none" w:sz="0" w:space="0" w:color="auto"/>
          </w:divBdr>
        </w:div>
        <w:div w:id="107162143">
          <w:marLeft w:val="1800"/>
          <w:marRight w:val="0"/>
          <w:marTop w:val="67"/>
          <w:marBottom w:val="0"/>
          <w:divBdr>
            <w:top w:val="none" w:sz="0" w:space="0" w:color="auto"/>
            <w:left w:val="none" w:sz="0" w:space="0" w:color="auto"/>
            <w:bottom w:val="none" w:sz="0" w:space="0" w:color="auto"/>
            <w:right w:val="none" w:sz="0" w:space="0" w:color="auto"/>
          </w:divBdr>
        </w:div>
        <w:div w:id="1146623118">
          <w:marLeft w:val="1800"/>
          <w:marRight w:val="0"/>
          <w:marTop w:val="67"/>
          <w:marBottom w:val="0"/>
          <w:divBdr>
            <w:top w:val="none" w:sz="0" w:space="0" w:color="auto"/>
            <w:left w:val="none" w:sz="0" w:space="0" w:color="auto"/>
            <w:bottom w:val="none" w:sz="0" w:space="0" w:color="auto"/>
            <w:right w:val="none" w:sz="0" w:space="0" w:color="auto"/>
          </w:divBdr>
        </w:div>
        <w:div w:id="1971784790">
          <w:marLeft w:val="1800"/>
          <w:marRight w:val="0"/>
          <w:marTop w:val="67"/>
          <w:marBottom w:val="0"/>
          <w:divBdr>
            <w:top w:val="none" w:sz="0" w:space="0" w:color="auto"/>
            <w:left w:val="none" w:sz="0" w:space="0" w:color="auto"/>
            <w:bottom w:val="none" w:sz="0" w:space="0" w:color="auto"/>
            <w:right w:val="none" w:sz="0" w:space="0" w:color="auto"/>
          </w:divBdr>
        </w:div>
      </w:divsChild>
    </w:div>
    <w:div w:id="1354576190">
      <w:bodyDiv w:val="1"/>
      <w:marLeft w:val="0"/>
      <w:marRight w:val="0"/>
      <w:marTop w:val="0"/>
      <w:marBottom w:val="0"/>
      <w:divBdr>
        <w:top w:val="none" w:sz="0" w:space="0" w:color="auto"/>
        <w:left w:val="none" w:sz="0" w:space="0" w:color="auto"/>
        <w:bottom w:val="none" w:sz="0" w:space="0" w:color="auto"/>
        <w:right w:val="none" w:sz="0" w:space="0" w:color="auto"/>
      </w:divBdr>
      <w:divsChild>
        <w:div w:id="2031760275">
          <w:marLeft w:val="1166"/>
          <w:marRight w:val="0"/>
          <w:marTop w:val="67"/>
          <w:marBottom w:val="0"/>
          <w:divBdr>
            <w:top w:val="none" w:sz="0" w:space="0" w:color="auto"/>
            <w:left w:val="none" w:sz="0" w:space="0" w:color="auto"/>
            <w:bottom w:val="none" w:sz="0" w:space="0" w:color="auto"/>
            <w:right w:val="none" w:sz="0" w:space="0" w:color="auto"/>
          </w:divBdr>
        </w:div>
        <w:div w:id="549001619">
          <w:marLeft w:val="1800"/>
          <w:marRight w:val="0"/>
          <w:marTop w:val="67"/>
          <w:marBottom w:val="0"/>
          <w:divBdr>
            <w:top w:val="none" w:sz="0" w:space="0" w:color="auto"/>
            <w:left w:val="none" w:sz="0" w:space="0" w:color="auto"/>
            <w:bottom w:val="none" w:sz="0" w:space="0" w:color="auto"/>
            <w:right w:val="none" w:sz="0" w:space="0" w:color="auto"/>
          </w:divBdr>
        </w:div>
        <w:div w:id="41253316">
          <w:marLeft w:val="1800"/>
          <w:marRight w:val="0"/>
          <w:marTop w:val="67"/>
          <w:marBottom w:val="0"/>
          <w:divBdr>
            <w:top w:val="none" w:sz="0" w:space="0" w:color="auto"/>
            <w:left w:val="none" w:sz="0" w:space="0" w:color="auto"/>
            <w:bottom w:val="none" w:sz="0" w:space="0" w:color="auto"/>
            <w:right w:val="none" w:sz="0" w:space="0" w:color="auto"/>
          </w:divBdr>
        </w:div>
        <w:div w:id="1801722739">
          <w:marLeft w:val="1166"/>
          <w:marRight w:val="0"/>
          <w:marTop w:val="67"/>
          <w:marBottom w:val="0"/>
          <w:divBdr>
            <w:top w:val="none" w:sz="0" w:space="0" w:color="auto"/>
            <w:left w:val="none" w:sz="0" w:space="0" w:color="auto"/>
            <w:bottom w:val="none" w:sz="0" w:space="0" w:color="auto"/>
            <w:right w:val="none" w:sz="0" w:space="0" w:color="auto"/>
          </w:divBdr>
        </w:div>
        <w:div w:id="782071448">
          <w:marLeft w:val="1800"/>
          <w:marRight w:val="0"/>
          <w:marTop w:val="67"/>
          <w:marBottom w:val="0"/>
          <w:divBdr>
            <w:top w:val="none" w:sz="0" w:space="0" w:color="auto"/>
            <w:left w:val="none" w:sz="0" w:space="0" w:color="auto"/>
            <w:bottom w:val="none" w:sz="0" w:space="0" w:color="auto"/>
            <w:right w:val="none" w:sz="0" w:space="0" w:color="auto"/>
          </w:divBdr>
        </w:div>
        <w:div w:id="1365639548">
          <w:marLeft w:val="547"/>
          <w:marRight w:val="0"/>
          <w:marTop w:val="77"/>
          <w:marBottom w:val="0"/>
          <w:divBdr>
            <w:top w:val="none" w:sz="0" w:space="0" w:color="auto"/>
            <w:left w:val="none" w:sz="0" w:space="0" w:color="auto"/>
            <w:bottom w:val="none" w:sz="0" w:space="0" w:color="auto"/>
            <w:right w:val="none" w:sz="0" w:space="0" w:color="auto"/>
          </w:divBdr>
        </w:div>
        <w:div w:id="2077699503">
          <w:marLeft w:val="1166"/>
          <w:marRight w:val="0"/>
          <w:marTop w:val="67"/>
          <w:marBottom w:val="0"/>
          <w:divBdr>
            <w:top w:val="none" w:sz="0" w:space="0" w:color="auto"/>
            <w:left w:val="none" w:sz="0" w:space="0" w:color="auto"/>
            <w:bottom w:val="none" w:sz="0" w:space="0" w:color="auto"/>
            <w:right w:val="none" w:sz="0" w:space="0" w:color="auto"/>
          </w:divBdr>
        </w:div>
        <w:div w:id="1705599399">
          <w:marLeft w:val="1800"/>
          <w:marRight w:val="0"/>
          <w:marTop w:val="67"/>
          <w:marBottom w:val="0"/>
          <w:divBdr>
            <w:top w:val="none" w:sz="0" w:space="0" w:color="auto"/>
            <w:left w:val="none" w:sz="0" w:space="0" w:color="auto"/>
            <w:bottom w:val="none" w:sz="0" w:space="0" w:color="auto"/>
            <w:right w:val="none" w:sz="0" w:space="0" w:color="auto"/>
          </w:divBdr>
        </w:div>
        <w:div w:id="1987587654">
          <w:marLeft w:val="2520"/>
          <w:marRight w:val="0"/>
          <w:marTop w:val="67"/>
          <w:marBottom w:val="0"/>
          <w:divBdr>
            <w:top w:val="none" w:sz="0" w:space="0" w:color="auto"/>
            <w:left w:val="none" w:sz="0" w:space="0" w:color="auto"/>
            <w:bottom w:val="none" w:sz="0" w:space="0" w:color="auto"/>
            <w:right w:val="none" w:sz="0" w:space="0" w:color="auto"/>
          </w:divBdr>
        </w:div>
        <w:div w:id="519050462">
          <w:marLeft w:val="2520"/>
          <w:marRight w:val="0"/>
          <w:marTop w:val="67"/>
          <w:marBottom w:val="0"/>
          <w:divBdr>
            <w:top w:val="none" w:sz="0" w:space="0" w:color="auto"/>
            <w:left w:val="none" w:sz="0" w:space="0" w:color="auto"/>
            <w:bottom w:val="none" w:sz="0" w:space="0" w:color="auto"/>
            <w:right w:val="none" w:sz="0" w:space="0" w:color="auto"/>
          </w:divBdr>
        </w:div>
        <w:div w:id="1593202629">
          <w:marLeft w:val="1166"/>
          <w:marRight w:val="0"/>
          <w:marTop w:val="67"/>
          <w:marBottom w:val="0"/>
          <w:divBdr>
            <w:top w:val="none" w:sz="0" w:space="0" w:color="auto"/>
            <w:left w:val="none" w:sz="0" w:space="0" w:color="auto"/>
            <w:bottom w:val="none" w:sz="0" w:space="0" w:color="auto"/>
            <w:right w:val="none" w:sz="0" w:space="0" w:color="auto"/>
          </w:divBdr>
        </w:div>
        <w:div w:id="1669090530">
          <w:marLeft w:val="1800"/>
          <w:marRight w:val="0"/>
          <w:marTop w:val="67"/>
          <w:marBottom w:val="0"/>
          <w:divBdr>
            <w:top w:val="none" w:sz="0" w:space="0" w:color="auto"/>
            <w:left w:val="none" w:sz="0" w:space="0" w:color="auto"/>
            <w:bottom w:val="none" w:sz="0" w:space="0" w:color="auto"/>
            <w:right w:val="none" w:sz="0" w:space="0" w:color="auto"/>
          </w:divBdr>
        </w:div>
        <w:div w:id="1111969521">
          <w:marLeft w:val="1800"/>
          <w:marRight w:val="0"/>
          <w:marTop w:val="67"/>
          <w:marBottom w:val="0"/>
          <w:divBdr>
            <w:top w:val="none" w:sz="0" w:space="0" w:color="auto"/>
            <w:left w:val="none" w:sz="0" w:space="0" w:color="auto"/>
            <w:bottom w:val="none" w:sz="0" w:space="0" w:color="auto"/>
            <w:right w:val="none" w:sz="0" w:space="0" w:color="auto"/>
          </w:divBdr>
        </w:div>
        <w:div w:id="40055193">
          <w:marLeft w:val="2520"/>
          <w:marRight w:val="0"/>
          <w:marTop w:val="67"/>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757746456">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7AC9A7DB-90A4-428A-A597-520AA99F19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37EAE7-A43B-42E4-A7C1-CABFF4B2D14C}">
  <ds:schemaRef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www.w3.org/XML/1998/namespace"/>
    <ds:schemaRef ds:uri="http://purl.org/dc/terms/"/>
    <ds:schemaRef ds:uri="http://schemas.microsoft.com/sharepoint/v4"/>
    <ds:schemaRef ds:uri="9238aee7-caa6-41e3-83d0-457e088803cc"/>
    <ds:schemaRef ds:uri="81c2d00d-6e98-4ecf-9fde-812538fb8530"/>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F0336E1F-CC9F-4BC2-B883-04C3EB64E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5425</Words>
  <Characters>30924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36277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Timothy Fisher-Jeffes</cp:lastModifiedBy>
  <cp:revision>2</cp:revision>
  <cp:lastPrinted>2018-01-12T00:47:00Z</cp:lastPrinted>
  <dcterms:created xsi:type="dcterms:W3CDTF">2018-11-02T17:20:00Z</dcterms:created>
  <dcterms:modified xsi:type="dcterms:W3CDTF">2018-11-02T17:20:00Z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