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4025" w:rsidRDefault="00DA278A">
      <w:pPr>
        <w:pStyle w:val="Header"/>
        <w:tabs>
          <w:tab w:val="right" w:pos="9639"/>
        </w:tabs>
      </w:pPr>
      <w:r>
        <w:rPr>
          <w:bCs/>
          <w:position w:val="6"/>
          <w:sz w:val="28"/>
          <w:szCs w:val="24"/>
        </w:rPr>
        <w:t>3GPP TSG RAN WG1 Meeting #94</w:t>
      </w:r>
      <w:r w:rsidR="004B60C1">
        <w:rPr>
          <w:bCs/>
          <w:position w:val="6"/>
          <w:sz w:val="28"/>
          <w:szCs w:val="24"/>
        </w:rPr>
        <w:t>bis</w:t>
      </w:r>
      <w:r>
        <w:rPr>
          <w:bCs/>
          <w:sz w:val="24"/>
          <w:szCs w:val="24"/>
        </w:rPr>
        <w:tab/>
      </w:r>
      <w:r>
        <w:rPr>
          <w:bCs/>
          <w:sz w:val="28"/>
          <w:szCs w:val="28"/>
        </w:rPr>
        <w:t>R1-</w:t>
      </w:r>
      <w:r w:rsidR="00CF6678">
        <w:rPr>
          <w:rFonts w:cs="Arial"/>
          <w:sz w:val="28"/>
          <w:szCs w:val="28"/>
        </w:rPr>
        <w:t>1811554</w:t>
      </w:r>
    </w:p>
    <w:p w:rsidR="00EE4025" w:rsidRDefault="0005359B">
      <w:pPr>
        <w:pStyle w:val="Header"/>
      </w:pPr>
      <w:r>
        <w:rPr>
          <w:rFonts w:cs="Arial"/>
          <w:bCs/>
          <w:sz w:val="28"/>
        </w:rPr>
        <w:t>Chengdu</w:t>
      </w:r>
      <w:r w:rsidR="00DA278A">
        <w:rPr>
          <w:rFonts w:cs="Arial"/>
          <w:bCs/>
          <w:sz w:val="28"/>
        </w:rPr>
        <w:t xml:space="preserve">, </w:t>
      </w:r>
      <w:r>
        <w:rPr>
          <w:rFonts w:cs="Arial"/>
          <w:bCs/>
          <w:sz w:val="28"/>
        </w:rPr>
        <w:t>China</w:t>
      </w:r>
      <w:r w:rsidR="00DA278A">
        <w:rPr>
          <w:rFonts w:cs="Arial"/>
          <w:bCs/>
          <w:sz w:val="28"/>
        </w:rPr>
        <w:t xml:space="preserve">, </w:t>
      </w:r>
      <w:r>
        <w:rPr>
          <w:rFonts w:cs="Arial"/>
          <w:bCs/>
          <w:sz w:val="28"/>
        </w:rPr>
        <w:t>8</w:t>
      </w:r>
      <w:r w:rsidR="00DA278A">
        <w:rPr>
          <w:rFonts w:cs="Arial"/>
          <w:bCs/>
          <w:sz w:val="28"/>
          <w:vertAlign w:val="superscript"/>
        </w:rPr>
        <w:t>th</w:t>
      </w:r>
      <w:r w:rsidR="00DA278A">
        <w:rPr>
          <w:rFonts w:cs="Arial"/>
          <w:bCs/>
          <w:sz w:val="28"/>
        </w:rPr>
        <w:t xml:space="preserve"> – </w:t>
      </w:r>
      <w:r>
        <w:rPr>
          <w:rFonts w:cs="Arial"/>
          <w:bCs/>
          <w:sz w:val="28"/>
        </w:rPr>
        <w:t>12</w:t>
      </w:r>
      <w:r w:rsidR="00DA278A">
        <w:rPr>
          <w:rFonts w:cs="Arial"/>
          <w:bCs/>
          <w:sz w:val="28"/>
          <w:vertAlign w:val="superscript"/>
        </w:rPr>
        <w:t>th</w:t>
      </w:r>
      <w:r>
        <w:rPr>
          <w:rFonts w:cs="Arial"/>
          <w:bCs/>
          <w:sz w:val="28"/>
        </w:rPr>
        <w:t>Oct</w:t>
      </w:r>
      <w:r w:rsidR="00DA278A">
        <w:rPr>
          <w:rFonts w:cs="Arial"/>
          <w:bCs/>
          <w:sz w:val="28"/>
        </w:rPr>
        <w:t xml:space="preserve"> 2018</w:t>
      </w:r>
    </w:p>
    <w:p w:rsidR="00EE4025" w:rsidRDefault="00EE4025">
      <w:pPr>
        <w:pStyle w:val="Header"/>
        <w:rPr>
          <w:rFonts w:cs="Arial"/>
          <w:b w:val="0"/>
          <w:bCs/>
          <w:sz w:val="28"/>
        </w:rPr>
      </w:pPr>
    </w:p>
    <w:p w:rsidR="00EE4025" w:rsidRDefault="00DA278A">
      <w:pPr>
        <w:pStyle w:val="CRCoverPage"/>
        <w:rPr>
          <w:rFonts w:cs="Arial"/>
          <w:b/>
          <w:bCs/>
          <w:sz w:val="24"/>
        </w:rPr>
      </w:pPr>
      <w:r>
        <w:rPr>
          <w:rFonts w:cs="Arial"/>
          <w:b/>
          <w:bCs/>
          <w:sz w:val="24"/>
        </w:rPr>
        <w:t>Agenda item:</w:t>
      </w:r>
      <w:r>
        <w:rPr>
          <w:rFonts w:cs="Arial"/>
          <w:b/>
          <w:bCs/>
          <w:sz w:val="24"/>
        </w:rPr>
        <w:tab/>
      </w:r>
      <w:r>
        <w:rPr>
          <w:rFonts w:cs="Arial"/>
          <w:b/>
          <w:bCs/>
          <w:sz w:val="24"/>
        </w:rPr>
        <w:tab/>
        <w:t>7.2.3.</w:t>
      </w:r>
      <w:r w:rsidR="00D97BCC">
        <w:rPr>
          <w:rFonts w:cs="Arial"/>
          <w:b/>
          <w:bCs/>
          <w:sz w:val="24"/>
        </w:rPr>
        <w:t>3</w:t>
      </w:r>
    </w:p>
    <w:p w:rsidR="00EE4025" w:rsidRDefault="00DA278A">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604E75">
        <w:rPr>
          <w:rFonts w:ascii="Arial" w:hAnsi="Arial" w:cs="Arial"/>
          <w:b/>
          <w:bCs/>
          <w:sz w:val="24"/>
        </w:rPr>
        <w:t>CEWiT</w:t>
      </w:r>
    </w:p>
    <w:p w:rsidR="00EE4025" w:rsidRDefault="00DA278A">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477686">
        <w:rPr>
          <w:rFonts w:ascii="Arial" w:hAnsi="Arial" w:cs="Arial"/>
          <w:b/>
          <w:bCs/>
          <w:sz w:val="24"/>
        </w:rPr>
        <w:t xml:space="preserve">On </w:t>
      </w:r>
      <w:r>
        <w:rPr>
          <w:rFonts w:ascii="Arial" w:hAnsi="Arial" w:cs="Arial"/>
          <w:b/>
          <w:bCs/>
          <w:sz w:val="24"/>
        </w:rPr>
        <w:t xml:space="preserve">IAB </w:t>
      </w:r>
      <w:r w:rsidR="00E6308B">
        <w:rPr>
          <w:rFonts w:ascii="Arial" w:hAnsi="Arial" w:cs="Arial"/>
          <w:b/>
          <w:bCs/>
          <w:sz w:val="24"/>
        </w:rPr>
        <w:t>t</w:t>
      </w:r>
      <w:r>
        <w:rPr>
          <w:rFonts w:ascii="Arial" w:hAnsi="Arial" w:cs="Arial"/>
          <w:b/>
          <w:bCs/>
          <w:sz w:val="24"/>
        </w:rPr>
        <w:t>iming</w:t>
      </w:r>
      <w:r w:rsidR="00807C45">
        <w:rPr>
          <w:rFonts w:ascii="Arial" w:hAnsi="Arial" w:cs="Arial"/>
          <w:b/>
          <w:bCs/>
          <w:sz w:val="24"/>
        </w:rPr>
        <w:t xml:space="preserve"> alignment</w:t>
      </w:r>
    </w:p>
    <w:p w:rsidR="00EE4025" w:rsidRDefault="00DA278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EE4025" w:rsidRDefault="00DA278A">
      <w:pPr>
        <w:pStyle w:val="Heading1"/>
      </w:pPr>
      <w:r>
        <w:t>1</w:t>
      </w:r>
      <w:r>
        <w:tab/>
        <w:t>Introduction</w:t>
      </w:r>
    </w:p>
    <w:p w:rsidR="00EE4025" w:rsidRDefault="00DA278A">
      <w:pPr>
        <w:spacing w:after="120"/>
      </w:pPr>
      <w:r>
        <w:t>RAN1#9</w:t>
      </w:r>
      <w:r w:rsidR="00AF5999">
        <w:t>4</w:t>
      </w:r>
      <w:r w:rsidR="00CC11DF">
        <w:t xml:space="preserve"> [1]</w:t>
      </w:r>
      <w:r>
        <w:t xml:space="preserve"> made the following agreement about the IAB synchronization and timing:</w:t>
      </w:r>
    </w:p>
    <w:p w:rsidR="00AF5999" w:rsidRDefault="00AF5999" w:rsidP="00AF5999">
      <w:pPr>
        <w:rPr>
          <w:lang w:val="en-US"/>
        </w:rPr>
      </w:pPr>
      <w:r w:rsidRPr="008538C7">
        <w:rPr>
          <w:highlight w:val="green"/>
          <w:lang w:val="en-US"/>
        </w:rPr>
        <w:t>Agreements</w:t>
      </w:r>
      <w:r>
        <w:rPr>
          <w:lang w:val="en-US"/>
        </w:rPr>
        <w:t>:</w:t>
      </w:r>
    </w:p>
    <w:p w:rsidR="00AF5999" w:rsidRPr="008538C7" w:rsidRDefault="00AF5999" w:rsidP="00AF5999">
      <w:pPr>
        <w:pStyle w:val="maintext"/>
        <w:numPr>
          <w:ilvl w:val="0"/>
          <w:numId w:val="2"/>
        </w:numPr>
        <w:ind w:firstLineChars="0"/>
        <w:rPr>
          <w:rFonts w:ascii="Calibri" w:hAnsi="Calibri"/>
        </w:rPr>
      </w:pPr>
      <w:r w:rsidRPr="008538C7">
        <w:rPr>
          <w:rFonts w:ascii="Calibri" w:hAnsi="Calibri"/>
        </w:rPr>
        <w:t xml:space="preserve">At least Case #1 is supported for both access and backhaul link transmission timing. </w:t>
      </w:r>
    </w:p>
    <w:p w:rsidR="00AF5999" w:rsidRPr="008538C7" w:rsidRDefault="00AF5999" w:rsidP="00AF5999">
      <w:pPr>
        <w:pStyle w:val="maintext"/>
        <w:numPr>
          <w:ilvl w:val="0"/>
          <w:numId w:val="2"/>
        </w:numPr>
        <w:ind w:firstLineChars="0"/>
        <w:rPr>
          <w:rFonts w:ascii="Calibri" w:hAnsi="Calibri"/>
        </w:rPr>
      </w:pPr>
      <w:r w:rsidRPr="008538C7">
        <w:rPr>
          <w:rFonts w:ascii="Calibri" w:hAnsi="Calibri"/>
        </w:rPr>
        <w:t>Further study includes additionally the following two cases (in addition to other cases #2/3/4/5)</w:t>
      </w:r>
    </w:p>
    <w:p w:rsidR="00AF5999" w:rsidRPr="008538C7" w:rsidRDefault="00AF5999" w:rsidP="00AF5999">
      <w:pPr>
        <w:pStyle w:val="maintext"/>
        <w:numPr>
          <w:ilvl w:val="1"/>
          <w:numId w:val="2"/>
        </w:numPr>
        <w:ind w:firstLineChars="0"/>
        <w:rPr>
          <w:rFonts w:ascii="Calibri" w:hAnsi="Calibri"/>
        </w:rPr>
      </w:pPr>
      <w:r w:rsidRPr="008538C7">
        <w:rPr>
          <w:rFonts w:ascii="Calibri" w:hAnsi="Calibri"/>
        </w:rPr>
        <w:t>Case #6 (Case#1 DL transmission timing + Case #2 UL transmission timing):</w:t>
      </w:r>
    </w:p>
    <w:p w:rsidR="00AF5999" w:rsidRPr="008538C7" w:rsidRDefault="00AF5999" w:rsidP="00AF5999">
      <w:pPr>
        <w:pStyle w:val="maintext"/>
        <w:numPr>
          <w:ilvl w:val="2"/>
          <w:numId w:val="2"/>
        </w:numPr>
        <w:ind w:firstLineChars="0"/>
        <w:rPr>
          <w:rFonts w:ascii="Calibri" w:hAnsi="Calibri"/>
        </w:rPr>
      </w:pPr>
      <w:r w:rsidRPr="008538C7">
        <w:rPr>
          <w:rFonts w:ascii="Calibri" w:hAnsi="Calibri"/>
        </w:rPr>
        <w:t>the DL transmission timing for all IAB nodes is aligned with the parent IAB node or donor DL timing (e.g. TA/2 adjustment as in Case #1)</w:t>
      </w:r>
    </w:p>
    <w:p w:rsidR="00AF5999" w:rsidRPr="008538C7" w:rsidRDefault="00AF5999" w:rsidP="00AF5999">
      <w:pPr>
        <w:pStyle w:val="maintext"/>
        <w:numPr>
          <w:ilvl w:val="2"/>
          <w:numId w:val="2"/>
        </w:numPr>
        <w:ind w:firstLineChars="0"/>
        <w:rPr>
          <w:rFonts w:ascii="Calibri" w:hAnsi="Calibri"/>
        </w:rPr>
      </w:pPr>
      <w:r w:rsidRPr="008538C7">
        <w:rPr>
          <w:rFonts w:ascii="Calibri" w:hAnsi="Calibri"/>
        </w:rPr>
        <w:t>the UL transmission timing of an IAB node can be aligned with the IAB node’s DL transmission timing</w:t>
      </w:r>
    </w:p>
    <w:p w:rsidR="00AF5999" w:rsidRPr="008538C7" w:rsidRDefault="00AF5999" w:rsidP="00AF5999">
      <w:pPr>
        <w:pStyle w:val="maintext"/>
        <w:numPr>
          <w:ilvl w:val="1"/>
          <w:numId w:val="2"/>
        </w:numPr>
        <w:ind w:firstLineChars="0"/>
        <w:rPr>
          <w:rFonts w:ascii="Calibri" w:hAnsi="Calibri"/>
        </w:rPr>
      </w:pPr>
      <w:r w:rsidRPr="008538C7">
        <w:rPr>
          <w:rFonts w:ascii="Calibri" w:hAnsi="Calibri"/>
        </w:rPr>
        <w:t>Case #7 (Case#1 DL transmission timing + Case #3 UL reception timing):</w:t>
      </w:r>
    </w:p>
    <w:p w:rsidR="00AF5999" w:rsidRPr="008538C7" w:rsidRDefault="00AF5999" w:rsidP="00AF5999">
      <w:pPr>
        <w:pStyle w:val="maintext"/>
        <w:numPr>
          <w:ilvl w:val="2"/>
          <w:numId w:val="2"/>
        </w:numPr>
        <w:ind w:firstLineChars="0"/>
        <w:rPr>
          <w:rFonts w:ascii="Calibri" w:hAnsi="Calibri"/>
        </w:rPr>
      </w:pPr>
      <w:r w:rsidRPr="008538C7">
        <w:rPr>
          <w:rFonts w:ascii="Calibri" w:hAnsi="Calibri"/>
        </w:rPr>
        <w:t>the DL transmission timing for all IAB nodes is aligned with the parent IAB node or donor DL timing (e.g. TA/2 adjustment as in Case #1)</w:t>
      </w:r>
    </w:p>
    <w:p w:rsidR="00AF5999" w:rsidRPr="008538C7" w:rsidRDefault="00AF5999" w:rsidP="00AF5999">
      <w:pPr>
        <w:pStyle w:val="maintext"/>
        <w:numPr>
          <w:ilvl w:val="2"/>
          <w:numId w:val="2"/>
        </w:numPr>
        <w:ind w:firstLineChars="0"/>
        <w:rPr>
          <w:rFonts w:ascii="Calibri" w:hAnsi="Calibri"/>
        </w:rPr>
      </w:pPr>
      <w:r w:rsidRPr="008538C7">
        <w:rPr>
          <w:rFonts w:ascii="Calibri" w:hAnsi="Calibri"/>
        </w:rPr>
        <w:t xml:space="preserve">the UL reception timing of an IAB node can be aligned with the IAB node’s DL reception timing </w:t>
      </w:r>
    </w:p>
    <w:p w:rsidR="00AF5999" w:rsidRPr="008538C7" w:rsidRDefault="00AF5999" w:rsidP="00AF5999">
      <w:pPr>
        <w:pStyle w:val="maintext"/>
        <w:numPr>
          <w:ilvl w:val="1"/>
          <w:numId w:val="2"/>
        </w:numPr>
        <w:ind w:firstLineChars="0"/>
        <w:rPr>
          <w:rFonts w:ascii="Calibri" w:hAnsi="Calibri"/>
        </w:rPr>
      </w:pPr>
      <w:r w:rsidRPr="008538C7">
        <w:rPr>
          <w:rFonts w:ascii="Calibri" w:hAnsi="Calibri"/>
        </w:rPr>
        <w:t>FFS: TA required for IAB nodes to support these cases</w:t>
      </w:r>
    </w:p>
    <w:p w:rsidR="00AF5999" w:rsidRPr="008538C7" w:rsidRDefault="00AF5999" w:rsidP="00AF5999">
      <w:pPr>
        <w:pStyle w:val="maintext"/>
        <w:numPr>
          <w:ilvl w:val="1"/>
          <w:numId w:val="2"/>
        </w:numPr>
        <w:ind w:firstLineChars="0"/>
        <w:rPr>
          <w:rFonts w:ascii="Calibri" w:hAnsi="Calibri"/>
        </w:rPr>
      </w:pPr>
      <w:r w:rsidRPr="008538C7">
        <w:rPr>
          <w:rFonts w:ascii="Calibri" w:hAnsi="Calibri"/>
        </w:rPr>
        <w:t>For Case #6 and Case #7 further consider the potential impact of imperfect timing adjustment, overhead of required DL/UL switching gaps, and scheduling impact on access UEs and child IAB nodes</w:t>
      </w:r>
    </w:p>
    <w:p w:rsidR="00EE4025" w:rsidRPr="00AF5999" w:rsidRDefault="00AF5999" w:rsidP="00AF5999">
      <w:pPr>
        <w:pStyle w:val="maintext"/>
        <w:numPr>
          <w:ilvl w:val="0"/>
          <w:numId w:val="2"/>
        </w:numPr>
        <w:ind w:firstLineChars="0"/>
        <w:rPr>
          <w:rFonts w:ascii="Calibri" w:hAnsi="Calibri"/>
        </w:rPr>
      </w:pPr>
      <w:r w:rsidRPr="008538C7">
        <w:rPr>
          <w:rFonts w:ascii="Calibri" w:hAnsi="Calibri"/>
        </w:rPr>
        <w:t>Study to include aspects (including feasibility) when the IAB node is connected to one or multiple parent nodes</w:t>
      </w:r>
    </w:p>
    <w:p w:rsidR="00EE4025" w:rsidRDefault="00DA278A" w:rsidP="009E0B80">
      <w:pPr>
        <w:spacing w:before="240"/>
        <w:jc w:val="both"/>
      </w:pPr>
      <w:r>
        <w:t xml:space="preserve">In this </w:t>
      </w:r>
      <w:r w:rsidR="00CC11DF">
        <w:t>contribution,</w:t>
      </w:r>
      <w:r>
        <w:t xml:space="preserve"> we </w:t>
      </w:r>
      <w:r w:rsidR="00CC11DF">
        <w:t>discuss</w:t>
      </w:r>
      <w:r>
        <w:t xml:space="preserve"> the options for IAB timing</w:t>
      </w:r>
      <w:r w:rsidR="00CC11DF">
        <w:t xml:space="preserve"> on different cases</w:t>
      </w:r>
      <w:r>
        <w:t xml:space="preserve"> and how they possibly affect IAB operation and system operation.</w:t>
      </w:r>
    </w:p>
    <w:p w:rsidR="00EE4025" w:rsidRDefault="00DA278A">
      <w:pPr>
        <w:pStyle w:val="Heading1"/>
      </w:pPr>
      <w:r>
        <w:rPr>
          <w:color w:val="000000"/>
        </w:rPr>
        <w:t>2</w:t>
      </w:r>
      <w:r>
        <w:rPr>
          <w:color w:val="000000"/>
        </w:rPr>
        <w:tab/>
      </w:r>
      <w:r>
        <w:t>Discussion</w:t>
      </w:r>
    </w:p>
    <w:p w:rsidR="00EE4025" w:rsidRDefault="00DA278A">
      <w:pPr>
        <w:pStyle w:val="Heading2"/>
        <w:rPr>
          <w:lang w:val="en-US"/>
        </w:rPr>
      </w:pPr>
      <w:r>
        <w:rPr>
          <w:lang w:val="en-US"/>
        </w:rPr>
        <w:t>2.1</w:t>
      </w:r>
      <w:r>
        <w:rPr>
          <w:lang w:val="en-US"/>
        </w:rPr>
        <w:tab/>
        <w:t xml:space="preserve">Case </w:t>
      </w:r>
      <w:r w:rsidR="00A17BA3">
        <w:rPr>
          <w:lang w:val="en-US"/>
        </w:rPr>
        <w:t>summary</w:t>
      </w:r>
    </w:p>
    <w:p w:rsidR="00411545" w:rsidRDefault="00411545" w:rsidP="00411545">
      <w:pPr>
        <w:jc w:val="both"/>
      </w:pPr>
      <w:r>
        <w:rPr>
          <w:rFonts w:eastAsia="Liberation Serif"/>
          <w:lang w:eastAsia="ko-KR"/>
        </w:rPr>
        <w:t xml:space="preserve">As far as the IAB timings, the following conditions </w:t>
      </w:r>
      <w:r w:rsidR="009C65DF">
        <w:rPr>
          <w:rFonts w:eastAsia="Liberation Serif"/>
          <w:lang w:eastAsia="ko-KR"/>
        </w:rPr>
        <w:t>are considered</w:t>
      </w:r>
      <w:r>
        <w:rPr>
          <w:rFonts w:eastAsia="Liberation Serif"/>
          <w:lang w:eastAsia="ko-KR"/>
        </w:rPr>
        <w:t xml:space="preserve"> in the design. </w:t>
      </w:r>
    </w:p>
    <w:p w:rsidR="0000297E" w:rsidRPr="0000297E" w:rsidRDefault="0000297E" w:rsidP="0000297E">
      <w:pPr>
        <w:numPr>
          <w:ilvl w:val="0"/>
          <w:numId w:val="15"/>
        </w:numPr>
        <w:suppressAutoHyphens/>
        <w:overflowPunct/>
        <w:spacing w:after="0" w:line="240" w:lineRule="auto"/>
        <w:jc w:val="both"/>
        <w:textAlignment w:val="auto"/>
      </w:pPr>
      <w:r>
        <w:rPr>
          <w:rFonts w:eastAsia="Liberation Serif"/>
          <w:lang w:eastAsia="ko-KR"/>
        </w:rPr>
        <w:t xml:space="preserve">Condition </w:t>
      </w:r>
      <w:r w:rsidR="00437A44">
        <w:rPr>
          <w:rFonts w:eastAsia="Liberation Serif"/>
          <w:lang w:eastAsia="ko-KR"/>
        </w:rPr>
        <w:t>1</w:t>
      </w:r>
      <w:r>
        <w:rPr>
          <w:rFonts w:eastAsia="Liberation Serif"/>
          <w:lang w:eastAsia="ko-KR"/>
        </w:rPr>
        <w:t>: Alignment of DL transmission timing along the</w:t>
      </w:r>
      <w:r w:rsidR="007D7035">
        <w:rPr>
          <w:rFonts w:eastAsia="Liberation Serif"/>
          <w:lang w:eastAsia="ko-KR"/>
        </w:rPr>
        <w:t xml:space="preserve"> donor nodes and</w:t>
      </w:r>
      <w:r w:rsidR="001F2D2F">
        <w:rPr>
          <w:rFonts w:eastAsia="Liberation Serif"/>
          <w:lang w:eastAsia="ko-KR"/>
        </w:rPr>
        <w:t xml:space="preserve"> </w:t>
      </w:r>
      <w:r w:rsidR="007D7035">
        <w:rPr>
          <w:rFonts w:eastAsia="Liberation Serif"/>
          <w:lang w:eastAsia="ko-KR"/>
        </w:rPr>
        <w:t>IAB nodes</w:t>
      </w:r>
    </w:p>
    <w:p w:rsidR="00411545" w:rsidRDefault="00411545" w:rsidP="00411545">
      <w:pPr>
        <w:numPr>
          <w:ilvl w:val="0"/>
          <w:numId w:val="15"/>
        </w:numPr>
        <w:suppressAutoHyphens/>
        <w:overflowPunct/>
        <w:spacing w:after="0" w:line="240" w:lineRule="auto"/>
        <w:jc w:val="both"/>
        <w:textAlignment w:val="auto"/>
      </w:pPr>
      <w:r>
        <w:rPr>
          <w:rFonts w:eastAsia="Liberation Serif"/>
          <w:lang w:eastAsia="ko-KR"/>
        </w:rPr>
        <w:lastRenderedPageBreak/>
        <w:t xml:space="preserve">Condition </w:t>
      </w:r>
      <w:r w:rsidR="00437A44">
        <w:rPr>
          <w:rFonts w:eastAsia="Liberation Serif"/>
          <w:lang w:eastAsia="ko-KR"/>
        </w:rPr>
        <w:t>2</w:t>
      </w:r>
      <w:r>
        <w:rPr>
          <w:rFonts w:eastAsia="Liberation Serif"/>
          <w:lang w:eastAsia="ko-KR"/>
        </w:rPr>
        <w:t>: Alignment of transmission timings at an IAB node</w:t>
      </w:r>
    </w:p>
    <w:p w:rsidR="00411545" w:rsidRDefault="00411545" w:rsidP="00411545">
      <w:pPr>
        <w:numPr>
          <w:ilvl w:val="0"/>
          <w:numId w:val="15"/>
        </w:numPr>
        <w:suppressAutoHyphens/>
        <w:overflowPunct/>
        <w:spacing w:after="0" w:line="240" w:lineRule="auto"/>
        <w:jc w:val="both"/>
        <w:textAlignment w:val="auto"/>
      </w:pPr>
      <w:r>
        <w:rPr>
          <w:rFonts w:eastAsia="Liberation Serif"/>
          <w:lang w:eastAsia="ko-KR"/>
        </w:rPr>
        <w:t xml:space="preserve">Condition </w:t>
      </w:r>
      <w:r w:rsidR="00437A44">
        <w:rPr>
          <w:rFonts w:eastAsia="Liberation Serif"/>
          <w:lang w:eastAsia="ko-KR"/>
        </w:rPr>
        <w:t>3</w:t>
      </w:r>
      <w:r>
        <w:rPr>
          <w:rFonts w:eastAsia="Liberation Serif"/>
          <w:lang w:eastAsia="ko-KR"/>
        </w:rPr>
        <w:t>: Alignment of reception timings at an IAB node</w:t>
      </w:r>
    </w:p>
    <w:p w:rsidR="00F32531" w:rsidRDefault="00414D24" w:rsidP="00411545">
      <w:pPr>
        <w:spacing w:before="240" w:after="120"/>
        <w:jc w:val="both"/>
        <w:rPr>
          <w:rFonts w:eastAsia="MS Mincho"/>
          <w:lang w:eastAsia="ja-JP"/>
        </w:rPr>
      </w:pPr>
      <w:r>
        <w:rPr>
          <w:rFonts w:eastAsia="Liberation Serif"/>
          <w:lang w:eastAsia="ko-KR"/>
        </w:rPr>
        <w:t xml:space="preserve">Synchronous operation and fast adaptation parent switching are the major benefits of Condition </w:t>
      </w:r>
      <w:r w:rsidR="009A3C46">
        <w:rPr>
          <w:rFonts w:eastAsia="Liberation Serif"/>
          <w:lang w:eastAsia="ko-KR"/>
        </w:rPr>
        <w:t>1</w:t>
      </w:r>
      <w:r>
        <w:rPr>
          <w:rFonts w:eastAsia="Liberation Serif"/>
          <w:lang w:eastAsia="ko-KR"/>
        </w:rPr>
        <w:t>.</w:t>
      </w:r>
      <w:r w:rsidR="00457955">
        <w:rPr>
          <w:rFonts w:eastAsia="Liberation Serif"/>
          <w:lang w:eastAsia="ko-KR"/>
        </w:rPr>
        <w:t xml:space="preserve"> </w:t>
      </w:r>
      <w:r w:rsidR="00411545">
        <w:rPr>
          <w:rFonts w:eastAsia="Liberation Serif"/>
          <w:lang w:eastAsia="ko-KR"/>
        </w:rPr>
        <w:t xml:space="preserve">Condition </w:t>
      </w:r>
      <w:r>
        <w:rPr>
          <w:rFonts w:eastAsia="Liberation Serif"/>
          <w:lang w:eastAsia="ko-KR"/>
        </w:rPr>
        <w:t>2</w:t>
      </w:r>
      <w:r w:rsidR="00411545">
        <w:rPr>
          <w:rFonts w:eastAsia="Liberation Serif"/>
          <w:lang w:eastAsia="ko-KR"/>
        </w:rPr>
        <w:t xml:space="preserve"> facilitates FDM/SDM for IAB node transmission with single panel, whereas Condition </w:t>
      </w:r>
      <w:r>
        <w:rPr>
          <w:rFonts w:eastAsia="Liberation Serif"/>
          <w:lang w:eastAsia="ko-KR"/>
        </w:rPr>
        <w:t>3</w:t>
      </w:r>
      <w:r w:rsidR="00411545">
        <w:rPr>
          <w:rFonts w:eastAsia="Liberation Serif"/>
          <w:lang w:eastAsia="ko-KR"/>
        </w:rPr>
        <w:t xml:space="preserve"> enables simultaneous reception using FDM/SDM and single receiving panel. However, only two out of these three conditions can be satisfied</w:t>
      </w:r>
      <w:r w:rsidR="00457955">
        <w:rPr>
          <w:rFonts w:eastAsia="Liberation Serif"/>
          <w:lang w:eastAsia="ko-KR"/>
        </w:rPr>
        <w:t xml:space="preserve"> </w:t>
      </w:r>
      <w:r w:rsidR="00411545">
        <w:rPr>
          <w:rFonts w:eastAsia="Liberation Serif"/>
          <w:lang w:eastAsia="ko-KR"/>
        </w:rPr>
        <w:t xml:space="preserve">simultaneously. Various cases have been examined by taking various combinations of these conditions. </w:t>
      </w:r>
    </w:p>
    <w:p w:rsidR="00EE4025" w:rsidRDefault="00B342EE">
      <w:pPr>
        <w:spacing w:after="120"/>
        <w:jc w:val="both"/>
        <w:rPr>
          <w:rFonts w:eastAsia="MS Mincho"/>
          <w:lang w:eastAsia="ja-JP"/>
        </w:rPr>
      </w:pPr>
      <w:r>
        <w:rPr>
          <w:rFonts w:eastAsia="MS Mincho"/>
          <w:lang w:eastAsia="ja-JP"/>
        </w:rPr>
        <w:t>Totally s</w:t>
      </w:r>
      <w:r w:rsidR="00584B8E">
        <w:rPr>
          <w:rFonts w:eastAsia="MS Mincho"/>
          <w:lang w:eastAsia="ja-JP"/>
        </w:rPr>
        <w:t>even</w:t>
      </w:r>
      <w:r w:rsidR="00DA278A">
        <w:rPr>
          <w:rFonts w:eastAsia="MS Mincho"/>
          <w:lang w:eastAsia="ja-JP"/>
        </w:rPr>
        <w:t xml:space="preserve"> cases were listed as options for IAB timing, each having their specific benefits but also certain drawbacks.</w:t>
      </w:r>
      <w:r w:rsidR="00584B8E">
        <w:rPr>
          <w:rFonts w:eastAsia="MS Mincho"/>
          <w:lang w:eastAsia="ja-JP"/>
        </w:rPr>
        <w:t xml:space="preserve"> Cases 1-5 were discussed in RAN1#93 meeting</w:t>
      </w:r>
      <w:r w:rsidR="00F562DF">
        <w:rPr>
          <w:rFonts w:eastAsia="MS Mincho"/>
          <w:lang w:eastAsia="ja-JP"/>
        </w:rPr>
        <w:t xml:space="preserve"> [2]</w:t>
      </w:r>
      <w:r w:rsidR="00584B8E">
        <w:rPr>
          <w:rFonts w:eastAsia="MS Mincho"/>
          <w:lang w:eastAsia="ja-JP"/>
        </w:rPr>
        <w:t>, and cases 6 and 7 were newly introduced in RAN1#94 meeting.</w:t>
      </w:r>
      <w:r w:rsidR="00354F95">
        <w:rPr>
          <w:rFonts w:eastAsia="MS Mincho"/>
          <w:lang w:eastAsia="ja-JP"/>
        </w:rPr>
        <w:t xml:space="preserve"> </w:t>
      </w:r>
      <w:r w:rsidR="00584B8E">
        <w:rPr>
          <w:rFonts w:eastAsia="MS Mincho"/>
          <w:lang w:eastAsia="ja-JP"/>
        </w:rPr>
        <w:t>The following are the summary of all cases.</w:t>
      </w:r>
    </w:p>
    <w:p w:rsidR="00DD4C3E" w:rsidRPr="000552ED" w:rsidRDefault="00DD4C3E" w:rsidP="000552ED">
      <w:pPr>
        <w:pStyle w:val="ListParagraph"/>
        <w:numPr>
          <w:ilvl w:val="0"/>
          <w:numId w:val="14"/>
        </w:numPr>
        <w:jc w:val="both"/>
        <w:rPr>
          <w:rFonts w:eastAsia="MS Mincho"/>
          <w:sz w:val="20"/>
          <w:szCs w:val="20"/>
          <w:lang w:eastAsia="ja-JP"/>
        </w:rPr>
      </w:pPr>
      <w:r w:rsidRPr="000552ED">
        <w:rPr>
          <w:rFonts w:eastAsia="MS Mincho"/>
          <w:sz w:val="20"/>
          <w:szCs w:val="20"/>
          <w:lang w:eastAsia="ja-JP"/>
        </w:rPr>
        <w:t xml:space="preserve">Case </w:t>
      </w:r>
      <w:r w:rsidR="003062FE">
        <w:rPr>
          <w:rFonts w:eastAsia="MS Mincho"/>
          <w:sz w:val="20"/>
          <w:szCs w:val="20"/>
          <w:lang w:eastAsia="ja-JP"/>
        </w:rPr>
        <w:t>#</w:t>
      </w:r>
      <w:r w:rsidRPr="000552ED">
        <w:rPr>
          <w:rFonts w:eastAsia="MS Mincho"/>
          <w:sz w:val="20"/>
          <w:szCs w:val="20"/>
          <w:lang w:eastAsia="ja-JP"/>
        </w:rPr>
        <w:t>1: DL transmission timing alignment across IAB nodes and donor nodes</w:t>
      </w:r>
    </w:p>
    <w:p w:rsidR="00DD4C3E" w:rsidRPr="000552ED" w:rsidRDefault="00DD4C3E" w:rsidP="000552ED">
      <w:pPr>
        <w:pStyle w:val="ListParagraph"/>
        <w:numPr>
          <w:ilvl w:val="0"/>
          <w:numId w:val="14"/>
        </w:numPr>
        <w:jc w:val="both"/>
        <w:rPr>
          <w:rFonts w:eastAsia="MS Mincho"/>
          <w:sz w:val="20"/>
          <w:szCs w:val="20"/>
          <w:lang w:eastAsia="ja-JP"/>
        </w:rPr>
      </w:pPr>
      <w:r w:rsidRPr="000552ED">
        <w:rPr>
          <w:rFonts w:eastAsia="MS Mincho"/>
          <w:sz w:val="20"/>
          <w:szCs w:val="20"/>
          <w:lang w:eastAsia="ja-JP"/>
        </w:rPr>
        <w:t xml:space="preserve">Case </w:t>
      </w:r>
      <w:r w:rsidR="003062FE">
        <w:rPr>
          <w:rFonts w:eastAsia="MS Mincho"/>
          <w:sz w:val="20"/>
          <w:szCs w:val="20"/>
          <w:lang w:eastAsia="ja-JP"/>
        </w:rPr>
        <w:t>#</w:t>
      </w:r>
      <w:r w:rsidRPr="000552ED">
        <w:rPr>
          <w:rFonts w:eastAsia="MS Mincho"/>
          <w:sz w:val="20"/>
          <w:szCs w:val="20"/>
          <w:lang w:eastAsia="ja-JP"/>
        </w:rPr>
        <w:t>2: DL and UL transmission timing is aligned within an IAB node</w:t>
      </w:r>
    </w:p>
    <w:p w:rsidR="00DD4C3E" w:rsidRPr="000552ED" w:rsidRDefault="00DD4C3E" w:rsidP="000552ED">
      <w:pPr>
        <w:pStyle w:val="ListParagraph"/>
        <w:numPr>
          <w:ilvl w:val="0"/>
          <w:numId w:val="14"/>
        </w:numPr>
        <w:jc w:val="both"/>
        <w:rPr>
          <w:rFonts w:eastAsia="MS Mincho"/>
          <w:sz w:val="20"/>
          <w:szCs w:val="20"/>
          <w:lang w:eastAsia="ja-JP"/>
        </w:rPr>
      </w:pPr>
      <w:r w:rsidRPr="000552ED">
        <w:rPr>
          <w:rFonts w:eastAsia="MS Mincho"/>
          <w:sz w:val="20"/>
          <w:szCs w:val="20"/>
          <w:lang w:eastAsia="ja-JP"/>
        </w:rPr>
        <w:t xml:space="preserve">Case </w:t>
      </w:r>
      <w:r w:rsidR="003062FE">
        <w:rPr>
          <w:rFonts w:eastAsia="MS Mincho"/>
          <w:sz w:val="20"/>
          <w:szCs w:val="20"/>
          <w:lang w:eastAsia="ja-JP"/>
        </w:rPr>
        <w:t>#</w:t>
      </w:r>
      <w:r w:rsidRPr="000552ED">
        <w:rPr>
          <w:rFonts w:eastAsia="MS Mincho"/>
          <w:sz w:val="20"/>
          <w:szCs w:val="20"/>
          <w:lang w:eastAsia="ja-JP"/>
        </w:rPr>
        <w:t>3: DL and UL reception timing is aligned within an IAB node</w:t>
      </w:r>
    </w:p>
    <w:p w:rsidR="00FB3A93" w:rsidRPr="000552ED" w:rsidRDefault="00DD4C3E" w:rsidP="000552ED">
      <w:pPr>
        <w:pStyle w:val="ListParagraph"/>
        <w:numPr>
          <w:ilvl w:val="0"/>
          <w:numId w:val="14"/>
        </w:numPr>
        <w:jc w:val="both"/>
        <w:rPr>
          <w:color w:val="auto"/>
          <w:sz w:val="20"/>
          <w:szCs w:val="20"/>
        </w:rPr>
      </w:pPr>
      <w:r w:rsidRPr="000552ED">
        <w:rPr>
          <w:rFonts w:eastAsia="MS Mincho"/>
          <w:sz w:val="20"/>
          <w:szCs w:val="20"/>
          <w:lang w:eastAsia="ja-JP"/>
        </w:rPr>
        <w:t xml:space="preserve">Case </w:t>
      </w:r>
      <w:r w:rsidR="003062FE">
        <w:rPr>
          <w:rFonts w:eastAsia="MS Mincho"/>
          <w:sz w:val="20"/>
          <w:szCs w:val="20"/>
          <w:lang w:eastAsia="ja-JP"/>
        </w:rPr>
        <w:t>#</w:t>
      </w:r>
      <w:r w:rsidRPr="000552ED">
        <w:rPr>
          <w:rFonts w:eastAsia="MS Mincho"/>
          <w:sz w:val="20"/>
          <w:szCs w:val="20"/>
          <w:lang w:eastAsia="ja-JP"/>
        </w:rPr>
        <w:t>4: within an IAB node, when transmitting using case 2 while when receiving using case 3</w:t>
      </w:r>
    </w:p>
    <w:p w:rsidR="00DD4C3E" w:rsidRPr="000552ED" w:rsidRDefault="00DD4C3E" w:rsidP="000552ED">
      <w:pPr>
        <w:pStyle w:val="ListParagraph"/>
        <w:numPr>
          <w:ilvl w:val="0"/>
          <w:numId w:val="14"/>
        </w:numPr>
        <w:jc w:val="both"/>
        <w:rPr>
          <w:color w:val="auto"/>
          <w:sz w:val="20"/>
          <w:szCs w:val="20"/>
        </w:rPr>
      </w:pPr>
      <w:r w:rsidRPr="000552ED">
        <w:rPr>
          <w:rFonts w:eastAsia="MS Mincho"/>
          <w:sz w:val="20"/>
          <w:szCs w:val="20"/>
          <w:lang w:eastAsia="ja-JP"/>
        </w:rPr>
        <w:t xml:space="preserve">Case </w:t>
      </w:r>
      <w:r w:rsidR="003062FE">
        <w:rPr>
          <w:rFonts w:eastAsia="MS Mincho"/>
          <w:sz w:val="20"/>
          <w:szCs w:val="20"/>
          <w:lang w:eastAsia="ja-JP"/>
        </w:rPr>
        <w:t>#</w:t>
      </w:r>
      <w:r w:rsidRPr="000552ED">
        <w:rPr>
          <w:rFonts w:eastAsia="MS Mincho"/>
          <w:sz w:val="20"/>
          <w:szCs w:val="20"/>
          <w:lang w:eastAsia="ja-JP"/>
        </w:rPr>
        <w:t>5: Case 1 for access link timing and Case 4 for backhaul link timing within an IAB node in different time slots</w:t>
      </w:r>
    </w:p>
    <w:p w:rsidR="00DD4C3E" w:rsidRPr="000552ED" w:rsidRDefault="00DD4C3E" w:rsidP="000552ED">
      <w:pPr>
        <w:pStyle w:val="maintext"/>
        <w:numPr>
          <w:ilvl w:val="0"/>
          <w:numId w:val="14"/>
        </w:numPr>
        <w:spacing w:before="0" w:after="0"/>
        <w:ind w:firstLineChars="0"/>
      </w:pPr>
      <w:r w:rsidRPr="000552ED">
        <w:t xml:space="preserve">Case </w:t>
      </w:r>
      <w:r w:rsidR="003062FE">
        <w:t>#</w:t>
      </w:r>
      <w:r w:rsidRPr="000552ED">
        <w:t>6</w:t>
      </w:r>
      <w:r w:rsidR="00FB3A93" w:rsidRPr="000552ED">
        <w:t>:</w:t>
      </w:r>
      <w:r w:rsidRPr="000552ED">
        <w:t xml:space="preserve"> (Case1 DL transmission timing + Case 2 UL transmission timing):</w:t>
      </w:r>
    </w:p>
    <w:p w:rsidR="00DD4C3E" w:rsidRPr="000552ED" w:rsidRDefault="00DD4C3E" w:rsidP="000552ED">
      <w:pPr>
        <w:pStyle w:val="maintext"/>
        <w:numPr>
          <w:ilvl w:val="1"/>
          <w:numId w:val="14"/>
        </w:numPr>
        <w:spacing w:before="0" w:after="0"/>
        <w:ind w:firstLineChars="0"/>
      </w:pPr>
      <w:r w:rsidRPr="000552ED">
        <w:t>DL transmission timing for all IAB nodes is aligned with the parent IAB node or donor DL timing (e.g. TA/2 adjustment as in Case #1)</w:t>
      </w:r>
    </w:p>
    <w:p w:rsidR="00DD4C3E" w:rsidRPr="000552ED" w:rsidRDefault="00DD4C3E" w:rsidP="000552ED">
      <w:pPr>
        <w:pStyle w:val="maintext"/>
        <w:numPr>
          <w:ilvl w:val="1"/>
          <w:numId w:val="14"/>
        </w:numPr>
        <w:spacing w:before="0" w:after="0"/>
        <w:ind w:firstLineChars="0"/>
      </w:pPr>
      <w:r w:rsidRPr="000552ED">
        <w:t>UL transmission timing of an IAB node can be aligned with the IAB node’s DL transmission timing</w:t>
      </w:r>
    </w:p>
    <w:p w:rsidR="000552ED" w:rsidRPr="000552ED" w:rsidRDefault="00DD4C3E" w:rsidP="000552ED">
      <w:pPr>
        <w:pStyle w:val="maintext"/>
        <w:numPr>
          <w:ilvl w:val="0"/>
          <w:numId w:val="14"/>
        </w:numPr>
        <w:spacing w:before="0" w:after="0"/>
        <w:ind w:firstLineChars="0"/>
      </w:pPr>
      <w:r w:rsidRPr="000552ED">
        <w:t xml:space="preserve">Case </w:t>
      </w:r>
      <w:r w:rsidR="003062FE">
        <w:t>#</w:t>
      </w:r>
      <w:r w:rsidRPr="000552ED">
        <w:t>7</w:t>
      </w:r>
      <w:r w:rsidR="000552ED" w:rsidRPr="000552ED">
        <w:t>:</w:t>
      </w:r>
      <w:r w:rsidRPr="000552ED">
        <w:t xml:space="preserve"> (Case1 DL transmission timing + Case 3 UL reception timing):</w:t>
      </w:r>
    </w:p>
    <w:p w:rsidR="00DD4C3E" w:rsidRPr="000552ED" w:rsidRDefault="00DD4C3E" w:rsidP="000552ED">
      <w:pPr>
        <w:pStyle w:val="maintext"/>
        <w:numPr>
          <w:ilvl w:val="1"/>
          <w:numId w:val="14"/>
        </w:numPr>
        <w:spacing w:before="0" w:after="0"/>
        <w:ind w:firstLineChars="0"/>
      </w:pPr>
      <w:r w:rsidRPr="000552ED">
        <w:t>DL transmission timing for all IAB nodes is aligned with the parent IAB node or donor DL timing (e.g. TA/2 adjustment as in Case #1)</w:t>
      </w:r>
    </w:p>
    <w:p w:rsidR="00DD4C3E" w:rsidRPr="000552ED" w:rsidRDefault="00DD4C3E" w:rsidP="000552ED">
      <w:pPr>
        <w:pStyle w:val="ListParagraph"/>
        <w:numPr>
          <w:ilvl w:val="1"/>
          <w:numId w:val="14"/>
        </w:numPr>
        <w:jc w:val="both"/>
        <w:rPr>
          <w:color w:val="auto"/>
        </w:rPr>
      </w:pPr>
      <w:r w:rsidRPr="000552ED">
        <w:rPr>
          <w:sz w:val="20"/>
          <w:szCs w:val="20"/>
        </w:rPr>
        <w:t>UL reception timing of an IAB node can be aligned with the IAB node’s DL reception timing</w:t>
      </w:r>
    </w:p>
    <w:p w:rsidR="000552ED" w:rsidRPr="000552ED" w:rsidRDefault="000552ED" w:rsidP="000552ED">
      <w:pPr>
        <w:pStyle w:val="ListParagraph"/>
        <w:ind w:left="1440"/>
        <w:jc w:val="both"/>
        <w:rPr>
          <w:color w:val="auto"/>
        </w:rPr>
      </w:pPr>
    </w:p>
    <w:p w:rsidR="00EE4025" w:rsidRPr="00072995" w:rsidRDefault="00072995" w:rsidP="00072995">
      <w:pPr>
        <w:pStyle w:val="Heading2"/>
        <w:rPr>
          <w:sz w:val="20"/>
          <w:szCs w:val="20"/>
          <w:lang w:val="en-US"/>
        </w:rPr>
      </w:pPr>
      <w:r>
        <w:rPr>
          <w:lang w:val="en-US"/>
        </w:rPr>
        <w:t>2.2</w:t>
      </w:r>
      <w:r>
        <w:rPr>
          <w:lang w:val="en-US"/>
        </w:rPr>
        <w:tab/>
      </w:r>
      <w:r w:rsidR="00A17BA3" w:rsidRPr="00072995">
        <w:rPr>
          <w:lang w:val="en-US"/>
        </w:rPr>
        <w:t>New Case descriptions</w:t>
      </w:r>
    </w:p>
    <w:p w:rsidR="00442C04" w:rsidRDefault="00442C04" w:rsidP="00442C04">
      <w:pPr>
        <w:spacing w:before="240" w:after="120"/>
        <w:jc w:val="both"/>
        <w:rPr>
          <w:rFonts w:eastAsia="MS Mincho"/>
          <w:lang w:eastAsia="ja-JP"/>
        </w:rPr>
      </w:pPr>
      <w:r>
        <w:rPr>
          <w:rFonts w:eastAsia="Liberation Serif"/>
          <w:lang w:eastAsia="ko-KR"/>
        </w:rPr>
        <w:t>RAN1# 94 has put forward two new cases</w:t>
      </w:r>
      <w:r w:rsidR="004E4082">
        <w:rPr>
          <w:rFonts w:eastAsia="Liberation Serif"/>
          <w:lang w:eastAsia="ko-KR"/>
        </w:rPr>
        <w:t xml:space="preserve"> (Case #6 and Case #7)</w:t>
      </w:r>
      <w:r>
        <w:rPr>
          <w:rFonts w:eastAsia="Liberation Serif"/>
          <w:lang w:eastAsia="ko-KR"/>
        </w:rPr>
        <w:t xml:space="preserve"> and </w:t>
      </w:r>
      <w:r w:rsidR="00976FC5">
        <w:rPr>
          <w:rFonts w:eastAsia="Liberation Serif"/>
          <w:lang w:eastAsia="ko-KR"/>
        </w:rPr>
        <w:t>are</w:t>
      </w:r>
      <w:r>
        <w:rPr>
          <w:rFonts w:eastAsia="Liberation Serif"/>
          <w:lang w:eastAsia="ko-KR"/>
        </w:rPr>
        <w:t xml:space="preserve"> studied below.</w:t>
      </w:r>
    </w:p>
    <w:p w:rsidR="00EE4025" w:rsidRDefault="00DA278A">
      <w:pPr>
        <w:jc w:val="both"/>
      </w:pPr>
      <w:r>
        <w:rPr>
          <w:b/>
          <w:u w:val="single"/>
          <w:lang w:val="en-US"/>
        </w:rPr>
        <w:t xml:space="preserve">Case </w:t>
      </w:r>
      <w:r w:rsidR="00A37A4D">
        <w:rPr>
          <w:b/>
          <w:u w:val="single"/>
          <w:lang w:val="en-US"/>
        </w:rPr>
        <w:t>#</w:t>
      </w:r>
      <w:r w:rsidR="00A17BA3">
        <w:rPr>
          <w:b/>
          <w:u w:val="single"/>
          <w:lang w:val="en-US"/>
        </w:rPr>
        <w:t>6</w:t>
      </w:r>
      <w:r>
        <w:rPr>
          <w:lang w:val="en-US"/>
        </w:rPr>
        <w:t xml:space="preserve">: </w:t>
      </w:r>
      <w:r w:rsidR="00A17BA3" w:rsidRPr="000552ED">
        <w:t>Case 1 DL transmission timing + Case 2 UL transmission timing</w:t>
      </w:r>
    </w:p>
    <w:p w:rsidR="000658DA" w:rsidRPr="000658DA" w:rsidRDefault="000658DA" w:rsidP="000658DA">
      <w:pPr>
        <w:pStyle w:val="ListParagraph"/>
        <w:numPr>
          <w:ilvl w:val="0"/>
          <w:numId w:val="14"/>
        </w:numPr>
        <w:jc w:val="both"/>
        <w:rPr>
          <w:rFonts w:eastAsia="MS Mincho"/>
          <w:sz w:val="20"/>
          <w:szCs w:val="20"/>
          <w:lang w:eastAsia="ja-JP"/>
        </w:rPr>
      </w:pPr>
      <w:r w:rsidRPr="000658DA">
        <w:rPr>
          <w:rFonts w:eastAsia="MS Mincho"/>
          <w:sz w:val="20"/>
          <w:szCs w:val="20"/>
          <w:lang w:eastAsia="ja-JP"/>
        </w:rPr>
        <w:t xml:space="preserve">The DL transmission timing for all IAB nodes is aligned with the parent IAB node or donor DL timing </w:t>
      </w:r>
    </w:p>
    <w:p w:rsidR="000658DA" w:rsidRPr="000658DA" w:rsidRDefault="000658DA" w:rsidP="000658DA">
      <w:pPr>
        <w:pStyle w:val="ListParagraph"/>
        <w:numPr>
          <w:ilvl w:val="0"/>
          <w:numId w:val="14"/>
        </w:numPr>
        <w:jc w:val="both"/>
        <w:rPr>
          <w:rFonts w:eastAsia="MS Mincho"/>
          <w:sz w:val="20"/>
          <w:szCs w:val="20"/>
          <w:lang w:eastAsia="ja-JP"/>
        </w:rPr>
      </w:pPr>
      <w:r w:rsidRPr="000658DA">
        <w:rPr>
          <w:rFonts w:eastAsia="MS Mincho"/>
          <w:sz w:val="20"/>
          <w:szCs w:val="20"/>
          <w:lang w:eastAsia="ja-JP"/>
        </w:rPr>
        <w:t>The UL transmission timing of an IAB node can be aligned with the IAB node’s DL transmission timing</w:t>
      </w:r>
    </w:p>
    <w:p w:rsidR="00072995" w:rsidRPr="000658DA" w:rsidRDefault="00072995" w:rsidP="000658DA">
      <w:pPr>
        <w:pStyle w:val="ListParagraph"/>
        <w:ind w:left="928"/>
        <w:jc w:val="both"/>
        <w:rPr>
          <w:rFonts w:eastAsia="MS Mincho"/>
          <w:sz w:val="20"/>
          <w:szCs w:val="20"/>
          <w:lang w:eastAsia="ja-JP"/>
        </w:rPr>
      </w:pPr>
    </w:p>
    <w:p w:rsidR="00024B75" w:rsidRDefault="00024B75" w:rsidP="00024B75">
      <w:pPr>
        <w:jc w:val="both"/>
        <w:rPr>
          <w:rFonts w:eastAsia="Malgun Gothic"/>
          <w:lang w:eastAsia="ko-KR"/>
        </w:rPr>
      </w:pPr>
      <w:r>
        <w:rPr>
          <w:rFonts w:eastAsia="Malgun Gothic"/>
          <w:lang w:eastAsia="ko-KR"/>
        </w:rPr>
        <w:t xml:space="preserve">This case is basically a combination of </w:t>
      </w:r>
      <w:r>
        <w:rPr>
          <w:rFonts w:eastAsia="Liberation Serif"/>
          <w:lang w:eastAsia="ko-KR"/>
        </w:rPr>
        <w:t xml:space="preserve">Condition 1 and Condition </w:t>
      </w:r>
      <w:r w:rsidR="00457955">
        <w:rPr>
          <w:rFonts w:eastAsia="Liberation Serif"/>
          <w:lang w:eastAsia="ko-KR"/>
        </w:rPr>
        <w:t>2</w:t>
      </w:r>
      <w:r>
        <w:rPr>
          <w:rFonts w:eastAsia="Liberation Serif"/>
          <w:lang w:eastAsia="ko-KR"/>
        </w:rPr>
        <w:t xml:space="preserve">. </w:t>
      </w:r>
      <w:r>
        <w:rPr>
          <w:rFonts w:eastAsia="Malgun Gothic"/>
          <w:lang w:eastAsia="ko-KR"/>
        </w:rPr>
        <w:t>For an IAB node</w:t>
      </w:r>
      <w:r w:rsidR="00600C22">
        <w:rPr>
          <w:rFonts w:eastAsia="Malgun Gothic"/>
          <w:lang w:eastAsia="ko-KR"/>
        </w:rPr>
        <w:t>,</w:t>
      </w:r>
      <w:r>
        <w:rPr>
          <w:rFonts w:eastAsia="Malgun Gothic"/>
          <w:lang w:eastAsia="ko-KR"/>
        </w:rPr>
        <w:t xml:space="preserve"> transmission timings align with the donor. In this case</w:t>
      </w:r>
      <w:r w:rsidR="00A53686">
        <w:rPr>
          <w:rFonts w:eastAsia="Malgun Gothic"/>
          <w:lang w:eastAsia="ko-KR"/>
        </w:rPr>
        <w:t>,</w:t>
      </w:r>
      <w:r>
        <w:rPr>
          <w:rFonts w:eastAsia="Malgun Gothic"/>
          <w:lang w:eastAsia="ko-KR"/>
        </w:rPr>
        <w:t xml:space="preserve"> the downlink transmission timing at an IAB node is </w:t>
      </w:r>
      <w:r w:rsidR="003145D8">
        <w:rPr>
          <w:rFonts w:eastAsia="Malgun Gothic"/>
          <w:lang w:eastAsia="ko-KR"/>
        </w:rPr>
        <w:t>aligned</w:t>
      </w:r>
      <w:r>
        <w:rPr>
          <w:rFonts w:eastAsia="Malgun Gothic"/>
          <w:lang w:eastAsia="ko-KR"/>
        </w:rPr>
        <w:t xml:space="preserve"> with the parent or donor node using TA/2 adjustment as in Case#1, and the UL transmission timing is aligned with the IAB node’s DL transmission timing. Thus, for a </w:t>
      </w:r>
      <w:proofErr w:type="gramStart"/>
      <w:r>
        <w:rPr>
          <w:rFonts w:eastAsia="Malgun Gothic"/>
          <w:lang w:eastAsia="ko-KR"/>
        </w:rPr>
        <w:t>particular IAB</w:t>
      </w:r>
      <w:proofErr w:type="gramEnd"/>
      <w:r>
        <w:rPr>
          <w:rFonts w:eastAsia="Malgun Gothic"/>
          <w:lang w:eastAsia="ko-KR"/>
        </w:rPr>
        <w:t xml:space="preserve"> node, both DL and UL transmission timing match as in Case #2. Therefore</w:t>
      </w:r>
      <w:r w:rsidR="003145D8">
        <w:rPr>
          <w:rFonts w:eastAsia="Malgun Gothic"/>
          <w:lang w:eastAsia="ko-KR"/>
        </w:rPr>
        <w:t>,</w:t>
      </w:r>
      <w:r>
        <w:rPr>
          <w:rFonts w:eastAsia="Malgun Gothic"/>
          <w:lang w:eastAsia="ko-KR"/>
        </w:rPr>
        <w:t xml:space="preserve"> Case #6 can be </w:t>
      </w:r>
      <w:r w:rsidR="003145D8">
        <w:rPr>
          <w:rFonts w:eastAsia="Malgun Gothic"/>
          <w:lang w:eastAsia="ko-KR"/>
        </w:rPr>
        <w:t>considered</w:t>
      </w:r>
      <w:r>
        <w:rPr>
          <w:rFonts w:eastAsia="Malgun Gothic"/>
          <w:lang w:eastAsia="ko-KR"/>
        </w:rPr>
        <w:t xml:space="preserve"> as combination of Case #1 and Case #2. </w:t>
      </w:r>
    </w:p>
    <w:p w:rsidR="00955CEA" w:rsidRDefault="00955CEA" w:rsidP="00955CEA">
      <w:pPr>
        <w:jc w:val="both"/>
      </w:pPr>
      <w:r>
        <w:rPr>
          <w:rFonts w:eastAsia="Malgun Gothic"/>
          <w:lang w:eastAsia="ko-KR"/>
        </w:rPr>
        <w:t xml:space="preserve">The timings at an IAB node in Case #6 is presented in Figure 1. The BH DL transmission from a parent is received at the IAB node after a delay of T1. The IAB node will perform TA/2 shift from DL reception time to get the DL and UL transmission timings. Here, TA/2 equals the propagation delay T1 </w:t>
      </w:r>
      <w:proofErr w:type="gramStart"/>
      <w:r>
        <w:rPr>
          <w:rFonts w:eastAsia="Malgun Gothic"/>
          <w:lang w:eastAsia="ko-KR"/>
        </w:rPr>
        <w:t>in order to</w:t>
      </w:r>
      <w:proofErr w:type="gramEnd"/>
      <w:r>
        <w:rPr>
          <w:rFonts w:eastAsia="Malgun Gothic"/>
          <w:lang w:eastAsia="ko-KR"/>
        </w:rPr>
        <w:t xml:space="preserve"> maintain </w:t>
      </w:r>
      <w:r w:rsidR="00B37F22">
        <w:rPr>
          <w:rFonts w:eastAsia="Malgun Gothic"/>
          <w:lang w:eastAsia="ko-KR"/>
        </w:rPr>
        <w:t xml:space="preserve">DL </w:t>
      </w:r>
      <w:r>
        <w:rPr>
          <w:rFonts w:eastAsia="Malgun Gothic"/>
          <w:lang w:eastAsia="ko-KR"/>
        </w:rPr>
        <w:t xml:space="preserve">transmission timings aligned with the donor. Since the timing advancement </w:t>
      </w:r>
      <w:r w:rsidR="00600C22">
        <w:rPr>
          <w:rFonts w:eastAsia="Malgun Gothic"/>
          <w:lang w:eastAsia="ko-KR"/>
        </w:rPr>
        <w:t xml:space="preserve">(from IAB parent to IAB child) </w:t>
      </w:r>
      <w:r>
        <w:rPr>
          <w:rFonts w:eastAsia="Malgun Gothic"/>
          <w:lang w:eastAsia="ko-KR"/>
        </w:rPr>
        <w:t>is absent in IAB node, the reception timing from parent</w:t>
      </w:r>
      <w:r w:rsidR="00C9766C">
        <w:rPr>
          <w:rFonts w:eastAsia="Malgun Gothic"/>
          <w:lang w:eastAsia="ko-KR"/>
        </w:rPr>
        <w:t xml:space="preserve"> (i.e., </w:t>
      </w:r>
      <w:r w:rsidR="00851D1B">
        <w:rPr>
          <w:rFonts w:eastAsia="Malgun Gothic"/>
          <w:lang w:eastAsia="ko-KR"/>
        </w:rPr>
        <w:t xml:space="preserve">Parent </w:t>
      </w:r>
      <w:r w:rsidR="00C9766C">
        <w:rPr>
          <w:rFonts w:eastAsia="Malgun Gothic"/>
          <w:lang w:eastAsia="ko-KR"/>
        </w:rPr>
        <w:t>BH DL Rx)</w:t>
      </w:r>
      <w:r>
        <w:rPr>
          <w:rFonts w:eastAsia="Malgun Gothic"/>
          <w:lang w:eastAsia="ko-KR"/>
        </w:rPr>
        <w:t xml:space="preserve"> and </w:t>
      </w:r>
      <w:r w:rsidR="002D64F2">
        <w:rPr>
          <w:rFonts w:eastAsia="Malgun Gothic"/>
          <w:lang w:eastAsia="ko-KR"/>
        </w:rPr>
        <w:t xml:space="preserve">the reception timing from </w:t>
      </w:r>
      <w:r>
        <w:rPr>
          <w:rFonts w:eastAsia="Malgun Gothic"/>
          <w:lang w:eastAsia="ko-KR"/>
        </w:rPr>
        <w:t>child</w:t>
      </w:r>
      <w:r w:rsidR="002D64F2">
        <w:rPr>
          <w:rFonts w:eastAsia="Malgun Gothic"/>
          <w:lang w:eastAsia="ko-KR"/>
        </w:rPr>
        <w:t xml:space="preserve"> (i.e., Child BH UL Rx)</w:t>
      </w:r>
      <w:r>
        <w:rPr>
          <w:rFonts w:eastAsia="Malgun Gothic"/>
          <w:lang w:eastAsia="ko-KR"/>
        </w:rPr>
        <w:t xml:space="preserve"> depends on the respective propagation delays and are not aligned.</w:t>
      </w:r>
    </w:p>
    <w:p w:rsidR="00955CEA" w:rsidRDefault="00955CEA" w:rsidP="00024B75">
      <w:pPr>
        <w:jc w:val="both"/>
      </w:pPr>
    </w:p>
    <w:p w:rsidR="00024B75" w:rsidRDefault="00024B75" w:rsidP="00024B75">
      <w:pPr>
        <w:jc w:val="both"/>
      </w:pPr>
    </w:p>
    <w:p w:rsidR="00024B75" w:rsidRDefault="00441F8E" w:rsidP="00024B75">
      <w:pPr>
        <w:jc w:val="both"/>
      </w:pPr>
      <w:r>
        <w:lastRenderedPageBreak/>
        <w:pict>
          <v:shapetype id="_x0000_t202" coordsize="21600,21600" o:spt="202" path="m,l,21600r21600,l21600,xe">
            <v:stroke joinstyle="miter"/>
            <v:path gradientshapeok="t" o:connecttype="rect"/>
          </v:shapetype>
          <v:shape id="_x0000_s1027" type="#_x0000_t202" style="position:absolute;left:0;text-align:left;margin-left:115.8pt;margin-top:3.7pt;width:236.95pt;height:318.2pt;z-index:251660288;mso-wrap-distance-left:0;mso-wrap-distance-right:0" stroked="f">
            <v:fill color2="black"/>
            <v:textbox inset="0,0,0,0">
              <w:txbxContent>
                <w:p w:rsidR="007543AF" w:rsidRDefault="00C426DE" w:rsidP="003435BB">
                  <w:pPr>
                    <w:pStyle w:val="Figure"/>
                    <w:jc w:val="center"/>
                    <w:rPr>
                      <w:rFonts w:ascii="Times New Roman" w:hAnsi="Times New Roman" w:cs="Times New Roman"/>
                      <w:i w:val="0"/>
                      <w:sz w:val="20"/>
                    </w:rPr>
                  </w:pPr>
                  <w:r>
                    <w:rPr>
                      <w:noProof/>
                    </w:rPr>
                    <w:drawing>
                      <wp:inline distT="0" distB="0" distL="0" distR="0">
                        <wp:extent cx="3009142" cy="3567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0068" cy="3580117"/>
                                </a:xfrm>
                                <a:prstGeom prst="rect">
                                  <a:avLst/>
                                </a:prstGeom>
                                <a:noFill/>
                                <a:ln>
                                  <a:noFill/>
                                </a:ln>
                              </pic:spPr>
                            </pic:pic>
                          </a:graphicData>
                        </a:graphic>
                      </wp:inline>
                    </w:drawing>
                  </w:r>
                  <w:r w:rsidR="00024B75">
                    <w:br/>
                  </w:r>
                </w:p>
                <w:p w:rsidR="00024B75" w:rsidRDefault="00024B75" w:rsidP="003435BB">
                  <w:pPr>
                    <w:pStyle w:val="Figure"/>
                    <w:jc w:val="center"/>
                  </w:pPr>
                  <w:r w:rsidRPr="00295238">
                    <w:rPr>
                      <w:rFonts w:ascii="Times New Roman" w:hAnsi="Times New Roman" w:cs="Times New Roman"/>
                      <w:i w:val="0"/>
                      <w:sz w:val="20"/>
                    </w:rPr>
                    <w:t xml:space="preserve">Figure </w:t>
                  </w:r>
                  <w:r w:rsidR="002C3C5D" w:rsidRPr="00295238">
                    <w:rPr>
                      <w:rFonts w:ascii="Times New Roman" w:hAnsi="Times New Roman" w:cs="Times New Roman"/>
                      <w:i w:val="0"/>
                      <w:sz w:val="20"/>
                    </w:rPr>
                    <w:fldChar w:fldCharType="begin"/>
                  </w:r>
                  <w:r w:rsidRPr="00295238">
                    <w:rPr>
                      <w:rFonts w:ascii="Times New Roman" w:hAnsi="Times New Roman" w:cs="Times New Roman"/>
                      <w:i w:val="0"/>
                      <w:sz w:val="20"/>
                    </w:rPr>
                    <w:instrText xml:space="preserve"> SEQ "Figure" \* ARABIC </w:instrText>
                  </w:r>
                  <w:r w:rsidR="002C3C5D" w:rsidRPr="00295238">
                    <w:rPr>
                      <w:rFonts w:ascii="Times New Roman" w:hAnsi="Times New Roman" w:cs="Times New Roman"/>
                      <w:i w:val="0"/>
                      <w:sz w:val="20"/>
                    </w:rPr>
                    <w:fldChar w:fldCharType="separate"/>
                  </w:r>
                  <w:r w:rsidRPr="00295238">
                    <w:rPr>
                      <w:rFonts w:ascii="Times New Roman" w:hAnsi="Times New Roman" w:cs="Times New Roman"/>
                      <w:i w:val="0"/>
                      <w:sz w:val="20"/>
                    </w:rPr>
                    <w:t>1</w:t>
                  </w:r>
                  <w:r w:rsidR="002C3C5D" w:rsidRPr="00295238">
                    <w:rPr>
                      <w:rFonts w:ascii="Times New Roman" w:hAnsi="Times New Roman" w:cs="Times New Roman"/>
                      <w:i w:val="0"/>
                      <w:sz w:val="20"/>
                    </w:rPr>
                    <w:fldChar w:fldCharType="end"/>
                  </w:r>
                  <w:r w:rsidRPr="00295238">
                    <w:rPr>
                      <w:rFonts w:ascii="Times New Roman" w:hAnsi="Times New Roman" w:cs="Times New Roman"/>
                      <w:i w:val="0"/>
                      <w:sz w:val="20"/>
                    </w:rPr>
                    <w:t>: Case #6 Timing</w:t>
                  </w:r>
                </w:p>
              </w:txbxContent>
            </v:textbox>
            <w10:wrap type="square" side="largest"/>
          </v:shape>
        </w:pict>
      </w: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7543AF" w:rsidRDefault="007543AF" w:rsidP="00024B75">
      <w:pPr>
        <w:jc w:val="both"/>
        <w:rPr>
          <w:rFonts w:eastAsia="Malgun Gothic"/>
          <w:lang w:eastAsia="ko-KR"/>
        </w:rPr>
      </w:pPr>
    </w:p>
    <w:p w:rsidR="00C426DE" w:rsidRDefault="00C426DE" w:rsidP="00024B75">
      <w:pPr>
        <w:jc w:val="both"/>
        <w:rPr>
          <w:rFonts w:eastAsia="Malgun Gothic"/>
          <w:lang w:eastAsia="ko-KR"/>
        </w:rPr>
      </w:pPr>
    </w:p>
    <w:p w:rsidR="00024B75" w:rsidRDefault="004D01F5" w:rsidP="00024B75">
      <w:pPr>
        <w:jc w:val="both"/>
      </w:pPr>
      <w:r>
        <w:rPr>
          <w:rFonts w:eastAsia="Malgun Gothic"/>
          <w:lang w:eastAsia="ko-KR"/>
        </w:rPr>
        <w:t>T</w:t>
      </w:r>
      <w:r w:rsidR="00024B75">
        <w:rPr>
          <w:rFonts w:eastAsia="Malgun Gothic"/>
          <w:lang w:eastAsia="ko-KR"/>
        </w:rPr>
        <w:t xml:space="preserve">he lining up of DL transmission timing across the nodes minimizes the time required to synchronize, when switching to new parent node. Further, because of the unified DL transmission timing, the UE see the network synchronized. Again, the </w:t>
      </w:r>
      <w:r w:rsidR="0093036C">
        <w:rPr>
          <w:rFonts w:eastAsia="Malgun Gothic"/>
          <w:lang w:eastAsia="ko-KR"/>
        </w:rPr>
        <w:t>alignment</w:t>
      </w:r>
      <w:r w:rsidR="00024B75">
        <w:rPr>
          <w:rFonts w:eastAsia="Malgun Gothic"/>
          <w:lang w:eastAsia="ko-KR"/>
        </w:rPr>
        <w:t xml:space="preserve"> of transmission timing at an IAB node facilitates simultaneous </w:t>
      </w:r>
      <w:r w:rsidR="0093036C">
        <w:rPr>
          <w:rFonts w:eastAsia="Malgun Gothic"/>
          <w:lang w:eastAsia="ko-KR"/>
        </w:rPr>
        <w:t>transmission</w:t>
      </w:r>
      <w:r w:rsidR="0033746B">
        <w:rPr>
          <w:rFonts w:eastAsia="Malgun Gothic"/>
          <w:lang w:eastAsia="ko-KR"/>
        </w:rPr>
        <w:t xml:space="preserve"> </w:t>
      </w:r>
      <w:r w:rsidR="00024B75">
        <w:rPr>
          <w:rFonts w:eastAsia="Malgun Gothic"/>
          <w:lang w:eastAsia="ko-KR"/>
        </w:rPr>
        <w:t xml:space="preserve">in BH and access links using </w:t>
      </w:r>
      <w:r w:rsidR="0072759E">
        <w:rPr>
          <w:rFonts w:eastAsia="Malgun Gothic"/>
          <w:lang w:eastAsia="ko-KR"/>
        </w:rPr>
        <w:t>SDM</w:t>
      </w:r>
      <w:r w:rsidR="00024B75">
        <w:rPr>
          <w:rFonts w:eastAsia="Malgun Gothic"/>
          <w:lang w:eastAsia="ko-KR"/>
        </w:rPr>
        <w:t>.</w:t>
      </w:r>
      <w:r w:rsidR="006F3E68">
        <w:rPr>
          <w:rFonts w:eastAsia="Malgun Gothic"/>
          <w:lang w:eastAsia="ko-KR"/>
        </w:rPr>
        <w:t xml:space="preserve"> </w:t>
      </w:r>
      <w:r w:rsidR="00024B75">
        <w:rPr>
          <w:rFonts w:eastAsia="Malgun Gothic"/>
          <w:lang w:eastAsia="ko-KR"/>
        </w:rPr>
        <w:tab/>
        <w:t xml:space="preserve">However, the difference in reception timings at a node creates interference. The guard period required in switching from one mode of operation to another is studied and is summarized in Table 1. Here, Ts denotes the time required for transmission and reception switch, </w:t>
      </w:r>
      <w:r w:rsidR="0093036C">
        <w:rPr>
          <w:rFonts w:eastAsia="Malgun Gothic"/>
          <w:lang w:eastAsia="ko-KR"/>
        </w:rPr>
        <w:t>whereas T</w:t>
      </w:r>
      <w:r w:rsidR="00024B75">
        <w:rPr>
          <w:rFonts w:eastAsia="Malgun Gothic"/>
          <w:lang w:eastAsia="ko-KR"/>
        </w:rPr>
        <w:t>1 and T2 denotes the transmission delay in donor BH and child BH links, respectively.</w:t>
      </w:r>
    </w:p>
    <w:p w:rsidR="00024B75" w:rsidRDefault="00024B75" w:rsidP="0093036C">
      <w:pPr>
        <w:jc w:val="center"/>
      </w:pPr>
      <w:r>
        <w:rPr>
          <w:rFonts w:eastAsia="Malgun Gothic"/>
          <w:lang w:eastAsia="ko-KR"/>
        </w:rPr>
        <w:t xml:space="preserve">Table 1: The Guard period required at IAB node for various </w:t>
      </w:r>
      <w:r w:rsidR="0093036C">
        <w:rPr>
          <w:rFonts w:eastAsia="Malgun Gothic"/>
          <w:lang w:eastAsia="ko-KR"/>
        </w:rPr>
        <w:t>switching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1321"/>
        <w:gridCol w:w="1260"/>
        <w:gridCol w:w="1620"/>
        <w:gridCol w:w="1710"/>
      </w:tblGrid>
      <w:tr w:rsidR="00251A88" w:rsidTr="003553E4">
        <w:trPr>
          <w:jc w:val="center"/>
        </w:trPr>
        <w:tc>
          <w:tcPr>
            <w:tcW w:w="2581" w:type="dxa"/>
            <w:gridSpan w:val="2"/>
            <w:shd w:val="clear" w:color="auto" w:fill="auto"/>
          </w:tcPr>
          <w:p w:rsidR="00024B75" w:rsidRDefault="00024B75" w:rsidP="0093036C">
            <w:pPr>
              <w:pStyle w:val="TableContents"/>
              <w:spacing w:after="0"/>
              <w:jc w:val="both"/>
            </w:pPr>
          </w:p>
        </w:tc>
        <w:tc>
          <w:tcPr>
            <w:tcW w:w="1620" w:type="dxa"/>
            <w:shd w:val="clear" w:color="auto" w:fill="auto"/>
          </w:tcPr>
          <w:p w:rsidR="00024B75" w:rsidRDefault="00024B75" w:rsidP="0093036C">
            <w:pPr>
              <w:pStyle w:val="TableContents"/>
              <w:spacing w:after="0"/>
              <w:jc w:val="both"/>
            </w:pPr>
            <w:r>
              <w:t>Case #6</w:t>
            </w:r>
          </w:p>
        </w:tc>
        <w:tc>
          <w:tcPr>
            <w:tcW w:w="1710" w:type="dxa"/>
            <w:shd w:val="clear" w:color="auto" w:fill="auto"/>
          </w:tcPr>
          <w:p w:rsidR="00024B75" w:rsidRDefault="00024B75" w:rsidP="0093036C">
            <w:pPr>
              <w:pStyle w:val="TableContents"/>
              <w:spacing w:after="0"/>
              <w:jc w:val="both"/>
            </w:pPr>
            <w:r>
              <w:t>Case #7</w:t>
            </w:r>
          </w:p>
        </w:tc>
      </w:tr>
      <w:tr w:rsidR="00251A88" w:rsidTr="003553E4">
        <w:trPr>
          <w:jc w:val="center"/>
        </w:trPr>
        <w:tc>
          <w:tcPr>
            <w:tcW w:w="1321" w:type="dxa"/>
            <w:vMerge w:val="restart"/>
            <w:shd w:val="clear" w:color="auto" w:fill="auto"/>
          </w:tcPr>
          <w:p w:rsidR="00024B75" w:rsidRDefault="00024B75" w:rsidP="0093036C">
            <w:pPr>
              <w:pStyle w:val="TableContents"/>
              <w:spacing w:after="0"/>
              <w:jc w:val="both"/>
            </w:pPr>
            <w:r>
              <w:t>BH DL Rx</w:t>
            </w:r>
          </w:p>
        </w:tc>
        <w:tc>
          <w:tcPr>
            <w:tcW w:w="1260" w:type="dxa"/>
            <w:shd w:val="clear" w:color="auto" w:fill="auto"/>
          </w:tcPr>
          <w:p w:rsidR="00024B75" w:rsidRDefault="00024B75" w:rsidP="0093036C">
            <w:pPr>
              <w:pStyle w:val="TableContents"/>
              <w:spacing w:after="0"/>
              <w:jc w:val="both"/>
            </w:pPr>
            <w:r>
              <w:t>BH DL Rx</w:t>
            </w:r>
          </w:p>
        </w:tc>
        <w:tc>
          <w:tcPr>
            <w:tcW w:w="1620" w:type="dxa"/>
            <w:shd w:val="clear" w:color="auto" w:fill="auto"/>
          </w:tcPr>
          <w:p w:rsidR="00024B75" w:rsidRDefault="00024B75" w:rsidP="0093036C">
            <w:pPr>
              <w:pStyle w:val="TableContents"/>
              <w:spacing w:after="0"/>
              <w:jc w:val="both"/>
            </w:pPr>
            <w:r>
              <w:t>-</w:t>
            </w:r>
          </w:p>
        </w:tc>
        <w:tc>
          <w:tcPr>
            <w:tcW w:w="1710" w:type="dxa"/>
            <w:shd w:val="clear" w:color="auto" w:fill="auto"/>
          </w:tcPr>
          <w:p w:rsidR="00024B75" w:rsidRDefault="00024B75" w:rsidP="0093036C">
            <w:pPr>
              <w:pStyle w:val="TableContents"/>
              <w:spacing w:after="0"/>
              <w:jc w:val="both"/>
            </w:pPr>
            <w:r>
              <w:t>-</w:t>
            </w:r>
          </w:p>
        </w:tc>
      </w:tr>
      <w:tr w:rsidR="00251A88" w:rsidTr="003553E4">
        <w:trPr>
          <w:jc w:val="center"/>
        </w:trPr>
        <w:tc>
          <w:tcPr>
            <w:tcW w:w="1321" w:type="dxa"/>
            <w:vMerge/>
            <w:shd w:val="clear" w:color="auto" w:fill="auto"/>
          </w:tcPr>
          <w:p w:rsidR="00024B75" w:rsidRDefault="00024B75" w:rsidP="0074706B">
            <w:pPr>
              <w:pStyle w:val="TableContents"/>
              <w:jc w:val="both"/>
            </w:pPr>
          </w:p>
        </w:tc>
        <w:tc>
          <w:tcPr>
            <w:tcW w:w="1260" w:type="dxa"/>
            <w:shd w:val="clear" w:color="auto" w:fill="auto"/>
          </w:tcPr>
          <w:p w:rsidR="00024B75" w:rsidRDefault="00024B75" w:rsidP="0093036C">
            <w:pPr>
              <w:pStyle w:val="TableContents"/>
              <w:spacing w:after="0"/>
              <w:jc w:val="both"/>
            </w:pPr>
            <w:r>
              <w:t>BH UL Tx</w:t>
            </w:r>
          </w:p>
        </w:tc>
        <w:tc>
          <w:tcPr>
            <w:tcW w:w="1620" w:type="dxa"/>
            <w:shd w:val="clear" w:color="auto" w:fill="auto"/>
          </w:tcPr>
          <w:p w:rsidR="00024B75" w:rsidRDefault="00024B75" w:rsidP="0093036C">
            <w:pPr>
              <w:pStyle w:val="TableContents"/>
              <w:spacing w:after="0"/>
              <w:jc w:val="both"/>
            </w:pPr>
            <w:r>
              <w:t>Ts+T1</w:t>
            </w:r>
          </w:p>
        </w:tc>
        <w:tc>
          <w:tcPr>
            <w:tcW w:w="1710" w:type="dxa"/>
            <w:shd w:val="clear" w:color="auto" w:fill="auto"/>
          </w:tcPr>
          <w:p w:rsidR="00024B75" w:rsidRDefault="00024B75" w:rsidP="0093036C">
            <w:pPr>
              <w:pStyle w:val="TableContents"/>
              <w:spacing w:after="0"/>
              <w:jc w:val="both"/>
            </w:pPr>
            <w:r>
              <w:t>Ts+</w:t>
            </w:r>
            <w:r w:rsidR="00A551AD">
              <w:t>2*</w:t>
            </w:r>
            <w:r>
              <w:t>T</w:t>
            </w:r>
            <w:r w:rsidR="00A551AD">
              <w:t>1</w:t>
            </w:r>
          </w:p>
        </w:tc>
      </w:tr>
      <w:tr w:rsidR="00251A88" w:rsidTr="003553E4">
        <w:trPr>
          <w:jc w:val="center"/>
        </w:trPr>
        <w:tc>
          <w:tcPr>
            <w:tcW w:w="1321" w:type="dxa"/>
            <w:vMerge/>
            <w:shd w:val="clear" w:color="auto" w:fill="auto"/>
          </w:tcPr>
          <w:p w:rsidR="00024B75" w:rsidRDefault="00024B75" w:rsidP="0093036C">
            <w:pPr>
              <w:pStyle w:val="TableContents"/>
              <w:spacing w:after="0"/>
              <w:jc w:val="both"/>
            </w:pPr>
          </w:p>
        </w:tc>
        <w:tc>
          <w:tcPr>
            <w:tcW w:w="1260" w:type="dxa"/>
            <w:shd w:val="clear" w:color="auto" w:fill="auto"/>
          </w:tcPr>
          <w:p w:rsidR="00024B75" w:rsidRDefault="00024B75" w:rsidP="0093036C">
            <w:pPr>
              <w:pStyle w:val="TableContents"/>
              <w:spacing w:after="0"/>
              <w:jc w:val="both"/>
            </w:pPr>
            <w:r>
              <w:t>BH DL Tx</w:t>
            </w:r>
          </w:p>
        </w:tc>
        <w:tc>
          <w:tcPr>
            <w:tcW w:w="1620" w:type="dxa"/>
            <w:shd w:val="clear" w:color="auto" w:fill="auto"/>
          </w:tcPr>
          <w:p w:rsidR="00024B75" w:rsidRDefault="00024B75" w:rsidP="0093036C">
            <w:pPr>
              <w:pStyle w:val="TableContents"/>
              <w:spacing w:after="0"/>
              <w:jc w:val="both"/>
            </w:pPr>
            <w:r>
              <w:t>Ts+T1</w:t>
            </w:r>
          </w:p>
        </w:tc>
        <w:tc>
          <w:tcPr>
            <w:tcW w:w="1710" w:type="dxa"/>
            <w:shd w:val="clear" w:color="auto" w:fill="auto"/>
          </w:tcPr>
          <w:p w:rsidR="00024B75" w:rsidRDefault="00024B75" w:rsidP="0093036C">
            <w:pPr>
              <w:pStyle w:val="TableContents"/>
              <w:spacing w:after="0"/>
              <w:jc w:val="both"/>
            </w:pPr>
            <w:r>
              <w:t>Ts+T1</w:t>
            </w:r>
          </w:p>
        </w:tc>
      </w:tr>
      <w:tr w:rsidR="00251A88" w:rsidTr="003553E4">
        <w:trPr>
          <w:jc w:val="center"/>
        </w:trPr>
        <w:tc>
          <w:tcPr>
            <w:tcW w:w="1321" w:type="dxa"/>
            <w:vMerge/>
            <w:shd w:val="clear" w:color="auto" w:fill="auto"/>
          </w:tcPr>
          <w:p w:rsidR="00024B75" w:rsidRDefault="00024B75" w:rsidP="0093036C">
            <w:pPr>
              <w:pStyle w:val="TableContents"/>
              <w:spacing w:after="0"/>
              <w:jc w:val="both"/>
            </w:pPr>
          </w:p>
        </w:tc>
        <w:tc>
          <w:tcPr>
            <w:tcW w:w="1260" w:type="dxa"/>
            <w:shd w:val="clear" w:color="auto" w:fill="auto"/>
          </w:tcPr>
          <w:p w:rsidR="00024B75" w:rsidRDefault="00024B75" w:rsidP="0093036C">
            <w:pPr>
              <w:pStyle w:val="TableContents"/>
              <w:spacing w:after="0"/>
              <w:jc w:val="both"/>
            </w:pPr>
            <w:r>
              <w:t>BH UL Rx</w:t>
            </w:r>
          </w:p>
        </w:tc>
        <w:tc>
          <w:tcPr>
            <w:tcW w:w="1620" w:type="dxa"/>
            <w:shd w:val="clear" w:color="auto" w:fill="auto"/>
          </w:tcPr>
          <w:p w:rsidR="00024B75" w:rsidRDefault="00024B75" w:rsidP="0093036C">
            <w:pPr>
              <w:pStyle w:val="TableContents"/>
              <w:spacing w:after="0"/>
              <w:jc w:val="both"/>
            </w:pPr>
            <w:r>
              <w:t>Max(T1-T2,0)</w:t>
            </w:r>
          </w:p>
        </w:tc>
        <w:tc>
          <w:tcPr>
            <w:tcW w:w="1710" w:type="dxa"/>
            <w:shd w:val="clear" w:color="auto" w:fill="auto"/>
          </w:tcPr>
          <w:p w:rsidR="00024B75" w:rsidRDefault="00024B75" w:rsidP="0093036C">
            <w:pPr>
              <w:pStyle w:val="TableContents"/>
              <w:spacing w:after="0"/>
              <w:jc w:val="both"/>
            </w:pPr>
            <w:r>
              <w:t>0</w:t>
            </w:r>
          </w:p>
        </w:tc>
      </w:tr>
      <w:tr w:rsidR="00251A88" w:rsidTr="003553E4">
        <w:trPr>
          <w:jc w:val="center"/>
        </w:trPr>
        <w:tc>
          <w:tcPr>
            <w:tcW w:w="1321" w:type="dxa"/>
            <w:vMerge w:val="restart"/>
            <w:shd w:val="clear" w:color="auto" w:fill="auto"/>
          </w:tcPr>
          <w:p w:rsidR="00024B75" w:rsidRDefault="00024B75" w:rsidP="0093036C">
            <w:pPr>
              <w:pStyle w:val="TableContents"/>
              <w:spacing w:after="0"/>
              <w:jc w:val="both"/>
            </w:pPr>
            <w:r>
              <w:t>BH UL Tx</w:t>
            </w:r>
          </w:p>
        </w:tc>
        <w:tc>
          <w:tcPr>
            <w:tcW w:w="1260" w:type="dxa"/>
            <w:shd w:val="clear" w:color="auto" w:fill="auto"/>
          </w:tcPr>
          <w:p w:rsidR="00024B75" w:rsidRDefault="00024B75" w:rsidP="0093036C">
            <w:pPr>
              <w:pStyle w:val="TableContents"/>
              <w:spacing w:after="0"/>
              <w:jc w:val="both"/>
            </w:pPr>
            <w:r>
              <w:t>BH DL Rx</w:t>
            </w:r>
          </w:p>
        </w:tc>
        <w:tc>
          <w:tcPr>
            <w:tcW w:w="1620" w:type="dxa"/>
            <w:shd w:val="clear" w:color="auto" w:fill="auto"/>
          </w:tcPr>
          <w:p w:rsidR="00024B75" w:rsidRDefault="00024B75" w:rsidP="0093036C">
            <w:pPr>
              <w:pStyle w:val="TableContents"/>
              <w:spacing w:after="0"/>
              <w:jc w:val="both"/>
            </w:pPr>
            <w:proofErr w:type="gramStart"/>
            <w:r>
              <w:t>Max(</w:t>
            </w:r>
            <w:proofErr w:type="gramEnd"/>
            <w:r>
              <w:t>Ts-T1,0)</w:t>
            </w:r>
          </w:p>
        </w:tc>
        <w:tc>
          <w:tcPr>
            <w:tcW w:w="1710" w:type="dxa"/>
            <w:shd w:val="clear" w:color="auto" w:fill="auto"/>
          </w:tcPr>
          <w:p w:rsidR="00024B75" w:rsidRDefault="00024B75" w:rsidP="0093036C">
            <w:pPr>
              <w:pStyle w:val="TableContents"/>
              <w:spacing w:after="0"/>
              <w:jc w:val="both"/>
            </w:pPr>
            <w:proofErr w:type="gramStart"/>
            <w:r>
              <w:t>Max(</w:t>
            </w:r>
            <w:proofErr w:type="gramEnd"/>
            <w:r>
              <w:t>Ts-</w:t>
            </w:r>
            <w:r w:rsidR="003C48C2">
              <w:t>2*</w:t>
            </w:r>
            <w:r>
              <w:t>T</w:t>
            </w:r>
            <w:r w:rsidR="00FC111E">
              <w:t>1</w:t>
            </w:r>
            <w:r>
              <w:t>,0)</w:t>
            </w:r>
          </w:p>
        </w:tc>
      </w:tr>
      <w:tr w:rsidR="00251A88" w:rsidTr="003553E4">
        <w:trPr>
          <w:jc w:val="center"/>
        </w:trPr>
        <w:tc>
          <w:tcPr>
            <w:tcW w:w="1321" w:type="dxa"/>
            <w:vMerge/>
            <w:shd w:val="clear" w:color="auto" w:fill="auto"/>
          </w:tcPr>
          <w:p w:rsidR="00024B75" w:rsidRDefault="00024B75" w:rsidP="0093036C">
            <w:pPr>
              <w:pStyle w:val="TableContents"/>
              <w:spacing w:after="0"/>
              <w:jc w:val="both"/>
            </w:pPr>
          </w:p>
        </w:tc>
        <w:tc>
          <w:tcPr>
            <w:tcW w:w="1260" w:type="dxa"/>
            <w:shd w:val="clear" w:color="auto" w:fill="auto"/>
          </w:tcPr>
          <w:p w:rsidR="00024B75" w:rsidRDefault="00024B75" w:rsidP="0093036C">
            <w:pPr>
              <w:pStyle w:val="TableContents"/>
              <w:spacing w:after="0"/>
              <w:jc w:val="both"/>
            </w:pPr>
            <w:r>
              <w:t>BH UL Tx</w:t>
            </w:r>
          </w:p>
        </w:tc>
        <w:tc>
          <w:tcPr>
            <w:tcW w:w="1620" w:type="dxa"/>
            <w:shd w:val="clear" w:color="auto" w:fill="auto"/>
          </w:tcPr>
          <w:p w:rsidR="00024B75" w:rsidRDefault="00024B75" w:rsidP="0093036C">
            <w:pPr>
              <w:pStyle w:val="TableContents"/>
              <w:spacing w:after="0"/>
              <w:jc w:val="both"/>
            </w:pPr>
            <w:r>
              <w:t>-</w:t>
            </w:r>
          </w:p>
        </w:tc>
        <w:tc>
          <w:tcPr>
            <w:tcW w:w="1710" w:type="dxa"/>
            <w:shd w:val="clear" w:color="auto" w:fill="auto"/>
          </w:tcPr>
          <w:p w:rsidR="00024B75" w:rsidRDefault="00024B75" w:rsidP="0093036C">
            <w:pPr>
              <w:pStyle w:val="TableContents"/>
              <w:spacing w:after="0"/>
              <w:jc w:val="both"/>
            </w:pPr>
            <w:r>
              <w:t>-</w:t>
            </w:r>
          </w:p>
        </w:tc>
      </w:tr>
      <w:tr w:rsidR="00251A88" w:rsidTr="003553E4">
        <w:trPr>
          <w:jc w:val="center"/>
        </w:trPr>
        <w:tc>
          <w:tcPr>
            <w:tcW w:w="1321" w:type="dxa"/>
            <w:vMerge/>
            <w:shd w:val="clear" w:color="auto" w:fill="auto"/>
          </w:tcPr>
          <w:p w:rsidR="00024B75" w:rsidRDefault="00024B75" w:rsidP="0093036C">
            <w:pPr>
              <w:pStyle w:val="TableContents"/>
              <w:spacing w:after="0"/>
              <w:jc w:val="both"/>
            </w:pPr>
          </w:p>
        </w:tc>
        <w:tc>
          <w:tcPr>
            <w:tcW w:w="1260" w:type="dxa"/>
            <w:shd w:val="clear" w:color="auto" w:fill="auto"/>
          </w:tcPr>
          <w:p w:rsidR="00024B75" w:rsidRDefault="00024B75" w:rsidP="0093036C">
            <w:pPr>
              <w:pStyle w:val="TableContents"/>
              <w:spacing w:after="0"/>
              <w:jc w:val="both"/>
            </w:pPr>
            <w:r>
              <w:t>BH DL Tx</w:t>
            </w:r>
          </w:p>
        </w:tc>
        <w:tc>
          <w:tcPr>
            <w:tcW w:w="1620" w:type="dxa"/>
            <w:shd w:val="clear" w:color="auto" w:fill="auto"/>
          </w:tcPr>
          <w:p w:rsidR="00024B75" w:rsidRDefault="00024B75" w:rsidP="0093036C">
            <w:pPr>
              <w:pStyle w:val="TableContents"/>
              <w:spacing w:after="0"/>
              <w:jc w:val="both"/>
            </w:pPr>
            <w:r>
              <w:t>0</w:t>
            </w:r>
          </w:p>
        </w:tc>
        <w:tc>
          <w:tcPr>
            <w:tcW w:w="1710" w:type="dxa"/>
            <w:shd w:val="clear" w:color="auto" w:fill="auto"/>
          </w:tcPr>
          <w:p w:rsidR="00024B75" w:rsidRDefault="00024B75" w:rsidP="0093036C">
            <w:pPr>
              <w:pStyle w:val="TableContents"/>
              <w:spacing w:after="0"/>
              <w:jc w:val="both"/>
            </w:pPr>
            <w:r>
              <w:t>0</w:t>
            </w:r>
          </w:p>
        </w:tc>
      </w:tr>
      <w:tr w:rsidR="00251A88" w:rsidTr="003553E4">
        <w:trPr>
          <w:jc w:val="center"/>
        </w:trPr>
        <w:tc>
          <w:tcPr>
            <w:tcW w:w="1321" w:type="dxa"/>
            <w:vMerge/>
            <w:shd w:val="clear" w:color="auto" w:fill="auto"/>
          </w:tcPr>
          <w:p w:rsidR="00024B75" w:rsidRDefault="00024B75" w:rsidP="0074706B">
            <w:pPr>
              <w:pStyle w:val="TableContents"/>
              <w:jc w:val="both"/>
            </w:pPr>
          </w:p>
        </w:tc>
        <w:tc>
          <w:tcPr>
            <w:tcW w:w="1260" w:type="dxa"/>
            <w:shd w:val="clear" w:color="auto" w:fill="auto"/>
          </w:tcPr>
          <w:p w:rsidR="00024B75" w:rsidRDefault="00024B75" w:rsidP="00BB5474">
            <w:pPr>
              <w:pStyle w:val="TableContents"/>
              <w:spacing w:after="0"/>
              <w:jc w:val="both"/>
            </w:pPr>
            <w:r>
              <w:t>BH UL Rx</w:t>
            </w:r>
          </w:p>
        </w:tc>
        <w:tc>
          <w:tcPr>
            <w:tcW w:w="1620" w:type="dxa"/>
            <w:shd w:val="clear" w:color="auto" w:fill="auto"/>
          </w:tcPr>
          <w:p w:rsidR="00024B75" w:rsidRDefault="00024B75" w:rsidP="0093036C">
            <w:pPr>
              <w:pStyle w:val="TableContents"/>
              <w:spacing w:after="0"/>
              <w:jc w:val="both"/>
            </w:pPr>
            <w:proofErr w:type="gramStart"/>
            <w:r>
              <w:t>Max(</w:t>
            </w:r>
            <w:proofErr w:type="gramEnd"/>
            <w:r>
              <w:t>Ts-T2,0)</w:t>
            </w:r>
          </w:p>
        </w:tc>
        <w:tc>
          <w:tcPr>
            <w:tcW w:w="1710" w:type="dxa"/>
            <w:shd w:val="clear" w:color="auto" w:fill="auto"/>
          </w:tcPr>
          <w:p w:rsidR="00024B75" w:rsidRDefault="00024B75" w:rsidP="0093036C">
            <w:pPr>
              <w:pStyle w:val="TableContents"/>
              <w:spacing w:after="0"/>
              <w:jc w:val="both"/>
            </w:pPr>
            <w:proofErr w:type="gramStart"/>
            <w:r>
              <w:t>Max(</w:t>
            </w:r>
            <w:proofErr w:type="gramEnd"/>
            <w:r>
              <w:t>Ts-</w:t>
            </w:r>
            <w:r w:rsidR="0087275D">
              <w:t>2*</w:t>
            </w:r>
            <w:r>
              <w:t>T</w:t>
            </w:r>
            <w:r w:rsidR="0087275D">
              <w:t>1</w:t>
            </w:r>
            <w:r>
              <w:t>,0)</w:t>
            </w:r>
          </w:p>
        </w:tc>
      </w:tr>
      <w:tr w:rsidR="00251A88" w:rsidTr="003553E4">
        <w:trPr>
          <w:jc w:val="center"/>
        </w:trPr>
        <w:tc>
          <w:tcPr>
            <w:tcW w:w="1321" w:type="dxa"/>
            <w:vMerge w:val="restart"/>
            <w:shd w:val="clear" w:color="auto" w:fill="auto"/>
          </w:tcPr>
          <w:p w:rsidR="00024B75" w:rsidRDefault="00024B75" w:rsidP="0093036C">
            <w:pPr>
              <w:pStyle w:val="TableContents"/>
              <w:spacing w:after="0"/>
              <w:jc w:val="both"/>
            </w:pPr>
            <w:r>
              <w:t>BH DL Tx</w:t>
            </w:r>
          </w:p>
        </w:tc>
        <w:tc>
          <w:tcPr>
            <w:tcW w:w="1260" w:type="dxa"/>
            <w:shd w:val="clear" w:color="auto" w:fill="auto"/>
          </w:tcPr>
          <w:p w:rsidR="00024B75" w:rsidRDefault="00024B75" w:rsidP="0093036C">
            <w:pPr>
              <w:pStyle w:val="TableContents"/>
              <w:spacing w:after="0"/>
              <w:jc w:val="both"/>
            </w:pPr>
            <w:r>
              <w:t>BH DL Rx</w:t>
            </w:r>
          </w:p>
        </w:tc>
        <w:tc>
          <w:tcPr>
            <w:tcW w:w="1620" w:type="dxa"/>
            <w:shd w:val="clear" w:color="auto" w:fill="auto"/>
          </w:tcPr>
          <w:p w:rsidR="00024B75" w:rsidRDefault="00024B75" w:rsidP="0093036C">
            <w:pPr>
              <w:pStyle w:val="TableContents"/>
              <w:spacing w:after="0"/>
              <w:jc w:val="both"/>
            </w:pPr>
            <w:proofErr w:type="gramStart"/>
            <w:r>
              <w:t>Max(</w:t>
            </w:r>
            <w:proofErr w:type="gramEnd"/>
            <w:r>
              <w:t>Ts-T1,0)</w:t>
            </w:r>
          </w:p>
        </w:tc>
        <w:tc>
          <w:tcPr>
            <w:tcW w:w="1710" w:type="dxa"/>
            <w:shd w:val="clear" w:color="auto" w:fill="auto"/>
          </w:tcPr>
          <w:p w:rsidR="00024B75" w:rsidRDefault="00024B75" w:rsidP="0093036C">
            <w:pPr>
              <w:pStyle w:val="TableContents"/>
              <w:spacing w:after="0"/>
              <w:jc w:val="both"/>
            </w:pPr>
            <w:proofErr w:type="gramStart"/>
            <w:r>
              <w:t>Max(</w:t>
            </w:r>
            <w:proofErr w:type="gramEnd"/>
            <w:r>
              <w:t>Ts-T</w:t>
            </w:r>
            <w:r w:rsidR="006B276F">
              <w:t>1</w:t>
            </w:r>
            <w:r>
              <w:t>,0)</w:t>
            </w:r>
          </w:p>
        </w:tc>
      </w:tr>
      <w:tr w:rsidR="00251A88" w:rsidTr="003553E4">
        <w:trPr>
          <w:jc w:val="center"/>
        </w:trPr>
        <w:tc>
          <w:tcPr>
            <w:tcW w:w="1321" w:type="dxa"/>
            <w:vMerge/>
            <w:shd w:val="clear" w:color="auto" w:fill="auto"/>
          </w:tcPr>
          <w:p w:rsidR="00024B75" w:rsidRDefault="00024B75" w:rsidP="0093036C">
            <w:pPr>
              <w:pStyle w:val="TableContents"/>
              <w:spacing w:after="0"/>
              <w:jc w:val="both"/>
            </w:pPr>
          </w:p>
        </w:tc>
        <w:tc>
          <w:tcPr>
            <w:tcW w:w="1260" w:type="dxa"/>
            <w:shd w:val="clear" w:color="auto" w:fill="auto"/>
          </w:tcPr>
          <w:p w:rsidR="00024B75" w:rsidRDefault="00024B75" w:rsidP="0093036C">
            <w:pPr>
              <w:pStyle w:val="TableContents"/>
              <w:spacing w:after="0"/>
              <w:jc w:val="both"/>
            </w:pPr>
            <w:r>
              <w:t>BH UL Tx</w:t>
            </w:r>
          </w:p>
        </w:tc>
        <w:tc>
          <w:tcPr>
            <w:tcW w:w="1620" w:type="dxa"/>
            <w:shd w:val="clear" w:color="auto" w:fill="auto"/>
          </w:tcPr>
          <w:p w:rsidR="00024B75" w:rsidRDefault="00024B75" w:rsidP="0093036C">
            <w:pPr>
              <w:pStyle w:val="TableContents"/>
              <w:spacing w:after="0"/>
              <w:jc w:val="both"/>
            </w:pPr>
            <w:r>
              <w:t>0</w:t>
            </w:r>
          </w:p>
        </w:tc>
        <w:tc>
          <w:tcPr>
            <w:tcW w:w="1710" w:type="dxa"/>
            <w:shd w:val="clear" w:color="auto" w:fill="auto"/>
          </w:tcPr>
          <w:p w:rsidR="00024B75" w:rsidRDefault="00024B75" w:rsidP="0093036C">
            <w:pPr>
              <w:pStyle w:val="TableContents"/>
              <w:spacing w:after="0"/>
              <w:jc w:val="both"/>
            </w:pPr>
            <w:r>
              <w:t>T1</w:t>
            </w:r>
          </w:p>
        </w:tc>
      </w:tr>
      <w:tr w:rsidR="00251A88" w:rsidTr="003553E4">
        <w:trPr>
          <w:jc w:val="center"/>
        </w:trPr>
        <w:tc>
          <w:tcPr>
            <w:tcW w:w="1321" w:type="dxa"/>
            <w:vMerge/>
            <w:shd w:val="clear" w:color="auto" w:fill="auto"/>
          </w:tcPr>
          <w:p w:rsidR="00024B75" w:rsidRDefault="00024B75" w:rsidP="0093036C">
            <w:pPr>
              <w:pStyle w:val="TableContents"/>
              <w:spacing w:after="0"/>
              <w:jc w:val="both"/>
            </w:pPr>
          </w:p>
        </w:tc>
        <w:tc>
          <w:tcPr>
            <w:tcW w:w="1260" w:type="dxa"/>
            <w:shd w:val="clear" w:color="auto" w:fill="auto"/>
          </w:tcPr>
          <w:p w:rsidR="00024B75" w:rsidRDefault="00024B75" w:rsidP="0093036C">
            <w:pPr>
              <w:pStyle w:val="TableContents"/>
              <w:spacing w:after="0"/>
              <w:jc w:val="both"/>
            </w:pPr>
            <w:r>
              <w:t>BH DL Tx</w:t>
            </w:r>
          </w:p>
        </w:tc>
        <w:tc>
          <w:tcPr>
            <w:tcW w:w="1620" w:type="dxa"/>
            <w:shd w:val="clear" w:color="auto" w:fill="auto"/>
          </w:tcPr>
          <w:p w:rsidR="00024B75" w:rsidRDefault="00024B75" w:rsidP="0093036C">
            <w:pPr>
              <w:pStyle w:val="TableContents"/>
              <w:spacing w:after="0"/>
              <w:jc w:val="both"/>
            </w:pPr>
            <w:r>
              <w:t>-</w:t>
            </w:r>
          </w:p>
        </w:tc>
        <w:tc>
          <w:tcPr>
            <w:tcW w:w="1710" w:type="dxa"/>
            <w:shd w:val="clear" w:color="auto" w:fill="auto"/>
          </w:tcPr>
          <w:p w:rsidR="00024B75" w:rsidRDefault="00024B75" w:rsidP="0093036C">
            <w:pPr>
              <w:pStyle w:val="TableContents"/>
              <w:spacing w:after="0"/>
              <w:jc w:val="both"/>
            </w:pPr>
            <w:r>
              <w:t>-</w:t>
            </w:r>
          </w:p>
        </w:tc>
      </w:tr>
      <w:tr w:rsidR="00251A88" w:rsidTr="003553E4">
        <w:trPr>
          <w:jc w:val="center"/>
        </w:trPr>
        <w:tc>
          <w:tcPr>
            <w:tcW w:w="1321" w:type="dxa"/>
            <w:vMerge/>
            <w:shd w:val="clear" w:color="auto" w:fill="auto"/>
          </w:tcPr>
          <w:p w:rsidR="00024B75" w:rsidRDefault="00024B75" w:rsidP="0093036C">
            <w:pPr>
              <w:pStyle w:val="TableContents"/>
              <w:spacing w:after="0"/>
              <w:jc w:val="both"/>
            </w:pPr>
          </w:p>
        </w:tc>
        <w:tc>
          <w:tcPr>
            <w:tcW w:w="1260" w:type="dxa"/>
            <w:shd w:val="clear" w:color="auto" w:fill="auto"/>
          </w:tcPr>
          <w:p w:rsidR="00024B75" w:rsidRDefault="00024B75" w:rsidP="0093036C">
            <w:pPr>
              <w:pStyle w:val="TableContents"/>
              <w:spacing w:after="0"/>
              <w:jc w:val="both"/>
            </w:pPr>
            <w:r>
              <w:t>BH UL Rx</w:t>
            </w:r>
          </w:p>
        </w:tc>
        <w:tc>
          <w:tcPr>
            <w:tcW w:w="1620" w:type="dxa"/>
            <w:shd w:val="clear" w:color="auto" w:fill="auto"/>
          </w:tcPr>
          <w:p w:rsidR="00024B75" w:rsidRDefault="00024B75" w:rsidP="0093036C">
            <w:pPr>
              <w:pStyle w:val="TableContents"/>
              <w:spacing w:after="0"/>
              <w:jc w:val="both"/>
            </w:pPr>
            <w:proofErr w:type="gramStart"/>
            <w:r>
              <w:t>Max(</w:t>
            </w:r>
            <w:proofErr w:type="gramEnd"/>
            <w:r>
              <w:t>Ts-T2,0)</w:t>
            </w:r>
          </w:p>
        </w:tc>
        <w:tc>
          <w:tcPr>
            <w:tcW w:w="1710" w:type="dxa"/>
            <w:shd w:val="clear" w:color="auto" w:fill="auto"/>
          </w:tcPr>
          <w:p w:rsidR="00024B75" w:rsidRDefault="00024B75" w:rsidP="0093036C">
            <w:pPr>
              <w:pStyle w:val="TableContents"/>
              <w:spacing w:after="0"/>
              <w:jc w:val="both"/>
            </w:pPr>
            <w:proofErr w:type="gramStart"/>
            <w:r>
              <w:t>Max(</w:t>
            </w:r>
            <w:proofErr w:type="gramEnd"/>
            <w:r>
              <w:t>Ts-T1,0)</w:t>
            </w:r>
          </w:p>
        </w:tc>
      </w:tr>
      <w:tr w:rsidR="00251A88" w:rsidTr="003553E4">
        <w:trPr>
          <w:jc w:val="center"/>
        </w:trPr>
        <w:tc>
          <w:tcPr>
            <w:tcW w:w="1321" w:type="dxa"/>
            <w:vMerge w:val="restart"/>
            <w:shd w:val="clear" w:color="auto" w:fill="auto"/>
          </w:tcPr>
          <w:p w:rsidR="00024B75" w:rsidRDefault="00024B75" w:rsidP="0093036C">
            <w:pPr>
              <w:pStyle w:val="TableContents"/>
              <w:spacing w:after="0"/>
              <w:jc w:val="both"/>
            </w:pPr>
            <w:r>
              <w:lastRenderedPageBreak/>
              <w:t>BH UL Rx</w:t>
            </w:r>
          </w:p>
        </w:tc>
        <w:tc>
          <w:tcPr>
            <w:tcW w:w="1260" w:type="dxa"/>
            <w:shd w:val="clear" w:color="auto" w:fill="auto"/>
          </w:tcPr>
          <w:p w:rsidR="00024B75" w:rsidRDefault="00024B75" w:rsidP="0093036C">
            <w:pPr>
              <w:pStyle w:val="TableContents"/>
              <w:spacing w:after="0"/>
              <w:jc w:val="both"/>
            </w:pPr>
            <w:r>
              <w:t>BH DL Rx</w:t>
            </w:r>
          </w:p>
        </w:tc>
        <w:tc>
          <w:tcPr>
            <w:tcW w:w="1620" w:type="dxa"/>
            <w:shd w:val="clear" w:color="auto" w:fill="auto"/>
          </w:tcPr>
          <w:p w:rsidR="00024B75" w:rsidRDefault="00024B75" w:rsidP="0093036C">
            <w:pPr>
              <w:pStyle w:val="TableContents"/>
              <w:spacing w:after="0"/>
              <w:jc w:val="both"/>
            </w:pPr>
            <w:r>
              <w:t>Max(T</w:t>
            </w:r>
            <w:r w:rsidR="00E6088B">
              <w:t>2</w:t>
            </w:r>
            <w:r>
              <w:t>-T</w:t>
            </w:r>
            <w:r w:rsidR="00E6088B">
              <w:t>1</w:t>
            </w:r>
            <w:r>
              <w:t>,0)</w:t>
            </w:r>
          </w:p>
        </w:tc>
        <w:tc>
          <w:tcPr>
            <w:tcW w:w="1710" w:type="dxa"/>
            <w:shd w:val="clear" w:color="auto" w:fill="auto"/>
          </w:tcPr>
          <w:p w:rsidR="00024B75" w:rsidRDefault="00024B75" w:rsidP="0093036C">
            <w:pPr>
              <w:pStyle w:val="TableContents"/>
              <w:spacing w:after="0"/>
              <w:jc w:val="both"/>
            </w:pPr>
            <w:r>
              <w:t>0</w:t>
            </w:r>
          </w:p>
        </w:tc>
      </w:tr>
      <w:tr w:rsidR="00251A88" w:rsidTr="003553E4">
        <w:trPr>
          <w:jc w:val="center"/>
        </w:trPr>
        <w:tc>
          <w:tcPr>
            <w:tcW w:w="1321" w:type="dxa"/>
            <w:vMerge/>
            <w:shd w:val="clear" w:color="auto" w:fill="auto"/>
          </w:tcPr>
          <w:p w:rsidR="00024B75" w:rsidRDefault="00024B75" w:rsidP="0093036C">
            <w:pPr>
              <w:pStyle w:val="TableContents"/>
              <w:spacing w:after="0"/>
              <w:jc w:val="both"/>
            </w:pPr>
          </w:p>
        </w:tc>
        <w:tc>
          <w:tcPr>
            <w:tcW w:w="1260" w:type="dxa"/>
            <w:shd w:val="clear" w:color="auto" w:fill="auto"/>
          </w:tcPr>
          <w:p w:rsidR="00024B75" w:rsidRDefault="00024B75" w:rsidP="0093036C">
            <w:pPr>
              <w:pStyle w:val="TableContents"/>
              <w:spacing w:after="0"/>
              <w:jc w:val="both"/>
            </w:pPr>
            <w:r>
              <w:t>BH UL Tx</w:t>
            </w:r>
          </w:p>
        </w:tc>
        <w:tc>
          <w:tcPr>
            <w:tcW w:w="1620" w:type="dxa"/>
            <w:shd w:val="clear" w:color="auto" w:fill="auto"/>
          </w:tcPr>
          <w:p w:rsidR="00024B75" w:rsidRDefault="00024B75" w:rsidP="0093036C">
            <w:pPr>
              <w:pStyle w:val="TableContents"/>
              <w:spacing w:after="0"/>
              <w:jc w:val="both"/>
            </w:pPr>
            <w:r>
              <w:t>Ts+T2</w:t>
            </w:r>
          </w:p>
        </w:tc>
        <w:tc>
          <w:tcPr>
            <w:tcW w:w="1710" w:type="dxa"/>
            <w:shd w:val="clear" w:color="auto" w:fill="auto"/>
          </w:tcPr>
          <w:p w:rsidR="00024B75" w:rsidRDefault="00024B75" w:rsidP="0093036C">
            <w:pPr>
              <w:pStyle w:val="TableContents"/>
              <w:spacing w:after="0"/>
              <w:jc w:val="both"/>
            </w:pPr>
            <w:r>
              <w:t>Ts+</w:t>
            </w:r>
            <w:r w:rsidR="00884848">
              <w:t>2*</w:t>
            </w:r>
            <w:r>
              <w:t>T</w:t>
            </w:r>
            <w:r w:rsidR="00884848">
              <w:t>1</w:t>
            </w:r>
          </w:p>
        </w:tc>
      </w:tr>
      <w:tr w:rsidR="00251A88" w:rsidTr="003553E4">
        <w:trPr>
          <w:jc w:val="center"/>
        </w:trPr>
        <w:tc>
          <w:tcPr>
            <w:tcW w:w="1321" w:type="dxa"/>
            <w:vMerge/>
            <w:shd w:val="clear" w:color="auto" w:fill="auto"/>
          </w:tcPr>
          <w:p w:rsidR="00024B75" w:rsidRDefault="00024B75" w:rsidP="0093036C">
            <w:pPr>
              <w:pStyle w:val="TableContents"/>
              <w:spacing w:after="0"/>
              <w:jc w:val="both"/>
            </w:pPr>
          </w:p>
        </w:tc>
        <w:tc>
          <w:tcPr>
            <w:tcW w:w="1260" w:type="dxa"/>
            <w:shd w:val="clear" w:color="auto" w:fill="auto"/>
          </w:tcPr>
          <w:p w:rsidR="00024B75" w:rsidRDefault="00024B75" w:rsidP="0093036C">
            <w:pPr>
              <w:pStyle w:val="TableContents"/>
              <w:spacing w:after="0"/>
              <w:jc w:val="both"/>
            </w:pPr>
            <w:r>
              <w:t>BH DL Tx</w:t>
            </w:r>
          </w:p>
        </w:tc>
        <w:tc>
          <w:tcPr>
            <w:tcW w:w="1620" w:type="dxa"/>
            <w:shd w:val="clear" w:color="auto" w:fill="auto"/>
          </w:tcPr>
          <w:p w:rsidR="00024B75" w:rsidRDefault="00024B75" w:rsidP="0093036C">
            <w:pPr>
              <w:pStyle w:val="TableContents"/>
              <w:spacing w:after="0"/>
              <w:jc w:val="both"/>
            </w:pPr>
            <w:r>
              <w:t>Ts+T2</w:t>
            </w:r>
          </w:p>
        </w:tc>
        <w:tc>
          <w:tcPr>
            <w:tcW w:w="1710" w:type="dxa"/>
            <w:shd w:val="clear" w:color="auto" w:fill="auto"/>
          </w:tcPr>
          <w:p w:rsidR="00024B75" w:rsidRDefault="00024B75" w:rsidP="0093036C">
            <w:pPr>
              <w:pStyle w:val="TableContents"/>
              <w:spacing w:after="0"/>
              <w:jc w:val="both"/>
            </w:pPr>
            <w:r>
              <w:t>Ts+T1</w:t>
            </w:r>
          </w:p>
        </w:tc>
      </w:tr>
      <w:tr w:rsidR="00251A88" w:rsidTr="003553E4">
        <w:trPr>
          <w:jc w:val="center"/>
        </w:trPr>
        <w:tc>
          <w:tcPr>
            <w:tcW w:w="1321" w:type="dxa"/>
            <w:vMerge/>
            <w:shd w:val="clear" w:color="auto" w:fill="auto"/>
          </w:tcPr>
          <w:p w:rsidR="00024B75" w:rsidRDefault="00024B75" w:rsidP="0093036C">
            <w:pPr>
              <w:pStyle w:val="TableContents"/>
              <w:spacing w:after="0"/>
              <w:jc w:val="both"/>
            </w:pPr>
          </w:p>
        </w:tc>
        <w:tc>
          <w:tcPr>
            <w:tcW w:w="1260" w:type="dxa"/>
            <w:shd w:val="clear" w:color="auto" w:fill="auto"/>
          </w:tcPr>
          <w:p w:rsidR="00024B75" w:rsidRDefault="00024B75" w:rsidP="0093036C">
            <w:pPr>
              <w:pStyle w:val="TableContents"/>
              <w:spacing w:after="0"/>
              <w:jc w:val="both"/>
            </w:pPr>
            <w:r>
              <w:t>BH UL Rx</w:t>
            </w:r>
          </w:p>
        </w:tc>
        <w:tc>
          <w:tcPr>
            <w:tcW w:w="1620" w:type="dxa"/>
            <w:shd w:val="clear" w:color="auto" w:fill="auto"/>
          </w:tcPr>
          <w:p w:rsidR="00024B75" w:rsidRDefault="00024B75" w:rsidP="0093036C">
            <w:pPr>
              <w:pStyle w:val="TableContents"/>
              <w:spacing w:after="0"/>
              <w:jc w:val="both"/>
            </w:pPr>
            <w:r>
              <w:t>-</w:t>
            </w:r>
          </w:p>
        </w:tc>
        <w:tc>
          <w:tcPr>
            <w:tcW w:w="1710" w:type="dxa"/>
            <w:shd w:val="clear" w:color="auto" w:fill="auto"/>
          </w:tcPr>
          <w:p w:rsidR="00024B75" w:rsidRDefault="00024B75" w:rsidP="0093036C">
            <w:pPr>
              <w:pStyle w:val="TableContents"/>
              <w:spacing w:after="0"/>
              <w:jc w:val="both"/>
            </w:pPr>
            <w:r>
              <w:t>-</w:t>
            </w:r>
          </w:p>
        </w:tc>
      </w:tr>
    </w:tbl>
    <w:p w:rsidR="00024B75" w:rsidRDefault="00024B75" w:rsidP="00024B75">
      <w:pPr>
        <w:jc w:val="both"/>
      </w:pPr>
    </w:p>
    <w:p w:rsidR="00024B75" w:rsidRDefault="00024B75" w:rsidP="00024B75">
      <w:pPr>
        <w:jc w:val="both"/>
      </w:pPr>
      <w:r>
        <w:rPr>
          <w:rFonts w:eastAsia="Malgun Gothic"/>
          <w:lang w:eastAsia="ko-KR"/>
        </w:rPr>
        <w:tab/>
        <w:t>Since RAN1 #94 does</w:t>
      </w:r>
      <w:r w:rsidR="00D00B23">
        <w:rPr>
          <w:rFonts w:eastAsia="Malgun Gothic"/>
          <w:lang w:eastAsia="ko-KR"/>
        </w:rPr>
        <w:t xml:space="preserve"> </w:t>
      </w:r>
      <w:r>
        <w:rPr>
          <w:rFonts w:eastAsia="Malgun Gothic"/>
          <w:lang w:eastAsia="ko-KR"/>
        </w:rPr>
        <w:t xml:space="preserve">not specify any criterion for transmission from UE’s, </w:t>
      </w:r>
      <w:r w:rsidR="0093036C">
        <w:rPr>
          <w:rFonts w:eastAsia="Malgun Gothic"/>
          <w:lang w:eastAsia="ko-KR"/>
        </w:rPr>
        <w:t>different</w:t>
      </w:r>
      <w:r>
        <w:rPr>
          <w:rFonts w:eastAsia="Malgun Gothic"/>
          <w:lang w:eastAsia="ko-KR"/>
        </w:rPr>
        <w:t xml:space="preserve"> timing arises when we consider UE instead of child node. In such a scenario, the TA </w:t>
      </w:r>
      <w:r w:rsidR="0093036C">
        <w:rPr>
          <w:rFonts w:eastAsia="Malgun Gothic"/>
          <w:lang w:eastAsia="ko-KR"/>
        </w:rPr>
        <w:t>operation</w:t>
      </w:r>
      <w:r>
        <w:rPr>
          <w:rFonts w:eastAsia="Malgun Gothic"/>
          <w:lang w:eastAsia="ko-KR"/>
        </w:rPr>
        <w:t xml:space="preserve"> can be performed in the Access UL transmission timing of UE to make the Access UL reception time </w:t>
      </w:r>
      <w:r w:rsidR="0093036C">
        <w:rPr>
          <w:rFonts w:eastAsia="Malgun Gothic"/>
          <w:lang w:eastAsia="ko-KR"/>
        </w:rPr>
        <w:t>align</w:t>
      </w:r>
      <w:r>
        <w:rPr>
          <w:rFonts w:eastAsia="Malgun Gothic"/>
          <w:lang w:eastAsia="ko-KR"/>
        </w:rPr>
        <w:t xml:space="preserve"> with the reference </w:t>
      </w:r>
      <w:r w:rsidR="003A4266">
        <w:rPr>
          <w:rFonts w:eastAsia="Malgun Gothic"/>
          <w:lang w:eastAsia="ko-KR"/>
        </w:rPr>
        <w:t>time (</w:t>
      </w:r>
      <w:r>
        <w:rPr>
          <w:rFonts w:eastAsia="Malgun Gothic"/>
          <w:lang w:eastAsia="ko-KR"/>
        </w:rPr>
        <w:t xml:space="preserve">i.e., DL transmission time) at the IAB node. Figure 2 illustrate the Case #6 timing in case of UE node. Again, the corresponding switching time is given in Table 2. </w:t>
      </w:r>
    </w:p>
    <w:p w:rsidR="00024B75" w:rsidRDefault="00441F8E" w:rsidP="00024B75">
      <w:pPr>
        <w:jc w:val="both"/>
      </w:pPr>
      <w:r>
        <w:pict>
          <v:shape id="_x0000_s1028" type="#_x0000_t202" style="position:absolute;left:0;text-align:left;margin-left:110pt;margin-top:.4pt;width:259.55pt;height:300.05pt;z-index:251661312;mso-wrap-distance-left:0;mso-wrap-distance-right:0" stroked="f">
            <v:fill color2="black"/>
            <v:textbox style="mso-next-textbox:#_x0000_s1028" inset="0,0,0,0">
              <w:txbxContent>
                <w:p w:rsidR="00295238" w:rsidRDefault="00D0518D" w:rsidP="00295238">
                  <w:pPr>
                    <w:pStyle w:val="Figure"/>
                    <w:jc w:val="center"/>
                    <w:rPr>
                      <w:rFonts w:ascii="Times New Roman" w:hAnsi="Times New Roman" w:cs="Times New Roman"/>
                      <w:i w:val="0"/>
                      <w:sz w:val="20"/>
                      <w:szCs w:val="20"/>
                    </w:rPr>
                  </w:pPr>
                  <w:r>
                    <w:rPr>
                      <w:noProof/>
                    </w:rPr>
                    <w:drawing>
                      <wp:inline distT="0" distB="0" distL="0" distR="0">
                        <wp:extent cx="2939807" cy="333605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8766" cy="3368915"/>
                                </a:xfrm>
                                <a:prstGeom prst="rect">
                                  <a:avLst/>
                                </a:prstGeom>
                                <a:noFill/>
                                <a:ln>
                                  <a:noFill/>
                                </a:ln>
                              </pic:spPr>
                            </pic:pic>
                          </a:graphicData>
                        </a:graphic>
                      </wp:inline>
                    </w:drawing>
                  </w:r>
                  <w:r w:rsidR="00024B75">
                    <w:br/>
                  </w:r>
                </w:p>
                <w:p w:rsidR="00024B75" w:rsidRDefault="00024B75" w:rsidP="00295238">
                  <w:pPr>
                    <w:pStyle w:val="Figure"/>
                    <w:jc w:val="center"/>
                  </w:pPr>
                  <w:r w:rsidRPr="00295238">
                    <w:rPr>
                      <w:rFonts w:ascii="Times New Roman" w:hAnsi="Times New Roman" w:cs="Times New Roman"/>
                      <w:i w:val="0"/>
                      <w:sz w:val="20"/>
                      <w:szCs w:val="20"/>
                    </w:rPr>
                    <w:t xml:space="preserve">Figure </w:t>
                  </w:r>
                  <w:r w:rsidR="002C3C5D" w:rsidRPr="00295238">
                    <w:rPr>
                      <w:rFonts w:ascii="Times New Roman" w:hAnsi="Times New Roman" w:cs="Times New Roman"/>
                      <w:i w:val="0"/>
                      <w:sz w:val="20"/>
                      <w:szCs w:val="20"/>
                    </w:rPr>
                    <w:fldChar w:fldCharType="begin"/>
                  </w:r>
                  <w:r w:rsidRPr="00295238">
                    <w:rPr>
                      <w:rFonts w:ascii="Times New Roman" w:hAnsi="Times New Roman" w:cs="Times New Roman"/>
                      <w:i w:val="0"/>
                      <w:sz w:val="20"/>
                      <w:szCs w:val="20"/>
                    </w:rPr>
                    <w:instrText xml:space="preserve"> SEQ "Figure" \* ARABIC </w:instrText>
                  </w:r>
                  <w:r w:rsidR="002C3C5D" w:rsidRPr="00295238">
                    <w:rPr>
                      <w:rFonts w:ascii="Times New Roman" w:hAnsi="Times New Roman" w:cs="Times New Roman"/>
                      <w:i w:val="0"/>
                      <w:sz w:val="20"/>
                      <w:szCs w:val="20"/>
                    </w:rPr>
                    <w:fldChar w:fldCharType="separate"/>
                  </w:r>
                  <w:r w:rsidRPr="00295238">
                    <w:rPr>
                      <w:rFonts w:ascii="Times New Roman" w:hAnsi="Times New Roman" w:cs="Times New Roman"/>
                      <w:i w:val="0"/>
                      <w:sz w:val="20"/>
                      <w:szCs w:val="20"/>
                    </w:rPr>
                    <w:t>2</w:t>
                  </w:r>
                  <w:r w:rsidR="002C3C5D" w:rsidRPr="00295238">
                    <w:rPr>
                      <w:rFonts w:ascii="Times New Roman" w:hAnsi="Times New Roman" w:cs="Times New Roman"/>
                      <w:i w:val="0"/>
                      <w:sz w:val="20"/>
                      <w:szCs w:val="20"/>
                    </w:rPr>
                    <w:fldChar w:fldCharType="end"/>
                  </w:r>
                  <w:r w:rsidRPr="00295238">
                    <w:rPr>
                      <w:rFonts w:ascii="Times New Roman" w:hAnsi="Times New Roman" w:cs="Times New Roman"/>
                      <w:i w:val="0"/>
                      <w:sz w:val="20"/>
                      <w:szCs w:val="20"/>
                    </w:rPr>
                    <w:t>: Case #6 Timing in Access link</w:t>
                  </w:r>
                </w:p>
              </w:txbxContent>
            </v:textbox>
            <w10:wrap type="square" side="largest"/>
          </v:shape>
        </w:pict>
      </w: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024B75" w:rsidRDefault="00024B75" w:rsidP="00024B75">
      <w:pPr>
        <w:jc w:val="both"/>
      </w:pPr>
    </w:p>
    <w:p w:rsidR="002735B9" w:rsidRDefault="002735B9" w:rsidP="0093036C">
      <w:pPr>
        <w:jc w:val="center"/>
        <w:rPr>
          <w:rFonts w:eastAsia="Malgun Gothic"/>
          <w:lang w:eastAsia="ko-KR"/>
        </w:rPr>
      </w:pPr>
    </w:p>
    <w:p w:rsidR="00024B75" w:rsidRDefault="00024B75" w:rsidP="0093036C">
      <w:pPr>
        <w:jc w:val="center"/>
      </w:pPr>
      <w:r>
        <w:rPr>
          <w:rFonts w:eastAsia="Malgun Gothic"/>
          <w:lang w:eastAsia="ko-KR"/>
        </w:rPr>
        <w:t>Table 2: Guard period for Access link switching at IAB node in Case #6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1472"/>
        <w:gridCol w:w="2080"/>
        <w:gridCol w:w="2160"/>
      </w:tblGrid>
      <w:tr w:rsidR="00024B75" w:rsidTr="003553E4">
        <w:trPr>
          <w:jc w:val="center"/>
        </w:trPr>
        <w:tc>
          <w:tcPr>
            <w:tcW w:w="1472" w:type="dxa"/>
            <w:vMerge w:val="restart"/>
            <w:shd w:val="clear" w:color="auto" w:fill="auto"/>
            <w:vAlign w:val="center"/>
          </w:tcPr>
          <w:p w:rsidR="00024B75" w:rsidRDefault="00024B75" w:rsidP="0093036C">
            <w:pPr>
              <w:pStyle w:val="TableContents"/>
              <w:spacing w:after="0"/>
              <w:jc w:val="center"/>
            </w:pPr>
            <w:r>
              <w:t>BH DL Rx</w:t>
            </w:r>
          </w:p>
        </w:tc>
        <w:tc>
          <w:tcPr>
            <w:tcW w:w="2080" w:type="dxa"/>
            <w:shd w:val="clear" w:color="auto" w:fill="auto"/>
          </w:tcPr>
          <w:p w:rsidR="00024B75" w:rsidRDefault="00024B75" w:rsidP="0093036C">
            <w:pPr>
              <w:pStyle w:val="TableContents"/>
              <w:spacing w:after="0"/>
              <w:jc w:val="center"/>
            </w:pPr>
            <w:r>
              <w:t>Access DL Tx</w:t>
            </w:r>
          </w:p>
        </w:tc>
        <w:tc>
          <w:tcPr>
            <w:tcW w:w="2160" w:type="dxa"/>
            <w:shd w:val="clear" w:color="auto" w:fill="auto"/>
          </w:tcPr>
          <w:p w:rsidR="00024B75" w:rsidRDefault="00024B75" w:rsidP="0093036C">
            <w:pPr>
              <w:pStyle w:val="TableContents"/>
              <w:spacing w:after="0"/>
              <w:jc w:val="center"/>
            </w:pPr>
            <w:r>
              <w:t>Ts+T1</w:t>
            </w:r>
          </w:p>
        </w:tc>
      </w:tr>
      <w:tr w:rsidR="00024B75" w:rsidTr="003553E4">
        <w:trPr>
          <w:jc w:val="center"/>
        </w:trPr>
        <w:tc>
          <w:tcPr>
            <w:tcW w:w="1472" w:type="dxa"/>
            <w:vMerge/>
            <w:shd w:val="clear" w:color="auto" w:fill="auto"/>
          </w:tcPr>
          <w:p w:rsidR="00024B75" w:rsidRDefault="00024B75" w:rsidP="0093036C">
            <w:pPr>
              <w:pStyle w:val="TableContents"/>
              <w:spacing w:after="0"/>
              <w:jc w:val="center"/>
            </w:pPr>
          </w:p>
        </w:tc>
        <w:tc>
          <w:tcPr>
            <w:tcW w:w="2080" w:type="dxa"/>
            <w:shd w:val="clear" w:color="auto" w:fill="auto"/>
          </w:tcPr>
          <w:p w:rsidR="00024B75" w:rsidRDefault="00024B75" w:rsidP="0093036C">
            <w:pPr>
              <w:pStyle w:val="TableContents"/>
              <w:spacing w:after="0"/>
              <w:jc w:val="center"/>
            </w:pPr>
            <w:r>
              <w:t>Access UL Rx</w:t>
            </w:r>
          </w:p>
        </w:tc>
        <w:tc>
          <w:tcPr>
            <w:tcW w:w="2160" w:type="dxa"/>
            <w:shd w:val="clear" w:color="auto" w:fill="auto"/>
          </w:tcPr>
          <w:p w:rsidR="00024B75" w:rsidRDefault="00024B75" w:rsidP="0093036C">
            <w:pPr>
              <w:pStyle w:val="TableContents"/>
              <w:spacing w:after="0"/>
              <w:jc w:val="center"/>
            </w:pPr>
            <w:r>
              <w:t>T1</w:t>
            </w:r>
          </w:p>
        </w:tc>
      </w:tr>
      <w:tr w:rsidR="00024B75" w:rsidTr="003553E4">
        <w:trPr>
          <w:jc w:val="center"/>
        </w:trPr>
        <w:tc>
          <w:tcPr>
            <w:tcW w:w="1472" w:type="dxa"/>
            <w:vMerge w:val="restart"/>
            <w:shd w:val="clear" w:color="auto" w:fill="auto"/>
          </w:tcPr>
          <w:p w:rsidR="00024B75" w:rsidRDefault="00024B75" w:rsidP="0093036C">
            <w:pPr>
              <w:pStyle w:val="TableContents"/>
              <w:spacing w:after="0"/>
              <w:jc w:val="center"/>
            </w:pPr>
            <w:r>
              <w:t>BH UL Tx</w:t>
            </w:r>
          </w:p>
        </w:tc>
        <w:tc>
          <w:tcPr>
            <w:tcW w:w="2080" w:type="dxa"/>
            <w:shd w:val="clear" w:color="auto" w:fill="auto"/>
          </w:tcPr>
          <w:p w:rsidR="00024B75" w:rsidRDefault="00024B75" w:rsidP="0093036C">
            <w:pPr>
              <w:pStyle w:val="TableContents"/>
              <w:spacing w:after="0"/>
              <w:jc w:val="center"/>
            </w:pPr>
            <w:r>
              <w:t>Access DL Tx</w:t>
            </w:r>
          </w:p>
        </w:tc>
        <w:tc>
          <w:tcPr>
            <w:tcW w:w="2160" w:type="dxa"/>
            <w:shd w:val="clear" w:color="auto" w:fill="auto"/>
          </w:tcPr>
          <w:p w:rsidR="00024B75" w:rsidRDefault="00024B75" w:rsidP="0093036C">
            <w:pPr>
              <w:pStyle w:val="TableContents"/>
              <w:spacing w:after="0"/>
              <w:jc w:val="center"/>
            </w:pPr>
            <w:r>
              <w:t>0</w:t>
            </w:r>
          </w:p>
        </w:tc>
      </w:tr>
      <w:tr w:rsidR="00024B75" w:rsidTr="003553E4">
        <w:trPr>
          <w:jc w:val="center"/>
        </w:trPr>
        <w:tc>
          <w:tcPr>
            <w:tcW w:w="1472" w:type="dxa"/>
            <w:vMerge/>
            <w:shd w:val="clear" w:color="auto" w:fill="auto"/>
          </w:tcPr>
          <w:p w:rsidR="00024B75" w:rsidRDefault="00024B75" w:rsidP="0093036C">
            <w:pPr>
              <w:pStyle w:val="TableContents"/>
              <w:spacing w:after="0"/>
              <w:jc w:val="center"/>
            </w:pPr>
          </w:p>
        </w:tc>
        <w:tc>
          <w:tcPr>
            <w:tcW w:w="2080" w:type="dxa"/>
            <w:shd w:val="clear" w:color="auto" w:fill="auto"/>
          </w:tcPr>
          <w:p w:rsidR="00024B75" w:rsidRDefault="00024B75" w:rsidP="0093036C">
            <w:pPr>
              <w:pStyle w:val="TableContents"/>
              <w:spacing w:after="0"/>
              <w:jc w:val="center"/>
            </w:pPr>
            <w:r>
              <w:t>Access UL Rx</w:t>
            </w:r>
          </w:p>
        </w:tc>
        <w:tc>
          <w:tcPr>
            <w:tcW w:w="2160" w:type="dxa"/>
            <w:shd w:val="clear" w:color="auto" w:fill="auto"/>
          </w:tcPr>
          <w:p w:rsidR="00024B75" w:rsidRDefault="00B22360" w:rsidP="0093036C">
            <w:pPr>
              <w:pStyle w:val="TableContents"/>
              <w:spacing w:after="0"/>
              <w:jc w:val="center"/>
            </w:pPr>
            <w:r>
              <w:t>Ts</w:t>
            </w:r>
          </w:p>
        </w:tc>
      </w:tr>
      <w:tr w:rsidR="00024B75" w:rsidTr="003553E4">
        <w:trPr>
          <w:jc w:val="center"/>
        </w:trPr>
        <w:tc>
          <w:tcPr>
            <w:tcW w:w="1472" w:type="dxa"/>
            <w:vMerge w:val="restart"/>
            <w:shd w:val="clear" w:color="auto" w:fill="auto"/>
          </w:tcPr>
          <w:p w:rsidR="00024B75" w:rsidRDefault="00A52D11" w:rsidP="0093036C">
            <w:pPr>
              <w:pStyle w:val="TableContents"/>
              <w:spacing w:after="0"/>
              <w:jc w:val="center"/>
            </w:pPr>
            <w:r>
              <w:t>Access</w:t>
            </w:r>
            <w:r w:rsidR="00024B75">
              <w:t xml:space="preserve"> DL Tx</w:t>
            </w:r>
          </w:p>
        </w:tc>
        <w:tc>
          <w:tcPr>
            <w:tcW w:w="2080" w:type="dxa"/>
            <w:shd w:val="clear" w:color="auto" w:fill="auto"/>
          </w:tcPr>
          <w:p w:rsidR="00024B75" w:rsidRDefault="00C134B6" w:rsidP="0093036C">
            <w:pPr>
              <w:pStyle w:val="TableContents"/>
              <w:spacing w:after="0"/>
              <w:jc w:val="center"/>
            </w:pPr>
            <w:r>
              <w:t xml:space="preserve">BH </w:t>
            </w:r>
            <w:r w:rsidR="00024B75">
              <w:t xml:space="preserve">DL </w:t>
            </w:r>
            <w:r>
              <w:t>R</w:t>
            </w:r>
            <w:r w:rsidR="00024B75">
              <w:t>x</w:t>
            </w:r>
          </w:p>
        </w:tc>
        <w:tc>
          <w:tcPr>
            <w:tcW w:w="2160" w:type="dxa"/>
            <w:shd w:val="clear" w:color="auto" w:fill="auto"/>
          </w:tcPr>
          <w:p w:rsidR="00024B75" w:rsidRDefault="00AD6BB2" w:rsidP="0093036C">
            <w:pPr>
              <w:pStyle w:val="TableContents"/>
              <w:spacing w:after="0"/>
              <w:jc w:val="center"/>
            </w:pPr>
            <w:proofErr w:type="gramStart"/>
            <w:r>
              <w:t>Max(</w:t>
            </w:r>
            <w:proofErr w:type="gramEnd"/>
            <w:r w:rsidR="00B8413D">
              <w:t>Ts-T1</w:t>
            </w:r>
            <w:r>
              <w:t>,0)</w:t>
            </w:r>
          </w:p>
        </w:tc>
      </w:tr>
      <w:tr w:rsidR="00024B75" w:rsidTr="003553E4">
        <w:trPr>
          <w:jc w:val="center"/>
        </w:trPr>
        <w:tc>
          <w:tcPr>
            <w:tcW w:w="1472" w:type="dxa"/>
            <w:vMerge/>
            <w:shd w:val="clear" w:color="auto" w:fill="auto"/>
          </w:tcPr>
          <w:p w:rsidR="00024B75" w:rsidRDefault="00024B75" w:rsidP="0093036C">
            <w:pPr>
              <w:pStyle w:val="TableContents"/>
              <w:spacing w:after="0"/>
              <w:jc w:val="center"/>
            </w:pPr>
          </w:p>
        </w:tc>
        <w:tc>
          <w:tcPr>
            <w:tcW w:w="2080" w:type="dxa"/>
            <w:shd w:val="clear" w:color="auto" w:fill="auto"/>
          </w:tcPr>
          <w:p w:rsidR="00024B75" w:rsidRDefault="00C134B6" w:rsidP="0093036C">
            <w:pPr>
              <w:pStyle w:val="TableContents"/>
              <w:spacing w:after="0"/>
              <w:jc w:val="center"/>
            </w:pPr>
            <w:r>
              <w:t xml:space="preserve">BH </w:t>
            </w:r>
            <w:r w:rsidR="00024B75">
              <w:t xml:space="preserve">UL </w:t>
            </w:r>
            <w:r>
              <w:t>T</w:t>
            </w:r>
            <w:r w:rsidR="00024B75">
              <w:t>x</w:t>
            </w:r>
          </w:p>
        </w:tc>
        <w:tc>
          <w:tcPr>
            <w:tcW w:w="2160" w:type="dxa"/>
            <w:shd w:val="clear" w:color="auto" w:fill="auto"/>
          </w:tcPr>
          <w:p w:rsidR="00024B75" w:rsidRDefault="00147876" w:rsidP="0093036C">
            <w:pPr>
              <w:pStyle w:val="TableContents"/>
              <w:spacing w:after="0"/>
              <w:jc w:val="center"/>
            </w:pPr>
            <w:r>
              <w:t>0</w:t>
            </w:r>
          </w:p>
        </w:tc>
      </w:tr>
      <w:tr w:rsidR="002F74B5" w:rsidTr="003553E4">
        <w:trPr>
          <w:jc w:val="center"/>
        </w:trPr>
        <w:tc>
          <w:tcPr>
            <w:tcW w:w="1472" w:type="dxa"/>
            <w:vMerge w:val="restart"/>
            <w:shd w:val="clear" w:color="auto" w:fill="auto"/>
          </w:tcPr>
          <w:p w:rsidR="002F74B5" w:rsidRDefault="002F74B5" w:rsidP="002F74B5">
            <w:pPr>
              <w:pStyle w:val="TableContents"/>
              <w:spacing w:after="0"/>
              <w:jc w:val="center"/>
            </w:pPr>
            <w:r>
              <w:t>Access UL Rx</w:t>
            </w:r>
          </w:p>
        </w:tc>
        <w:tc>
          <w:tcPr>
            <w:tcW w:w="2080" w:type="dxa"/>
            <w:shd w:val="clear" w:color="auto" w:fill="auto"/>
          </w:tcPr>
          <w:p w:rsidR="002F74B5" w:rsidRDefault="002F74B5" w:rsidP="002F74B5">
            <w:pPr>
              <w:pStyle w:val="TableContents"/>
              <w:spacing w:after="0"/>
              <w:jc w:val="center"/>
            </w:pPr>
            <w:r>
              <w:t>BH DL Rx</w:t>
            </w:r>
          </w:p>
        </w:tc>
        <w:tc>
          <w:tcPr>
            <w:tcW w:w="2160" w:type="dxa"/>
            <w:shd w:val="clear" w:color="auto" w:fill="auto"/>
          </w:tcPr>
          <w:p w:rsidR="002F74B5" w:rsidRDefault="007C2774" w:rsidP="002F74B5">
            <w:pPr>
              <w:pStyle w:val="TableContents"/>
              <w:spacing w:after="0"/>
              <w:jc w:val="center"/>
            </w:pPr>
            <w:proofErr w:type="gramStart"/>
            <w:r>
              <w:t>Max(</w:t>
            </w:r>
            <w:proofErr w:type="gramEnd"/>
            <w:r>
              <w:t>Ts-T1,0)</w:t>
            </w:r>
          </w:p>
        </w:tc>
      </w:tr>
      <w:tr w:rsidR="002F74B5" w:rsidTr="003553E4">
        <w:trPr>
          <w:jc w:val="center"/>
        </w:trPr>
        <w:tc>
          <w:tcPr>
            <w:tcW w:w="1472" w:type="dxa"/>
            <w:vMerge/>
            <w:shd w:val="clear" w:color="auto" w:fill="auto"/>
          </w:tcPr>
          <w:p w:rsidR="002F74B5" w:rsidRDefault="002F74B5" w:rsidP="002F74B5">
            <w:pPr>
              <w:pStyle w:val="TableContents"/>
              <w:spacing w:after="0"/>
              <w:jc w:val="center"/>
            </w:pPr>
          </w:p>
        </w:tc>
        <w:tc>
          <w:tcPr>
            <w:tcW w:w="2080" w:type="dxa"/>
            <w:shd w:val="clear" w:color="auto" w:fill="auto"/>
          </w:tcPr>
          <w:p w:rsidR="002F74B5" w:rsidRDefault="002F74B5" w:rsidP="002F74B5">
            <w:pPr>
              <w:pStyle w:val="TableContents"/>
              <w:spacing w:after="0"/>
              <w:jc w:val="center"/>
            </w:pPr>
            <w:r>
              <w:t>BH UL Tx</w:t>
            </w:r>
          </w:p>
        </w:tc>
        <w:tc>
          <w:tcPr>
            <w:tcW w:w="2160" w:type="dxa"/>
            <w:shd w:val="clear" w:color="auto" w:fill="auto"/>
          </w:tcPr>
          <w:p w:rsidR="002F74B5" w:rsidRDefault="00306C8E" w:rsidP="002F74B5">
            <w:pPr>
              <w:pStyle w:val="TableContents"/>
              <w:spacing w:after="0"/>
              <w:jc w:val="center"/>
            </w:pPr>
            <w:r>
              <w:t>0</w:t>
            </w:r>
          </w:p>
        </w:tc>
      </w:tr>
    </w:tbl>
    <w:p w:rsidR="00D1172F" w:rsidRDefault="00D1172F" w:rsidP="00024B75">
      <w:pPr>
        <w:jc w:val="both"/>
        <w:rPr>
          <w:rFonts w:eastAsia="Malgun Gothic"/>
          <w:b/>
          <w:bCs/>
          <w:lang w:eastAsia="ko-KR"/>
        </w:rPr>
      </w:pPr>
    </w:p>
    <w:p w:rsidR="00D1172F" w:rsidRDefault="00D1172F" w:rsidP="00024B75">
      <w:pPr>
        <w:jc w:val="both"/>
        <w:rPr>
          <w:rFonts w:eastAsia="Malgun Gothic"/>
          <w:b/>
          <w:bCs/>
          <w:lang w:eastAsia="ko-KR"/>
        </w:rPr>
      </w:pPr>
    </w:p>
    <w:p w:rsidR="00184FFB" w:rsidRDefault="00184FFB" w:rsidP="00024B75">
      <w:pPr>
        <w:jc w:val="both"/>
        <w:rPr>
          <w:rFonts w:eastAsia="Malgun Gothic"/>
          <w:b/>
          <w:bCs/>
          <w:lang w:eastAsia="ko-KR"/>
        </w:rPr>
      </w:pPr>
    </w:p>
    <w:p w:rsidR="00024B75" w:rsidRDefault="00024B75" w:rsidP="00024B75">
      <w:pPr>
        <w:jc w:val="both"/>
      </w:pPr>
      <w:r>
        <w:rPr>
          <w:rFonts w:eastAsia="Malgun Gothic"/>
          <w:b/>
          <w:bCs/>
          <w:lang w:eastAsia="ko-KR"/>
        </w:rPr>
        <w:t>Case #</w:t>
      </w:r>
      <w:r w:rsidR="00295238">
        <w:rPr>
          <w:rFonts w:eastAsia="Malgun Gothic"/>
          <w:b/>
          <w:bCs/>
          <w:lang w:eastAsia="ko-KR"/>
        </w:rPr>
        <w:t>7</w:t>
      </w:r>
      <w:r w:rsidR="00295238">
        <w:rPr>
          <w:rFonts w:eastAsia="Malgun Gothic"/>
          <w:lang w:eastAsia="ko-KR"/>
        </w:rPr>
        <w:t>:</w:t>
      </w:r>
    </w:p>
    <w:p w:rsidR="00024B75" w:rsidRDefault="00024B75" w:rsidP="00024B75">
      <w:pPr>
        <w:numPr>
          <w:ilvl w:val="2"/>
          <w:numId w:val="16"/>
        </w:numPr>
        <w:suppressAutoHyphens/>
        <w:overflowPunct/>
        <w:spacing w:after="0" w:line="288" w:lineRule="auto"/>
        <w:ind w:left="1134" w:hanging="340"/>
        <w:jc w:val="both"/>
        <w:textAlignment w:val="auto"/>
      </w:pPr>
      <w:r>
        <w:rPr>
          <w:rFonts w:eastAsia="Malgun Gothic"/>
          <w:lang w:eastAsia="ko-KR"/>
        </w:rPr>
        <w:t xml:space="preserve">The DL transmission timing for all IAB nodes is aligned with the parent IAB node or donor DL timing </w:t>
      </w:r>
    </w:p>
    <w:p w:rsidR="00024B75" w:rsidRDefault="00024B75" w:rsidP="00024B75">
      <w:pPr>
        <w:numPr>
          <w:ilvl w:val="2"/>
          <w:numId w:val="16"/>
        </w:numPr>
        <w:suppressAutoHyphens/>
        <w:overflowPunct/>
        <w:spacing w:after="0" w:line="288" w:lineRule="auto"/>
        <w:ind w:left="1134" w:hanging="340"/>
        <w:jc w:val="both"/>
        <w:textAlignment w:val="auto"/>
      </w:pPr>
      <w:r>
        <w:rPr>
          <w:rFonts w:eastAsia="Malgun Gothic"/>
          <w:lang w:eastAsia="ko-KR"/>
        </w:rPr>
        <w:t xml:space="preserve">The UL reception timing of an IAB node can be aligned with the IAB node’s DL reception timing </w:t>
      </w:r>
    </w:p>
    <w:p w:rsidR="00024B75" w:rsidRDefault="00024B75" w:rsidP="00295238">
      <w:pPr>
        <w:suppressAutoHyphens/>
        <w:spacing w:before="240" w:line="288" w:lineRule="auto"/>
        <w:jc w:val="both"/>
      </w:pPr>
      <w:r>
        <w:rPr>
          <w:rFonts w:eastAsia="Malgun Gothic"/>
          <w:lang w:eastAsia="ko-KR"/>
        </w:rPr>
        <w:t>The C</w:t>
      </w:r>
      <w:r>
        <w:rPr>
          <w:rFonts w:eastAsia="Liberation Serif"/>
          <w:lang w:eastAsia="ko-KR"/>
        </w:rPr>
        <w:t xml:space="preserve">onditions </w:t>
      </w:r>
      <w:r w:rsidR="0034754A">
        <w:rPr>
          <w:rFonts w:eastAsia="Liberation Serif"/>
          <w:lang w:eastAsia="ko-KR"/>
        </w:rPr>
        <w:t>1</w:t>
      </w:r>
      <w:r>
        <w:rPr>
          <w:rFonts w:eastAsia="Liberation Serif"/>
          <w:lang w:eastAsia="ko-KR"/>
        </w:rPr>
        <w:t xml:space="preserve"> and 3 are combined in Case #7.  Figure 3 illustrates the various timing at an IAB node employing Case #7. </w:t>
      </w:r>
      <w:proofErr w:type="gramStart"/>
      <w:r>
        <w:rPr>
          <w:rFonts w:eastAsia="Liberation Serif"/>
          <w:lang w:eastAsia="ko-KR"/>
        </w:rPr>
        <w:t>Similar to</w:t>
      </w:r>
      <w:proofErr w:type="gramEnd"/>
      <w:r>
        <w:rPr>
          <w:rFonts w:eastAsia="Liberation Serif"/>
          <w:lang w:eastAsia="ko-KR"/>
        </w:rPr>
        <w:t xml:space="preserve"> Case #6, the BH DL signal from donor is received at the IAB node with a delay of T1. The IAB node introduce a shift of TA/2=T1 from the reception timing in sending the DL signal to Child node/UE. By doing so IAB node ensures the </w:t>
      </w:r>
      <w:r w:rsidR="00295238">
        <w:rPr>
          <w:rFonts w:eastAsia="Liberation Serif"/>
          <w:lang w:eastAsia="ko-KR"/>
        </w:rPr>
        <w:t>alignment</w:t>
      </w:r>
      <w:r>
        <w:rPr>
          <w:rFonts w:eastAsia="Liberation Serif"/>
          <w:lang w:eastAsia="ko-KR"/>
        </w:rPr>
        <w:t xml:space="preserve"> of DL transmission timing with the donor transmission. Again, a timing advancement, TA=2*T1, is introduced in </w:t>
      </w:r>
      <w:r w:rsidR="00295238">
        <w:rPr>
          <w:rFonts w:eastAsia="Liberation Serif"/>
          <w:lang w:eastAsia="ko-KR"/>
        </w:rPr>
        <w:t>the UL</w:t>
      </w:r>
      <w:r>
        <w:rPr>
          <w:rFonts w:eastAsia="Liberation Serif"/>
          <w:lang w:eastAsia="ko-KR"/>
        </w:rPr>
        <w:t xml:space="preserve"> transmission timing at the IAB node </w:t>
      </w:r>
      <w:proofErr w:type="gramStart"/>
      <w:r>
        <w:rPr>
          <w:rFonts w:eastAsia="Liberation Serif"/>
          <w:lang w:eastAsia="ko-KR"/>
        </w:rPr>
        <w:t>in order to</w:t>
      </w:r>
      <w:proofErr w:type="gramEnd"/>
      <w:r>
        <w:rPr>
          <w:rFonts w:eastAsia="Liberation Serif"/>
          <w:lang w:eastAsia="ko-KR"/>
        </w:rPr>
        <w:t xml:space="preserve"> make the UL reception </w:t>
      </w:r>
      <w:r w:rsidR="00295238">
        <w:rPr>
          <w:rFonts w:eastAsia="Liberation Serif"/>
          <w:lang w:eastAsia="ko-KR"/>
        </w:rPr>
        <w:t>aligned</w:t>
      </w:r>
      <w:r>
        <w:rPr>
          <w:rFonts w:eastAsia="Liberation Serif"/>
          <w:lang w:eastAsia="ko-KR"/>
        </w:rPr>
        <w:t xml:space="preserve"> with DL transmission timing at the donor. Similarly, the UL transmission timing at the child IAB node need to be adjusted such that the UL reception time is </w:t>
      </w:r>
      <w:r w:rsidR="00295238">
        <w:rPr>
          <w:rFonts w:eastAsia="Liberation Serif"/>
          <w:lang w:eastAsia="ko-KR"/>
        </w:rPr>
        <w:t>aligned</w:t>
      </w:r>
      <w:r>
        <w:rPr>
          <w:rFonts w:eastAsia="Liberation Serif"/>
          <w:lang w:eastAsia="ko-KR"/>
        </w:rPr>
        <w:t xml:space="preserve"> with the DL reception time at the parent node.</w:t>
      </w:r>
    </w:p>
    <w:p w:rsidR="00024B75" w:rsidRDefault="00441F8E" w:rsidP="00024B75">
      <w:pPr>
        <w:suppressAutoHyphens/>
        <w:spacing w:line="288" w:lineRule="auto"/>
        <w:jc w:val="both"/>
      </w:pPr>
      <w:r>
        <w:pict>
          <v:shape id="_x0000_s1026" type="#_x0000_t202" style="position:absolute;left:0;text-align:left;margin-left:0;margin-top:2.45pt;width:321.45pt;height:323.15pt;z-index:251659264;mso-wrap-distance-left:0;mso-wrap-distance-right:0;mso-position-horizontal:center" stroked="f">
            <v:fill color2="black"/>
            <v:textbox inset="0,0,0,0">
              <w:txbxContent>
                <w:p w:rsidR="005E44F3" w:rsidRDefault="005E44F3" w:rsidP="00295238">
                  <w:pPr>
                    <w:pStyle w:val="Figure"/>
                    <w:jc w:val="center"/>
                    <w:rPr>
                      <w:rFonts w:ascii="Times New Roman" w:hAnsi="Times New Roman" w:cs="Times New Roman"/>
                      <w:i w:val="0"/>
                      <w:sz w:val="20"/>
                      <w:szCs w:val="20"/>
                    </w:rPr>
                  </w:pPr>
                  <w:r>
                    <w:rPr>
                      <w:noProof/>
                    </w:rPr>
                    <w:drawing>
                      <wp:inline distT="0" distB="0" distL="0" distR="0">
                        <wp:extent cx="3245485" cy="36174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8304" cy="3665132"/>
                                </a:xfrm>
                                <a:prstGeom prst="rect">
                                  <a:avLst/>
                                </a:prstGeom>
                                <a:noFill/>
                                <a:ln>
                                  <a:noFill/>
                                </a:ln>
                              </pic:spPr>
                            </pic:pic>
                          </a:graphicData>
                        </a:graphic>
                      </wp:inline>
                    </w:drawing>
                  </w:r>
                  <w:r w:rsidR="00024B75">
                    <w:br/>
                  </w:r>
                </w:p>
                <w:p w:rsidR="00024B75" w:rsidRDefault="00024B75" w:rsidP="00295238">
                  <w:pPr>
                    <w:pStyle w:val="Figure"/>
                    <w:jc w:val="center"/>
                  </w:pPr>
                  <w:r w:rsidRPr="00C50B02">
                    <w:rPr>
                      <w:rFonts w:ascii="Times New Roman" w:hAnsi="Times New Roman" w:cs="Times New Roman"/>
                      <w:i w:val="0"/>
                      <w:sz w:val="20"/>
                      <w:szCs w:val="20"/>
                    </w:rPr>
                    <w:t xml:space="preserve">Figure </w:t>
                  </w:r>
                  <w:r w:rsidR="002C3C5D" w:rsidRPr="00C50B02">
                    <w:rPr>
                      <w:rFonts w:ascii="Times New Roman" w:hAnsi="Times New Roman" w:cs="Times New Roman"/>
                      <w:i w:val="0"/>
                      <w:sz w:val="20"/>
                      <w:szCs w:val="20"/>
                    </w:rPr>
                    <w:fldChar w:fldCharType="begin"/>
                  </w:r>
                  <w:r w:rsidRPr="00C50B02">
                    <w:rPr>
                      <w:rFonts w:ascii="Times New Roman" w:hAnsi="Times New Roman" w:cs="Times New Roman"/>
                      <w:i w:val="0"/>
                      <w:sz w:val="20"/>
                      <w:szCs w:val="20"/>
                    </w:rPr>
                    <w:instrText xml:space="preserve"> SEQ "Figure" \* ARABIC </w:instrText>
                  </w:r>
                  <w:r w:rsidR="002C3C5D" w:rsidRPr="00C50B02">
                    <w:rPr>
                      <w:rFonts w:ascii="Times New Roman" w:hAnsi="Times New Roman" w:cs="Times New Roman"/>
                      <w:i w:val="0"/>
                      <w:sz w:val="20"/>
                      <w:szCs w:val="20"/>
                    </w:rPr>
                    <w:fldChar w:fldCharType="separate"/>
                  </w:r>
                  <w:r w:rsidRPr="00C50B02">
                    <w:rPr>
                      <w:rFonts w:ascii="Times New Roman" w:hAnsi="Times New Roman" w:cs="Times New Roman"/>
                      <w:i w:val="0"/>
                      <w:sz w:val="20"/>
                      <w:szCs w:val="20"/>
                    </w:rPr>
                    <w:t>3</w:t>
                  </w:r>
                  <w:r w:rsidR="002C3C5D" w:rsidRPr="00C50B02">
                    <w:rPr>
                      <w:rFonts w:ascii="Times New Roman" w:hAnsi="Times New Roman" w:cs="Times New Roman"/>
                      <w:i w:val="0"/>
                      <w:sz w:val="20"/>
                      <w:szCs w:val="20"/>
                    </w:rPr>
                    <w:fldChar w:fldCharType="end"/>
                  </w:r>
                  <w:r w:rsidRPr="00C50B02">
                    <w:rPr>
                      <w:rFonts w:ascii="Times New Roman" w:hAnsi="Times New Roman" w:cs="Times New Roman"/>
                      <w:i w:val="0"/>
                      <w:sz w:val="20"/>
                      <w:szCs w:val="20"/>
                    </w:rPr>
                    <w:t>: Case #7 Timing</w:t>
                  </w:r>
                </w:p>
              </w:txbxContent>
            </v:textbox>
            <w10:wrap type="square" side="largest"/>
          </v:shape>
        </w:pict>
      </w:r>
    </w:p>
    <w:p w:rsidR="00024B75" w:rsidRDefault="00024B75" w:rsidP="00024B75">
      <w:pPr>
        <w:suppressAutoHyphens/>
        <w:spacing w:line="288" w:lineRule="auto"/>
        <w:jc w:val="both"/>
      </w:pPr>
    </w:p>
    <w:p w:rsidR="00024B75" w:rsidRDefault="00024B75" w:rsidP="00024B75">
      <w:pPr>
        <w:suppressAutoHyphens/>
        <w:spacing w:line="288" w:lineRule="auto"/>
        <w:jc w:val="both"/>
      </w:pPr>
    </w:p>
    <w:p w:rsidR="00024B75" w:rsidRDefault="00024B75" w:rsidP="00024B75">
      <w:pPr>
        <w:suppressAutoHyphens/>
        <w:spacing w:line="288" w:lineRule="auto"/>
        <w:jc w:val="both"/>
      </w:pPr>
    </w:p>
    <w:p w:rsidR="00024B75" w:rsidRDefault="00024B75" w:rsidP="00024B75">
      <w:pPr>
        <w:suppressAutoHyphens/>
        <w:spacing w:line="288" w:lineRule="auto"/>
        <w:jc w:val="both"/>
      </w:pPr>
    </w:p>
    <w:p w:rsidR="00024B75" w:rsidRDefault="00024B75" w:rsidP="00024B75">
      <w:pPr>
        <w:suppressAutoHyphens/>
        <w:spacing w:line="288" w:lineRule="auto"/>
        <w:jc w:val="both"/>
      </w:pPr>
    </w:p>
    <w:p w:rsidR="00024B75" w:rsidRDefault="00024B75" w:rsidP="00024B75">
      <w:pPr>
        <w:suppressAutoHyphens/>
        <w:spacing w:line="288" w:lineRule="auto"/>
        <w:jc w:val="both"/>
      </w:pPr>
    </w:p>
    <w:p w:rsidR="00024B75" w:rsidRDefault="00024B75" w:rsidP="00024B75">
      <w:pPr>
        <w:suppressAutoHyphens/>
        <w:spacing w:line="288" w:lineRule="auto"/>
        <w:jc w:val="both"/>
      </w:pPr>
    </w:p>
    <w:p w:rsidR="00024B75" w:rsidRDefault="00024B75" w:rsidP="00024B75">
      <w:pPr>
        <w:suppressAutoHyphens/>
        <w:spacing w:line="288" w:lineRule="auto"/>
        <w:jc w:val="both"/>
      </w:pPr>
    </w:p>
    <w:p w:rsidR="00024B75" w:rsidRDefault="00024B75" w:rsidP="00024B75">
      <w:pPr>
        <w:suppressAutoHyphens/>
        <w:spacing w:line="288" w:lineRule="auto"/>
        <w:jc w:val="both"/>
      </w:pPr>
      <w:r>
        <w:rPr>
          <w:rFonts w:eastAsia="Liberation Serif"/>
          <w:lang w:eastAsia="ko-KR"/>
        </w:rPr>
        <w:tab/>
      </w:r>
    </w:p>
    <w:p w:rsidR="00024B75" w:rsidRDefault="00024B75" w:rsidP="00024B75">
      <w:pPr>
        <w:suppressAutoHyphens/>
        <w:spacing w:line="288" w:lineRule="auto"/>
        <w:jc w:val="both"/>
      </w:pPr>
    </w:p>
    <w:p w:rsidR="00024B75" w:rsidRDefault="00024B75" w:rsidP="00024B75">
      <w:pPr>
        <w:suppressAutoHyphens/>
        <w:spacing w:line="288" w:lineRule="auto"/>
        <w:jc w:val="both"/>
      </w:pPr>
    </w:p>
    <w:p w:rsidR="00024B75" w:rsidRDefault="00024B75" w:rsidP="00024B75">
      <w:pPr>
        <w:suppressAutoHyphens/>
        <w:spacing w:line="288" w:lineRule="auto"/>
        <w:jc w:val="both"/>
      </w:pPr>
    </w:p>
    <w:p w:rsidR="00024B75" w:rsidRDefault="00024B75" w:rsidP="00024B75">
      <w:pPr>
        <w:suppressAutoHyphens/>
        <w:spacing w:line="288" w:lineRule="auto"/>
        <w:jc w:val="both"/>
      </w:pPr>
    </w:p>
    <w:p w:rsidR="005E44F3" w:rsidRDefault="00024B75" w:rsidP="00024B75">
      <w:pPr>
        <w:suppressAutoHyphens/>
        <w:spacing w:line="288" w:lineRule="auto"/>
        <w:jc w:val="both"/>
        <w:rPr>
          <w:rFonts w:eastAsia="Liberation Serif"/>
          <w:lang w:eastAsia="ko-KR"/>
        </w:rPr>
      </w:pPr>
      <w:r>
        <w:rPr>
          <w:rFonts w:eastAsia="Liberation Serif"/>
          <w:lang w:eastAsia="ko-KR"/>
        </w:rPr>
        <w:tab/>
      </w:r>
    </w:p>
    <w:p w:rsidR="00024B75" w:rsidRDefault="00024B75" w:rsidP="00024B75">
      <w:pPr>
        <w:suppressAutoHyphens/>
        <w:spacing w:line="288" w:lineRule="auto"/>
        <w:jc w:val="both"/>
      </w:pPr>
      <w:r>
        <w:rPr>
          <w:rFonts w:eastAsia="Liberation Serif"/>
          <w:lang w:eastAsia="ko-KR"/>
        </w:rPr>
        <w:t xml:space="preserve">All nodes in the network use the same timing reference for DL transmission, and therefore Case #7 allows synchronous operation. However, the </w:t>
      </w:r>
      <w:r w:rsidR="00C50B02">
        <w:rPr>
          <w:rFonts w:eastAsia="Liberation Serif"/>
          <w:lang w:eastAsia="ko-KR"/>
        </w:rPr>
        <w:t>dependence</w:t>
      </w:r>
      <w:r>
        <w:rPr>
          <w:rFonts w:eastAsia="Liberation Serif"/>
          <w:lang w:eastAsia="ko-KR"/>
        </w:rPr>
        <w:t xml:space="preserve"> of </w:t>
      </w:r>
      <w:r w:rsidR="006C7282">
        <w:rPr>
          <w:rFonts w:eastAsia="Liberation Serif"/>
          <w:lang w:eastAsia="ko-KR"/>
        </w:rPr>
        <w:t xml:space="preserve">access </w:t>
      </w:r>
      <w:r>
        <w:rPr>
          <w:rFonts w:eastAsia="Liberation Serif"/>
          <w:lang w:eastAsia="ko-KR"/>
        </w:rPr>
        <w:t xml:space="preserve">UL </w:t>
      </w:r>
      <w:r w:rsidR="00C50B02">
        <w:rPr>
          <w:rFonts w:eastAsia="Liberation Serif"/>
          <w:lang w:eastAsia="ko-KR"/>
        </w:rPr>
        <w:t>transmission</w:t>
      </w:r>
      <w:r>
        <w:rPr>
          <w:rFonts w:eastAsia="Liberation Serif"/>
          <w:lang w:eastAsia="ko-KR"/>
        </w:rPr>
        <w:t xml:space="preserve"> time on BH propagation delay increases the synchronization time when there is a change in the parent/donor node and is discussed in subsequent section. Again, </w:t>
      </w:r>
      <w:r w:rsidR="00C50B02">
        <w:rPr>
          <w:rFonts w:eastAsia="Liberation Serif"/>
          <w:lang w:eastAsia="ko-KR"/>
        </w:rPr>
        <w:t>alignment</w:t>
      </w:r>
      <w:r>
        <w:rPr>
          <w:rFonts w:eastAsia="Liberation Serif"/>
          <w:lang w:eastAsia="ko-KR"/>
        </w:rPr>
        <w:t xml:space="preserve"> of reception time at a node ensures simultaneous reception from BH and access links with single panel. The guard period required for various mode shifting is evaluated and is presented in Table 1.</w:t>
      </w:r>
    </w:p>
    <w:p w:rsidR="00024B75" w:rsidRDefault="00024B75" w:rsidP="00024B75">
      <w:pPr>
        <w:suppressAutoHyphens/>
        <w:spacing w:line="288" w:lineRule="auto"/>
        <w:jc w:val="both"/>
      </w:pPr>
      <w:bookmarkStart w:id="0" w:name="_Hlk525916237"/>
      <w:r>
        <w:rPr>
          <w:rFonts w:eastAsia="Liberation Serif"/>
          <w:b/>
          <w:bCs/>
          <w:lang w:eastAsia="ko-KR"/>
        </w:rPr>
        <w:t>Calculation of UL Tx timing at a child node</w:t>
      </w:r>
      <w:r w:rsidR="00DA5EF7">
        <w:rPr>
          <w:rFonts w:eastAsia="Liberation Serif"/>
          <w:b/>
          <w:bCs/>
          <w:lang w:eastAsia="ko-KR"/>
        </w:rPr>
        <w:t>/Access UE</w:t>
      </w:r>
      <w:r w:rsidR="00DC5645">
        <w:rPr>
          <w:rFonts w:eastAsia="Liberation Serif"/>
          <w:b/>
          <w:bCs/>
          <w:lang w:eastAsia="ko-KR"/>
        </w:rPr>
        <w:t xml:space="preserve"> </w:t>
      </w:r>
      <w:r w:rsidR="00B91F34">
        <w:rPr>
          <w:rFonts w:eastAsia="Liberation Serif"/>
          <w:b/>
          <w:bCs/>
          <w:lang w:eastAsia="ko-KR"/>
        </w:rPr>
        <w:t>i</w:t>
      </w:r>
      <w:r>
        <w:rPr>
          <w:rFonts w:eastAsia="Liberation Serif"/>
          <w:b/>
          <w:bCs/>
          <w:lang w:eastAsia="ko-KR"/>
        </w:rPr>
        <w:t>n Case #7:</w:t>
      </w:r>
    </w:p>
    <w:bookmarkEnd w:id="0"/>
    <w:p w:rsidR="00024B75" w:rsidRDefault="00024B75" w:rsidP="00024B75">
      <w:pPr>
        <w:suppressAutoHyphens/>
        <w:spacing w:line="288" w:lineRule="auto"/>
        <w:jc w:val="both"/>
      </w:pPr>
      <w:r>
        <w:rPr>
          <w:rFonts w:eastAsia="Liberation Serif"/>
          <w:b/>
          <w:bCs/>
          <w:lang w:eastAsia="ko-KR"/>
        </w:rPr>
        <w:tab/>
      </w:r>
      <w:r>
        <w:rPr>
          <w:rFonts w:eastAsia="Liberation Serif"/>
          <w:lang w:eastAsia="ko-KR"/>
        </w:rPr>
        <w:t xml:space="preserve">The UL transmission timing at a child node need to be designed such that the UL reception timing at the parent node matches with the BH DL reception time. If DL transmission time of the donor is taken as the reference, then T1 denotes the delay in receiving the BH DL packet at the IAB node. Let T2 denote the transmission delay between IAB node and the child. Now, the child node </w:t>
      </w:r>
      <w:r w:rsidR="00295238">
        <w:rPr>
          <w:rFonts w:eastAsia="Liberation Serif"/>
          <w:lang w:eastAsia="ko-KR"/>
        </w:rPr>
        <w:t>needs</w:t>
      </w:r>
      <w:r>
        <w:rPr>
          <w:rFonts w:eastAsia="Liberation Serif"/>
          <w:lang w:eastAsia="ko-KR"/>
        </w:rPr>
        <w:t xml:space="preserve"> to schedule its UL transmission such that the packet is received at IAB node after a delay of T2 is at time T1. </w:t>
      </w:r>
      <w:r w:rsidR="00295238">
        <w:rPr>
          <w:rFonts w:eastAsia="Liberation Serif"/>
          <w:lang w:eastAsia="ko-KR"/>
        </w:rPr>
        <w:t>Thus, the</w:t>
      </w:r>
      <w:r>
        <w:rPr>
          <w:rFonts w:eastAsia="Liberation Serif"/>
          <w:lang w:eastAsia="ko-KR"/>
        </w:rPr>
        <w:t xml:space="preserve"> UL transmission timing is given by (T1-T2). Usually the BH delay is larger than the chid link (i.e., T1&gt;T2), and hence the quantity (T1-T2) goes positive. Thus, at the child node DL reception occurs first </w:t>
      </w:r>
      <w:r>
        <w:rPr>
          <w:rFonts w:eastAsia="Liberation Serif"/>
          <w:lang w:eastAsia="ko-KR"/>
        </w:rPr>
        <w:lastRenderedPageBreak/>
        <w:t>followed by UL transmission, and the timing advance (TA) goes negative.  The negative TA value cannot be used in the initialization phase, for the transmission of preamble and RACH message 3, according to Rel. 15 specifications [</w:t>
      </w:r>
      <w:r w:rsidR="00C51F70">
        <w:rPr>
          <w:rFonts w:eastAsia="Liberation Serif"/>
          <w:lang w:eastAsia="ko-KR"/>
        </w:rPr>
        <w:t>3</w:t>
      </w:r>
      <w:r>
        <w:rPr>
          <w:rFonts w:eastAsia="Liberation Serif"/>
          <w:lang w:eastAsia="ko-KR"/>
        </w:rPr>
        <w:t>].</w:t>
      </w:r>
    </w:p>
    <w:p w:rsidR="00EE4025" w:rsidRDefault="00DA278A">
      <w:pPr>
        <w:pStyle w:val="Heading2"/>
        <w:rPr>
          <w:lang w:val="en-US"/>
        </w:rPr>
      </w:pPr>
      <w:r>
        <w:rPr>
          <w:lang w:val="en-US"/>
        </w:rPr>
        <w:t>2.</w:t>
      </w:r>
      <w:r w:rsidR="008A0B83">
        <w:rPr>
          <w:lang w:val="en-US"/>
        </w:rPr>
        <w:t>3</w:t>
      </w:r>
      <w:r>
        <w:rPr>
          <w:lang w:val="en-US"/>
        </w:rPr>
        <w:tab/>
      </w:r>
      <w:r w:rsidR="00072995">
        <w:rPr>
          <w:lang w:val="en-US"/>
        </w:rPr>
        <w:t xml:space="preserve">Multiple </w:t>
      </w:r>
      <w:r w:rsidR="001827EB">
        <w:rPr>
          <w:lang w:val="en-US"/>
        </w:rPr>
        <w:t>p</w:t>
      </w:r>
      <w:r w:rsidR="00072995">
        <w:rPr>
          <w:lang w:val="en-US"/>
        </w:rPr>
        <w:t>arent</w:t>
      </w:r>
      <w:r w:rsidR="001827EB">
        <w:rPr>
          <w:lang w:val="en-US"/>
        </w:rPr>
        <w:t xml:space="preserve"> nodes</w:t>
      </w:r>
      <w:r w:rsidR="00072995">
        <w:rPr>
          <w:lang w:val="en-US"/>
        </w:rPr>
        <w:t xml:space="preserve"> and </w:t>
      </w:r>
      <w:r w:rsidR="001827EB">
        <w:rPr>
          <w:lang w:val="en-US"/>
        </w:rPr>
        <w:t>m</w:t>
      </w:r>
      <w:r w:rsidR="00072995">
        <w:rPr>
          <w:lang w:val="en-US"/>
        </w:rPr>
        <w:t xml:space="preserve">ultiple </w:t>
      </w:r>
      <w:r w:rsidR="001827EB">
        <w:rPr>
          <w:lang w:val="en-US"/>
        </w:rPr>
        <w:t>c</w:t>
      </w:r>
      <w:r w:rsidR="00072995">
        <w:rPr>
          <w:lang w:val="en-US"/>
        </w:rPr>
        <w:t>hild</w:t>
      </w:r>
      <w:r w:rsidR="001827EB">
        <w:rPr>
          <w:lang w:val="en-US"/>
        </w:rPr>
        <w:t xml:space="preserve"> nodes</w:t>
      </w:r>
    </w:p>
    <w:p w:rsidR="005775B4" w:rsidRDefault="005775B4" w:rsidP="005775B4">
      <w:pPr>
        <w:spacing w:after="60"/>
        <w:jc w:val="both"/>
      </w:pPr>
      <w:r w:rsidRPr="0068308B">
        <w:t>In</w:t>
      </w:r>
      <w:r>
        <w:t xml:space="preserve"> case #6, DL Tx of all IAB nodes are synchronized and aligned to the macro node and at an IAB node, the DL Tx and UL Tx are aligned in time. Consider two IAB nodes associated with the macro donor. The two nodes will transmit uplink frame at the same time (and synchronized with the DL transmit time of the donor). At the donor, the two UL transmissions will be received at different time instants due to difference in </w:t>
      </w:r>
      <w:r w:rsidR="00C42C6B">
        <w:t xml:space="preserve">propagation </w:t>
      </w:r>
      <w:r>
        <w:t>distance. Ty</w:t>
      </w:r>
      <w:r w:rsidRPr="00750402">
        <w:t>pical</w:t>
      </w:r>
      <w:r>
        <w:t xml:space="preserve"> value of inter micro distance is 200m. This corresponds to a propagation delay of 0.66 </w:t>
      </w:r>
      <w:proofErr w:type="spellStart"/>
      <w:r>
        <w:t>μsec</w:t>
      </w:r>
      <w:proofErr w:type="spellEnd"/>
      <w:r w:rsidR="004A266D">
        <w:t xml:space="preserve"> as mentioned in Table 3</w:t>
      </w:r>
      <w:r>
        <w:t xml:space="preserve">. In case of 120KHz numerology, CP duration is equal to 0.58 </w:t>
      </w:r>
      <w:proofErr w:type="spellStart"/>
      <w:r>
        <w:t>μsec</w:t>
      </w:r>
      <w:proofErr w:type="spellEnd"/>
      <w:r>
        <w:t xml:space="preserve">. This is less than the propagation delay. In 60KHz numerology, duration of CP is equal to 1.17 </w:t>
      </w:r>
      <w:proofErr w:type="spellStart"/>
      <w:r>
        <w:t>μsec</w:t>
      </w:r>
      <w:proofErr w:type="spellEnd"/>
      <w:r>
        <w:t>. However, the combination of propagation delay and delay spread is likely to exceed CP length. Therefore, for FR2 operation, the reception of UL slot(s) from different IAB children will be misaligned at the IAB parent/</w:t>
      </w:r>
      <w:r w:rsidR="00A860E9">
        <w:t>d</w:t>
      </w:r>
      <w:r>
        <w:t>onor node. This also poses a problem of negative TA for access UE attached to the donor node. Problem persists even with multi panel operation.</w:t>
      </w:r>
    </w:p>
    <w:p w:rsidR="004A266D" w:rsidRDefault="004A266D" w:rsidP="004A266D">
      <w:pPr>
        <w:suppressAutoHyphens/>
        <w:spacing w:line="288" w:lineRule="auto"/>
        <w:jc w:val="center"/>
      </w:pPr>
      <w:r>
        <w:t xml:space="preserve">Table 3: </w:t>
      </w:r>
      <w:r w:rsidRPr="00E97BF7">
        <w:t>Range of TA values for Case #6 and Case #7</w:t>
      </w:r>
    </w:p>
    <w:tbl>
      <w:tblPr>
        <w:tblW w:w="0" w:type="auto"/>
        <w:jc w:val="center"/>
        <w:tblCellMar>
          <w:left w:w="0" w:type="dxa"/>
          <w:right w:w="0" w:type="dxa"/>
        </w:tblCellMar>
        <w:tblLook w:val="04A0" w:firstRow="1" w:lastRow="0" w:firstColumn="1" w:lastColumn="0" w:noHBand="0" w:noVBand="1"/>
      </w:tblPr>
      <w:tblGrid>
        <w:gridCol w:w="1440"/>
        <w:gridCol w:w="7560"/>
      </w:tblGrid>
      <w:tr w:rsidR="004A266D" w:rsidRPr="002E26D9" w:rsidTr="0074706B">
        <w:trPr>
          <w:jc w:val="center"/>
        </w:trPr>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A266D" w:rsidRPr="002E26D9" w:rsidRDefault="004A266D" w:rsidP="0074706B">
            <w:pPr>
              <w:pStyle w:val="xmsonormal"/>
              <w:rPr>
                <w:sz w:val="20"/>
                <w:szCs w:val="20"/>
              </w:rPr>
            </w:pPr>
            <w:r w:rsidRPr="002E26D9">
              <w:rPr>
                <w:b/>
                <w:bCs/>
                <w:sz w:val="20"/>
                <w:szCs w:val="20"/>
              </w:rPr>
              <w:t xml:space="preserve">Case </w:t>
            </w:r>
          </w:p>
        </w:tc>
        <w:tc>
          <w:tcPr>
            <w:tcW w:w="75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A266D" w:rsidRPr="002E26D9" w:rsidRDefault="004A266D" w:rsidP="0074706B">
            <w:pPr>
              <w:pStyle w:val="xmsonormal"/>
              <w:rPr>
                <w:sz w:val="20"/>
                <w:szCs w:val="20"/>
              </w:rPr>
            </w:pPr>
            <w:r w:rsidRPr="002E26D9">
              <w:rPr>
                <w:b/>
                <w:bCs/>
                <w:sz w:val="20"/>
                <w:szCs w:val="20"/>
              </w:rPr>
              <w:t>TA value</w:t>
            </w:r>
          </w:p>
        </w:tc>
      </w:tr>
      <w:tr w:rsidR="004A266D" w:rsidRPr="002E26D9" w:rsidTr="0074706B">
        <w:trPr>
          <w:jc w:val="center"/>
        </w:trPr>
        <w:tc>
          <w:tcPr>
            <w:tcW w:w="14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A266D" w:rsidRPr="002E26D9" w:rsidRDefault="004A266D" w:rsidP="0074706B">
            <w:pPr>
              <w:pStyle w:val="xmsonormal"/>
              <w:rPr>
                <w:sz w:val="20"/>
                <w:szCs w:val="20"/>
              </w:rPr>
            </w:pPr>
            <w:r w:rsidRPr="002E26D9">
              <w:rPr>
                <w:sz w:val="20"/>
                <w:szCs w:val="20"/>
              </w:rPr>
              <w:t xml:space="preserve">Case #6 </w:t>
            </w:r>
          </w:p>
        </w:tc>
        <w:tc>
          <w:tcPr>
            <w:tcW w:w="7560" w:type="dxa"/>
            <w:tcBorders>
              <w:top w:val="nil"/>
              <w:left w:val="nil"/>
              <w:bottom w:val="single" w:sz="8" w:space="0" w:color="000000"/>
              <w:right w:val="single" w:sz="8" w:space="0" w:color="000000"/>
            </w:tcBorders>
            <w:tcMar>
              <w:top w:w="0" w:type="dxa"/>
              <w:left w:w="108" w:type="dxa"/>
              <w:bottom w:w="0" w:type="dxa"/>
              <w:right w:w="108" w:type="dxa"/>
            </w:tcMar>
            <w:hideMark/>
          </w:tcPr>
          <w:p w:rsidR="004A266D" w:rsidRPr="002E26D9" w:rsidRDefault="004A266D" w:rsidP="0074706B">
            <w:pPr>
              <w:pStyle w:val="xmsonormal"/>
              <w:rPr>
                <w:sz w:val="20"/>
                <w:szCs w:val="20"/>
              </w:rPr>
            </w:pPr>
            <w:r w:rsidRPr="002E26D9">
              <w:rPr>
                <w:sz w:val="20"/>
                <w:szCs w:val="20"/>
              </w:rPr>
              <w:t>0</w:t>
            </w:r>
          </w:p>
          <w:p w:rsidR="004A266D" w:rsidRPr="002E26D9" w:rsidRDefault="004A266D" w:rsidP="0074706B">
            <w:pPr>
              <w:pStyle w:val="xmsonormal"/>
              <w:rPr>
                <w:sz w:val="20"/>
                <w:szCs w:val="20"/>
              </w:rPr>
            </w:pPr>
            <w:r w:rsidRPr="002E26D9">
              <w:rPr>
                <w:sz w:val="20"/>
                <w:szCs w:val="20"/>
              </w:rPr>
              <w:t>UL transmissions are aligned with DL transmissions. Also</w:t>
            </w:r>
            <w:r>
              <w:rPr>
                <w:sz w:val="20"/>
                <w:szCs w:val="20"/>
              </w:rPr>
              <w:t>,</w:t>
            </w:r>
            <w:r w:rsidRPr="002E26D9">
              <w:rPr>
                <w:sz w:val="20"/>
                <w:szCs w:val="20"/>
              </w:rPr>
              <w:t xml:space="preserve"> DL transmissions across all nodes are time aligned. </w:t>
            </w:r>
          </w:p>
        </w:tc>
      </w:tr>
      <w:tr w:rsidR="004A266D" w:rsidRPr="002E26D9" w:rsidTr="0074706B">
        <w:trPr>
          <w:jc w:val="center"/>
        </w:trPr>
        <w:tc>
          <w:tcPr>
            <w:tcW w:w="14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A266D" w:rsidRPr="002E26D9" w:rsidRDefault="004A266D" w:rsidP="0074706B">
            <w:pPr>
              <w:pStyle w:val="xmsonormal"/>
              <w:rPr>
                <w:sz w:val="20"/>
                <w:szCs w:val="20"/>
              </w:rPr>
            </w:pPr>
            <w:r w:rsidRPr="002E26D9">
              <w:rPr>
                <w:sz w:val="20"/>
                <w:szCs w:val="20"/>
              </w:rPr>
              <w:t>Case #7</w:t>
            </w:r>
          </w:p>
        </w:tc>
        <w:tc>
          <w:tcPr>
            <w:tcW w:w="7560" w:type="dxa"/>
            <w:tcBorders>
              <w:top w:val="nil"/>
              <w:left w:val="nil"/>
              <w:bottom w:val="single" w:sz="8" w:space="0" w:color="000000"/>
              <w:right w:val="single" w:sz="8" w:space="0" w:color="000000"/>
            </w:tcBorders>
            <w:tcMar>
              <w:top w:w="0" w:type="dxa"/>
              <w:left w:w="108" w:type="dxa"/>
              <w:bottom w:w="0" w:type="dxa"/>
              <w:right w:w="108" w:type="dxa"/>
            </w:tcMar>
            <w:hideMark/>
          </w:tcPr>
          <w:p w:rsidR="004A266D" w:rsidRPr="002E26D9" w:rsidRDefault="004A266D" w:rsidP="0074706B">
            <w:pPr>
              <w:pStyle w:val="xmsonormal"/>
              <w:rPr>
                <w:sz w:val="20"/>
                <w:szCs w:val="20"/>
              </w:rPr>
            </w:pPr>
            <w:r w:rsidRPr="002E26D9">
              <w:rPr>
                <w:sz w:val="20"/>
                <w:szCs w:val="20"/>
              </w:rPr>
              <w:t xml:space="preserve">0.133 </w:t>
            </w:r>
            <w:proofErr w:type="spellStart"/>
            <w:r w:rsidRPr="002E26D9">
              <w:rPr>
                <w:sz w:val="20"/>
                <w:szCs w:val="20"/>
                <w:lang w:val="en-GB"/>
              </w:rPr>
              <w:t>μsec</w:t>
            </w:r>
            <w:proofErr w:type="spellEnd"/>
            <w:r w:rsidRPr="002E26D9">
              <w:rPr>
                <w:sz w:val="20"/>
                <w:szCs w:val="20"/>
                <w:lang w:val="en-GB"/>
              </w:rPr>
              <w:t xml:space="preserve"> to 0.66667 </w:t>
            </w:r>
            <w:proofErr w:type="spellStart"/>
            <w:r w:rsidRPr="002E26D9">
              <w:rPr>
                <w:sz w:val="20"/>
                <w:szCs w:val="20"/>
                <w:lang w:val="en-GB"/>
              </w:rPr>
              <w:t>μsec</w:t>
            </w:r>
            <w:proofErr w:type="spellEnd"/>
          </w:p>
          <w:p w:rsidR="004A266D" w:rsidRPr="002E26D9" w:rsidRDefault="004A266D" w:rsidP="0074706B">
            <w:pPr>
              <w:pStyle w:val="xmsonormal"/>
              <w:rPr>
                <w:sz w:val="20"/>
                <w:szCs w:val="20"/>
              </w:rPr>
            </w:pPr>
            <w:r w:rsidRPr="002E26D9">
              <w:rPr>
                <w:sz w:val="20"/>
                <w:szCs w:val="20"/>
                <w:lang w:val="en-GB"/>
              </w:rPr>
              <w:t>DL transmissions from all IAB nodes are time aligned. The TA is only due to propagation delay. Since inter micro distance can range from 40m to 200m, range of TA values is as given above.</w:t>
            </w:r>
          </w:p>
        </w:tc>
      </w:tr>
    </w:tbl>
    <w:p w:rsidR="004A266D" w:rsidRDefault="004A266D" w:rsidP="005775B4">
      <w:pPr>
        <w:spacing w:after="60"/>
        <w:jc w:val="both"/>
      </w:pPr>
    </w:p>
    <w:p w:rsidR="005824A6" w:rsidRDefault="005824A6" w:rsidP="00913492">
      <w:pPr>
        <w:spacing w:before="240"/>
        <w:jc w:val="both"/>
      </w:pPr>
      <w:r>
        <w:rPr>
          <w:b/>
          <w:lang w:val="en-US"/>
        </w:rPr>
        <w:t>Observation</w:t>
      </w:r>
      <w:r w:rsidR="00DC061D">
        <w:rPr>
          <w:b/>
          <w:lang w:val="en-US"/>
        </w:rPr>
        <w:t xml:space="preserve"> 1</w:t>
      </w:r>
      <w:r>
        <w:rPr>
          <w:b/>
          <w:lang w:val="en-US"/>
        </w:rPr>
        <w:t xml:space="preserve">: </w:t>
      </w:r>
      <w:r w:rsidR="008A74C2">
        <w:rPr>
          <w:b/>
          <w:lang w:val="en-US"/>
        </w:rPr>
        <w:t>In Case #6, t</w:t>
      </w:r>
      <w:r w:rsidRPr="005824A6">
        <w:rPr>
          <w:b/>
          <w:lang w:val="en-US"/>
        </w:rPr>
        <w:t xml:space="preserve">he reception </w:t>
      </w:r>
      <w:r>
        <w:rPr>
          <w:b/>
          <w:lang w:val="en-US"/>
        </w:rPr>
        <w:t xml:space="preserve">timing of BH </w:t>
      </w:r>
      <w:r w:rsidRPr="005824A6">
        <w:rPr>
          <w:b/>
          <w:lang w:val="en-US"/>
        </w:rPr>
        <w:t xml:space="preserve">UL from </w:t>
      </w:r>
      <w:r w:rsidR="00972B24">
        <w:rPr>
          <w:b/>
          <w:lang w:val="en-US"/>
        </w:rPr>
        <w:t>multiple</w:t>
      </w:r>
      <w:r w:rsidRPr="005824A6">
        <w:rPr>
          <w:b/>
          <w:lang w:val="en-US"/>
        </w:rPr>
        <w:t xml:space="preserve"> IAB children will be misaligned at the IAB parent/</w:t>
      </w:r>
      <w:r w:rsidR="00972B24">
        <w:rPr>
          <w:b/>
          <w:lang w:val="en-US"/>
        </w:rPr>
        <w:t>d</w:t>
      </w:r>
      <w:r w:rsidRPr="005824A6">
        <w:rPr>
          <w:b/>
          <w:lang w:val="en-US"/>
        </w:rPr>
        <w:t>onor node</w:t>
      </w:r>
    </w:p>
    <w:p w:rsidR="005775B4" w:rsidRDefault="005775B4" w:rsidP="008A0B83">
      <w:pPr>
        <w:spacing w:before="240"/>
        <w:jc w:val="both"/>
      </w:pPr>
      <w:r>
        <w:rPr>
          <w:lang w:val="en-US"/>
        </w:rPr>
        <w:t>Case #7 poses problems in case of multiple parents. Consider an IAB node attached to two parent nodes. Since DL transmission is time aligned across all IAB nodes, the transmission time is the same for all nodes. Due to difference in distance between the IAB node and its parent nodes, the propagation delay will also be different. Following the TA calculations as above, the propagation delay will exceed CP in FR2 region. The DL transmissions from the two parents will arrive at the IAB node at different time instants. This violates the requirement of timing alignment between the UL</w:t>
      </w:r>
      <w:r w:rsidR="00B308A0">
        <w:rPr>
          <w:lang w:val="en-US"/>
        </w:rPr>
        <w:t xml:space="preserve"> </w:t>
      </w:r>
      <w:r>
        <w:rPr>
          <w:lang w:val="en-US"/>
        </w:rPr>
        <w:t>Rx and DL</w:t>
      </w:r>
      <w:r w:rsidR="00B308A0">
        <w:rPr>
          <w:lang w:val="en-US"/>
        </w:rPr>
        <w:t xml:space="preserve"> </w:t>
      </w:r>
      <w:r>
        <w:rPr>
          <w:lang w:val="en-US"/>
        </w:rPr>
        <w:t xml:space="preserve">Rx at an IAB node. This </w:t>
      </w:r>
      <w:r>
        <w:t>also poses a problem of negative TA for access UEs.</w:t>
      </w:r>
    </w:p>
    <w:p w:rsidR="008A3F63" w:rsidRDefault="008A3F63" w:rsidP="008A3F63">
      <w:pPr>
        <w:jc w:val="both"/>
      </w:pPr>
      <w:r>
        <w:rPr>
          <w:b/>
          <w:lang w:val="en-US"/>
        </w:rPr>
        <w:t>Observation</w:t>
      </w:r>
      <w:r w:rsidR="00DC061D">
        <w:rPr>
          <w:b/>
          <w:lang w:val="en-US"/>
        </w:rPr>
        <w:t xml:space="preserve"> 2</w:t>
      </w:r>
      <w:r>
        <w:rPr>
          <w:b/>
          <w:lang w:val="en-US"/>
        </w:rPr>
        <w:t xml:space="preserve">: </w:t>
      </w:r>
      <w:r w:rsidR="00164E75">
        <w:rPr>
          <w:b/>
          <w:lang w:val="en-US"/>
        </w:rPr>
        <w:t>In Case #7, s</w:t>
      </w:r>
      <w:r w:rsidR="00220544">
        <w:rPr>
          <w:b/>
          <w:lang w:val="en-US"/>
        </w:rPr>
        <w:t>upporting</w:t>
      </w:r>
      <w:r w:rsidR="008A74C2">
        <w:rPr>
          <w:b/>
          <w:lang w:val="en-US"/>
        </w:rPr>
        <w:t xml:space="preserve"> multiple parent at the</w:t>
      </w:r>
      <w:r w:rsidR="00220544">
        <w:rPr>
          <w:b/>
          <w:lang w:val="en-US"/>
        </w:rPr>
        <w:t xml:space="preserve"> IAB node</w:t>
      </w:r>
      <w:r w:rsidR="00A41BAA">
        <w:rPr>
          <w:b/>
          <w:lang w:val="en-US"/>
        </w:rPr>
        <w:t xml:space="preserve"> </w:t>
      </w:r>
      <w:r w:rsidR="00164E75">
        <w:rPr>
          <w:b/>
          <w:lang w:val="en-US"/>
        </w:rPr>
        <w:t>is not possible</w:t>
      </w:r>
    </w:p>
    <w:p w:rsidR="00EE4025" w:rsidRDefault="00A66966">
      <w:pPr>
        <w:rPr>
          <w:lang w:val="en-US"/>
        </w:rPr>
      </w:pPr>
      <w:r>
        <w:rPr>
          <w:lang w:val="en-US"/>
        </w:rPr>
        <w:t>Table 4</w:t>
      </w:r>
      <w:r w:rsidR="00DA278A">
        <w:rPr>
          <w:lang w:val="en-US"/>
        </w:rPr>
        <w:t xml:space="preserve"> summarizes the </w:t>
      </w:r>
      <w:r w:rsidR="001827EB">
        <w:rPr>
          <w:lang w:val="en-US"/>
        </w:rPr>
        <w:t>aspects of multiple parent</w:t>
      </w:r>
      <w:r w:rsidR="006234EE">
        <w:rPr>
          <w:lang w:val="en-US"/>
        </w:rPr>
        <w:t xml:space="preserve"> nodes</w:t>
      </w:r>
      <w:r w:rsidR="001827EB">
        <w:rPr>
          <w:lang w:val="en-US"/>
        </w:rPr>
        <w:t xml:space="preserve"> and multiple </w:t>
      </w:r>
      <w:r w:rsidR="006234EE">
        <w:rPr>
          <w:lang w:val="en-US"/>
        </w:rPr>
        <w:t>c</w:t>
      </w:r>
      <w:r w:rsidR="001827EB">
        <w:rPr>
          <w:lang w:val="en-US"/>
        </w:rPr>
        <w:t>hild</w:t>
      </w:r>
      <w:r w:rsidR="006234EE">
        <w:rPr>
          <w:lang w:val="en-US"/>
        </w:rPr>
        <w:t xml:space="preserve"> nodes</w:t>
      </w:r>
      <w:r w:rsidR="001827EB">
        <w:rPr>
          <w:lang w:val="en-US"/>
        </w:rPr>
        <w:t xml:space="preserve"> for different cases</w:t>
      </w:r>
      <w:r w:rsidR="00814E2A">
        <w:rPr>
          <w:lang w:val="en-US"/>
        </w:rPr>
        <w:t xml:space="preserve"> (1-7)</w:t>
      </w:r>
      <w:bookmarkStart w:id="1" w:name="_GoBack"/>
      <w:bookmarkEnd w:id="1"/>
      <w:r w:rsidR="00DA278A">
        <w:rPr>
          <w:lang w:val="en-US"/>
        </w:rPr>
        <w:t xml:space="preserve"> of the IAB timing options.</w:t>
      </w:r>
    </w:p>
    <w:p w:rsidR="000F685F" w:rsidRDefault="000F685F" w:rsidP="000F685F">
      <w:pPr>
        <w:jc w:val="center"/>
        <w:rPr>
          <w:lang w:val="en-US"/>
        </w:rPr>
      </w:pPr>
      <w:r>
        <w:t xml:space="preserve">Table 3: </w:t>
      </w:r>
      <w:r>
        <w:t xml:space="preserve">Aspects related to </w:t>
      </w:r>
      <w:r w:rsidR="006400B5">
        <w:rPr>
          <w:lang w:val="en-US"/>
        </w:rPr>
        <w:t>multiple</w:t>
      </w:r>
      <w:r>
        <w:rPr>
          <w:lang w:val="en-US"/>
        </w:rPr>
        <w:t xml:space="preserve"> parent nodes and multiple child nodes</w:t>
      </w:r>
    </w:p>
    <w:tbl>
      <w:tblPr>
        <w:tblW w:w="96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605"/>
        <w:gridCol w:w="4369"/>
        <w:gridCol w:w="4660"/>
      </w:tblGrid>
      <w:tr w:rsidR="00B8209C" w:rsidTr="00E60CE0">
        <w:trPr>
          <w:jc w:val="center"/>
        </w:trPr>
        <w:tc>
          <w:tcPr>
            <w:tcW w:w="6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8209C" w:rsidRDefault="00B8209C" w:rsidP="00B8209C">
            <w:pPr>
              <w:spacing w:after="0"/>
              <w:jc w:val="center"/>
              <w:rPr>
                <w:lang w:val="en-US"/>
              </w:rPr>
            </w:pPr>
            <w:r>
              <w:rPr>
                <w:lang w:val="en-US"/>
              </w:rPr>
              <w:t>Case</w:t>
            </w:r>
          </w:p>
        </w:tc>
        <w:tc>
          <w:tcPr>
            <w:tcW w:w="43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8209C" w:rsidRDefault="00B8209C" w:rsidP="003577CC">
            <w:pPr>
              <w:spacing w:after="0"/>
              <w:jc w:val="center"/>
              <w:rPr>
                <w:lang w:val="en-US"/>
              </w:rPr>
            </w:pPr>
            <w:r>
              <w:rPr>
                <w:lang w:val="en-US"/>
              </w:rPr>
              <w:t>Aspects related to multiple parent nodes</w:t>
            </w:r>
          </w:p>
        </w:tc>
        <w:tc>
          <w:tcPr>
            <w:tcW w:w="46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8209C" w:rsidRDefault="00B8209C" w:rsidP="003577CC">
            <w:pPr>
              <w:spacing w:after="0"/>
              <w:jc w:val="center"/>
              <w:rPr>
                <w:lang w:val="en-US"/>
              </w:rPr>
            </w:pPr>
            <w:r>
              <w:rPr>
                <w:lang w:val="en-US"/>
              </w:rPr>
              <w:t>Aspects related to multiple child nodes</w:t>
            </w:r>
          </w:p>
        </w:tc>
      </w:tr>
      <w:tr w:rsidR="00EE4025" w:rsidTr="00E60CE0">
        <w:trPr>
          <w:jc w:val="center"/>
        </w:trPr>
        <w:tc>
          <w:tcPr>
            <w:tcW w:w="6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DA278A">
            <w:pPr>
              <w:spacing w:after="0"/>
              <w:jc w:val="center"/>
              <w:rPr>
                <w:lang w:val="en-US"/>
              </w:rPr>
            </w:pPr>
            <w:r>
              <w:rPr>
                <w:lang w:val="en-US"/>
              </w:rPr>
              <w:t>#1</w:t>
            </w:r>
          </w:p>
        </w:tc>
        <w:tc>
          <w:tcPr>
            <w:tcW w:w="43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820970">
            <w:pPr>
              <w:spacing w:after="0"/>
              <w:rPr>
                <w:lang w:val="en-US"/>
              </w:rPr>
            </w:pPr>
            <w:r>
              <w:rPr>
                <w:lang w:val="en-US"/>
              </w:rPr>
              <w:t>Child IAB node should employ different TA values to different parents</w:t>
            </w:r>
            <w:r w:rsidR="00DF049E">
              <w:rPr>
                <w:lang w:val="en-US"/>
              </w:rPr>
              <w:t>.</w:t>
            </w:r>
          </w:p>
        </w:tc>
        <w:tc>
          <w:tcPr>
            <w:tcW w:w="46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24144C">
            <w:pPr>
              <w:spacing w:after="0"/>
              <w:rPr>
                <w:lang w:val="en-US"/>
              </w:rPr>
            </w:pPr>
            <w:r>
              <w:rPr>
                <w:lang w:val="en-US"/>
              </w:rPr>
              <w:t xml:space="preserve"> </w:t>
            </w:r>
            <w:r w:rsidR="008477C0">
              <w:rPr>
                <w:lang w:val="en-US"/>
              </w:rPr>
              <w:t>Independent TA values based on the individual propagation delays. Hence, there will not be any timing alignment problem</w:t>
            </w:r>
            <w:r w:rsidR="00C45209">
              <w:rPr>
                <w:lang w:val="en-US"/>
              </w:rPr>
              <w:t xml:space="preserve"> at the </w:t>
            </w:r>
            <w:r w:rsidR="00324A6F">
              <w:rPr>
                <w:lang w:val="en-US"/>
              </w:rPr>
              <w:t>parent/</w:t>
            </w:r>
            <w:r w:rsidR="00C45209">
              <w:rPr>
                <w:lang w:val="en-US"/>
              </w:rPr>
              <w:t>donor node</w:t>
            </w:r>
            <w:r w:rsidR="00154C8D">
              <w:rPr>
                <w:lang w:val="en-US"/>
              </w:rPr>
              <w:t>.</w:t>
            </w:r>
          </w:p>
        </w:tc>
      </w:tr>
      <w:tr w:rsidR="00EE4025" w:rsidTr="00E60CE0">
        <w:trPr>
          <w:jc w:val="center"/>
        </w:trPr>
        <w:tc>
          <w:tcPr>
            <w:tcW w:w="6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DA278A">
            <w:pPr>
              <w:spacing w:after="0"/>
              <w:jc w:val="center"/>
              <w:rPr>
                <w:lang w:val="en-US"/>
              </w:rPr>
            </w:pPr>
            <w:r>
              <w:rPr>
                <w:lang w:val="en-US"/>
              </w:rPr>
              <w:t>#2</w:t>
            </w:r>
          </w:p>
        </w:tc>
        <w:tc>
          <w:tcPr>
            <w:tcW w:w="43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24144C" w:rsidP="0024144C">
            <w:pPr>
              <w:tabs>
                <w:tab w:val="center" w:pos="2079"/>
              </w:tabs>
              <w:spacing w:after="0"/>
              <w:rPr>
                <w:lang w:val="en-US"/>
              </w:rPr>
            </w:pPr>
            <w:r>
              <w:rPr>
                <w:lang w:val="en-US"/>
              </w:rPr>
              <w:t>UL Tx are aligned with each other and with the DL Tx. In case of multiple parents, different TA value will be required for each parent. It is not possible to transmit with different TA, since UL transmissions are required to be time aligned.</w:t>
            </w:r>
          </w:p>
        </w:tc>
        <w:tc>
          <w:tcPr>
            <w:tcW w:w="46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0F000E">
            <w:pPr>
              <w:spacing w:after="0"/>
              <w:rPr>
                <w:lang w:val="en-US"/>
              </w:rPr>
            </w:pPr>
            <w:r>
              <w:rPr>
                <w:lang w:val="en-US"/>
              </w:rPr>
              <w:t>There will not be any timing alignment problem at the parent/donor node</w:t>
            </w:r>
            <w:r w:rsidR="00154C8D">
              <w:rPr>
                <w:lang w:val="en-US"/>
              </w:rPr>
              <w:t>.</w:t>
            </w:r>
          </w:p>
        </w:tc>
      </w:tr>
      <w:tr w:rsidR="00EE4025" w:rsidTr="00E60CE0">
        <w:trPr>
          <w:jc w:val="center"/>
        </w:trPr>
        <w:tc>
          <w:tcPr>
            <w:tcW w:w="6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DA278A">
            <w:pPr>
              <w:spacing w:after="0"/>
              <w:jc w:val="center"/>
              <w:rPr>
                <w:lang w:val="en-US"/>
              </w:rPr>
            </w:pPr>
            <w:r>
              <w:rPr>
                <w:lang w:val="en-US"/>
              </w:rPr>
              <w:t>#3</w:t>
            </w:r>
          </w:p>
        </w:tc>
        <w:tc>
          <w:tcPr>
            <w:tcW w:w="43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D734AC">
            <w:pPr>
              <w:spacing w:after="0"/>
              <w:rPr>
                <w:lang w:val="en-US"/>
              </w:rPr>
            </w:pPr>
            <w:r>
              <w:rPr>
                <w:lang w:val="en-US"/>
              </w:rPr>
              <w:t>Presence of multiple parents</w:t>
            </w:r>
            <w:r w:rsidR="003E27A0">
              <w:rPr>
                <w:lang w:val="en-US"/>
              </w:rPr>
              <w:t xml:space="preserve"> may</w:t>
            </w:r>
            <w:r>
              <w:rPr>
                <w:lang w:val="en-US"/>
              </w:rPr>
              <w:t xml:space="preserve"> violate the condition of alignment between receptions at the </w:t>
            </w:r>
            <w:r>
              <w:rPr>
                <w:lang w:val="en-US"/>
              </w:rPr>
              <w:lastRenderedPageBreak/>
              <w:t>IAB node</w:t>
            </w:r>
            <w:r w:rsidR="00154C8D">
              <w:rPr>
                <w:lang w:val="en-US"/>
              </w:rPr>
              <w:t>.</w:t>
            </w:r>
          </w:p>
        </w:tc>
        <w:tc>
          <w:tcPr>
            <w:tcW w:w="46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C2654C">
            <w:pPr>
              <w:spacing w:after="0"/>
              <w:rPr>
                <w:lang w:val="en-US"/>
              </w:rPr>
            </w:pPr>
            <w:r>
              <w:rPr>
                <w:lang w:val="en-US"/>
              </w:rPr>
              <w:lastRenderedPageBreak/>
              <w:t>There will not be any timing alignment problem at the parent/donor node</w:t>
            </w:r>
            <w:r w:rsidR="00154C8D">
              <w:rPr>
                <w:lang w:val="en-US"/>
              </w:rPr>
              <w:t>.</w:t>
            </w:r>
          </w:p>
        </w:tc>
      </w:tr>
      <w:tr w:rsidR="00EE4025" w:rsidTr="00E60CE0">
        <w:trPr>
          <w:jc w:val="center"/>
        </w:trPr>
        <w:tc>
          <w:tcPr>
            <w:tcW w:w="6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DA278A">
            <w:pPr>
              <w:spacing w:after="0"/>
              <w:jc w:val="center"/>
              <w:rPr>
                <w:lang w:val="en-US"/>
              </w:rPr>
            </w:pPr>
            <w:r>
              <w:rPr>
                <w:lang w:val="en-US"/>
              </w:rPr>
              <w:t>#4</w:t>
            </w:r>
          </w:p>
        </w:tc>
        <w:tc>
          <w:tcPr>
            <w:tcW w:w="43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DB7571">
            <w:pPr>
              <w:spacing w:after="0"/>
              <w:rPr>
                <w:lang w:val="en-US"/>
              </w:rPr>
            </w:pPr>
            <w:r>
              <w:rPr>
                <w:lang w:val="en-US"/>
              </w:rPr>
              <w:t>Same as Case # 2</w:t>
            </w:r>
            <w:r w:rsidR="00AA1F53">
              <w:rPr>
                <w:lang w:val="en-US"/>
              </w:rPr>
              <w:t xml:space="preserve"> and C</w:t>
            </w:r>
            <w:r w:rsidR="00B641D5">
              <w:rPr>
                <w:lang w:val="en-US"/>
              </w:rPr>
              <w:t>ase #3</w:t>
            </w:r>
          </w:p>
        </w:tc>
        <w:tc>
          <w:tcPr>
            <w:tcW w:w="46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DB7571">
            <w:pPr>
              <w:spacing w:after="0"/>
              <w:rPr>
                <w:lang w:val="en-US"/>
              </w:rPr>
            </w:pPr>
            <w:r>
              <w:rPr>
                <w:lang w:val="en-US"/>
              </w:rPr>
              <w:t>Same as case #3</w:t>
            </w:r>
          </w:p>
        </w:tc>
      </w:tr>
      <w:tr w:rsidR="00EE4025" w:rsidTr="00E60CE0">
        <w:trPr>
          <w:jc w:val="center"/>
        </w:trPr>
        <w:tc>
          <w:tcPr>
            <w:tcW w:w="6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DA278A">
            <w:pPr>
              <w:spacing w:after="0"/>
              <w:jc w:val="center"/>
              <w:rPr>
                <w:lang w:val="en-US"/>
              </w:rPr>
            </w:pPr>
            <w:r>
              <w:rPr>
                <w:lang w:val="en-US"/>
              </w:rPr>
              <w:t>#5</w:t>
            </w:r>
          </w:p>
        </w:tc>
        <w:tc>
          <w:tcPr>
            <w:tcW w:w="43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D36555">
            <w:pPr>
              <w:spacing w:after="0"/>
              <w:rPr>
                <w:lang w:val="en-US"/>
              </w:rPr>
            </w:pPr>
            <w:r>
              <w:rPr>
                <w:lang w:val="en-US"/>
              </w:rPr>
              <w:t>Same as Case # 2 and Case #3</w:t>
            </w:r>
          </w:p>
        </w:tc>
        <w:tc>
          <w:tcPr>
            <w:tcW w:w="46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E4025" w:rsidRDefault="00D36555">
            <w:pPr>
              <w:spacing w:after="0"/>
              <w:rPr>
                <w:lang w:val="en-US"/>
              </w:rPr>
            </w:pPr>
            <w:r>
              <w:rPr>
                <w:lang w:val="en-US"/>
              </w:rPr>
              <w:t>There will not be any timing alignment problem at the parent/donor node</w:t>
            </w:r>
          </w:p>
        </w:tc>
      </w:tr>
      <w:tr w:rsidR="007F43A5" w:rsidTr="00E60CE0">
        <w:trPr>
          <w:jc w:val="center"/>
        </w:trPr>
        <w:tc>
          <w:tcPr>
            <w:tcW w:w="6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F43A5" w:rsidRDefault="007F43A5">
            <w:pPr>
              <w:spacing w:after="0"/>
              <w:jc w:val="center"/>
              <w:rPr>
                <w:lang w:val="en-US"/>
              </w:rPr>
            </w:pPr>
            <w:r>
              <w:rPr>
                <w:lang w:val="en-US"/>
              </w:rPr>
              <w:t># 6</w:t>
            </w:r>
          </w:p>
        </w:tc>
        <w:tc>
          <w:tcPr>
            <w:tcW w:w="43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F43A5" w:rsidRDefault="00562557">
            <w:pPr>
              <w:spacing w:after="0"/>
              <w:rPr>
                <w:lang w:val="en-US"/>
              </w:rPr>
            </w:pPr>
            <w:r>
              <w:rPr>
                <w:lang w:val="en-US"/>
              </w:rPr>
              <w:t xml:space="preserve">Multiple parent can be supported </w:t>
            </w:r>
            <w:r w:rsidR="00345BCA">
              <w:rPr>
                <w:lang w:val="en-US"/>
              </w:rPr>
              <w:t>for</w:t>
            </w:r>
            <w:r>
              <w:rPr>
                <w:lang w:val="en-US"/>
              </w:rPr>
              <w:t xml:space="preserve"> the IAB node.</w:t>
            </w:r>
          </w:p>
        </w:tc>
        <w:tc>
          <w:tcPr>
            <w:tcW w:w="46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F43A5" w:rsidRDefault="005C72EA">
            <w:pPr>
              <w:spacing w:after="0"/>
              <w:rPr>
                <w:lang w:val="en-US"/>
              </w:rPr>
            </w:pPr>
            <w:r>
              <w:rPr>
                <w:lang w:val="en-US"/>
              </w:rPr>
              <w:t>Reception time at the IAB node will be different for UL transmissions from different child nodes</w:t>
            </w:r>
          </w:p>
        </w:tc>
      </w:tr>
      <w:tr w:rsidR="007F43A5" w:rsidTr="00E60CE0">
        <w:trPr>
          <w:jc w:val="center"/>
        </w:trPr>
        <w:tc>
          <w:tcPr>
            <w:tcW w:w="60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F43A5" w:rsidRDefault="00BE294E">
            <w:pPr>
              <w:spacing w:after="0"/>
              <w:jc w:val="center"/>
              <w:rPr>
                <w:lang w:val="en-US"/>
              </w:rPr>
            </w:pPr>
            <w:r>
              <w:rPr>
                <w:lang w:val="en-US"/>
              </w:rPr>
              <w:t># 7</w:t>
            </w:r>
          </w:p>
        </w:tc>
        <w:tc>
          <w:tcPr>
            <w:tcW w:w="43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F43A5" w:rsidRDefault="007F0EA1">
            <w:pPr>
              <w:spacing w:after="0"/>
              <w:rPr>
                <w:lang w:val="en-US"/>
              </w:rPr>
            </w:pPr>
            <w:r>
              <w:rPr>
                <w:lang w:val="en-US"/>
              </w:rPr>
              <w:t>Presence of multiple parents</w:t>
            </w:r>
            <w:r w:rsidR="004C5B32">
              <w:rPr>
                <w:lang w:val="en-US"/>
              </w:rPr>
              <w:t xml:space="preserve"> may</w:t>
            </w:r>
            <w:r>
              <w:rPr>
                <w:lang w:val="en-US"/>
              </w:rPr>
              <w:t xml:space="preserve"> violate the condition of </w:t>
            </w:r>
            <w:r w:rsidR="005421A8">
              <w:rPr>
                <w:lang w:val="en-US"/>
              </w:rPr>
              <w:t>alignment</w:t>
            </w:r>
            <w:r>
              <w:rPr>
                <w:lang w:val="en-US"/>
              </w:rPr>
              <w:t xml:space="preserve"> between receptions at the IAB node</w:t>
            </w:r>
          </w:p>
        </w:tc>
        <w:tc>
          <w:tcPr>
            <w:tcW w:w="46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F43A5" w:rsidRDefault="007A07C5">
            <w:pPr>
              <w:spacing w:after="0"/>
              <w:rPr>
                <w:lang w:val="en-US"/>
              </w:rPr>
            </w:pPr>
            <w:r>
              <w:rPr>
                <w:lang w:val="en-US"/>
              </w:rPr>
              <w:t>There will not be any timing alignment problem at the parent/donor node</w:t>
            </w:r>
          </w:p>
        </w:tc>
      </w:tr>
    </w:tbl>
    <w:p w:rsidR="00EE4025" w:rsidRDefault="00DA278A">
      <w:pPr>
        <w:pStyle w:val="Heading1"/>
        <w:rPr>
          <w:color w:val="000000"/>
        </w:rPr>
      </w:pPr>
      <w:r>
        <w:rPr>
          <w:color w:val="000000"/>
        </w:rPr>
        <w:t>3</w:t>
      </w:r>
      <w:r>
        <w:rPr>
          <w:color w:val="000000"/>
        </w:rPr>
        <w:tab/>
        <w:t>Conclusions</w:t>
      </w:r>
    </w:p>
    <w:p w:rsidR="00EE4025" w:rsidRDefault="00DA278A">
      <w:pPr>
        <w:spacing w:after="120"/>
        <w:jc w:val="both"/>
        <w:rPr>
          <w:lang w:val="en-US"/>
        </w:rPr>
      </w:pPr>
      <w:r>
        <w:rPr>
          <w:lang w:val="en-US"/>
        </w:rPr>
        <w:t>In this contribution</w:t>
      </w:r>
      <w:r w:rsidR="00DC150E">
        <w:rPr>
          <w:lang w:val="en-US"/>
        </w:rPr>
        <w:t xml:space="preserve">, </w:t>
      </w:r>
      <w:r>
        <w:rPr>
          <w:lang w:val="en-US"/>
        </w:rPr>
        <w:t xml:space="preserve">we have </w:t>
      </w:r>
      <w:r w:rsidR="00DC150E">
        <w:rPr>
          <w:lang w:val="en-US"/>
        </w:rPr>
        <w:t>discussed</w:t>
      </w:r>
      <w:r w:rsidR="00FA3722">
        <w:rPr>
          <w:lang w:val="en-US"/>
        </w:rPr>
        <w:t xml:space="preserve"> </w:t>
      </w:r>
      <w:r w:rsidR="00DC150E">
        <w:rPr>
          <w:lang w:val="en-US"/>
        </w:rPr>
        <w:t>the new cases (6 and 7)</w:t>
      </w:r>
      <w:r>
        <w:rPr>
          <w:lang w:val="en-US"/>
        </w:rPr>
        <w:t xml:space="preserve"> for TX/RX timing which were agreed by RAN1 to be studied. We ended up with following observations:</w:t>
      </w:r>
    </w:p>
    <w:p w:rsidR="00FA3722" w:rsidRDefault="00FA3722">
      <w:pPr>
        <w:spacing w:after="120"/>
        <w:rPr>
          <w:b/>
          <w:lang w:val="en-US"/>
        </w:rPr>
      </w:pPr>
      <w:r>
        <w:rPr>
          <w:b/>
          <w:lang w:val="en-US"/>
        </w:rPr>
        <w:t>Observation 1: In Case #6, t</w:t>
      </w:r>
      <w:r w:rsidRPr="005824A6">
        <w:rPr>
          <w:b/>
          <w:lang w:val="en-US"/>
        </w:rPr>
        <w:t xml:space="preserve">he reception </w:t>
      </w:r>
      <w:r>
        <w:rPr>
          <w:b/>
          <w:lang w:val="en-US"/>
        </w:rPr>
        <w:t xml:space="preserve">timing of BH </w:t>
      </w:r>
      <w:r w:rsidRPr="005824A6">
        <w:rPr>
          <w:b/>
          <w:lang w:val="en-US"/>
        </w:rPr>
        <w:t xml:space="preserve">UL from </w:t>
      </w:r>
      <w:r>
        <w:rPr>
          <w:b/>
          <w:lang w:val="en-US"/>
        </w:rPr>
        <w:t>multiple</w:t>
      </w:r>
      <w:r w:rsidRPr="005824A6">
        <w:rPr>
          <w:b/>
          <w:lang w:val="en-US"/>
        </w:rPr>
        <w:t xml:space="preserve"> IAB children will be misaligned at the IAB parent/</w:t>
      </w:r>
      <w:r>
        <w:rPr>
          <w:b/>
          <w:lang w:val="en-US"/>
        </w:rPr>
        <w:t>d</w:t>
      </w:r>
      <w:r w:rsidRPr="005824A6">
        <w:rPr>
          <w:b/>
          <w:lang w:val="en-US"/>
        </w:rPr>
        <w:t>onor node</w:t>
      </w:r>
    </w:p>
    <w:p w:rsidR="00FA3722" w:rsidRDefault="00FA3722" w:rsidP="008924F6">
      <w:pPr>
        <w:spacing w:before="240"/>
        <w:jc w:val="both"/>
      </w:pPr>
      <w:r>
        <w:rPr>
          <w:b/>
          <w:lang w:val="en-US"/>
        </w:rPr>
        <w:t>Observation 2: In Case #7, supporting multiple parent at the IAB node is not possible</w:t>
      </w:r>
    </w:p>
    <w:p w:rsidR="00EE4025" w:rsidRDefault="00DA278A">
      <w:pPr>
        <w:pStyle w:val="Heading1"/>
      </w:pPr>
      <w:r>
        <w:t xml:space="preserve"> References </w:t>
      </w:r>
    </w:p>
    <w:p w:rsidR="00EE4025" w:rsidRPr="0062650F" w:rsidRDefault="0008480D">
      <w:pPr>
        <w:numPr>
          <w:ilvl w:val="0"/>
          <w:numId w:val="1"/>
        </w:numPr>
      </w:pPr>
      <w:r>
        <w:rPr>
          <w:sz w:val="18"/>
          <w:lang w:eastAsia="zh-CN"/>
        </w:rPr>
        <w:t>Chairman notes, RAN1#94 meeting</w:t>
      </w:r>
    </w:p>
    <w:p w:rsidR="0062650F" w:rsidRDefault="0062650F">
      <w:pPr>
        <w:numPr>
          <w:ilvl w:val="0"/>
          <w:numId w:val="1"/>
        </w:numPr>
      </w:pPr>
      <w:r>
        <w:rPr>
          <w:sz w:val="18"/>
          <w:lang w:eastAsia="zh-CN"/>
        </w:rPr>
        <w:t>Chairman notes, RAN1#9</w:t>
      </w:r>
      <w:r>
        <w:rPr>
          <w:sz w:val="18"/>
          <w:lang w:eastAsia="zh-CN"/>
        </w:rPr>
        <w:t>3</w:t>
      </w:r>
      <w:r>
        <w:rPr>
          <w:sz w:val="18"/>
          <w:lang w:eastAsia="zh-CN"/>
        </w:rPr>
        <w:t xml:space="preserve"> meeting</w:t>
      </w:r>
    </w:p>
    <w:p w:rsidR="00EE4025" w:rsidRPr="00BB5474" w:rsidRDefault="002E216A">
      <w:pPr>
        <w:numPr>
          <w:ilvl w:val="0"/>
          <w:numId w:val="1"/>
        </w:numPr>
        <w:rPr>
          <w:sz w:val="18"/>
          <w:lang w:eastAsia="zh-CN"/>
        </w:rPr>
      </w:pPr>
      <w:r w:rsidRPr="00BB5474">
        <w:rPr>
          <w:sz w:val="18"/>
          <w:lang w:eastAsia="zh-CN"/>
        </w:rPr>
        <w:t>R1-1808582</w:t>
      </w:r>
    </w:p>
    <w:sectPr w:rsidR="00EE4025" w:rsidRPr="00BB5474" w:rsidSect="00A9253A">
      <w:footerReference w:type="default" r:id="rId11"/>
      <w:pgSz w:w="11906" w:h="16838"/>
      <w:pgMar w:top="1418" w:right="1134" w:bottom="1134" w:left="1134" w:header="0" w:footer="567" w:gutter="0"/>
      <w:cols w:space="720"/>
      <w:formProt w:val="0"/>
      <w:docGrid w:linePitch="249"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1F8E" w:rsidRDefault="00441F8E">
      <w:pPr>
        <w:spacing w:after="0" w:line="240" w:lineRule="auto"/>
      </w:pPr>
      <w:r>
        <w:separator/>
      </w:r>
    </w:p>
  </w:endnote>
  <w:endnote w:type="continuationSeparator" w:id="0">
    <w:p w:rsidR="00441F8E" w:rsidRDefault="00441F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1"/>
    <w:family w:val="swiss"/>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charset w:val="01"/>
    <w:family w:val="roman"/>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025" w:rsidRDefault="00441F8E">
    <w:pPr>
      <w:pStyle w:val="Footer"/>
    </w:pPr>
    <w:r>
      <w:rPr>
        <w:noProof/>
      </w:rPr>
      <w:pict>
        <v:rect id="MSIPCMa16049bf86828c75c3fe9d45" o:spid="_x0000_s2049" alt="{&quot;HashCode&quot;:-169759003,&quot;Height&quot;:842.0,&quot;Width&quot;:595.0,&quot;Placement&quot;:&quot;Footer&quot;,&quot;Index&quot;:&quot;Primary&quot;,&quot;Section&quot;:1,&quot;Top&quot;:0.0,&quot;Left&quot;:0.0}" style="position:absolute;left:0;text-align:left;margin-left:0;margin-top:807.1pt;width:595.45pt;height:19.95pt;z-index:-251658752;visibility:visible;mso-wrap-distance-bottom:1.15pt;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" filled="f" stroked="f" strokeweight=".18mm">
          <v:textbox inset=",0,,0">
            <w:txbxContent>
              <w:p w:rsidR="00EE4025" w:rsidRDefault="00EE4025">
                <w:pPr>
                  <w:pStyle w:val="FrameContents"/>
                  <w:rPr>
                    <w:color w:val="000000"/>
                  </w:rPr>
                </w:pPr>
              </w:p>
            </w:txbxContent>
          </v:textbox>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1F8E" w:rsidRDefault="00441F8E">
      <w:pPr>
        <w:spacing w:after="0" w:line="240" w:lineRule="auto"/>
      </w:pPr>
      <w:r>
        <w:separator/>
      </w:r>
    </w:p>
  </w:footnote>
  <w:footnote w:type="continuationSeparator" w:id="0">
    <w:p w:rsidR="00441F8E" w:rsidRDefault="00441F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
      <w:lvlJc w:val="left"/>
      <w:pPr>
        <w:tabs>
          <w:tab w:val="num" w:pos="928"/>
        </w:tabs>
        <w:ind w:left="928" w:hanging="360"/>
      </w:pPr>
      <w:rPr>
        <w:rFonts w:ascii="Symbol" w:hAnsi="Symbol" w:cs="OpenSymbol"/>
      </w:rPr>
    </w:lvl>
    <w:lvl w:ilvl="1">
      <w:start w:val="1"/>
      <w:numFmt w:val="bullet"/>
      <w:lvlText w:val="◦"/>
      <w:lvlJc w:val="left"/>
      <w:pPr>
        <w:tabs>
          <w:tab w:val="num" w:pos="1288"/>
        </w:tabs>
        <w:ind w:left="1288" w:hanging="360"/>
      </w:pPr>
      <w:rPr>
        <w:rFonts w:ascii="OpenSymbol" w:hAnsi="OpenSymbol" w:cs="OpenSymbol"/>
      </w:rPr>
    </w:lvl>
    <w:lvl w:ilvl="2">
      <w:start w:val="1"/>
      <w:numFmt w:val="bullet"/>
      <w:lvlText w:val="▪"/>
      <w:lvlJc w:val="left"/>
      <w:pPr>
        <w:tabs>
          <w:tab w:val="num" w:pos="1648"/>
        </w:tabs>
        <w:ind w:left="1648" w:hanging="360"/>
      </w:pPr>
      <w:rPr>
        <w:rFonts w:ascii="OpenSymbol" w:hAnsi="OpenSymbol" w:cs="OpenSymbol"/>
      </w:rPr>
    </w:lvl>
    <w:lvl w:ilvl="3">
      <w:start w:val="1"/>
      <w:numFmt w:val="bullet"/>
      <w:lvlText w:val=""/>
      <w:lvlJc w:val="left"/>
      <w:pPr>
        <w:tabs>
          <w:tab w:val="num" w:pos="2008"/>
        </w:tabs>
        <w:ind w:left="2008" w:hanging="360"/>
      </w:pPr>
      <w:rPr>
        <w:rFonts w:ascii="Symbol" w:hAnsi="Symbol" w:cs="OpenSymbol"/>
      </w:rPr>
    </w:lvl>
    <w:lvl w:ilvl="4">
      <w:start w:val="1"/>
      <w:numFmt w:val="bullet"/>
      <w:lvlText w:val="◦"/>
      <w:lvlJc w:val="left"/>
      <w:pPr>
        <w:tabs>
          <w:tab w:val="num" w:pos="2368"/>
        </w:tabs>
        <w:ind w:left="2368" w:hanging="360"/>
      </w:pPr>
      <w:rPr>
        <w:rFonts w:ascii="OpenSymbol" w:hAnsi="OpenSymbol" w:cs="OpenSymbol"/>
      </w:rPr>
    </w:lvl>
    <w:lvl w:ilvl="5">
      <w:start w:val="1"/>
      <w:numFmt w:val="bullet"/>
      <w:lvlText w:val="▪"/>
      <w:lvlJc w:val="left"/>
      <w:pPr>
        <w:tabs>
          <w:tab w:val="num" w:pos="2728"/>
        </w:tabs>
        <w:ind w:left="2728" w:hanging="360"/>
      </w:pPr>
      <w:rPr>
        <w:rFonts w:ascii="OpenSymbol" w:hAnsi="OpenSymbol" w:cs="OpenSymbol"/>
      </w:rPr>
    </w:lvl>
    <w:lvl w:ilvl="6">
      <w:start w:val="1"/>
      <w:numFmt w:val="bullet"/>
      <w:lvlText w:val=""/>
      <w:lvlJc w:val="left"/>
      <w:pPr>
        <w:tabs>
          <w:tab w:val="num" w:pos="3088"/>
        </w:tabs>
        <w:ind w:left="3088" w:hanging="360"/>
      </w:pPr>
      <w:rPr>
        <w:rFonts w:ascii="Symbol" w:hAnsi="Symbol" w:cs="OpenSymbol"/>
      </w:rPr>
    </w:lvl>
    <w:lvl w:ilvl="7">
      <w:start w:val="1"/>
      <w:numFmt w:val="bullet"/>
      <w:lvlText w:val="◦"/>
      <w:lvlJc w:val="left"/>
      <w:pPr>
        <w:tabs>
          <w:tab w:val="num" w:pos="3448"/>
        </w:tabs>
        <w:ind w:left="3448" w:hanging="360"/>
      </w:pPr>
      <w:rPr>
        <w:rFonts w:ascii="OpenSymbol" w:hAnsi="OpenSymbol" w:cs="OpenSymbol"/>
      </w:rPr>
    </w:lvl>
    <w:lvl w:ilvl="8">
      <w:start w:val="1"/>
      <w:numFmt w:val="bullet"/>
      <w:lvlText w:val="▪"/>
      <w:lvlJc w:val="left"/>
      <w:pPr>
        <w:tabs>
          <w:tab w:val="num" w:pos="3808"/>
        </w:tabs>
        <w:ind w:left="3808" w:hanging="360"/>
      </w:pPr>
      <w:rPr>
        <w:rFonts w:ascii="OpenSymbol" w:hAnsi="OpenSymbol" w:cs="OpenSymbol"/>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szCs w:val="20"/>
        <w:lang w:eastAsia="ko-KR"/>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szCs w:val="20"/>
        <w:lang w:eastAsia="ko-KR"/>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szCs w:val="20"/>
        <w:lang w:eastAsia="ko-KR"/>
      </w:rPr>
    </w:lvl>
  </w:abstractNum>
  <w:abstractNum w:abstractNumId="2"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966CF"/>
    <w:multiLevelType w:val="multilevel"/>
    <w:tmpl w:val="D99A8772"/>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086068B"/>
    <w:multiLevelType w:val="multilevel"/>
    <w:tmpl w:val="70AE6472"/>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04F2E78"/>
    <w:multiLevelType w:val="hybridMultilevel"/>
    <w:tmpl w:val="B6CEB3E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29D1022E"/>
    <w:multiLevelType w:val="multilevel"/>
    <w:tmpl w:val="982C6674"/>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3E7F613F"/>
    <w:multiLevelType w:val="hybridMultilevel"/>
    <w:tmpl w:val="0040E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3A646A"/>
    <w:multiLevelType w:val="hybridMultilevel"/>
    <w:tmpl w:val="1E6EE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75C8F"/>
    <w:multiLevelType w:val="hybridMultilevel"/>
    <w:tmpl w:val="7D6E8A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FE179BC"/>
    <w:multiLevelType w:val="multilevel"/>
    <w:tmpl w:val="DB641A52"/>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6A533F48"/>
    <w:multiLevelType w:val="hybridMultilevel"/>
    <w:tmpl w:val="FAECCC0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6D0C357F"/>
    <w:multiLevelType w:val="multilevel"/>
    <w:tmpl w:val="186E899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F5E2A88"/>
    <w:multiLevelType w:val="hybridMultilevel"/>
    <w:tmpl w:val="D7300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652532"/>
    <w:multiLevelType w:val="multilevel"/>
    <w:tmpl w:val="35320A1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6"/>
  </w:num>
  <w:num w:numId="2">
    <w:abstractNumId w:val="13"/>
  </w:num>
  <w:num w:numId="3">
    <w:abstractNumId w:val="11"/>
  </w:num>
  <w:num w:numId="4">
    <w:abstractNumId w:val="4"/>
  </w:num>
  <w:num w:numId="5">
    <w:abstractNumId w:val="15"/>
  </w:num>
  <w:num w:numId="6">
    <w:abstractNumId w:val="9"/>
  </w:num>
  <w:num w:numId="7">
    <w:abstractNumId w:val="2"/>
  </w:num>
  <w:num w:numId="8">
    <w:abstractNumId w:val="3"/>
  </w:num>
  <w:num w:numId="9">
    <w:abstractNumId w:val="12"/>
  </w:num>
  <w:num w:numId="10">
    <w:abstractNumId w:val="8"/>
  </w:num>
  <w:num w:numId="11">
    <w:abstractNumId w:val="14"/>
  </w:num>
  <w:num w:numId="12">
    <w:abstractNumId w:val="7"/>
  </w:num>
  <w:num w:numId="13">
    <w:abstractNumId w:val="10"/>
  </w:num>
  <w:num w:numId="14">
    <w:abstractNumId w:val="5"/>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E4025"/>
    <w:rsid w:val="0000297E"/>
    <w:rsid w:val="00004C43"/>
    <w:rsid w:val="00024B75"/>
    <w:rsid w:val="00047592"/>
    <w:rsid w:val="00051604"/>
    <w:rsid w:val="0005359B"/>
    <w:rsid w:val="000552ED"/>
    <w:rsid w:val="000658DA"/>
    <w:rsid w:val="00072995"/>
    <w:rsid w:val="0008480D"/>
    <w:rsid w:val="00093AC9"/>
    <w:rsid w:val="0009539C"/>
    <w:rsid w:val="000977A1"/>
    <w:rsid w:val="000B0416"/>
    <w:rsid w:val="000E15E5"/>
    <w:rsid w:val="000F000E"/>
    <w:rsid w:val="000F685F"/>
    <w:rsid w:val="00111848"/>
    <w:rsid w:val="00136EF3"/>
    <w:rsid w:val="00147876"/>
    <w:rsid w:val="00154C8D"/>
    <w:rsid w:val="00155981"/>
    <w:rsid w:val="00161D74"/>
    <w:rsid w:val="00164E75"/>
    <w:rsid w:val="00180406"/>
    <w:rsid w:val="001827EB"/>
    <w:rsid w:val="00184FFB"/>
    <w:rsid w:val="00192579"/>
    <w:rsid w:val="001A3A98"/>
    <w:rsid w:val="001C6320"/>
    <w:rsid w:val="001D4FBB"/>
    <w:rsid w:val="001E1EA9"/>
    <w:rsid w:val="001F0703"/>
    <w:rsid w:val="001F2D2F"/>
    <w:rsid w:val="00204CF8"/>
    <w:rsid w:val="0020594D"/>
    <w:rsid w:val="00220544"/>
    <w:rsid w:val="0023042C"/>
    <w:rsid w:val="002341DF"/>
    <w:rsid w:val="0023447A"/>
    <w:rsid w:val="0023709A"/>
    <w:rsid w:val="00240B91"/>
    <w:rsid w:val="0024144C"/>
    <w:rsid w:val="00247978"/>
    <w:rsid w:val="00251A88"/>
    <w:rsid w:val="00263C84"/>
    <w:rsid w:val="0026788A"/>
    <w:rsid w:val="002735B9"/>
    <w:rsid w:val="00290EB3"/>
    <w:rsid w:val="00295238"/>
    <w:rsid w:val="002A20BB"/>
    <w:rsid w:val="002A78AE"/>
    <w:rsid w:val="002C2F47"/>
    <w:rsid w:val="002C3C5D"/>
    <w:rsid w:val="002D64F2"/>
    <w:rsid w:val="002E216A"/>
    <w:rsid w:val="002E26D9"/>
    <w:rsid w:val="002F74B5"/>
    <w:rsid w:val="003062FE"/>
    <w:rsid w:val="00306C8E"/>
    <w:rsid w:val="00311B58"/>
    <w:rsid w:val="00313F68"/>
    <w:rsid w:val="003145D8"/>
    <w:rsid w:val="00324A6F"/>
    <w:rsid w:val="0033746B"/>
    <w:rsid w:val="00337863"/>
    <w:rsid w:val="00337EE1"/>
    <w:rsid w:val="003435BB"/>
    <w:rsid w:val="00345BCA"/>
    <w:rsid w:val="0034754A"/>
    <w:rsid w:val="00354F95"/>
    <w:rsid w:val="003553E4"/>
    <w:rsid w:val="003577CC"/>
    <w:rsid w:val="003767CA"/>
    <w:rsid w:val="00377FB8"/>
    <w:rsid w:val="003854D0"/>
    <w:rsid w:val="003A2985"/>
    <w:rsid w:val="003A4266"/>
    <w:rsid w:val="003A6DBD"/>
    <w:rsid w:val="003C48C2"/>
    <w:rsid w:val="003C4CB2"/>
    <w:rsid w:val="003E27A0"/>
    <w:rsid w:val="003E3B03"/>
    <w:rsid w:val="00411545"/>
    <w:rsid w:val="00414D24"/>
    <w:rsid w:val="00431C26"/>
    <w:rsid w:val="00437A44"/>
    <w:rsid w:val="00441F8E"/>
    <w:rsid w:val="00442C04"/>
    <w:rsid w:val="0045173C"/>
    <w:rsid w:val="00457955"/>
    <w:rsid w:val="004649E9"/>
    <w:rsid w:val="00477686"/>
    <w:rsid w:val="00480AAD"/>
    <w:rsid w:val="004821AE"/>
    <w:rsid w:val="004903A0"/>
    <w:rsid w:val="004909EC"/>
    <w:rsid w:val="004A266D"/>
    <w:rsid w:val="004B60C1"/>
    <w:rsid w:val="004C5B32"/>
    <w:rsid w:val="004D01F5"/>
    <w:rsid w:val="004E33C3"/>
    <w:rsid w:val="004E4082"/>
    <w:rsid w:val="005006ED"/>
    <w:rsid w:val="005024C3"/>
    <w:rsid w:val="00511789"/>
    <w:rsid w:val="00513165"/>
    <w:rsid w:val="00541945"/>
    <w:rsid w:val="005421A8"/>
    <w:rsid w:val="005525BB"/>
    <w:rsid w:val="005566B0"/>
    <w:rsid w:val="005574CF"/>
    <w:rsid w:val="00562557"/>
    <w:rsid w:val="005761A3"/>
    <w:rsid w:val="005775B4"/>
    <w:rsid w:val="005824A6"/>
    <w:rsid w:val="00583F0D"/>
    <w:rsid w:val="00584B8E"/>
    <w:rsid w:val="005C72EA"/>
    <w:rsid w:val="005D03A3"/>
    <w:rsid w:val="005E44F3"/>
    <w:rsid w:val="005E4D56"/>
    <w:rsid w:val="005F7857"/>
    <w:rsid w:val="00600C22"/>
    <w:rsid w:val="00604E75"/>
    <w:rsid w:val="006069EF"/>
    <w:rsid w:val="00621198"/>
    <w:rsid w:val="006234EE"/>
    <w:rsid w:val="0062650F"/>
    <w:rsid w:val="006400B5"/>
    <w:rsid w:val="00644679"/>
    <w:rsid w:val="00644FA4"/>
    <w:rsid w:val="00650A3A"/>
    <w:rsid w:val="006661BE"/>
    <w:rsid w:val="0068308B"/>
    <w:rsid w:val="006A1D67"/>
    <w:rsid w:val="006B276F"/>
    <w:rsid w:val="006C7282"/>
    <w:rsid w:val="006E5DF0"/>
    <w:rsid w:val="006F3E68"/>
    <w:rsid w:val="00717692"/>
    <w:rsid w:val="0072759E"/>
    <w:rsid w:val="00740BBF"/>
    <w:rsid w:val="00750402"/>
    <w:rsid w:val="007543AF"/>
    <w:rsid w:val="007975F4"/>
    <w:rsid w:val="007A072E"/>
    <w:rsid w:val="007A07C5"/>
    <w:rsid w:val="007C2774"/>
    <w:rsid w:val="007C61C9"/>
    <w:rsid w:val="007D7035"/>
    <w:rsid w:val="007D7B60"/>
    <w:rsid w:val="007F0EA1"/>
    <w:rsid w:val="007F43A5"/>
    <w:rsid w:val="00807C45"/>
    <w:rsid w:val="008142E3"/>
    <w:rsid w:val="00814E2A"/>
    <w:rsid w:val="00820970"/>
    <w:rsid w:val="008408C7"/>
    <w:rsid w:val="00844F0F"/>
    <w:rsid w:val="008477C0"/>
    <w:rsid w:val="00851D1B"/>
    <w:rsid w:val="008574EE"/>
    <w:rsid w:val="00870BED"/>
    <w:rsid w:val="0087275D"/>
    <w:rsid w:val="00884848"/>
    <w:rsid w:val="008924F6"/>
    <w:rsid w:val="008A0B83"/>
    <w:rsid w:val="008A0E81"/>
    <w:rsid w:val="008A3F63"/>
    <w:rsid w:val="008A74C2"/>
    <w:rsid w:val="008B041E"/>
    <w:rsid w:val="008D7ECE"/>
    <w:rsid w:val="008F5CCE"/>
    <w:rsid w:val="00913492"/>
    <w:rsid w:val="0093036C"/>
    <w:rsid w:val="00932F81"/>
    <w:rsid w:val="00946D3C"/>
    <w:rsid w:val="00955CEA"/>
    <w:rsid w:val="00957D94"/>
    <w:rsid w:val="00963632"/>
    <w:rsid w:val="00972B24"/>
    <w:rsid w:val="00976FC5"/>
    <w:rsid w:val="009939F9"/>
    <w:rsid w:val="009A3C46"/>
    <w:rsid w:val="009A5E45"/>
    <w:rsid w:val="009C2486"/>
    <w:rsid w:val="009C65DF"/>
    <w:rsid w:val="009E0B80"/>
    <w:rsid w:val="009E77D7"/>
    <w:rsid w:val="00A01050"/>
    <w:rsid w:val="00A17BA3"/>
    <w:rsid w:val="00A2611F"/>
    <w:rsid w:val="00A37A4D"/>
    <w:rsid w:val="00A41BAA"/>
    <w:rsid w:val="00A51943"/>
    <w:rsid w:val="00A52D11"/>
    <w:rsid w:val="00A53686"/>
    <w:rsid w:val="00A551AD"/>
    <w:rsid w:val="00A578C8"/>
    <w:rsid w:val="00A66966"/>
    <w:rsid w:val="00A735CE"/>
    <w:rsid w:val="00A85924"/>
    <w:rsid w:val="00A860E9"/>
    <w:rsid w:val="00A9253A"/>
    <w:rsid w:val="00AA1F53"/>
    <w:rsid w:val="00AC5D2D"/>
    <w:rsid w:val="00AC6EC8"/>
    <w:rsid w:val="00AD6BB2"/>
    <w:rsid w:val="00AF5999"/>
    <w:rsid w:val="00B222C5"/>
    <w:rsid w:val="00B22360"/>
    <w:rsid w:val="00B25D53"/>
    <w:rsid w:val="00B308A0"/>
    <w:rsid w:val="00B342EE"/>
    <w:rsid w:val="00B37F22"/>
    <w:rsid w:val="00B6001D"/>
    <w:rsid w:val="00B641D5"/>
    <w:rsid w:val="00B8209C"/>
    <w:rsid w:val="00B8413D"/>
    <w:rsid w:val="00B91F34"/>
    <w:rsid w:val="00BA6E34"/>
    <w:rsid w:val="00BB5474"/>
    <w:rsid w:val="00BB6DD2"/>
    <w:rsid w:val="00BC1439"/>
    <w:rsid w:val="00BD5A83"/>
    <w:rsid w:val="00BE294E"/>
    <w:rsid w:val="00BF6F41"/>
    <w:rsid w:val="00C134B6"/>
    <w:rsid w:val="00C2654C"/>
    <w:rsid w:val="00C273AA"/>
    <w:rsid w:val="00C3430A"/>
    <w:rsid w:val="00C426DE"/>
    <w:rsid w:val="00C42C6B"/>
    <w:rsid w:val="00C4369B"/>
    <w:rsid w:val="00C45209"/>
    <w:rsid w:val="00C50B02"/>
    <w:rsid w:val="00C51F70"/>
    <w:rsid w:val="00C53E7D"/>
    <w:rsid w:val="00C64577"/>
    <w:rsid w:val="00C65214"/>
    <w:rsid w:val="00C70424"/>
    <w:rsid w:val="00C8250C"/>
    <w:rsid w:val="00C9766C"/>
    <w:rsid w:val="00CA6D9B"/>
    <w:rsid w:val="00CB092D"/>
    <w:rsid w:val="00CC11DF"/>
    <w:rsid w:val="00CE0C21"/>
    <w:rsid w:val="00CF6678"/>
    <w:rsid w:val="00D00B23"/>
    <w:rsid w:val="00D0518D"/>
    <w:rsid w:val="00D1172F"/>
    <w:rsid w:val="00D11C6B"/>
    <w:rsid w:val="00D36555"/>
    <w:rsid w:val="00D441D0"/>
    <w:rsid w:val="00D70DA9"/>
    <w:rsid w:val="00D734AC"/>
    <w:rsid w:val="00D9198B"/>
    <w:rsid w:val="00D97BCC"/>
    <w:rsid w:val="00DA278A"/>
    <w:rsid w:val="00DA5EF7"/>
    <w:rsid w:val="00DB7571"/>
    <w:rsid w:val="00DC061D"/>
    <w:rsid w:val="00DC150E"/>
    <w:rsid w:val="00DC5645"/>
    <w:rsid w:val="00DD0FC3"/>
    <w:rsid w:val="00DD4C3E"/>
    <w:rsid w:val="00DE2C82"/>
    <w:rsid w:val="00DE57A0"/>
    <w:rsid w:val="00DF049E"/>
    <w:rsid w:val="00DF6E36"/>
    <w:rsid w:val="00E30D86"/>
    <w:rsid w:val="00E37CFD"/>
    <w:rsid w:val="00E55D21"/>
    <w:rsid w:val="00E6088B"/>
    <w:rsid w:val="00E60CE0"/>
    <w:rsid w:val="00E6308B"/>
    <w:rsid w:val="00E65746"/>
    <w:rsid w:val="00E817A9"/>
    <w:rsid w:val="00E9246E"/>
    <w:rsid w:val="00E97BF7"/>
    <w:rsid w:val="00EA1D9A"/>
    <w:rsid w:val="00EA5000"/>
    <w:rsid w:val="00EB552F"/>
    <w:rsid w:val="00ED2327"/>
    <w:rsid w:val="00EE4025"/>
    <w:rsid w:val="00EF431D"/>
    <w:rsid w:val="00EF4F21"/>
    <w:rsid w:val="00EF5C8F"/>
    <w:rsid w:val="00F133D8"/>
    <w:rsid w:val="00F23F65"/>
    <w:rsid w:val="00F24641"/>
    <w:rsid w:val="00F30DE2"/>
    <w:rsid w:val="00F32531"/>
    <w:rsid w:val="00F47193"/>
    <w:rsid w:val="00F53AC3"/>
    <w:rsid w:val="00F562DF"/>
    <w:rsid w:val="00F609ED"/>
    <w:rsid w:val="00F824D3"/>
    <w:rsid w:val="00F87093"/>
    <w:rsid w:val="00FA3722"/>
    <w:rsid w:val="00FB3A93"/>
    <w:rsid w:val="00FC11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8DB29A"/>
  <w15:docId w15:val="{A63D95F5-25A5-455B-80A0-2105C10C9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253A"/>
    <w:pPr>
      <w:overflowPunct w:val="0"/>
      <w:spacing w:after="180" w:line="276" w:lineRule="auto"/>
      <w:textAlignment w:val="baseline"/>
    </w:pPr>
    <w:rPr>
      <w:rFonts w:ascii="Times New Roman" w:hAnsi="Times New Roman"/>
      <w:color w:val="00000A"/>
      <w:lang w:val="en-GB"/>
    </w:rPr>
  </w:style>
  <w:style w:type="paragraph" w:styleId="Heading1">
    <w:name w:val="heading 1"/>
    <w:basedOn w:val="Heading"/>
    <w:next w:val="Normal"/>
    <w:uiPriority w:val="9"/>
    <w:qFormat/>
    <w:rsid w:val="00A9253A"/>
    <w:pPr>
      <w:keepLines/>
      <w:pBdr>
        <w:top w:val="single" w:sz="12" w:space="3" w:color="00000A"/>
      </w:pBdr>
      <w:spacing w:after="180"/>
      <w:ind w:left="1134" w:hanging="1134"/>
      <w:outlineLvl w:val="0"/>
    </w:pPr>
    <w:rPr>
      <w:rFonts w:ascii="Arial" w:hAnsi="Arial"/>
      <w:sz w:val="36"/>
    </w:rPr>
  </w:style>
  <w:style w:type="paragraph" w:styleId="Heading2">
    <w:name w:val="heading 2"/>
    <w:basedOn w:val="Heading1"/>
    <w:next w:val="Normal"/>
    <w:uiPriority w:val="9"/>
    <w:unhideWhenUsed/>
    <w:qFormat/>
    <w:rsid w:val="00A9253A"/>
    <w:pPr>
      <w:spacing w:before="180"/>
      <w:outlineLvl w:val="1"/>
    </w:pPr>
    <w:rPr>
      <w:sz w:val="32"/>
    </w:rPr>
  </w:style>
  <w:style w:type="paragraph" w:styleId="Heading3">
    <w:name w:val="heading 3"/>
    <w:basedOn w:val="Heading2"/>
    <w:next w:val="Normal"/>
    <w:uiPriority w:val="9"/>
    <w:semiHidden/>
    <w:unhideWhenUsed/>
    <w:qFormat/>
    <w:rsid w:val="00A9253A"/>
    <w:pPr>
      <w:spacing w:before="120"/>
      <w:outlineLvl w:val="2"/>
    </w:pPr>
    <w:rPr>
      <w:sz w:val="28"/>
    </w:rPr>
  </w:style>
  <w:style w:type="paragraph" w:styleId="Heading4">
    <w:name w:val="heading 4"/>
    <w:basedOn w:val="Heading3"/>
    <w:next w:val="Normal"/>
    <w:uiPriority w:val="9"/>
    <w:semiHidden/>
    <w:unhideWhenUsed/>
    <w:qFormat/>
    <w:rsid w:val="00A9253A"/>
    <w:pPr>
      <w:ind w:left="1418" w:hanging="1418"/>
      <w:outlineLvl w:val="3"/>
    </w:pPr>
    <w:rPr>
      <w:sz w:val="24"/>
    </w:rPr>
  </w:style>
  <w:style w:type="paragraph" w:styleId="Heading5">
    <w:name w:val="heading 5"/>
    <w:basedOn w:val="Heading4"/>
    <w:next w:val="Normal"/>
    <w:uiPriority w:val="9"/>
    <w:semiHidden/>
    <w:unhideWhenUsed/>
    <w:qFormat/>
    <w:rsid w:val="00A9253A"/>
    <w:pPr>
      <w:ind w:left="1701" w:hanging="1701"/>
      <w:outlineLvl w:val="4"/>
    </w:pPr>
    <w:rPr>
      <w:sz w:val="22"/>
    </w:rPr>
  </w:style>
  <w:style w:type="paragraph" w:styleId="Heading6">
    <w:name w:val="heading 6"/>
    <w:basedOn w:val="Heading"/>
    <w:next w:val="Normal"/>
    <w:uiPriority w:val="9"/>
    <w:semiHidden/>
    <w:unhideWhenUsed/>
    <w:qFormat/>
    <w:rsid w:val="00A9253A"/>
    <w:pPr>
      <w:widowControl w:val="0"/>
      <w:spacing w:before="0" w:after="200"/>
      <w:outlineLvl w:val="5"/>
    </w:pPr>
    <w:rPr>
      <w:rFonts w:ascii="CG Times (WN)" w:eastAsia="SimSun" w:hAnsi="CG Times (WN)" w:cs="Times New Roman"/>
      <w:sz w:val="20"/>
      <w:szCs w:val="20"/>
      <w:lang w:val="en-US"/>
    </w:rPr>
  </w:style>
  <w:style w:type="paragraph" w:styleId="Heading7">
    <w:name w:val="heading 7"/>
    <w:basedOn w:val="Heading"/>
    <w:next w:val="Normal"/>
    <w:qFormat/>
    <w:rsid w:val="00A9253A"/>
    <w:pPr>
      <w:widowControl w:val="0"/>
      <w:spacing w:before="0" w:after="200"/>
      <w:outlineLvl w:val="6"/>
    </w:pPr>
    <w:rPr>
      <w:rFonts w:ascii="CG Times (WN)" w:eastAsia="SimSun" w:hAnsi="CG Times (WN)" w:cs="Times New Roman"/>
      <w:sz w:val="20"/>
      <w:szCs w:val="20"/>
      <w:lang w:val="en-US"/>
    </w:rPr>
  </w:style>
  <w:style w:type="paragraph" w:styleId="Heading8">
    <w:name w:val="heading 8"/>
    <w:basedOn w:val="Heading1"/>
    <w:next w:val="Normal"/>
    <w:qFormat/>
    <w:rsid w:val="00A9253A"/>
    <w:pPr>
      <w:ind w:left="0" w:firstLine="0"/>
      <w:outlineLvl w:val="7"/>
    </w:pPr>
  </w:style>
  <w:style w:type="paragraph" w:styleId="Heading9">
    <w:name w:val="heading 9"/>
    <w:basedOn w:val="Heading8"/>
    <w:next w:val="Normal"/>
    <w:qFormat/>
    <w:rsid w:val="00A92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sid w:val="00A9253A"/>
    <w:rPr>
      <w:b/>
      <w:sz w:val="16"/>
    </w:rPr>
  </w:style>
  <w:style w:type="character" w:customStyle="1" w:styleId="ZGSM">
    <w:name w:val="ZGSM"/>
    <w:qFormat/>
    <w:rsid w:val="00A9253A"/>
  </w:style>
  <w:style w:type="character" w:styleId="CommentReference">
    <w:name w:val="annotation reference"/>
    <w:qFormat/>
    <w:rsid w:val="00A9253A"/>
    <w:rPr>
      <w:sz w:val="16"/>
    </w:rPr>
  </w:style>
  <w:style w:type="character" w:customStyle="1" w:styleId="InternetLink">
    <w:name w:val="Internet Link"/>
    <w:rsid w:val="00A9253A"/>
    <w:rPr>
      <w:color w:val="0000FF"/>
      <w:u w:val="single"/>
    </w:rPr>
  </w:style>
  <w:style w:type="character" w:customStyle="1" w:styleId="CaptionChar1">
    <w:name w:val="Caption Char1"/>
    <w:qFormat/>
    <w:rsid w:val="00A9253A"/>
    <w:rPr>
      <w:rFonts w:ascii="Times New Roman" w:hAnsi="Times New Roman"/>
      <w:b/>
    </w:rPr>
  </w:style>
  <w:style w:type="character" w:customStyle="1" w:styleId="Doc-text2Char">
    <w:name w:val="Doc-text2 Char"/>
    <w:qFormat/>
    <w:rsid w:val="00A9253A"/>
    <w:rPr>
      <w:rFonts w:ascii="Arial" w:eastAsia="MS Mincho" w:hAnsi="Arial"/>
      <w:szCs w:val="24"/>
      <w:lang w:eastAsia="en-GB"/>
    </w:rPr>
  </w:style>
  <w:style w:type="character" w:customStyle="1" w:styleId="FootnoteTextChar">
    <w:name w:val="Footnote Text Char"/>
    <w:qFormat/>
    <w:rsid w:val="00A9253A"/>
    <w:rPr>
      <w:rFonts w:ascii="Times New Roman" w:hAnsi="Times New Roman"/>
      <w:sz w:val="16"/>
      <w:lang w:val="en-GB"/>
    </w:rPr>
  </w:style>
  <w:style w:type="character" w:customStyle="1" w:styleId="BodyTextChar">
    <w:name w:val="Body Text Char"/>
    <w:qFormat/>
    <w:rsid w:val="00A9253A"/>
    <w:rPr>
      <w:rFonts w:ascii="Times New Roman" w:hAnsi="Times New Roman"/>
      <w:lang w:val="en-GB"/>
    </w:rPr>
  </w:style>
  <w:style w:type="character" w:customStyle="1" w:styleId="CommentTextChar">
    <w:name w:val="Comment Text Char"/>
    <w:qFormat/>
    <w:rsid w:val="00A9253A"/>
    <w:rPr>
      <w:rFonts w:ascii="Times New Roman" w:eastAsia="MS Mincho" w:hAnsi="Times New Roman"/>
      <w:lang w:val="en-GB"/>
    </w:rPr>
  </w:style>
  <w:style w:type="character" w:styleId="FollowedHyperlink">
    <w:name w:val="FollowedHyperlink"/>
    <w:qFormat/>
    <w:rsid w:val="00A9253A"/>
    <w:rPr>
      <w:color w:val="800080"/>
      <w:u w:val="single"/>
    </w:rPr>
  </w:style>
  <w:style w:type="character" w:customStyle="1" w:styleId="B1Char">
    <w:name w:val="B1 Char"/>
    <w:qFormat/>
    <w:rsid w:val="00A9253A"/>
    <w:rPr>
      <w:rFonts w:ascii="Times New Roman" w:hAnsi="Times New Roman"/>
      <w:lang w:val="en-GB"/>
    </w:rPr>
  </w:style>
  <w:style w:type="character" w:customStyle="1" w:styleId="ListParagraphChar">
    <w:name w:val="List Paragraph Char"/>
    <w:qFormat/>
    <w:rsid w:val="00A9253A"/>
    <w:rPr>
      <w:rFonts w:ascii="Times New Roman" w:hAnsi="Times New Roman"/>
      <w:sz w:val="24"/>
      <w:szCs w:val="24"/>
      <w:lang w:val="fi-FI" w:eastAsia="zh-CN"/>
    </w:rPr>
  </w:style>
  <w:style w:type="character" w:styleId="PlaceholderText">
    <w:name w:val="Placeholder Text"/>
    <w:basedOn w:val="DefaultParagraphFont"/>
    <w:qFormat/>
    <w:rsid w:val="00A9253A"/>
    <w:rPr>
      <w:color w:val="808080"/>
    </w:rPr>
  </w:style>
  <w:style w:type="character" w:customStyle="1" w:styleId="HeaderChar">
    <w:name w:val="Header Char"/>
    <w:basedOn w:val="DefaultParagraphFont"/>
    <w:qFormat/>
    <w:rsid w:val="00A9253A"/>
    <w:rPr>
      <w:rFonts w:ascii="Arial" w:hAnsi="Arial"/>
      <w:b/>
      <w:sz w:val="18"/>
    </w:rPr>
  </w:style>
  <w:style w:type="character" w:customStyle="1" w:styleId="TACChar">
    <w:name w:val="TAC Char"/>
    <w:qFormat/>
    <w:rsid w:val="00A9253A"/>
    <w:rPr>
      <w:rFonts w:ascii="Arial" w:hAnsi="Arial"/>
      <w:sz w:val="18"/>
      <w:lang w:val="en-GB"/>
    </w:rPr>
  </w:style>
  <w:style w:type="character" w:customStyle="1" w:styleId="TAHCar">
    <w:name w:val="TAH Car"/>
    <w:qFormat/>
    <w:rsid w:val="00A9253A"/>
    <w:rPr>
      <w:rFonts w:ascii="Arial" w:hAnsi="Arial"/>
      <w:b/>
      <w:sz w:val="18"/>
      <w:lang w:val="en-GB"/>
    </w:rPr>
  </w:style>
  <w:style w:type="character" w:customStyle="1" w:styleId="ListLabel1">
    <w:name w:val="ListLabel 1"/>
    <w:qFormat/>
    <w:rsid w:val="00A9253A"/>
    <w:rPr>
      <w:rFonts w:cs="Courier New"/>
    </w:rPr>
  </w:style>
  <w:style w:type="character" w:customStyle="1" w:styleId="ListLabel2">
    <w:name w:val="ListLabel 2"/>
    <w:qFormat/>
    <w:rsid w:val="00A9253A"/>
    <w:rPr>
      <w:rFonts w:eastAsia="Malgun Gothic" w:cs="Times New Roman"/>
    </w:rPr>
  </w:style>
  <w:style w:type="character" w:customStyle="1" w:styleId="ListLabel3">
    <w:name w:val="ListLabel 3"/>
    <w:qFormat/>
    <w:rsid w:val="00A9253A"/>
    <w:rPr>
      <w:rFonts w:cs="Courier New"/>
    </w:rPr>
  </w:style>
  <w:style w:type="character" w:customStyle="1" w:styleId="ListLabel4">
    <w:name w:val="ListLabel 4"/>
    <w:qFormat/>
    <w:rsid w:val="00A9253A"/>
    <w:rPr>
      <w:rFonts w:cs="Courier New"/>
    </w:rPr>
  </w:style>
  <w:style w:type="character" w:customStyle="1" w:styleId="ListLabel5">
    <w:name w:val="ListLabel 5"/>
    <w:qFormat/>
    <w:rsid w:val="00A9253A"/>
    <w:rPr>
      <w:rFonts w:cs="Courier New"/>
    </w:rPr>
  </w:style>
  <w:style w:type="character" w:customStyle="1" w:styleId="ListLabel6">
    <w:name w:val="ListLabel 6"/>
    <w:qFormat/>
    <w:rsid w:val="00A9253A"/>
    <w:rPr>
      <w:rFonts w:cs="Courier New"/>
    </w:rPr>
  </w:style>
  <w:style w:type="character" w:customStyle="1" w:styleId="ListLabel7">
    <w:name w:val="ListLabel 7"/>
    <w:qFormat/>
    <w:rsid w:val="00A9253A"/>
    <w:rPr>
      <w:rFonts w:cs="Courier New"/>
    </w:rPr>
  </w:style>
  <w:style w:type="character" w:customStyle="1" w:styleId="ListLabel8">
    <w:name w:val="ListLabel 8"/>
    <w:qFormat/>
    <w:rsid w:val="00A9253A"/>
    <w:rPr>
      <w:rFonts w:cs="Times New Roman"/>
      <w:b w:val="0"/>
      <w:bCs w:val="0"/>
      <w:i w:val="0"/>
      <w:iCs w:val="0"/>
      <w:sz w:val="16"/>
      <w:szCs w:val="16"/>
    </w:rPr>
  </w:style>
  <w:style w:type="character" w:customStyle="1" w:styleId="ListLabel9">
    <w:name w:val="ListLabel 9"/>
    <w:qFormat/>
    <w:rsid w:val="00A9253A"/>
    <w:rPr>
      <w:rFonts w:cs="Courier New"/>
    </w:rPr>
  </w:style>
  <w:style w:type="character" w:customStyle="1" w:styleId="ListLabel10">
    <w:name w:val="ListLabel 10"/>
    <w:qFormat/>
    <w:rsid w:val="00A9253A"/>
    <w:rPr>
      <w:rFonts w:cs="Courier New"/>
    </w:rPr>
  </w:style>
  <w:style w:type="character" w:customStyle="1" w:styleId="ListLabel11">
    <w:name w:val="ListLabel 11"/>
    <w:qFormat/>
    <w:rsid w:val="00A9253A"/>
    <w:rPr>
      <w:rFonts w:cs="Courier New"/>
    </w:rPr>
  </w:style>
  <w:style w:type="character" w:customStyle="1" w:styleId="ListLabel12">
    <w:name w:val="ListLabel 12"/>
    <w:qFormat/>
    <w:rsid w:val="00A9253A"/>
    <w:rPr>
      <w:rFonts w:cs="Courier New"/>
    </w:rPr>
  </w:style>
  <w:style w:type="character" w:customStyle="1" w:styleId="ListLabel13">
    <w:name w:val="ListLabel 13"/>
    <w:qFormat/>
    <w:rsid w:val="00A9253A"/>
    <w:rPr>
      <w:rFonts w:cs="Courier New"/>
    </w:rPr>
  </w:style>
  <w:style w:type="character" w:customStyle="1" w:styleId="ListLabel14">
    <w:name w:val="ListLabel 14"/>
    <w:qFormat/>
    <w:rsid w:val="00A9253A"/>
    <w:rPr>
      <w:rFonts w:cs="Courier New"/>
    </w:rPr>
  </w:style>
  <w:style w:type="character" w:customStyle="1" w:styleId="ListLabel15">
    <w:name w:val="ListLabel 15"/>
    <w:qFormat/>
    <w:rsid w:val="00A9253A"/>
    <w:rPr>
      <w:rFonts w:cs="Courier New"/>
    </w:rPr>
  </w:style>
  <w:style w:type="character" w:customStyle="1" w:styleId="ListLabel16">
    <w:name w:val="ListLabel 16"/>
    <w:qFormat/>
    <w:rsid w:val="00A9253A"/>
    <w:rPr>
      <w:rFonts w:cs="Courier New"/>
    </w:rPr>
  </w:style>
  <w:style w:type="character" w:customStyle="1" w:styleId="ListLabel17">
    <w:name w:val="ListLabel 17"/>
    <w:qFormat/>
    <w:rsid w:val="00A9253A"/>
    <w:rPr>
      <w:rFonts w:cs="Courier New"/>
    </w:rPr>
  </w:style>
  <w:style w:type="character" w:customStyle="1" w:styleId="ListLabel18">
    <w:name w:val="ListLabel 18"/>
    <w:qFormat/>
    <w:rsid w:val="00A9253A"/>
    <w:rPr>
      <w:rFonts w:cs="Courier New"/>
    </w:rPr>
  </w:style>
  <w:style w:type="character" w:customStyle="1" w:styleId="ListLabel19">
    <w:name w:val="ListLabel 19"/>
    <w:qFormat/>
    <w:rsid w:val="00A9253A"/>
    <w:rPr>
      <w:rFonts w:cs="Courier New"/>
    </w:rPr>
  </w:style>
  <w:style w:type="character" w:customStyle="1" w:styleId="ListLabel20">
    <w:name w:val="ListLabel 20"/>
    <w:qFormat/>
    <w:rsid w:val="00A9253A"/>
    <w:rPr>
      <w:rFonts w:cs="Courier New"/>
    </w:rPr>
  </w:style>
  <w:style w:type="character" w:customStyle="1" w:styleId="ListLabel21">
    <w:name w:val="ListLabel 21"/>
    <w:qFormat/>
    <w:rsid w:val="00A9253A"/>
    <w:rPr>
      <w:rFonts w:cs="Courier New"/>
    </w:rPr>
  </w:style>
  <w:style w:type="character" w:customStyle="1" w:styleId="ListLabel22">
    <w:name w:val="ListLabel 22"/>
    <w:qFormat/>
    <w:rsid w:val="00A9253A"/>
    <w:rPr>
      <w:rFonts w:cs="Courier New"/>
    </w:rPr>
  </w:style>
  <w:style w:type="character" w:customStyle="1" w:styleId="ListLabel23">
    <w:name w:val="ListLabel 23"/>
    <w:qFormat/>
    <w:rsid w:val="00A9253A"/>
    <w:rPr>
      <w:rFonts w:cs="Courier New"/>
    </w:rPr>
  </w:style>
  <w:style w:type="character" w:customStyle="1" w:styleId="ListLabel24">
    <w:name w:val="ListLabel 24"/>
    <w:qFormat/>
    <w:rsid w:val="00A9253A"/>
    <w:rPr>
      <w:rFonts w:cs="Courier New"/>
    </w:rPr>
  </w:style>
  <w:style w:type="character" w:customStyle="1" w:styleId="ListLabel25">
    <w:name w:val="ListLabel 25"/>
    <w:qFormat/>
    <w:rsid w:val="00A9253A"/>
    <w:rPr>
      <w:rFonts w:cs="Courier New"/>
    </w:rPr>
  </w:style>
  <w:style w:type="character" w:customStyle="1" w:styleId="ListLabel26">
    <w:name w:val="ListLabel 26"/>
    <w:qFormat/>
    <w:rsid w:val="00A9253A"/>
    <w:rPr>
      <w:rFonts w:cs="Courier New"/>
    </w:rPr>
  </w:style>
  <w:style w:type="character" w:customStyle="1" w:styleId="ListLabel27">
    <w:name w:val="ListLabel 27"/>
    <w:qFormat/>
    <w:rsid w:val="00A9253A"/>
    <w:rPr>
      <w:rFonts w:cs="Courier New"/>
    </w:rPr>
  </w:style>
  <w:style w:type="character" w:customStyle="1" w:styleId="ListLabel28">
    <w:name w:val="ListLabel 28"/>
    <w:qFormat/>
    <w:rsid w:val="00A9253A"/>
    <w:rPr>
      <w:rFonts w:cs="Courier New"/>
    </w:rPr>
  </w:style>
  <w:style w:type="character" w:customStyle="1" w:styleId="ListLabel29">
    <w:name w:val="ListLabel 29"/>
    <w:qFormat/>
    <w:rsid w:val="00A9253A"/>
    <w:rPr>
      <w:rFonts w:cs="Courier New"/>
    </w:rPr>
  </w:style>
  <w:style w:type="character" w:customStyle="1" w:styleId="ListLabel30">
    <w:name w:val="ListLabel 30"/>
    <w:qFormat/>
    <w:rsid w:val="00A9253A"/>
    <w:rPr>
      <w:rFonts w:cs="Courier New"/>
    </w:rPr>
  </w:style>
  <w:style w:type="character" w:customStyle="1" w:styleId="ListLabel31">
    <w:name w:val="ListLabel 31"/>
    <w:qFormat/>
    <w:rsid w:val="00A9253A"/>
    <w:rPr>
      <w:rFonts w:cs="Courier New"/>
    </w:rPr>
  </w:style>
  <w:style w:type="character" w:customStyle="1" w:styleId="ListLabel32">
    <w:name w:val="ListLabel 32"/>
    <w:qFormat/>
    <w:rsid w:val="00A9253A"/>
    <w:rPr>
      <w:rFonts w:cs="Courier New"/>
    </w:rPr>
  </w:style>
  <w:style w:type="character" w:customStyle="1" w:styleId="ListLabel33">
    <w:name w:val="ListLabel 33"/>
    <w:qFormat/>
    <w:rsid w:val="00A9253A"/>
    <w:rPr>
      <w:rFonts w:cs="Courier New"/>
    </w:rPr>
  </w:style>
  <w:style w:type="character" w:customStyle="1" w:styleId="ListLabel34">
    <w:name w:val="ListLabel 34"/>
    <w:qFormat/>
    <w:rsid w:val="00A9253A"/>
    <w:rPr>
      <w:rFonts w:cs="Courier New"/>
    </w:rPr>
  </w:style>
  <w:style w:type="character" w:customStyle="1" w:styleId="ListLabel35">
    <w:name w:val="ListLabel 35"/>
    <w:qFormat/>
    <w:rsid w:val="00A9253A"/>
    <w:rPr>
      <w:rFonts w:cs="Courier New"/>
    </w:rPr>
  </w:style>
  <w:style w:type="character" w:customStyle="1" w:styleId="ListLabel36">
    <w:name w:val="ListLabel 36"/>
    <w:qFormat/>
    <w:rsid w:val="00A9253A"/>
    <w:rPr>
      <w:rFonts w:cs="Courier New"/>
    </w:rPr>
  </w:style>
  <w:style w:type="character" w:customStyle="1" w:styleId="ListLabel37">
    <w:name w:val="ListLabel 37"/>
    <w:qFormat/>
    <w:rsid w:val="00A9253A"/>
    <w:rPr>
      <w:rFonts w:cs="Courier New"/>
    </w:rPr>
  </w:style>
  <w:style w:type="character" w:customStyle="1" w:styleId="ListLabel38">
    <w:name w:val="ListLabel 38"/>
    <w:qFormat/>
    <w:rsid w:val="00A9253A"/>
    <w:rPr>
      <w:rFonts w:cs="Courier New"/>
    </w:rPr>
  </w:style>
  <w:style w:type="character" w:customStyle="1" w:styleId="ListLabel39">
    <w:name w:val="ListLabel 39"/>
    <w:qFormat/>
    <w:rsid w:val="00A9253A"/>
    <w:rPr>
      <w:rFonts w:eastAsia="MS Mincho" w:cs="Times New Roman"/>
    </w:rPr>
  </w:style>
  <w:style w:type="character" w:customStyle="1" w:styleId="ListLabel40">
    <w:name w:val="ListLabel 40"/>
    <w:qFormat/>
    <w:rsid w:val="00A9253A"/>
    <w:rPr>
      <w:rFonts w:cs="Courier New"/>
    </w:rPr>
  </w:style>
  <w:style w:type="character" w:customStyle="1" w:styleId="ListLabel41">
    <w:name w:val="ListLabel 41"/>
    <w:qFormat/>
    <w:rsid w:val="00A9253A"/>
    <w:rPr>
      <w:rFonts w:cs="Courier New"/>
    </w:rPr>
  </w:style>
  <w:style w:type="character" w:customStyle="1" w:styleId="ListLabel42">
    <w:name w:val="ListLabel 42"/>
    <w:qFormat/>
    <w:rsid w:val="00A9253A"/>
    <w:rPr>
      <w:rFonts w:cs="Courier New"/>
    </w:rPr>
  </w:style>
  <w:style w:type="character" w:customStyle="1" w:styleId="ListLabel43">
    <w:name w:val="ListLabel 43"/>
    <w:qFormat/>
    <w:rsid w:val="00A9253A"/>
    <w:rPr>
      <w:rFonts w:cs="Courier New"/>
    </w:rPr>
  </w:style>
  <w:style w:type="character" w:customStyle="1" w:styleId="ListLabel44">
    <w:name w:val="ListLabel 44"/>
    <w:qFormat/>
    <w:rsid w:val="00A9253A"/>
    <w:rPr>
      <w:rFonts w:cs="Courier New"/>
    </w:rPr>
  </w:style>
  <w:style w:type="character" w:customStyle="1" w:styleId="ListLabel45">
    <w:name w:val="ListLabel 45"/>
    <w:qFormat/>
    <w:rsid w:val="00A9253A"/>
    <w:rPr>
      <w:rFonts w:cs="Courier New"/>
    </w:rPr>
  </w:style>
  <w:style w:type="character" w:customStyle="1" w:styleId="ListLabel46">
    <w:name w:val="ListLabel 46"/>
    <w:qFormat/>
    <w:rsid w:val="00A9253A"/>
    <w:rPr>
      <w:rFonts w:cs="Courier New"/>
    </w:rPr>
  </w:style>
  <w:style w:type="character" w:customStyle="1" w:styleId="ListLabel47">
    <w:name w:val="ListLabel 47"/>
    <w:qFormat/>
    <w:rsid w:val="00A9253A"/>
    <w:rPr>
      <w:rFonts w:cs="Courier New"/>
    </w:rPr>
  </w:style>
  <w:style w:type="character" w:customStyle="1" w:styleId="ListLabel48">
    <w:name w:val="ListLabel 48"/>
    <w:qFormat/>
    <w:rsid w:val="00A9253A"/>
    <w:rPr>
      <w:rFonts w:cs="Courier New"/>
    </w:rPr>
  </w:style>
  <w:style w:type="character" w:customStyle="1" w:styleId="ListLabel49">
    <w:name w:val="ListLabel 49"/>
    <w:qFormat/>
    <w:rsid w:val="00A9253A"/>
    <w:rPr>
      <w:rFonts w:cs="Times New Roman"/>
    </w:rPr>
  </w:style>
  <w:style w:type="character" w:customStyle="1" w:styleId="ListLabel50">
    <w:name w:val="ListLabel 50"/>
    <w:qFormat/>
    <w:rsid w:val="00A9253A"/>
    <w:rPr>
      <w:rFonts w:cs="Times New Roman"/>
    </w:rPr>
  </w:style>
  <w:style w:type="character" w:customStyle="1" w:styleId="ListLabel51">
    <w:name w:val="ListLabel 51"/>
    <w:qFormat/>
    <w:rsid w:val="00A9253A"/>
    <w:rPr>
      <w:rFonts w:cs="Times New Roman"/>
    </w:rPr>
  </w:style>
  <w:style w:type="character" w:customStyle="1" w:styleId="ListLabel52">
    <w:name w:val="ListLabel 52"/>
    <w:qFormat/>
    <w:rsid w:val="00A9253A"/>
    <w:rPr>
      <w:rFonts w:cs="Times New Roman"/>
    </w:rPr>
  </w:style>
  <w:style w:type="character" w:customStyle="1" w:styleId="ListLabel53">
    <w:name w:val="ListLabel 53"/>
    <w:qFormat/>
    <w:rsid w:val="00A9253A"/>
    <w:rPr>
      <w:rFonts w:cs="Times New Roman"/>
    </w:rPr>
  </w:style>
  <w:style w:type="character" w:customStyle="1" w:styleId="ListLabel54">
    <w:name w:val="ListLabel 54"/>
    <w:qFormat/>
    <w:rsid w:val="00A9253A"/>
    <w:rPr>
      <w:rFonts w:cs="Times New Roman"/>
    </w:rPr>
  </w:style>
  <w:style w:type="character" w:customStyle="1" w:styleId="ListLabel55">
    <w:name w:val="ListLabel 55"/>
    <w:qFormat/>
    <w:rsid w:val="00A9253A"/>
    <w:rPr>
      <w:rFonts w:cs="Times New Roman"/>
    </w:rPr>
  </w:style>
  <w:style w:type="character" w:customStyle="1" w:styleId="ListLabel56">
    <w:name w:val="ListLabel 56"/>
    <w:qFormat/>
    <w:rsid w:val="00A9253A"/>
    <w:rPr>
      <w:rFonts w:cs="Times New Roman"/>
    </w:rPr>
  </w:style>
  <w:style w:type="character" w:customStyle="1" w:styleId="ListLabel57">
    <w:name w:val="ListLabel 57"/>
    <w:qFormat/>
    <w:rsid w:val="00A9253A"/>
    <w:rPr>
      <w:rFonts w:cs="Times New Roman"/>
    </w:rPr>
  </w:style>
  <w:style w:type="character" w:customStyle="1" w:styleId="ListLabel58">
    <w:name w:val="ListLabel 58"/>
    <w:qFormat/>
    <w:rsid w:val="00A9253A"/>
    <w:rPr>
      <w:rFonts w:cs="Times New Roman"/>
    </w:rPr>
  </w:style>
  <w:style w:type="character" w:customStyle="1" w:styleId="ListLabel59">
    <w:name w:val="ListLabel 59"/>
    <w:qFormat/>
    <w:rsid w:val="00A9253A"/>
    <w:rPr>
      <w:rFonts w:cs="Times New Roman"/>
    </w:rPr>
  </w:style>
  <w:style w:type="character" w:customStyle="1" w:styleId="ListLabel60">
    <w:name w:val="ListLabel 60"/>
    <w:qFormat/>
    <w:rsid w:val="00A9253A"/>
    <w:rPr>
      <w:rFonts w:cs="Times New Roman"/>
    </w:rPr>
  </w:style>
  <w:style w:type="character" w:customStyle="1" w:styleId="ListLabel61">
    <w:name w:val="ListLabel 61"/>
    <w:qFormat/>
    <w:rsid w:val="00A9253A"/>
    <w:rPr>
      <w:rFonts w:cs="Times New Roman"/>
    </w:rPr>
  </w:style>
  <w:style w:type="character" w:customStyle="1" w:styleId="ListLabel62">
    <w:name w:val="ListLabel 62"/>
    <w:qFormat/>
    <w:rsid w:val="00A9253A"/>
    <w:rPr>
      <w:rFonts w:cs="Times New Roman"/>
    </w:rPr>
  </w:style>
  <w:style w:type="character" w:customStyle="1" w:styleId="ListLabel63">
    <w:name w:val="ListLabel 63"/>
    <w:qFormat/>
    <w:rsid w:val="00A9253A"/>
    <w:rPr>
      <w:rFonts w:cs="Times New Roman"/>
    </w:rPr>
  </w:style>
  <w:style w:type="character" w:customStyle="1" w:styleId="ListLabel64">
    <w:name w:val="ListLabel 64"/>
    <w:qFormat/>
    <w:rsid w:val="00A9253A"/>
    <w:rPr>
      <w:rFonts w:cs="Times New Roman"/>
    </w:rPr>
  </w:style>
  <w:style w:type="character" w:customStyle="1" w:styleId="ListLabel65">
    <w:name w:val="ListLabel 65"/>
    <w:qFormat/>
    <w:rsid w:val="00A9253A"/>
    <w:rPr>
      <w:rFonts w:cs="Times New Roman"/>
    </w:rPr>
  </w:style>
  <w:style w:type="character" w:customStyle="1" w:styleId="ListLabel66">
    <w:name w:val="ListLabel 66"/>
    <w:qFormat/>
    <w:rsid w:val="00A9253A"/>
    <w:rPr>
      <w:rFonts w:cs="Times New Roman"/>
    </w:rPr>
  </w:style>
  <w:style w:type="character" w:customStyle="1" w:styleId="ListLabel67">
    <w:name w:val="ListLabel 67"/>
    <w:qFormat/>
    <w:rsid w:val="00A9253A"/>
    <w:rPr>
      <w:rFonts w:cs="Times New Roman"/>
    </w:rPr>
  </w:style>
  <w:style w:type="character" w:customStyle="1" w:styleId="ListLabel68">
    <w:name w:val="ListLabel 68"/>
    <w:qFormat/>
    <w:rsid w:val="00A9253A"/>
    <w:rPr>
      <w:rFonts w:cs="Courier New"/>
    </w:rPr>
  </w:style>
  <w:style w:type="character" w:customStyle="1" w:styleId="ListLabel69">
    <w:name w:val="ListLabel 69"/>
    <w:qFormat/>
    <w:rsid w:val="00A9253A"/>
    <w:rPr>
      <w:rFonts w:cs="Courier New"/>
    </w:rPr>
  </w:style>
  <w:style w:type="character" w:customStyle="1" w:styleId="ListLabel70">
    <w:name w:val="ListLabel 70"/>
    <w:qFormat/>
    <w:rsid w:val="00A9253A"/>
    <w:rPr>
      <w:rFonts w:cs="Courier New"/>
    </w:rPr>
  </w:style>
  <w:style w:type="character" w:customStyle="1" w:styleId="ListLabel71">
    <w:name w:val="ListLabel 71"/>
    <w:qFormat/>
    <w:rsid w:val="00A9253A"/>
    <w:rPr>
      <w:rFonts w:cs="Courier New"/>
    </w:rPr>
  </w:style>
  <w:style w:type="character" w:customStyle="1" w:styleId="ListLabel72">
    <w:name w:val="ListLabel 72"/>
    <w:qFormat/>
    <w:rsid w:val="00A9253A"/>
    <w:rPr>
      <w:rFonts w:cs="Courier New"/>
    </w:rPr>
  </w:style>
  <w:style w:type="character" w:customStyle="1" w:styleId="ListLabel73">
    <w:name w:val="ListLabel 73"/>
    <w:qFormat/>
    <w:rsid w:val="00A9253A"/>
    <w:rPr>
      <w:rFonts w:cs="Courier New"/>
    </w:rPr>
  </w:style>
  <w:style w:type="character" w:customStyle="1" w:styleId="ListLabel74">
    <w:name w:val="ListLabel 74"/>
    <w:qFormat/>
    <w:rsid w:val="00A9253A"/>
    <w:rPr>
      <w:rFonts w:cs="Courier New"/>
    </w:rPr>
  </w:style>
  <w:style w:type="character" w:customStyle="1" w:styleId="ListLabel75">
    <w:name w:val="ListLabel 75"/>
    <w:qFormat/>
    <w:rsid w:val="00A9253A"/>
    <w:rPr>
      <w:rFonts w:cs="Courier New"/>
    </w:rPr>
  </w:style>
  <w:style w:type="character" w:customStyle="1" w:styleId="ListLabel76">
    <w:name w:val="ListLabel 76"/>
    <w:qFormat/>
    <w:rsid w:val="00A9253A"/>
    <w:rPr>
      <w:rFonts w:cs="Courier New"/>
    </w:rPr>
  </w:style>
  <w:style w:type="character" w:customStyle="1" w:styleId="ListLabel77">
    <w:name w:val="ListLabel 77"/>
    <w:qFormat/>
    <w:rsid w:val="00A9253A"/>
    <w:rPr>
      <w:rFonts w:cs="Courier New"/>
    </w:rPr>
  </w:style>
  <w:style w:type="character" w:customStyle="1" w:styleId="ListLabel78">
    <w:name w:val="ListLabel 78"/>
    <w:qFormat/>
    <w:rsid w:val="00A9253A"/>
    <w:rPr>
      <w:rFonts w:cs="Courier New"/>
    </w:rPr>
  </w:style>
  <w:style w:type="character" w:customStyle="1" w:styleId="ListLabel79">
    <w:name w:val="ListLabel 79"/>
    <w:qFormat/>
    <w:rsid w:val="00A9253A"/>
    <w:rPr>
      <w:rFonts w:cs="Courier New"/>
    </w:rPr>
  </w:style>
  <w:style w:type="character" w:customStyle="1" w:styleId="ListLabel80">
    <w:name w:val="ListLabel 80"/>
    <w:qFormat/>
    <w:rsid w:val="00A9253A"/>
    <w:rPr>
      <w:rFonts w:cs="Courier New"/>
    </w:rPr>
  </w:style>
  <w:style w:type="character" w:customStyle="1" w:styleId="ListLabel81">
    <w:name w:val="ListLabel 81"/>
    <w:qFormat/>
    <w:rsid w:val="00A9253A"/>
    <w:rPr>
      <w:rFonts w:cs="Courier New"/>
    </w:rPr>
  </w:style>
  <w:style w:type="character" w:customStyle="1" w:styleId="ListLabel82">
    <w:name w:val="ListLabel 82"/>
    <w:qFormat/>
    <w:rsid w:val="00A9253A"/>
    <w:rPr>
      <w:rFonts w:cs="Courier New"/>
    </w:rPr>
  </w:style>
  <w:style w:type="character" w:customStyle="1" w:styleId="ListLabel83">
    <w:name w:val="ListLabel 83"/>
    <w:qFormat/>
    <w:rsid w:val="00A9253A"/>
    <w:rPr>
      <w:rFonts w:cs="Courier New"/>
    </w:rPr>
  </w:style>
  <w:style w:type="character" w:customStyle="1" w:styleId="ListLabel84">
    <w:name w:val="ListLabel 84"/>
    <w:qFormat/>
    <w:rsid w:val="00A9253A"/>
    <w:rPr>
      <w:rFonts w:cs="Courier New"/>
    </w:rPr>
  </w:style>
  <w:style w:type="character" w:customStyle="1" w:styleId="ListLabel85">
    <w:name w:val="ListLabel 85"/>
    <w:qFormat/>
    <w:rsid w:val="00A9253A"/>
    <w:rPr>
      <w:rFonts w:cs="Courier New"/>
    </w:rPr>
  </w:style>
  <w:style w:type="character" w:customStyle="1" w:styleId="ListLabel86">
    <w:name w:val="ListLabel 86"/>
    <w:qFormat/>
    <w:rsid w:val="00A9253A"/>
    <w:rPr>
      <w:rFonts w:cs="Courier New"/>
    </w:rPr>
  </w:style>
  <w:style w:type="character" w:customStyle="1" w:styleId="ListLabel87">
    <w:name w:val="ListLabel 87"/>
    <w:qFormat/>
    <w:rsid w:val="00A9253A"/>
    <w:rPr>
      <w:rFonts w:cs="Courier New"/>
    </w:rPr>
  </w:style>
  <w:style w:type="character" w:customStyle="1" w:styleId="ListLabel88">
    <w:name w:val="ListLabel 88"/>
    <w:qFormat/>
    <w:rsid w:val="00A9253A"/>
    <w:rPr>
      <w:rFonts w:cs="Courier New"/>
    </w:rPr>
  </w:style>
  <w:style w:type="character" w:customStyle="1" w:styleId="ListLabel89">
    <w:name w:val="ListLabel 89"/>
    <w:qFormat/>
    <w:rsid w:val="00A9253A"/>
    <w:rPr>
      <w:rFonts w:cs="Courier New"/>
    </w:rPr>
  </w:style>
  <w:style w:type="character" w:customStyle="1" w:styleId="ListLabel90">
    <w:name w:val="ListLabel 90"/>
    <w:qFormat/>
    <w:rsid w:val="00A9253A"/>
    <w:rPr>
      <w:rFonts w:cs="Courier New"/>
    </w:rPr>
  </w:style>
  <w:style w:type="character" w:customStyle="1" w:styleId="ListLabel91">
    <w:name w:val="ListLabel 91"/>
    <w:qFormat/>
    <w:rsid w:val="00A9253A"/>
    <w:rPr>
      <w:rFonts w:cs="Courier New"/>
    </w:rPr>
  </w:style>
  <w:style w:type="character" w:customStyle="1" w:styleId="ListLabel92">
    <w:name w:val="ListLabel 92"/>
    <w:qFormat/>
    <w:rsid w:val="00A9253A"/>
    <w:rPr>
      <w:rFonts w:cs="Courier New"/>
    </w:rPr>
  </w:style>
  <w:style w:type="character" w:customStyle="1" w:styleId="ListLabel93">
    <w:name w:val="ListLabel 93"/>
    <w:qFormat/>
    <w:rsid w:val="00A9253A"/>
    <w:rPr>
      <w:rFonts w:cs="Courier New"/>
    </w:rPr>
  </w:style>
  <w:style w:type="character" w:customStyle="1" w:styleId="ListLabel94">
    <w:name w:val="ListLabel 94"/>
    <w:qFormat/>
    <w:rsid w:val="00A9253A"/>
    <w:rPr>
      <w:rFonts w:eastAsia="SimSun" w:cs="Times New Roman"/>
    </w:rPr>
  </w:style>
  <w:style w:type="character" w:customStyle="1" w:styleId="ListLabel95">
    <w:name w:val="ListLabel 95"/>
    <w:qFormat/>
    <w:rsid w:val="00A9253A"/>
    <w:rPr>
      <w:rFonts w:cs="Courier New"/>
    </w:rPr>
  </w:style>
  <w:style w:type="character" w:customStyle="1" w:styleId="ListLabel96">
    <w:name w:val="ListLabel 96"/>
    <w:qFormat/>
    <w:rsid w:val="00A9253A"/>
    <w:rPr>
      <w:rFonts w:cs="Courier New"/>
    </w:rPr>
  </w:style>
  <w:style w:type="character" w:customStyle="1" w:styleId="ListLabel97">
    <w:name w:val="ListLabel 97"/>
    <w:qFormat/>
    <w:rsid w:val="00A9253A"/>
    <w:rPr>
      <w:rFonts w:cs="Courier New"/>
    </w:rPr>
  </w:style>
  <w:style w:type="character" w:customStyle="1" w:styleId="ListLabel98">
    <w:name w:val="ListLabel 98"/>
    <w:qFormat/>
    <w:rsid w:val="00A9253A"/>
    <w:rPr>
      <w:rFonts w:eastAsia="SimSun" w:cs="Times New Roman"/>
    </w:rPr>
  </w:style>
  <w:style w:type="character" w:customStyle="1" w:styleId="ListLabel99">
    <w:name w:val="ListLabel 99"/>
    <w:qFormat/>
    <w:rsid w:val="00A9253A"/>
    <w:rPr>
      <w:rFonts w:cs="Courier New"/>
    </w:rPr>
  </w:style>
  <w:style w:type="character" w:customStyle="1" w:styleId="ListLabel100">
    <w:name w:val="ListLabel 100"/>
    <w:qFormat/>
    <w:rsid w:val="00A9253A"/>
    <w:rPr>
      <w:rFonts w:cs="Courier New"/>
    </w:rPr>
  </w:style>
  <w:style w:type="character" w:customStyle="1" w:styleId="ListLabel101">
    <w:name w:val="ListLabel 101"/>
    <w:qFormat/>
    <w:rsid w:val="00A9253A"/>
    <w:rPr>
      <w:rFonts w:cs="Courier New"/>
    </w:rPr>
  </w:style>
  <w:style w:type="character" w:customStyle="1" w:styleId="ListLabel102">
    <w:name w:val="ListLabel 102"/>
    <w:qFormat/>
    <w:rsid w:val="00A9253A"/>
    <w:rPr>
      <w:sz w:val="20"/>
    </w:rPr>
  </w:style>
  <w:style w:type="character" w:customStyle="1" w:styleId="ListLabel103">
    <w:name w:val="ListLabel 103"/>
    <w:qFormat/>
    <w:rsid w:val="00A9253A"/>
    <w:rPr>
      <w:rFonts w:cs="Courier New"/>
    </w:rPr>
  </w:style>
  <w:style w:type="character" w:customStyle="1" w:styleId="ListLabel104">
    <w:name w:val="ListLabel 104"/>
    <w:qFormat/>
    <w:rsid w:val="00A9253A"/>
    <w:rPr>
      <w:rFonts w:cs="Courier New"/>
    </w:rPr>
  </w:style>
  <w:style w:type="character" w:customStyle="1" w:styleId="ListLabel105">
    <w:name w:val="ListLabel 105"/>
    <w:qFormat/>
    <w:rsid w:val="00A9253A"/>
    <w:rPr>
      <w:rFonts w:cs="Courier New"/>
    </w:rPr>
  </w:style>
  <w:style w:type="character" w:customStyle="1" w:styleId="ListLabel106">
    <w:name w:val="ListLabel 106"/>
    <w:qFormat/>
    <w:rsid w:val="00A9253A"/>
    <w:rPr>
      <w:rFonts w:cs="Courier New"/>
      <w:sz w:val="20"/>
    </w:rPr>
  </w:style>
  <w:style w:type="character" w:customStyle="1" w:styleId="ListLabel107">
    <w:name w:val="ListLabel 107"/>
    <w:qFormat/>
    <w:rsid w:val="00A9253A"/>
    <w:rPr>
      <w:rFonts w:cs="Courier New"/>
    </w:rPr>
  </w:style>
  <w:style w:type="character" w:customStyle="1" w:styleId="ListLabel108">
    <w:name w:val="ListLabel 108"/>
    <w:qFormat/>
    <w:rsid w:val="00A9253A"/>
    <w:rPr>
      <w:rFonts w:cs="Courier New"/>
    </w:rPr>
  </w:style>
  <w:style w:type="character" w:customStyle="1" w:styleId="ListLabel109">
    <w:name w:val="ListLabel 109"/>
    <w:qFormat/>
    <w:rsid w:val="00A9253A"/>
    <w:rPr>
      <w:rFonts w:cs="Courier New"/>
      <w:sz w:val="20"/>
    </w:rPr>
  </w:style>
  <w:style w:type="character" w:customStyle="1" w:styleId="ListLabel110">
    <w:name w:val="ListLabel 110"/>
    <w:qFormat/>
    <w:rsid w:val="00A9253A"/>
    <w:rPr>
      <w:rFonts w:cs="Courier New"/>
    </w:rPr>
  </w:style>
  <w:style w:type="character" w:customStyle="1" w:styleId="ListLabel111">
    <w:name w:val="ListLabel 111"/>
    <w:qFormat/>
    <w:rsid w:val="00A9253A"/>
    <w:rPr>
      <w:rFonts w:cs="Courier New"/>
    </w:rPr>
  </w:style>
  <w:style w:type="character" w:customStyle="1" w:styleId="ListLabel112">
    <w:name w:val="ListLabel 112"/>
    <w:qFormat/>
    <w:rsid w:val="00A9253A"/>
    <w:rPr>
      <w:rFonts w:eastAsia="SimSun" w:cs="Times New Roman"/>
      <w:sz w:val="20"/>
    </w:rPr>
  </w:style>
  <w:style w:type="character" w:customStyle="1" w:styleId="ListLabel113">
    <w:name w:val="ListLabel 113"/>
    <w:qFormat/>
    <w:rsid w:val="00A9253A"/>
    <w:rPr>
      <w:rFonts w:cs="Courier New"/>
    </w:rPr>
  </w:style>
  <w:style w:type="character" w:customStyle="1" w:styleId="ListLabel114">
    <w:name w:val="ListLabel 114"/>
    <w:qFormat/>
    <w:rsid w:val="00A9253A"/>
    <w:rPr>
      <w:rFonts w:cs="Courier New"/>
    </w:rPr>
  </w:style>
  <w:style w:type="character" w:customStyle="1" w:styleId="ListLabel115">
    <w:name w:val="ListLabel 115"/>
    <w:qFormat/>
    <w:rsid w:val="00A9253A"/>
    <w:rPr>
      <w:rFonts w:cs="Courier New"/>
    </w:rPr>
  </w:style>
  <w:style w:type="character" w:customStyle="1" w:styleId="FootnoteCharacters">
    <w:name w:val="Footnote Characters"/>
    <w:qFormat/>
    <w:rsid w:val="00A9253A"/>
  </w:style>
  <w:style w:type="character" w:customStyle="1" w:styleId="ListLabel116">
    <w:name w:val="ListLabel 116"/>
    <w:qFormat/>
    <w:rsid w:val="00A9253A"/>
    <w:rPr>
      <w:rFonts w:cs="Symbol"/>
      <w:sz w:val="20"/>
    </w:rPr>
  </w:style>
  <w:style w:type="character" w:customStyle="1" w:styleId="ListLabel117">
    <w:name w:val="ListLabel 117"/>
    <w:qFormat/>
    <w:rsid w:val="00A9253A"/>
    <w:rPr>
      <w:rFonts w:cs="Courier New"/>
      <w:sz w:val="20"/>
    </w:rPr>
  </w:style>
  <w:style w:type="character" w:customStyle="1" w:styleId="ListLabel118">
    <w:name w:val="ListLabel 118"/>
    <w:qFormat/>
    <w:rsid w:val="00A9253A"/>
    <w:rPr>
      <w:rFonts w:cs="Wingdings"/>
    </w:rPr>
  </w:style>
  <w:style w:type="character" w:customStyle="1" w:styleId="ListLabel119">
    <w:name w:val="ListLabel 119"/>
    <w:qFormat/>
    <w:rsid w:val="00A9253A"/>
    <w:rPr>
      <w:rFonts w:cs="Symbol"/>
    </w:rPr>
  </w:style>
  <w:style w:type="character" w:customStyle="1" w:styleId="ListLabel120">
    <w:name w:val="ListLabel 120"/>
    <w:qFormat/>
    <w:rsid w:val="00A9253A"/>
    <w:rPr>
      <w:rFonts w:cs="Courier New"/>
    </w:rPr>
  </w:style>
  <w:style w:type="character" w:customStyle="1" w:styleId="ListLabel121">
    <w:name w:val="ListLabel 121"/>
    <w:qFormat/>
    <w:rsid w:val="00A9253A"/>
    <w:rPr>
      <w:rFonts w:cs="Wingdings"/>
    </w:rPr>
  </w:style>
  <w:style w:type="character" w:customStyle="1" w:styleId="ListLabel122">
    <w:name w:val="ListLabel 122"/>
    <w:qFormat/>
    <w:rsid w:val="00A9253A"/>
    <w:rPr>
      <w:rFonts w:cs="Symbol"/>
    </w:rPr>
  </w:style>
  <w:style w:type="character" w:customStyle="1" w:styleId="ListLabel123">
    <w:name w:val="ListLabel 123"/>
    <w:qFormat/>
    <w:rsid w:val="00A9253A"/>
    <w:rPr>
      <w:rFonts w:cs="Courier New"/>
    </w:rPr>
  </w:style>
  <w:style w:type="character" w:customStyle="1" w:styleId="ListLabel124">
    <w:name w:val="ListLabel 124"/>
    <w:qFormat/>
    <w:rsid w:val="00A9253A"/>
    <w:rPr>
      <w:rFonts w:cs="Wingdings"/>
    </w:rPr>
  </w:style>
  <w:style w:type="character" w:customStyle="1" w:styleId="ListLabel125">
    <w:name w:val="ListLabel 125"/>
    <w:qFormat/>
    <w:rsid w:val="00A9253A"/>
    <w:rPr>
      <w:rFonts w:cs="Symbol"/>
      <w:sz w:val="20"/>
    </w:rPr>
  </w:style>
  <w:style w:type="character" w:customStyle="1" w:styleId="ListLabel126">
    <w:name w:val="ListLabel 126"/>
    <w:qFormat/>
    <w:rsid w:val="00A9253A"/>
    <w:rPr>
      <w:rFonts w:cs="Courier New"/>
      <w:sz w:val="20"/>
    </w:rPr>
  </w:style>
  <w:style w:type="character" w:customStyle="1" w:styleId="ListLabel127">
    <w:name w:val="ListLabel 127"/>
    <w:qFormat/>
    <w:rsid w:val="00A9253A"/>
    <w:rPr>
      <w:rFonts w:cs="Wingdings"/>
    </w:rPr>
  </w:style>
  <w:style w:type="character" w:customStyle="1" w:styleId="ListLabel128">
    <w:name w:val="ListLabel 128"/>
    <w:qFormat/>
    <w:rsid w:val="00A9253A"/>
    <w:rPr>
      <w:rFonts w:cs="Symbol"/>
    </w:rPr>
  </w:style>
  <w:style w:type="character" w:customStyle="1" w:styleId="ListLabel129">
    <w:name w:val="ListLabel 129"/>
    <w:qFormat/>
    <w:rsid w:val="00A9253A"/>
    <w:rPr>
      <w:rFonts w:cs="Courier New"/>
    </w:rPr>
  </w:style>
  <w:style w:type="character" w:customStyle="1" w:styleId="ListLabel130">
    <w:name w:val="ListLabel 130"/>
    <w:qFormat/>
    <w:rsid w:val="00A9253A"/>
    <w:rPr>
      <w:rFonts w:cs="Wingdings"/>
    </w:rPr>
  </w:style>
  <w:style w:type="character" w:customStyle="1" w:styleId="ListLabel131">
    <w:name w:val="ListLabel 131"/>
    <w:qFormat/>
    <w:rsid w:val="00A9253A"/>
    <w:rPr>
      <w:rFonts w:cs="Symbol"/>
    </w:rPr>
  </w:style>
  <w:style w:type="character" w:customStyle="1" w:styleId="ListLabel132">
    <w:name w:val="ListLabel 132"/>
    <w:qFormat/>
    <w:rsid w:val="00A9253A"/>
    <w:rPr>
      <w:rFonts w:cs="Courier New"/>
    </w:rPr>
  </w:style>
  <w:style w:type="character" w:customStyle="1" w:styleId="ListLabel133">
    <w:name w:val="ListLabel 133"/>
    <w:qFormat/>
    <w:rsid w:val="00A9253A"/>
    <w:rPr>
      <w:rFonts w:cs="Wingdings"/>
    </w:rPr>
  </w:style>
  <w:style w:type="character" w:customStyle="1" w:styleId="ListLabel134">
    <w:name w:val="ListLabel 134"/>
    <w:qFormat/>
    <w:rsid w:val="00A9253A"/>
    <w:rPr>
      <w:rFonts w:cs="Times New Roman"/>
      <w:sz w:val="20"/>
    </w:rPr>
  </w:style>
  <w:style w:type="character" w:customStyle="1" w:styleId="ListLabel135">
    <w:name w:val="ListLabel 135"/>
    <w:qFormat/>
    <w:rsid w:val="00A9253A"/>
    <w:rPr>
      <w:rFonts w:cs="Courier New"/>
    </w:rPr>
  </w:style>
  <w:style w:type="character" w:customStyle="1" w:styleId="ListLabel136">
    <w:name w:val="ListLabel 136"/>
    <w:qFormat/>
    <w:rsid w:val="00A9253A"/>
    <w:rPr>
      <w:rFonts w:cs="Wingdings"/>
    </w:rPr>
  </w:style>
  <w:style w:type="character" w:customStyle="1" w:styleId="ListLabel137">
    <w:name w:val="ListLabel 137"/>
    <w:qFormat/>
    <w:rsid w:val="00A9253A"/>
    <w:rPr>
      <w:rFonts w:cs="Symbol"/>
    </w:rPr>
  </w:style>
  <w:style w:type="character" w:customStyle="1" w:styleId="ListLabel138">
    <w:name w:val="ListLabel 138"/>
    <w:qFormat/>
    <w:rsid w:val="00A9253A"/>
    <w:rPr>
      <w:rFonts w:cs="Courier New"/>
    </w:rPr>
  </w:style>
  <w:style w:type="character" w:customStyle="1" w:styleId="ListLabel139">
    <w:name w:val="ListLabel 139"/>
    <w:qFormat/>
    <w:rsid w:val="00A9253A"/>
    <w:rPr>
      <w:rFonts w:cs="Wingdings"/>
    </w:rPr>
  </w:style>
  <w:style w:type="character" w:customStyle="1" w:styleId="ListLabel140">
    <w:name w:val="ListLabel 140"/>
    <w:qFormat/>
    <w:rsid w:val="00A9253A"/>
    <w:rPr>
      <w:rFonts w:cs="Symbol"/>
    </w:rPr>
  </w:style>
  <w:style w:type="character" w:customStyle="1" w:styleId="ListLabel141">
    <w:name w:val="ListLabel 141"/>
    <w:qFormat/>
    <w:rsid w:val="00A9253A"/>
    <w:rPr>
      <w:rFonts w:cs="Courier New"/>
    </w:rPr>
  </w:style>
  <w:style w:type="character" w:customStyle="1" w:styleId="ListLabel142">
    <w:name w:val="ListLabel 142"/>
    <w:qFormat/>
    <w:rsid w:val="00A9253A"/>
    <w:rPr>
      <w:rFonts w:cs="Wingdings"/>
    </w:rPr>
  </w:style>
  <w:style w:type="paragraph" w:customStyle="1" w:styleId="Heading">
    <w:name w:val="Heading"/>
    <w:basedOn w:val="Normal"/>
    <w:next w:val="BodyText"/>
    <w:qFormat/>
    <w:rsid w:val="00A9253A"/>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A9253A"/>
    <w:pPr>
      <w:spacing w:after="120"/>
    </w:pPr>
  </w:style>
  <w:style w:type="paragraph" w:styleId="List">
    <w:name w:val="List"/>
    <w:basedOn w:val="Normal"/>
    <w:rsid w:val="00A9253A"/>
    <w:pPr>
      <w:ind w:left="568" w:hanging="284"/>
    </w:pPr>
  </w:style>
  <w:style w:type="paragraph" w:styleId="Caption">
    <w:name w:val="caption"/>
    <w:basedOn w:val="Normal"/>
    <w:next w:val="Normal"/>
    <w:qFormat/>
    <w:rsid w:val="00A9253A"/>
    <w:pPr>
      <w:spacing w:before="120" w:after="120"/>
    </w:pPr>
    <w:rPr>
      <w:b/>
    </w:rPr>
  </w:style>
  <w:style w:type="paragraph" w:customStyle="1" w:styleId="Index">
    <w:name w:val="Index"/>
    <w:basedOn w:val="Normal"/>
    <w:qFormat/>
    <w:rsid w:val="00A9253A"/>
    <w:pPr>
      <w:suppressLineNumbers/>
    </w:pPr>
    <w:rPr>
      <w:rFonts w:cs="FreeSans"/>
    </w:rPr>
  </w:style>
  <w:style w:type="paragraph" w:customStyle="1" w:styleId="H6">
    <w:name w:val="H6"/>
    <w:basedOn w:val="Heading5"/>
    <w:next w:val="Normal"/>
    <w:qFormat/>
    <w:rsid w:val="00A9253A"/>
    <w:pPr>
      <w:ind w:left="1985" w:hanging="1985"/>
    </w:pPr>
    <w:rPr>
      <w:sz w:val="20"/>
    </w:rPr>
  </w:style>
  <w:style w:type="paragraph" w:styleId="TOC8">
    <w:name w:val="toc 8"/>
    <w:basedOn w:val="TOC1"/>
    <w:rsid w:val="00A9253A"/>
    <w:pPr>
      <w:spacing w:before="180"/>
      <w:ind w:left="2693" w:right="0" w:hanging="2693"/>
    </w:pPr>
    <w:rPr>
      <w:b/>
    </w:rPr>
  </w:style>
  <w:style w:type="paragraph" w:styleId="TOC1">
    <w:name w:val="toc 1"/>
    <w:basedOn w:val="Index"/>
    <w:rsid w:val="00A9253A"/>
    <w:pPr>
      <w:keepNext/>
      <w:keepLines/>
      <w:widowControl w:val="0"/>
      <w:tabs>
        <w:tab w:val="right" w:leader="dot" w:pos="9639"/>
      </w:tabs>
      <w:spacing w:before="120"/>
      <w:ind w:left="567" w:right="425" w:hanging="567"/>
    </w:pPr>
    <w:rPr>
      <w:sz w:val="22"/>
    </w:rPr>
  </w:style>
  <w:style w:type="paragraph" w:customStyle="1" w:styleId="ZT">
    <w:name w:val="ZT"/>
    <w:qFormat/>
    <w:rsid w:val="00A9253A"/>
    <w:pPr>
      <w:widowControl w:val="0"/>
      <w:overflowPunct w:val="0"/>
      <w:spacing w:after="200" w:line="240" w:lineRule="atLeast"/>
      <w:jc w:val="right"/>
      <w:textAlignment w:val="baseline"/>
    </w:pPr>
    <w:rPr>
      <w:rFonts w:ascii="Arial" w:hAnsi="Arial"/>
      <w:b/>
      <w:color w:val="00000A"/>
      <w:sz w:val="34"/>
      <w:lang w:val="en-GB"/>
    </w:rPr>
  </w:style>
  <w:style w:type="paragraph" w:styleId="TOC5">
    <w:name w:val="toc 5"/>
    <w:basedOn w:val="TOC4"/>
    <w:rsid w:val="00A9253A"/>
    <w:pPr>
      <w:ind w:left="1701" w:hanging="1701"/>
    </w:pPr>
  </w:style>
  <w:style w:type="paragraph" w:styleId="TOC4">
    <w:name w:val="toc 4"/>
    <w:basedOn w:val="TOC3"/>
    <w:rsid w:val="00A9253A"/>
    <w:pPr>
      <w:ind w:left="1418" w:hanging="1418"/>
    </w:pPr>
  </w:style>
  <w:style w:type="paragraph" w:styleId="TOC3">
    <w:name w:val="toc 3"/>
    <w:basedOn w:val="TOC2"/>
    <w:rsid w:val="00A9253A"/>
    <w:pPr>
      <w:ind w:left="1134" w:right="0" w:hanging="1134"/>
    </w:pPr>
  </w:style>
  <w:style w:type="paragraph" w:styleId="TOC2">
    <w:name w:val="toc 2"/>
    <w:basedOn w:val="TOC1"/>
    <w:rsid w:val="00A9253A"/>
    <w:pPr>
      <w:spacing w:before="0"/>
      <w:ind w:left="851" w:hanging="851"/>
    </w:pPr>
    <w:rPr>
      <w:sz w:val="20"/>
    </w:rPr>
  </w:style>
  <w:style w:type="paragraph" w:styleId="Index2">
    <w:name w:val="index 2"/>
    <w:qFormat/>
    <w:rsid w:val="00A9253A"/>
    <w:pPr>
      <w:widowControl w:val="0"/>
      <w:overflowPunct w:val="0"/>
      <w:spacing w:after="200" w:line="276" w:lineRule="auto"/>
      <w:ind w:left="284"/>
    </w:pPr>
    <w:rPr>
      <w:color w:val="00000A"/>
    </w:rPr>
  </w:style>
  <w:style w:type="paragraph" w:styleId="Index1">
    <w:name w:val="index 1"/>
    <w:basedOn w:val="Normal"/>
    <w:qFormat/>
    <w:rsid w:val="00A9253A"/>
    <w:pPr>
      <w:keepLines/>
      <w:spacing w:after="0"/>
    </w:pPr>
  </w:style>
  <w:style w:type="paragraph" w:customStyle="1" w:styleId="ZH">
    <w:name w:val="ZH"/>
    <w:qFormat/>
    <w:rsid w:val="00A9253A"/>
    <w:pPr>
      <w:widowControl w:val="0"/>
      <w:overflowPunct w:val="0"/>
      <w:spacing w:after="200" w:line="276" w:lineRule="auto"/>
      <w:textAlignment w:val="baseline"/>
    </w:pPr>
    <w:rPr>
      <w:rFonts w:ascii="Arial" w:hAnsi="Arial"/>
      <w:color w:val="00000A"/>
    </w:rPr>
  </w:style>
  <w:style w:type="paragraph" w:customStyle="1" w:styleId="TT">
    <w:name w:val="TT"/>
    <w:basedOn w:val="Heading1"/>
    <w:next w:val="Normal"/>
    <w:qFormat/>
    <w:rsid w:val="00A9253A"/>
  </w:style>
  <w:style w:type="paragraph" w:styleId="ListNumber2">
    <w:name w:val="List Number 2"/>
    <w:qFormat/>
    <w:rsid w:val="00A9253A"/>
    <w:pPr>
      <w:widowControl w:val="0"/>
      <w:overflowPunct w:val="0"/>
      <w:spacing w:after="200" w:line="276" w:lineRule="auto"/>
      <w:ind w:left="851"/>
    </w:pPr>
    <w:rPr>
      <w:color w:val="00000A"/>
    </w:rPr>
  </w:style>
  <w:style w:type="paragraph" w:styleId="ListNumber">
    <w:name w:val="List Number"/>
    <w:basedOn w:val="ListBullet5"/>
    <w:qFormat/>
    <w:rsid w:val="00A9253A"/>
    <w:pPr>
      <w:ind w:hanging="284"/>
    </w:pPr>
  </w:style>
  <w:style w:type="paragraph" w:styleId="Header">
    <w:name w:val="header"/>
    <w:basedOn w:val="Normal"/>
    <w:rsid w:val="00A9253A"/>
    <w:pPr>
      <w:widowControl w:val="0"/>
    </w:pPr>
    <w:rPr>
      <w:rFonts w:ascii="Arial" w:hAnsi="Arial"/>
      <w:b/>
      <w:sz w:val="18"/>
    </w:rPr>
  </w:style>
  <w:style w:type="paragraph" w:styleId="FootnoteText">
    <w:name w:val="footnote text"/>
    <w:basedOn w:val="Normal"/>
    <w:qFormat/>
    <w:rsid w:val="00A9253A"/>
    <w:pPr>
      <w:keepLines/>
      <w:spacing w:after="0"/>
      <w:ind w:left="454" w:hanging="454"/>
    </w:pPr>
    <w:rPr>
      <w:sz w:val="16"/>
    </w:rPr>
  </w:style>
  <w:style w:type="paragraph" w:customStyle="1" w:styleId="TAH">
    <w:name w:val="TAH"/>
    <w:qFormat/>
    <w:rsid w:val="00A9253A"/>
    <w:pPr>
      <w:widowControl w:val="0"/>
      <w:overflowPunct w:val="0"/>
      <w:spacing w:after="200" w:line="276" w:lineRule="auto"/>
    </w:pPr>
    <w:rPr>
      <w:b/>
      <w:color w:val="00000A"/>
    </w:rPr>
  </w:style>
  <w:style w:type="paragraph" w:customStyle="1" w:styleId="TAC">
    <w:name w:val="TAC"/>
    <w:qFormat/>
    <w:rsid w:val="00A9253A"/>
    <w:pPr>
      <w:widowControl w:val="0"/>
      <w:overflowPunct w:val="0"/>
      <w:spacing w:after="200" w:line="276" w:lineRule="auto"/>
      <w:jc w:val="center"/>
    </w:pPr>
    <w:rPr>
      <w:color w:val="00000A"/>
    </w:rPr>
  </w:style>
  <w:style w:type="paragraph" w:customStyle="1" w:styleId="TAL">
    <w:name w:val="TAL"/>
    <w:basedOn w:val="Normal"/>
    <w:qFormat/>
    <w:rsid w:val="00A9253A"/>
    <w:pPr>
      <w:keepNext/>
      <w:keepLines/>
      <w:spacing w:after="0"/>
    </w:pPr>
    <w:rPr>
      <w:rFonts w:ascii="Arial" w:hAnsi="Arial"/>
      <w:sz w:val="18"/>
    </w:rPr>
  </w:style>
  <w:style w:type="paragraph" w:customStyle="1" w:styleId="TF">
    <w:name w:val="TF"/>
    <w:qFormat/>
    <w:rsid w:val="00A9253A"/>
    <w:pPr>
      <w:keepNext/>
      <w:widowControl w:val="0"/>
      <w:overflowPunct w:val="0"/>
      <w:spacing w:after="240" w:line="276" w:lineRule="auto"/>
    </w:pPr>
    <w:rPr>
      <w:color w:val="00000A"/>
    </w:rPr>
  </w:style>
  <w:style w:type="paragraph" w:customStyle="1" w:styleId="TH">
    <w:name w:val="TH"/>
    <w:basedOn w:val="Normal"/>
    <w:qFormat/>
    <w:rsid w:val="00A9253A"/>
    <w:pPr>
      <w:keepNext/>
      <w:keepLines/>
      <w:spacing w:before="60"/>
      <w:jc w:val="center"/>
    </w:pPr>
    <w:rPr>
      <w:rFonts w:ascii="Arial" w:hAnsi="Arial"/>
      <w:b/>
    </w:rPr>
  </w:style>
  <w:style w:type="paragraph" w:customStyle="1" w:styleId="NO">
    <w:name w:val="NO"/>
    <w:basedOn w:val="Normal"/>
    <w:qFormat/>
    <w:rsid w:val="00A9253A"/>
    <w:pPr>
      <w:keepLines/>
      <w:ind w:left="1135" w:hanging="851"/>
    </w:pPr>
  </w:style>
  <w:style w:type="paragraph" w:styleId="TOC9">
    <w:name w:val="toc 9"/>
    <w:basedOn w:val="TOC8"/>
    <w:rsid w:val="00A9253A"/>
    <w:pPr>
      <w:ind w:left="1418" w:hanging="1418"/>
    </w:pPr>
  </w:style>
  <w:style w:type="paragraph" w:customStyle="1" w:styleId="EX">
    <w:name w:val="EX"/>
    <w:basedOn w:val="Normal"/>
    <w:qFormat/>
    <w:rsid w:val="00A9253A"/>
    <w:pPr>
      <w:keepLines/>
      <w:ind w:left="1702" w:hanging="1418"/>
    </w:pPr>
  </w:style>
  <w:style w:type="paragraph" w:customStyle="1" w:styleId="FP">
    <w:name w:val="FP"/>
    <w:basedOn w:val="Normal"/>
    <w:qFormat/>
    <w:rsid w:val="00A9253A"/>
    <w:pPr>
      <w:spacing w:after="0"/>
    </w:pPr>
  </w:style>
  <w:style w:type="paragraph" w:customStyle="1" w:styleId="LD">
    <w:name w:val="LD"/>
    <w:qFormat/>
    <w:rsid w:val="00A9253A"/>
    <w:pPr>
      <w:keepNext/>
      <w:keepLines/>
      <w:overflowPunct w:val="0"/>
      <w:spacing w:after="200" w:line="180" w:lineRule="exact"/>
      <w:textAlignment w:val="baseline"/>
    </w:pPr>
    <w:rPr>
      <w:rFonts w:ascii="Courier New" w:hAnsi="Courier New"/>
      <w:color w:val="00000A"/>
    </w:rPr>
  </w:style>
  <w:style w:type="paragraph" w:customStyle="1" w:styleId="NW">
    <w:name w:val="NW"/>
    <w:basedOn w:val="NO"/>
    <w:qFormat/>
    <w:rsid w:val="00A9253A"/>
    <w:pPr>
      <w:spacing w:after="0"/>
    </w:pPr>
  </w:style>
  <w:style w:type="paragraph" w:customStyle="1" w:styleId="EW">
    <w:name w:val="EW"/>
    <w:basedOn w:val="EX"/>
    <w:qFormat/>
    <w:rsid w:val="00A9253A"/>
    <w:pPr>
      <w:spacing w:after="0"/>
    </w:pPr>
  </w:style>
  <w:style w:type="paragraph" w:styleId="TOC6">
    <w:name w:val="toc 6"/>
    <w:basedOn w:val="TOC5"/>
    <w:next w:val="Normal"/>
    <w:rsid w:val="00A9253A"/>
    <w:pPr>
      <w:ind w:left="1985" w:hanging="1985"/>
    </w:pPr>
  </w:style>
  <w:style w:type="paragraph" w:styleId="TOC7">
    <w:name w:val="toc 7"/>
    <w:basedOn w:val="TOC6"/>
    <w:next w:val="Normal"/>
    <w:rsid w:val="00A9253A"/>
    <w:pPr>
      <w:ind w:left="2268" w:hanging="2268"/>
    </w:pPr>
  </w:style>
  <w:style w:type="paragraph" w:styleId="ListBullet2">
    <w:name w:val="List Bullet 2"/>
    <w:qFormat/>
    <w:rsid w:val="00A9253A"/>
    <w:pPr>
      <w:widowControl w:val="0"/>
      <w:overflowPunct w:val="0"/>
      <w:spacing w:after="200" w:line="276" w:lineRule="auto"/>
      <w:ind w:left="851"/>
    </w:pPr>
    <w:rPr>
      <w:color w:val="00000A"/>
    </w:rPr>
  </w:style>
  <w:style w:type="paragraph" w:styleId="ListBullet">
    <w:name w:val="List Bullet"/>
    <w:basedOn w:val="List"/>
    <w:qFormat/>
    <w:rsid w:val="00A9253A"/>
  </w:style>
  <w:style w:type="paragraph" w:styleId="ListBullet3">
    <w:name w:val="List Bullet 3"/>
    <w:basedOn w:val="List"/>
    <w:qFormat/>
    <w:rsid w:val="00A9253A"/>
    <w:pPr>
      <w:ind w:left="851"/>
    </w:pPr>
  </w:style>
  <w:style w:type="paragraph" w:customStyle="1" w:styleId="EQ">
    <w:name w:val="EQ"/>
    <w:basedOn w:val="Normal"/>
    <w:next w:val="Normal"/>
    <w:qFormat/>
    <w:rsid w:val="00A9253A"/>
    <w:pPr>
      <w:keepLines/>
      <w:tabs>
        <w:tab w:val="center" w:pos="4536"/>
        <w:tab w:val="right" w:pos="9072"/>
      </w:tabs>
    </w:pPr>
  </w:style>
  <w:style w:type="paragraph" w:customStyle="1" w:styleId="NF">
    <w:name w:val="NF"/>
    <w:basedOn w:val="NO"/>
    <w:qFormat/>
    <w:rsid w:val="00A9253A"/>
    <w:pPr>
      <w:keepNext/>
      <w:spacing w:after="0"/>
    </w:pPr>
    <w:rPr>
      <w:rFonts w:ascii="Arial" w:hAnsi="Arial"/>
      <w:sz w:val="18"/>
    </w:rPr>
  </w:style>
  <w:style w:type="paragraph" w:customStyle="1" w:styleId="PL">
    <w:name w:val="PL"/>
    <w:qFormat/>
    <w:rsid w:val="00A92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color w:val="00000A"/>
      <w:sz w:val="16"/>
    </w:rPr>
  </w:style>
  <w:style w:type="paragraph" w:customStyle="1" w:styleId="TAR">
    <w:name w:val="TAR"/>
    <w:basedOn w:val="TAL"/>
    <w:qFormat/>
    <w:rsid w:val="00A9253A"/>
    <w:pPr>
      <w:jc w:val="right"/>
    </w:pPr>
  </w:style>
  <w:style w:type="paragraph" w:customStyle="1" w:styleId="TAN">
    <w:name w:val="TAN"/>
    <w:basedOn w:val="TAL"/>
    <w:qFormat/>
    <w:rsid w:val="00A9253A"/>
    <w:pPr>
      <w:ind w:left="851" w:hanging="851"/>
    </w:pPr>
  </w:style>
  <w:style w:type="paragraph" w:customStyle="1" w:styleId="ZA">
    <w:name w:val="ZA"/>
    <w:qFormat/>
    <w:rsid w:val="00A9253A"/>
    <w:pPr>
      <w:widowControl w:val="0"/>
      <w:pBdr>
        <w:bottom w:val="single" w:sz="12" w:space="1" w:color="00000A"/>
      </w:pBdr>
      <w:overflowPunct w:val="0"/>
      <w:spacing w:after="200" w:line="276" w:lineRule="auto"/>
      <w:jc w:val="right"/>
      <w:textAlignment w:val="baseline"/>
    </w:pPr>
    <w:rPr>
      <w:rFonts w:ascii="Arial" w:hAnsi="Arial"/>
      <w:color w:val="00000A"/>
      <w:sz w:val="40"/>
    </w:rPr>
  </w:style>
  <w:style w:type="paragraph" w:customStyle="1" w:styleId="ZB">
    <w:name w:val="ZB"/>
    <w:qFormat/>
    <w:rsid w:val="00A9253A"/>
    <w:pPr>
      <w:widowControl w:val="0"/>
      <w:overflowPunct w:val="0"/>
      <w:spacing w:after="200" w:line="276" w:lineRule="auto"/>
      <w:ind w:right="28"/>
      <w:jc w:val="right"/>
      <w:textAlignment w:val="baseline"/>
    </w:pPr>
    <w:rPr>
      <w:rFonts w:ascii="Arial" w:hAnsi="Arial"/>
      <w:i/>
      <w:color w:val="00000A"/>
    </w:rPr>
  </w:style>
  <w:style w:type="paragraph" w:customStyle="1" w:styleId="ZD">
    <w:name w:val="ZD"/>
    <w:qFormat/>
    <w:rsid w:val="00A9253A"/>
    <w:pPr>
      <w:widowControl w:val="0"/>
      <w:overflowPunct w:val="0"/>
      <w:spacing w:after="200" w:line="276" w:lineRule="auto"/>
      <w:textAlignment w:val="baseline"/>
    </w:pPr>
    <w:rPr>
      <w:rFonts w:ascii="Arial" w:hAnsi="Arial"/>
      <w:color w:val="00000A"/>
      <w:sz w:val="32"/>
    </w:rPr>
  </w:style>
  <w:style w:type="paragraph" w:customStyle="1" w:styleId="ZU">
    <w:name w:val="ZU"/>
    <w:qFormat/>
    <w:rsid w:val="00A9253A"/>
    <w:pPr>
      <w:widowControl w:val="0"/>
      <w:pBdr>
        <w:top w:val="single" w:sz="12" w:space="1" w:color="00000A"/>
      </w:pBdr>
      <w:overflowPunct w:val="0"/>
      <w:spacing w:after="200" w:line="276" w:lineRule="auto"/>
      <w:jc w:val="right"/>
      <w:textAlignment w:val="baseline"/>
    </w:pPr>
    <w:rPr>
      <w:rFonts w:ascii="Arial" w:hAnsi="Arial"/>
      <w:color w:val="00000A"/>
    </w:rPr>
  </w:style>
  <w:style w:type="paragraph" w:customStyle="1" w:styleId="ZV">
    <w:name w:val="ZV"/>
    <w:basedOn w:val="ZU"/>
    <w:qFormat/>
    <w:rsid w:val="00A9253A"/>
  </w:style>
  <w:style w:type="paragraph" w:customStyle="1" w:styleId="ZG">
    <w:name w:val="ZG"/>
    <w:qFormat/>
    <w:rsid w:val="00A9253A"/>
    <w:pPr>
      <w:widowControl w:val="0"/>
      <w:overflowPunct w:val="0"/>
      <w:spacing w:after="200" w:line="276" w:lineRule="auto"/>
      <w:jc w:val="right"/>
      <w:textAlignment w:val="baseline"/>
    </w:pPr>
    <w:rPr>
      <w:rFonts w:ascii="Arial" w:hAnsi="Arial"/>
      <w:color w:val="00000A"/>
    </w:rPr>
  </w:style>
  <w:style w:type="paragraph" w:styleId="ListBullet4">
    <w:name w:val="List Bullet 4"/>
    <w:basedOn w:val="ListBullet3"/>
    <w:qFormat/>
    <w:rsid w:val="00A9253A"/>
    <w:pPr>
      <w:ind w:left="1418" w:firstLine="0"/>
    </w:pPr>
  </w:style>
  <w:style w:type="paragraph" w:styleId="ListBullet5">
    <w:name w:val="List Bullet 5"/>
    <w:basedOn w:val="ListBullet4"/>
    <w:qFormat/>
    <w:rsid w:val="00A9253A"/>
    <w:pPr>
      <w:ind w:left="1702"/>
    </w:pPr>
  </w:style>
  <w:style w:type="paragraph" w:customStyle="1" w:styleId="EditorsNote">
    <w:name w:val="Editor's Note"/>
    <w:basedOn w:val="NO"/>
    <w:qFormat/>
    <w:rsid w:val="00A9253A"/>
    <w:rPr>
      <w:color w:val="FF0000"/>
    </w:rPr>
  </w:style>
  <w:style w:type="paragraph" w:customStyle="1" w:styleId="B1">
    <w:name w:val="B1"/>
    <w:basedOn w:val="List"/>
    <w:qFormat/>
    <w:rsid w:val="00A9253A"/>
  </w:style>
  <w:style w:type="paragraph" w:customStyle="1" w:styleId="B2">
    <w:name w:val="B2"/>
    <w:basedOn w:val="ListBullet3"/>
    <w:qFormat/>
    <w:rsid w:val="00A9253A"/>
  </w:style>
  <w:style w:type="paragraph" w:customStyle="1" w:styleId="B3">
    <w:name w:val="B3"/>
    <w:basedOn w:val="ListBullet4"/>
    <w:qFormat/>
    <w:rsid w:val="00A9253A"/>
  </w:style>
  <w:style w:type="paragraph" w:customStyle="1" w:styleId="B4">
    <w:name w:val="B4"/>
    <w:basedOn w:val="ListBullet5"/>
    <w:qFormat/>
    <w:rsid w:val="00A9253A"/>
  </w:style>
  <w:style w:type="paragraph" w:customStyle="1" w:styleId="B5">
    <w:name w:val="B5"/>
    <w:basedOn w:val="ListNumber"/>
    <w:qFormat/>
    <w:rsid w:val="00A9253A"/>
  </w:style>
  <w:style w:type="paragraph" w:styleId="Footer">
    <w:name w:val="footer"/>
    <w:basedOn w:val="Header"/>
    <w:rsid w:val="00A9253A"/>
    <w:pPr>
      <w:jc w:val="center"/>
    </w:pPr>
    <w:rPr>
      <w:i/>
    </w:rPr>
  </w:style>
  <w:style w:type="paragraph" w:customStyle="1" w:styleId="ZTD">
    <w:name w:val="ZTD"/>
    <w:basedOn w:val="ZB"/>
    <w:qFormat/>
    <w:rsid w:val="00A9253A"/>
    <w:rPr>
      <w:i w:val="0"/>
      <w:sz w:val="40"/>
    </w:rPr>
  </w:style>
  <w:style w:type="paragraph" w:customStyle="1" w:styleId="CRCoverPage">
    <w:name w:val="CR Cover Page"/>
    <w:qFormat/>
    <w:rsid w:val="00A9253A"/>
    <w:pPr>
      <w:overflowPunct w:val="0"/>
      <w:spacing w:after="120" w:line="276" w:lineRule="auto"/>
    </w:pPr>
    <w:rPr>
      <w:rFonts w:ascii="Arial" w:eastAsia="MS Mincho" w:hAnsi="Arial"/>
      <w:color w:val="00000A"/>
      <w:lang w:val="en-GB"/>
    </w:rPr>
  </w:style>
  <w:style w:type="paragraph" w:styleId="CommentText">
    <w:name w:val="annotation text"/>
    <w:basedOn w:val="Normal"/>
    <w:qFormat/>
    <w:rsid w:val="00A9253A"/>
    <w:pPr>
      <w:overflowPunct/>
      <w:textAlignment w:val="auto"/>
    </w:pPr>
    <w:rPr>
      <w:rFonts w:eastAsia="MS Mincho"/>
    </w:rPr>
  </w:style>
  <w:style w:type="paragraph" w:styleId="BodyText2">
    <w:name w:val="Body Text 2"/>
    <w:basedOn w:val="Normal"/>
    <w:qFormat/>
    <w:rsid w:val="00A9253A"/>
    <w:pPr>
      <w:overflowPunct/>
      <w:textAlignment w:val="auto"/>
    </w:pPr>
    <w:rPr>
      <w:rFonts w:eastAsia="MS Mincho"/>
      <w:color w:val="FFFF00"/>
      <w:lang w:eastAsia="ja-JP"/>
    </w:rPr>
  </w:style>
  <w:style w:type="paragraph" w:customStyle="1" w:styleId="00BodyText">
    <w:name w:val="00 BodyText"/>
    <w:basedOn w:val="Normal"/>
    <w:qFormat/>
    <w:rsid w:val="00A9253A"/>
    <w:pPr>
      <w:overflowPunct/>
      <w:spacing w:after="220"/>
      <w:textAlignment w:val="auto"/>
    </w:pPr>
    <w:rPr>
      <w:rFonts w:ascii="Arial" w:hAnsi="Arial"/>
      <w:sz w:val="22"/>
      <w:lang w:val="en-US"/>
    </w:rPr>
  </w:style>
  <w:style w:type="paragraph" w:customStyle="1" w:styleId="11BodyText">
    <w:name w:val="11 BodyText"/>
    <w:basedOn w:val="Normal"/>
    <w:qFormat/>
    <w:rsid w:val="00A9253A"/>
    <w:pPr>
      <w:overflowPunct/>
      <w:spacing w:after="220"/>
      <w:ind w:left="1298"/>
      <w:textAlignment w:val="auto"/>
    </w:pPr>
    <w:rPr>
      <w:rFonts w:ascii="Arial" w:hAnsi="Arial"/>
      <w:sz w:val="22"/>
      <w:lang w:val="en-US"/>
    </w:rPr>
  </w:style>
  <w:style w:type="paragraph" w:customStyle="1" w:styleId="B6">
    <w:name w:val="B6"/>
    <w:basedOn w:val="B5"/>
    <w:qFormat/>
    <w:rsid w:val="00A9253A"/>
  </w:style>
  <w:style w:type="paragraph" w:styleId="DocumentMap">
    <w:name w:val="Document Map"/>
    <w:basedOn w:val="Normal"/>
    <w:qFormat/>
    <w:rsid w:val="00A9253A"/>
    <w:pPr>
      <w:shd w:val="clear" w:color="auto" w:fill="000080"/>
    </w:pPr>
    <w:rPr>
      <w:rFonts w:ascii="Tahoma" w:hAnsi="Tahoma" w:cs="Tahoma"/>
    </w:rPr>
  </w:style>
  <w:style w:type="paragraph" w:styleId="CommentSubject">
    <w:name w:val="annotation subject"/>
    <w:basedOn w:val="CommentText"/>
    <w:qFormat/>
    <w:rsid w:val="00A9253A"/>
    <w:pPr>
      <w:overflowPunct w:val="0"/>
      <w:textAlignment w:val="baseline"/>
    </w:pPr>
    <w:rPr>
      <w:rFonts w:eastAsia="Times New Roman"/>
      <w:b/>
      <w:bCs/>
    </w:rPr>
  </w:style>
  <w:style w:type="paragraph" w:styleId="BalloonText">
    <w:name w:val="Balloon Text"/>
    <w:basedOn w:val="Normal"/>
    <w:qFormat/>
    <w:rsid w:val="00A9253A"/>
    <w:rPr>
      <w:rFonts w:ascii="Tahoma" w:hAnsi="Tahoma" w:cs="Tahoma"/>
      <w:sz w:val="16"/>
      <w:szCs w:val="16"/>
    </w:rPr>
  </w:style>
  <w:style w:type="paragraph" w:customStyle="1" w:styleId="Doc-text2">
    <w:name w:val="Doc-text2"/>
    <w:basedOn w:val="Normal"/>
    <w:qFormat/>
    <w:rsid w:val="00A9253A"/>
    <w:pPr>
      <w:tabs>
        <w:tab w:val="left" w:pos="1622"/>
      </w:tabs>
      <w:overflowPunct/>
      <w:spacing w:after="0"/>
      <w:ind w:left="1622" w:hanging="363"/>
      <w:textAlignment w:val="auto"/>
    </w:pPr>
    <w:rPr>
      <w:rFonts w:ascii="Arial" w:eastAsia="MS Mincho" w:hAnsi="Arial"/>
      <w:szCs w:val="24"/>
      <w:lang w:eastAsia="en-GB"/>
    </w:rPr>
  </w:style>
  <w:style w:type="paragraph" w:styleId="Revision">
    <w:name w:val="Revision"/>
    <w:qFormat/>
    <w:rsid w:val="00A9253A"/>
    <w:pPr>
      <w:overflowPunct w:val="0"/>
      <w:spacing w:after="200" w:line="276" w:lineRule="auto"/>
    </w:pPr>
    <w:rPr>
      <w:rFonts w:ascii="Times New Roman" w:hAnsi="Times New Roman"/>
      <w:color w:val="00000A"/>
      <w:lang w:val="en-GB"/>
    </w:rPr>
  </w:style>
  <w:style w:type="paragraph" w:styleId="ListParagraph">
    <w:name w:val="List Paragraph"/>
    <w:basedOn w:val="Normal"/>
    <w:qFormat/>
    <w:rsid w:val="00A9253A"/>
    <w:pPr>
      <w:overflowPunct/>
      <w:spacing w:after="0"/>
      <w:ind w:left="720"/>
      <w:contextualSpacing/>
      <w:textAlignment w:val="auto"/>
    </w:pPr>
    <w:rPr>
      <w:sz w:val="24"/>
      <w:szCs w:val="24"/>
      <w:lang w:val="fi-FI" w:eastAsia="zh-CN"/>
    </w:rPr>
  </w:style>
  <w:style w:type="paragraph" w:customStyle="1" w:styleId="owapara">
    <w:name w:val="owapara"/>
    <w:basedOn w:val="Normal"/>
    <w:qFormat/>
    <w:rsid w:val="00A9253A"/>
    <w:pPr>
      <w:overflowPunct/>
      <w:spacing w:after="0"/>
      <w:textAlignment w:val="auto"/>
    </w:pPr>
    <w:rPr>
      <w:rFonts w:eastAsia="Calibri"/>
      <w:sz w:val="24"/>
      <w:szCs w:val="24"/>
      <w:lang w:val="en-US"/>
    </w:rPr>
  </w:style>
  <w:style w:type="paragraph" w:customStyle="1" w:styleId="LGTdoc">
    <w:name w:val="LGTdoc_본문"/>
    <w:basedOn w:val="Normal"/>
    <w:qFormat/>
    <w:rsid w:val="00A9253A"/>
    <w:pPr>
      <w:widowControl w:val="0"/>
      <w:overflowPunct/>
      <w:snapToGrid w:val="0"/>
      <w:spacing w:after="120" w:line="264" w:lineRule="auto"/>
      <w:jc w:val="both"/>
      <w:textAlignment w:val="auto"/>
    </w:pPr>
    <w:rPr>
      <w:rFonts w:eastAsia="Batang"/>
      <w:sz w:val="22"/>
      <w:szCs w:val="24"/>
      <w:lang w:eastAsia="ko-KR"/>
    </w:rPr>
  </w:style>
  <w:style w:type="paragraph" w:styleId="NormalWeb">
    <w:name w:val="Normal (Web)"/>
    <w:basedOn w:val="Normal"/>
    <w:qFormat/>
    <w:rsid w:val="00A9253A"/>
    <w:pPr>
      <w:overflowPunct/>
      <w:spacing w:before="280" w:after="280"/>
      <w:textAlignment w:val="auto"/>
    </w:pPr>
    <w:rPr>
      <w:sz w:val="24"/>
      <w:szCs w:val="24"/>
      <w:lang w:val="en-US"/>
    </w:rPr>
  </w:style>
  <w:style w:type="paragraph" w:customStyle="1" w:styleId="references">
    <w:name w:val="references"/>
    <w:qFormat/>
    <w:rsid w:val="00A9253A"/>
    <w:pPr>
      <w:overflowPunct w:val="0"/>
      <w:spacing w:after="50" w:line="180" w:lineRule="exact"/>
      <w:jc w:val="both"/>
    </w:pPr>
    <w:rPr>
      <w:rFonts w:ascii="Times New Roman" w:eastAsia="MS Mincho" w:hAnsi="Times New Roman"/>
      <w:color w:val="00000A"/>
      <w:sz w:val="16"/>
      <w:szCs w:val="16"/>
    </w:rPr>
  </w:style>
  <w:style w:type="paragraph" w:customStyle="1" w:styleId="FrameContents">
    <w:name w:val="Frame Contents"/>
    <w:basedOn w:val="Normal"/>
    <w:qFormat/>
    <w:rsid w:val="00A9253A"/>
  </w:style>
  <w:style w:type="paragraph" w:customStyle="1" w:styleId="TableContents">
    <w:name w:val="Table Contents"/>
    <w:basedOn w:val="Normal"/>
    <w:qFormat/>
    <w:rsid w:val="00A9253A"/>
  </w:style>
  <w:style w:type="numbering" w:customStyle="1" w:styleId="StyleBulleted">
    <w:name w:val="Style Bulleted"/>
    <w:rsid w:val="00AF5999"/>
    <w:pPr>
      <w:numPr>
        <w:numId w:val="6"/>
      </w:numPr>
    </w:pPr>
  </w:style>
  <w:style w:type="paragraph" w:customStyle="1" w:styleId="maintext">
    <w:name w:val="main text"/>
    <w:basedOn w:val="Normal"/>
    <w:link w:val="maintextChar"/>
    <w:qFormat/>
    <w:rsid w:val="00AF5999"/>
    <w:pPr>
      <w:overflowPunct/>
      <w:spacing w:before="60" w:after="60" w:line="288" w:lineRule="auto"/>
      <w:ind w:firstLineChars="200" w:firstLine="200"/>
      <w:jc w:val="both"/>
      <w:textAlignment w:val="auto"/>
    </w:pPr>
    <w:rPr>
      <w:rFonts w:eastAsia="Malgun Gothic"/>
      <w:color w:val="auto"/>
      <w:lang w:eastAsia="ko-KR"/>
    </w:rPr>
  </w:style>
  <w:style w:type="character" w:customStyle="1" w:styleId="maintextChar">
    <w:name w:val="main text Char"/>
    <w:link w:val="maintext"/>
    <w:qFormat/>
    <w:rsid w:val="00AF5999"/>
    <w:rPr>
      <w:rFonts w:ascii="Times New Roman" w:eastAsia="Malgun Gothic" w:hAnsi="Times New Roman"/>
      <w:lang w:val="en-GB" w:eastAsia="ko-KR"/>
    </w:rPr>
  </w:style>
  <w:style w:type="paragraph" w:customStyle="1" w:styleId="Figure">
    <w:name w:val="Figure"/>
    <w:basedOn w:val="Caption"/>
    <w:rsid w:val="00024B75"/>
    <w:pPr>
      <w:suppressLineNumbers/>
      <w:suppressAutoHyphens/>
      <w:overflowPunct/>
      <w:spacing w:line="240" w:lineRule="auto"/>
      <w:textAlignment w:val="auto"/>
    </w:pPr>
    <w:rPr>
      <w:rFonts w:ascii="Liberation Serif" w:eastAsia="Noto Sans CJK SC Regular" w:hAnsi="Liberation Serif" w:cs="FreeSans"/>
      <w:b w:val="0"/>
      <w:i/>
      <w:iCs/>
      <w:color w:val="auto"/>
      <w:kern w:val="1"/>
      <w:sz w:val="24"/>
      <w:szCs w:val="24"/>
      <w:lang w:val="en-IN" w:eastAsia="zh-CN" w:bidi="hi-IN"/>
    </w:rPr>
  </w:style>
  <w:style w:type="paragraph" w:customStyle="1" w:styleId="xmsonormal">
    <w:name w:val="x_msonormal"/>
    <w:basedOn w:val="Normal"/>
    <w:rsid w:val="002E26D9"/>
    <w:pPr>
      <w:overflowPunct/>
      <w:spacing w:after="0" w:line="240" w:lineRule="auto"/>
      <w:textAlignment w:val="auto"/>
    </w:pPr>
    <w:rPr>
      <w:rFonts w:eastAsiaTheme="minorHAnsi"/>
      <w:color w:val="aut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281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2CB64-7B8D-486B-95E0-44A3E3A7E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2114</Words>
  <Characters>12054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Chandrasekaran Mohandoss</cp:lastModifiedBy>
  <cp:revision>74</cp:revision>
  <cp:lastPrinted>2016-06-20T11:35:00Z</cp:lastPrinted>
  <dcterms:created xsi:type="dcterms:W3CDTF">2018-09-28T12:54:00Z</dcterms:created>
  <dcterms:modified xsi:type="dcterms:W3CDTF">2018-09-29T03:43:00Z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verageRating">
    <vt:lpwstr/>
  </property>
  <property fmtid="{D5CDD505-2E9C-101B-9397-08002B2CF9AE}" pid="4" name="Company">
    <vt:lpwstr>Nokia &amp; NSN</vt:lpwstr>
  </property>
  <property fmtid="{D5CDD505-2E9C-101B-9397-08002B2CF9AE}" pid="5" name="ContentTypeId">
    <vt:lpwstr>0x010100F72F5225BF40E546BD513D0BB4BDDD33</vt:lpwstr>
  </property>
  <property fmtid="{D5CDD505-2E9C-101B-9397-08002B2CF9AE}" pid="6" name="DocSecurity">
    <vt:i4>0</vt:i4>
  </property>
  <property fmtid="{D5CDD505-2E9C-101B-9397-08002B2CF9AE}" pid="7" name="HyperlinksChanged">
    <vt:bool>false</vt:bool>
  </property>
  <property fmtid="{D5CDD505-2E9C-101B-9397-08002B2CF9AE}" pid="8" name="LinksUpToDate">
    <vt:bool>false</vt:bool>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Enabled">
    <vt:lpwstr>False</vt:lpwstr>
  </property>
  <property fmtid="{D5CDD505-2E9C-101B-9397-08002B2CF9AE}" pid="11" name="MSIP_Label_46cc7c65-2b09-40ab-abef-d10548338a3b_Extended_MSFT_Method">
    <vt:lpwstr>Manual</vt:lpwstr>
  </property>
  <property fmtid="{D5CDD505-2E9C-101B-9397-08002B2CF9AE}" pid="12" name="MSIP_Label_46cc7c65-2b09-40ab-abef-d10548338a3b_Name">
    <vt:lpwstr>Nokia internal use</vt:lpwstr>
  </property>
  <property fmtid="{D5CDD505-2E9C-101B-9397-08002B2CF9AE}" pid="13" name="MSIP_Label_46cc7c65-2b09-40ab-abef-d10548338a3b_Owner">
    <vt:lpwstr>esa.tiirola@nokia-bell-labs.com</vt:lpwstr>
  </property>
  <property fmtid="{D5CDD505-2E9C-101B-9397-08002B2CF9AE}" pid="14" name="MSIP_Label_46cc7c65-2b09-40ab-abef-d10548338a3b_SetDate">
    <vt:lpwstr>2018-03-21T14:53:32.4813624+02:00</vt:lpwstr>
  </property>
  <property fmtid="{D5CDD505-2E9C-101B-9397-08002B2CF9AE}" pid="15" name="MSIP_Label_46cc7c65-2b09-40ab-abef-d10548338a3b_SiteId">
    <vt:lpwstr>5d471751-9675-428d-917b-70f44f9630b0</vt:lpwstr>
  </property>
  <property fmtid="{D5CDD505-2E9C-101B-9397-08002B2CF9AE}" pid="16" name="NokiaConfidentiality">
    <vt:lpwstr>Company Confidential</vt:lpwstr>
  </property>
  <property fmtid="{D5CDD505-2E9C-101B-9397-08002B2CF9AE}" pid="17" name="ScaleCrop">
    <vt:bool>false</vt:bool>
  </property>
  <property fmtid="{D5CDD505-2E9C-101B-9397-08002B2CF9AE}" pid="18" name="Sensitivity">
    <vt:lpwstr/>
  </property>
  <property fmtid="{D5CDD505-2E9C-101B-9397-08002B2CF9AE}" pid="19" name="ShareDoc">
    <vt:bool>false</vt:bool>
  </property>
  <property fmtid="{D5CDD505-2E9C-101B-9397-08002B2CF9AE}" pid="20" name="TaxKeyword">
    <vt:lpwstr/>
  </property>
  <property fmtid="{D5CDD505-2E9C-101B-9397-08002B2CF9AE}" pid="21" name="TitusGUID">
    <vt:lpwstr>9f671b5d-1979-403d-a18e-691f149d0763</vt:lpwstr>
  </property>
  <property fmtid="{D5CDD505-2E9C-101B-9397-08002B2CF9AE}" pid="22" name="_dlc_DocIdItemGuid">
    <vt:lpwstr>340e91a4-5e66-48ab-9e9c-0f0df3df2bf0</vt:lpwstr>
  </property>
</Properties>
</file>