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3D4BC" w14:textId="77885CF6" w:rsidR="004607C3" w:rsidRPr="008822B1" w:rsidRDefault="004607C3">
      <w:pPr>
        <w:pStyle w:val="Header"/>
        <w:tabs>
          <w:tab w:val="clear" w:pos="8306"/>
          <w:tab w:val="right" w:pos="7088"/>
          <w:tab w:val="right" w:pos="9781"/>
        </w:tabs>
        <w:rPr>
          <w:rFonts w:ascii="Arial" w:hAnsi="Arial" w:cs="Arial"/>
          <w:b/>
          <w:bCs/>
          <w:sz w:val="22"/>
        </w:rPr>
      </w:pPr>
      <w:bookmarkStart w:id="0" w:name="_Hlk521505144"/>
      <w:bookmarkEnd w:id="0"/>
      <w:r w:rsidRPr="008822B1">
        <w:rPr>
          <w:rFonts w:ascii="Arial" w:hAnsi="Arial" w:cs="Arial"/>
          <w:b/>
          <w:bCs/>
          <w:sz w:val="22"/>
        </w:rPr>
        <w:t>3GPP TSG</w:t>
      </w:r>
      <w:r w:rsidR="00F66669" w:rsidRPr="008822B1">
        <w:rPr>
          <w:rFonts w:ascii="Arial" w:hAnsi="Arial" w:cs="Arial"/>
          <w:b/>
          <w:bCs/>
          <w:sz w:val="22"/>
        </w:rPr>
        <w:t xml:space="preserve"> </w:t>
      </w:r>
      <w:r w:rsidR="006513DA" w:rsidRPr="008822B1">
        <w:rPr>
          <w:rFonts w:ascii="Arial" w:hAnsi="Arial" w:cs="Arial"/>
          <w:b/>
          <w:bCs/>
          <w:sz w:val="22"/>
        </w:rPr>
        <w:t>RAN</w:t>
      </w:r>
      <w:r w:rsidR="00F66669" w:rsidRPr="008822B1">
        <w:rPr>
          <w:rFonts w:ascii="Arial" w:hAnsi="Arial" w:cs="Arial"/>
          <w:b/>
          <w:bCs/>
          <w:sz w:val="22"/>
        </w:rPr>
        <w:t xml:space="preserve"> WG</w:t>
      </w:r>
      <w:r w:rsidR="006513DA" w:rsidRPr="008822B1">
        <w:rPr>
          <w:rFonts w:ascii="Arial" w:hAnsi="Arial" w:cs="Arial"/>
          <w:b/>
          <w:bCs/>
          <w:sz w:val="22"/>
        </w:rPr>
        <w:t xml:space="preserve">1 </w:t>
      </w:r>
      <w:r w:rsidRPr="008822B1">
        <w:rPr>
          <w:rFonts w:ascii="Arial" w:hAnsi="Arial" w:cs="Arial"/>
          <w:b/>
          <w:bCs/>
          <w:sz w:val="22"/>
        </w:rPr>
        <w:t>Meeting #</w:t>
      </w:r>
      <w:r w:rsidR="006513DA" w:rsidRPr="008822B1">
        <w:rPr>
          <w:rFonts w:ascii="Arial" w:hAnsi="Arial" w:cs="Arial"/>
          <w:b/>
          <w:bCs/>
          <w:sz w:val="22"/>
        </w:rPr>
        <w:t>94</w:t>
      </w:r>
      <w:r w:rsidR="00566DA9" w:rsidRPr="008822B1">
        <w:rPr>
          <w:rFonts w:ascii="Arial" w:hAnsi="Arial" w:cs="Arial"/>
          <w:b/>
          <w:bCs/>
          <w:sz w:val="22"/>
        </w:rPr>
        <w:t>bis</w:t>
      </w:r>
      <w:r w:rsidRPr="008822B1">
        <w:rPr>
          <w:rFonts w:ascii="Arial" w:hAnsi="Arial" w:cs="Arial"/>
          <w:b/>
          <w:bCs/>
          <w:sz w:val="22"/>
        </w:rPr>
        <w:tab/>
      </w:r>
      <w:r w:rsidRPr="008822B1">
        <w:rPr>
          <w:rFonts w:ascii="Arial" w:hAnsi="Arial" w:cs="Arial"/>
          <w:b/>
          <w:bCs/>
          <w:sz w:val="22"/>
        </w:rPr>
        <w:tab/>
      </w:r>
      <w:r w:rsidRPr="008822B1">
        <w:rPr>
          <w:rFonts w:ascii="Arial" w:hAnsi="Arial" w:cs="Arial"/>
          <w:b/>
          <w:bCs/>
          <w:sz w:val="22"/>
        </w:rPr>
        <w:tab/>
      </w:r>
      <w:r w:rsidR="006513DA" w:rsidRPr="008822B1">
        <w:rPr>
          <w:rFonts w:ascii="Arial" w:hAnsi="Arial" w:cs="Arial"/>
          <w:b/>
          <w:bCs/>
          <w:sz w:val="22"/>
        </w:rPr>
        <w:t>R1-</w:t>
      </w:r>
      <w:r w:rsidR="00446E33" w:rsidRPr="00446E33">
        <w:t xml:space="preserve"> </w:t>
      </w:r>
      <w:r w:rsidR="00446E33" w:rsidRPr="00446E33">
        <w:rPr>
          <w:rFonts w:ascii="Arial" w:hAnsi="Arial" w:cs="Arial"/>
          <w:b/>
          <w:bCs/>
          <w:sz w:val="22"/>
        </w:rPr>
        <w:t>1811082</w:t>
      </w:r>
    </w:p>
    <w:p w14:paraId="16250126" w14:textId="0A9C87A5" w:rsidR="004607C3" w:rsidRPr="008822B1" w:rsidRDefault="00566DA9">
      <w:pPr>
        <w:pStyle w:val="Header"/>
        <w:tabs>
          <w:tab w:val="clear" w:pos="8306"/>
          <w:tab w:val="right" w:pos="9639"/>
        </w:tabs>
        <w:rPr>
          <w:rFonts w:ascii="Arial" w:hAnsi="Arial" w:cs="Arial"/>
          <w:b/>
          <w:bCs/>
          <w:sz w:val="22"/>
        </w:rPr>
      </w:pPr>
      <w:r w:rsidRPr="008822B1">
        <w:rPr>
          <w:rFonts w:ascii="Arial" w:hAnsi="Arial" w:cs="Arial"/>
          <w:b/>
          <w:bCs/>
          <w:sz w:val="22"/>
        </w:rPr>
        <w:t>Chengdu</w:t>
      </w:r>
      <w:r w:rsidR="005D20F1" w:rsidRPr="008822B1">
        <w:rPr>
          <w:rFonts w:ascii="Arial" w:hAnsi="Arial" w:cs="Arial"/>
          <w:b/>
          <w:bCs/>
          <w:sz w:val="22"/>
        </w:rPr>
        <w:t xml:space="preserve">, </w:t>
      </w:r>
      <w:r w:rsidRPr="008822B1">
        <w:rPr>
          <w:rFonts w:ascii="Arial" w:hAnsi="Arial" w:cs="Arial"/>
          <w:b/>
          <w:bCs/>
          <w:sz w:val="22"/>
        </w:rPr>
        <w:t>China</w:t>
      </w:r>
      <w:r w:rsidR="005D20F1" w:rsidRPr="008822B1">
        <w:rPr>
          <w:rFonts w:ascii="Arial" w:hAnsi="Arial" w:cs="Arial"/>
          <w:b/>
          <w:bCs/>
          <w:sz w:val="22"/>
        </w:rPr>
        <w:t xml:space="preserve">, </w:t>
      </w:r>
      <w:r w:rsidRPr="008822B1">
        <w:rPr>
          <w:rFonts w:ascii="Arial" w:hAnsi="Arial" w:cs="Arial"/>
          <w:b/>
          <w:bCs/>
          <w:sz w:val="22"/>
        </w:rPr>
        <w:t>8-1</w:t>
      </w:r>
      <w:r w:rsidR="00C2413B">
        <w:rPr>
          <w:rFonts w:ascii="Arial" w:hAnsi="Arial" w:cs="Arial"/>
          <w:b/>
          <w:bCs/>
          <w:sz w:val="22"/>
        </w:rPr>
        <w:t>2</w:t>
      </w:r>
      <w:r w:rsidRPr="008822B1">
        <w:rPr>
          <w:rFonts w:ascii="Arial" w:hAnsi="Arial" w:cs="Arial"/>
          <w:b/>
          <w:bCs/>
          <w:sz w:val="22"/>
        </w:rPr>
        <w:t xml:space="preserve"> Oct</w:t>
      </w:r>
      <w:r w:rsidR="008822B1" w:rsidRPr="008822B1">
        <w:rPr>
          <w:rFonts w:ascii="Arial" w:hAnsi="Arial" w:cs="Arial"/>
          <w:b/>
          <w:bCs/>
          <w:sz w:val="22"/>
        </w:rPr>
        <w:t xml:space="preserve"> 2018</w:t>
      </w:r>
    </w:p>
    <w:p w14:paraId="24A9C1E8" w14:textId="77777777" w:rsidR="004607C3" w:rsidRPr="008822B1" w:rsidRDefault="004607C3">
      <w:pPr>
        <w:rPr>
          <w:rFonts w:ascii="Arial" w:hAnsi="Arial" w:cs="Arial"/>
        </w:rPr>
      </w:pPr>
    </w:p>
    <w:p w14:paraId="1F80B67A" w14:textId="27535A84" w:rsidR="00F66669" w:rsidRPr="008822B1" w:rsidRDefault="005D20F1" w:rsidP="005D20F1">
      <w:pPr>
        <w:spacing w:after="60"/>
        <w:ind w:left="1985" w:hanging="1985"/>
        <w:rPr>
          <w:rFonts w:ascii="Arial" w:hAnsi="Arial" w:cs="Arial"/>
          <w:lang w:val="en-US"/>
        </w:rPr>
      </w:pPr>
      <w:r w:rsidRPr="008822B1">
        <w:rPr>
          <w:rFonts w:ascii="Arial" w:hAnsi="Arial" w:cs="Arial"/>
          <w:b/>
        </w:rPr>
        <w:t>Agenda item</w:t>
      </w:r>
      <w:r w:rsidR="004607C3" w:rsidRPr="008822B1">
        <w:rPr>
          <w:rFonts w:ascii="Arial" w:hAnsi="Arial" w:cs="Arial"/>
          <w:b/>
        </w:rPr>
        <w:t>:</w:t>
      </w:r>
      <w:r w:rsidR="004607C3" w:rsidRPr="008822B1">
        <w:rPr>
          <w:rFonts w:ascii="Arial" w:hAnsi="Arial" w:cs="Arial"/>
          <w:b/>
        </w:rPr>
        <w:tab/>
      </w:r>
      <w:r w:rsidR="00F66669" w:rsidRPr="008822B1">
        <w:rPr>
          <w:rFonts w:ascii="Arial" w:hAnsi="Arial" w:cs="Arial"/>
          <w:lang w:val="en-US"/>
        </w:rPr>
        <w:t>7.2.2.4.</w:t>
      </w:r>
      <w:r w:rsidR="008822B1">
        <w:rPr>
          <w:rFonts w:ascii="Arial" w:hAnsi="Arial" w:cs="Arial"/>
          <w:lang w:val="en-US"/>
        </w:rPr>
        <w:t>4 (Potential enhancements for configured grants)</w:t>
      </w:r>
    </w:p>
    <w:p w14:paraId="27E52DF4" w14:textId="7CA76176" w:rsidR="00F66669" w:rsidRPr="008822B1" w:rsidRDefault="005D20F1">
      <w:pPr>
        <w:spacing w:after="60"/>
        <w:ind w:left="1985" w:hanging="1985"/>
        <w:rPr>
          <w:rFonts w:ascii="Arial" w:hAnsi="Arial" w:cs="Arial"/>
          <w:lang w:val="en-US"/>
        </w:rPr>
      </w:pPr>
      <w:r w:rsidRPr="008822B1">
        <w:rPr>
          <w:rFonts w:ascii="Arial" w:hAnsi="Arial" w:cs="Arial"/>
          <w:b/>
        </w:rPr>
        <w:t>Title:</w:t>
      </w:r>
      <w:r w:rsidRPr="008822B1">
        <w:rPr>
          <w:rFonts w:ascii="Arial" w:hAnsi="Arial" w:cs="Arial"/>
          <w:b/>
        </w:rPr>
        <w:tab/>
      </w:r>
      <w:r w:rsidR="00F66669" w:rsidRPr="008822B1">
        <w:rPr>
          <w:rFonts w:ascii="Arial" w:hAnsi="Arial" w:cs="Arial"/>
          <w:lang w:val="en-US"/>
        </w:rPr>
        <w:t xml:space="preserve">Discussion on </w:t>
      </w:r>
      <w:r w:rsidR="00566DA9" w:rsidRPr="008822B1">
        <w:rPr>
          <w:rFonts w:ascii="Arial" w:hAnsi="Arial" w:cs="Arial"/>
          <w:lang w:val="en-US"/>
        </w:rPr>
        <w:t>COT sharing for configured grants</w:t>
      </w:r>
    </w:p>
    <w:p w14:paraId="1E20B5FF" w14:textId="1849EDD0" w:rsidR="004607C3" w:rsidRPr="008822B1" w:rsidRDefault="004607C3">
      <w:pPr>
        <w:spacing w:after="60"/>
        <w:ind w:left="1985" w:hanging="1985"/>
        <w:rPr>
          <w:rFonts w:ascii="Arial" w:hAnsi="Arial" w:cs="Arial"/>
          <w:bCs/>
        </w:rPr>
      </w:pPr>
      <w:r w:rsidRPr="008822B1">
        <w:rPr>
          <w:rFonts w:ascii="Arial" w:hAnsi="Arial" w:cs="Arial"/>
          <w:b/>
        </w:rPr>
        <w:t>Source:</w:t>
      </w:r>
      <w:r w:rsidRPr="008822B1">
        <w:rPr>
          <w:rFonts w:ascii="Arial" w:hAnsi="Arial" w:cs="Arial"/>
          <w:bCs/>
          <w:color w:val="FF0000"/>
        </w:rPr>
        <w:tab/>
      </w:r>
      <w:r w:rsidR="00566DA9" w:rsidRPr="008822B1">
        <w:rPr>
          <w:rFonts w:ascii="Arial" w:hAnsi="Arial" w:cs="Arial"/>
          <w:bCs/>
        </w:rPr>
        <w:t>TCL Communications</w:t>
      </w:r>
    </w:p>
    <w:p w14:paraId="67F2AEA2" w14:textId="14E11F2A" w:rsidR="004607C3" w:rsidRPr="008822B1" w:rsidRDefault="005D20F1">
      <w:pPr>
        <w:spacing w:after="60"/>
        <w:ind w:left="1985" w:hanging="1985"/>
        <w:rPr>
          <w:rFonts w:ascii="Arial" w:hAnsi="Arial" w:cs="Arial"/>
          <w:bCs/>
        </w:rPr>
      </w:pPr>
      <w:r w:rsidRPr="008822B1">
        <w:rPr>
          <w:rFonts w:ascii="Arial" w:hAnsi="Arial" w:cs="Arial"/>
          <w:b/>
        </w:rPr>
        <w:t>Document for</w:t>
      </w:r>
      <w:r w:rsidR="004607C3" w:rsidRPr="008822B1">
        <w:rPr>
          <w:rFonts w:ascii="Arial" w:hAnsi="Arial" w:cs="Arial"/>
          <w:b/>
        </w:rPr>
        <w:t>:</w:t>
      </w:r>
      <w:r w:rsidR="004607C3" w:rsidRPr="008822B1">
        <w:rPr>
          <w:rFonts w:ascii="Arial" w:hAnsi="Arial" w:cs="Arial"/>
          <w:bCs/>
        </w:rPr>
        <w:tab/>
      </w:r>
      <w:r w:rsidR="00C153D0" w:rsidRPr="008822B1">
        <w:rPr>
          <w:rFonts w:ascii="Arial" w:hAnsi="Arial" w:cs="Arial"/>
          <w:lang w:val="en-US"/>
        </w:rPr>
        <w:t>Discussion</w:t>
      </w:r>
      <w:r w:rsidR="002C4D8C" w:rsidRPr="008822B1">
        <w:rPr>
          <w:rFonts w:ascii="Arial" w:hAnsi="Arial" w:cs="Arial"/>
          <w:lang w:val="en-US"/>
        </w:rPr>
        <w:t xml:space="preserve"> and Decision</w:t>
      </w:r>
    </w:p>
    <w:p w14:paraId="64226320" w14:textId="77777777" w:rsidR="004607C3" w:rsidRDefault="004607C3">
      <w:pPr>
        <w:pBdr>
          <w:bottom w:val="single" w:sz="4" w:space="1" w:color="auto"/>
        </w:pBdr>
        <w:rPr>
          <w:rFonts w:ascii="Arial" w:hAnsi="Arial" w:cs="Arial"/>
        </w:rPr>
      </w:pPr>
    </w:p>
    <w:p w14:paraId="1641C082" w14:textId="77777777" w:rsidR="004607C3" w:rsidRDefault="004607C3">
      <w:pPr>
        <w:rPr>
          <w:rFonts w:ascii="Arial" w:hAnsi="Arial" w:cs="Arial"/>
        </w:rPr>
      </w:pPr>
    </w:p>
    <w:p w14:paraId="7382F4B2" w14:textId="7AA65145" w:rsidR="004607C3" w:rsidRDefault="005D20F1" w:rsidP="009C6353">
      <w:pPr>
        <w:pStyle w:val="Heading2"/>
        <w:numPr>
          <w:ilvl w:val="0"/>
          <w:numId w:val="16"/>
        </w:numPr>
      </w:pPr>
      <w:r>
        <w:t>Introduction</w:t>
      </w:r>
    </w:p>
    <w:p w14:paraId="10DEC3C5" w14:textId="77777777" w:rsidR="002817E3" w:rsidRDefault="002817E3" w:rsidP="002817E3">
      <w:pPr>
        <w:rPr>
          <w:bCs/>
        </w:rPr>
      </w:pPr>
    </w:p>
    <w:p w14:paraId="4D091CA1" w14:textId="6ED41E9F" w:rsidR="002817E3" w:rsidRPr="00893BC4" w:rsidRDefault="002817E3" w:rsidP="002817E3">
      <w:pPr>
        <w:rPr>
          <w:bCs/>
          <w:sz w:val="22"/>
        </w:rPr>
      </w:pPr>
      <w:r w:rsidRPr="00893BC4">
        <w:rPr>
          <w:bCs/>
          <w:sz w:val="22"/>
        </w:rPr>
        <w:t>The revised NR-U study item [1] includes the following objectives:</w:t>
      </w:r>
    </w:p>
    <w:p w14:paraId="719C31F0" w14:textId="77777777" w:rsidR="002817E3" w:rsidRPr="00893BC4" w:rsidRDefault="002817E3" w:rsidP="002817E3">
      <w:pPr>
        <w:rPr>
          <w:bCs/>
          <w:sz w:val="22"/>
        </w:rPr>
      </w:pPr>
    </w:p>
    <w:p w14:paraId="1034C225" w14:textId="77777777" w:rsidR="002817E3" w:rsidRPr="00893BC4" w:rsidRDefault="002817E3" w:rsidP="002817E3">
      <w:pPr>
        <w:numPr>
          <w:ilvl w:val="0"/>
          <w:numId w:val="13"/>
        </w:numPr>
        <w:overflowPunct w:val="0"/>
        <w:autoSpaceDE w:val="0"/>
        <w:autoSpaceDN w:val="0"/>
        <w:adjustRightInd w:val="0"/>
        <w:textAlignment w:val="baseline"/>
        <w:rPr>
          <w:bCs/>
          <w:sz w:val="22"/>
          <w:lang w:val="en-US"/>
        </w:rPr>
      </w:pPr>
      <w:r w:rsidRPr="00893BC4">
        <w:rPr>
          <w:bCs/>
          <w:sz w:val="22"/>
          <w:lang w:val="en-US"/>
        </w:rPr>
        <w:t xml:space="preserve">Study NR-based operation in unlicensed spectrum (RAN1, RAN2, RAN4) including </w:t>
      </w:r>
    </w:p>
    <w:p w14:paraId="5308C5F4" w14:textId="77777777" w:rsidR="002817E3" w:rsidRPr="00893BC4" w:rsidRDefault="002817E3" w:rsidP="002817E3">
      <w:pPr>
        <w:numPr>
          <w:ilvl w:val="1"/>
          <w:numId w:val="14"/>
        </w:numPr>
        <w:overflowPunct w:val="0"/>
        <w:autoSpaceDE w:val="0"/>
        <w:autoSpaceDN w:val="0"/>
        <w:adjustRightInd w:val="0"/>
        <w:textAlignment w:val="baseline"/>
        <w:rPr>
          <w:bCs/>
          <w:sz w:val="22"/>
          <w:lang w:val="en-US"/>
        </w:rPr>
      </w:pPr>
      <w:r w:rsidRPr="00893BC4">
        <w:rPr>
          <w:bCs/>
          <w:sz w:val="22"/>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29F0A8B" w14:textId="77777777" w:rsidR="002817E3" w:rsidRPr="00893BC4" w:rsidRDefault="002817E3" w:rsidP="002817E3">
      <w:pPr>
        <w:numPr>
          <w:ilvl w:val="2"/>
          <w:numId w:val="14"/>
        </w:numPr>
        <w:overflowPunct w:val="0"/>
        <w:autoSpaceDE w:val="0"/>
        <w:autoSpaceDN w:val="0"/>
        <w:adjustRightInd w:val="0"/>
        <w:textAlignment w:val="baseline"/>
        <w:rPr>
          <w:bCs/>
          <w:sz w:val="22"/>
          <w:lang w:val="en-US"/>
        </w:rPr>
      </w:pPr>
      <w:r w:rsidRPr="00893BC4">
        <w:rPr>
          <w:bCs/>
          <w:sz w:val="22"/>
          <w:lang w:val="en-US"/>
        </w:rPr>
        <w:t>Consider unlicensed bands below 7GHz</w:t>
      </w:r>
    </w:p>
    <w:p w14:paraId="7A64355C" w14:textId="77777777" w:rsidR="002817E3" w:rsidRPr="00893BC4" w:rsidRDefault="002817E3" w:rsidP="002817E3">
      <w:pPr>
        <w:numPr>
          <w:ilvl w:val="2"/>
          <w:numId w:val="14"/>
        </w:numPr>
        <w:overflowPunct w:val="0"/>
        <w:autoSpaceDE w:val="0"/>
        <w:autoSpaceDN w:val="0"/>
        <w:adjustRightInd w:val="0"/>
        <w:textAlignment w:val="baseline"/>
        <w:rPr>
          <w:bCs/>
          <w:sz w:val="22"/>
          <w:lang w:val="en-US"/>
        </w:rPr>
      </w:pPr>
      <w:r w:rsidRPr="00893BC4">
        <w:rPr>
          <w:rFonts w:hint="eastAsia"/>
          <w:bCs/>
          <w:sz w:val="22"/>
          <w:lang w:val="en-US" w:eastAsia="zh-CN"/>
        </w:rPr>
        <w:t xml:space="preserve">Consider similar forward compatibility </w:t>
      </w:r>
      <w:r w:rsidRPr="00893BC4">
        <w:rPr>
          <w:bCs/>
          <w:sz w:val="22"/>
          <w:lang w:val="en-US" w:eastAsia="zh-CN"/>
        </w:rPr>
        <w:t>principles</w:t>
      </w:r>
      <w:r w:rsidRPr="00893BC4">
        <w:rPr>
          <w:rFonts w:hint="eastAsia"/>
          <w:bCs/>
          <w:sz w:val="22"/>
          <w:lang w:val="en-US" w:eastAsia="zh-CN"/>
        </w:rPr>
        <w:t xml:space="preserve"> made in the NR WI</w:t>
      </w:r>
      <w:r w:rsidRPr="00893BC4">
        <w:rPr>
          <w:bCs/>
          <w:sz w:val="22"/>
          <w:lang w:val="en-US"/>
        </w:rPr>
        <w:t xml:space="preserve"> </w:t>
      </w:r>
    </w:p>
    <w:p w14:paraId="715FF378" w14:textId="77777777" w:rsidR="002817E3" w:rsidRPr="00893BC4" w:rsidRDefault="002817E3" w:rsidP="002817E3">
      <w:pPr>
        <w:numPr>
          <w:ilvl w:val="1"/>
          <w:numId w:val="14"/>
        </w:numPr>
        <w:overflowPunct w:val="0"/>
        <w:autoSpaceDE w:val="0"/>
        <w:autoSpaceDN w:val="0"/>
        <w:adjustRightInd w:val="0"/>
        <w:textAlignment w:val="baseline"/>
        <w:rPr>
          <w:bCs/>
          <w:sz w:val="22"/>
        </w:rPr>
      </w:pPr>
      <w:r w:rsidRPr="00893BC4">
        <w:rPr>
          <w:bCs/>
          <w:sz w:val="22"/>
        </w:rPr>
        <w:t>Initial access, channel access. Scheduling/HARQ, and mobility including connected/inactive/idle mode operation and radio-link monitoring/failure</w:t>
      </w:r>
    </w:p>
    <w:p w14:paraId="090C35E9" w14:textId="77777777" w:rsidR="002817E3" w:rsidRPr="00893BC4" w:rsidRDefault="002817E3" w:rsidP="002817E3">
      <w:pPr>
        <w:numPr>
          <w:ilvl w:val="1"/>
          <w:numId w:val="14"/>
        </w:numPr>
        <w:overflowPunct w:val="0"/>
        <w:autoSpaceDE w:val="0"/>
        <w:autoSpaceDN w:val="0"/>
        <w:adjustRightInd w:val="0"/>
        <w:textAlignment w:val="baseline"/>
        <w:rPr>
          <w:bCs/>
          <w:sz w:val="22"/>
          <w:lang w:val="en-US"/>
        </w:rPr>
      </w:pPr>
      <w:r w:rsidRPr="00893BC4">
        <w:rPr>
          <w:bCs/>
          <w:sz w:val="22"/>
          <w:lang w:val="en-US"/>
        </w:rPr>
        <w:t xml:space="preserve">Coexistence methods within NR-based and between NR-based operation in unlicensed and LTE-based LAA and with other incumbent RATs in accordance with regulatory requirements in e.g., 5GHz, 6GHz bands </w:t>
      </w:r>
    </w:p>
    <w:p w14:paraId="347CF41A" w14:textId="77777777" w:rsidR="002817E3" w:rsidRPr="00893BC4" w:rsidRDefault="002817E3" w:rsidP="002817E3">
      <w:pPr>
        <w:numPr>
          <w:ilvl w:val="2"/>
          <w:numId w:val="14"/>
        </w:numPr>
        <w:overflowPunct w:val="0"/>
        <w:autoSpaceDE w:val="0"/>
        <w:autoSpaceDN w:val="0"/>
        <w:adjustRightInd w:val="0"/>
        <w:textAlignment w:val="baseline"/>
        <w:rPr>
          <w:bCs/>
          <w:sz w:val="22"/>
          <w:lang w:val="en-US"/>
        </w:rPr>
      </w:pPr>
      <w:r w:rsidRPr="00893BC4">
        <w:rPr>
          <w:bCs/>
          <w:sz w:val="22"/>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6F092BB" w14:textId="77777777" w:rsidR="002817E3" w:rsidRPr="00893BC4" w:rsidRDefault="002817E3" w:rsidP="00422D97">
      <w:pPr>
        <w:rPr>
          <w:sz w:val="22"/>
        </w:rPr>
      </w:pPr>
    </w:p>
    <w:p w14:paraId="2A437A1C" w14:textId="58E23B4F" w:rsidR="00422D97" w:rsidRPr="00893BC4" w:rsidRDefault="00422D97" w:rsidP="00422D97">
      <w:pPr>
        <w:rPr>
          <w:sz w:val="22"/>
        </w:rPr>
      </w:pPr>
      <w:r w:rsidRPr="00893BC4">
        <w:rPr>
          <w:sz w:val="22"/>
        </w:rPr>
        <w:t>In previous RAN 1 meeting, the following agreements have been reached concerning certain aspects of NR-U:</w:t>
      </w:r>
    </w:p>
    <w:p w14:paraId="03287DC3" w14:textId="77777777" w:rsidR="00422D97" w:rsidRPr="00893BC4" w:rsidRDefault="00422D97" w:rsidP="00422D97">
      <w:pPr>
        <w:rPr>
          <w:sz w:val="22"/>
        </w:rPr>
      </w:pPr>
    </w:p>
    <w:p w14:paraId="455C6021" w14:textId="28421A42" w:rsidR="003E53C1" w:rsidRPr="00893BC4" w:rsidRDefault="003E53C1" w:rsidP="003E53C1">
      <w:pPr>
        <w:rPr>
          <w:sz w:val="22"/>
        </w:rPr>
      </w:pPr>
      <w:r w:rsidRPr="00893BC4">
        <w:rPr>
          <w:sz w:val="22"/>
        </w:rPr>
        <w:t>RAN 1 #92bis meeting</w:t>
      </w:r>
      <w:r w:rsidR="00295CA5" w:rsidRPr="00893BC4">
        <w:rPr>
          <w:sz w:val="22"/>
        </w:rPr>
        <w:t xml:space="preserve"> [</w:t>
      </w:r>
      <w:r w:rsidR="00E2041F" w:rsidRPr="00893BC4">
        <w:rPr>
          <w:sz w:val="22"/>
        </w:rPr>
        <w:t>2</w:t>
      </w:r>
      <w:r w:rsidR="00295CA5" w:rsidRPr="00893BC4">
        <w:rPr>
          <w:sz w:val="22"/>
        </w:rPr>
        <w:t>]</w:t>
      </w:r>
    </w:p>
    <w:p w14:paraId="4AC9C33F" w14:textId="12DEDCF0" w:rsidR="003E53C1" w:rsidRPr="00893BC4" w:rsidRDefault="003E53C1" w:rsidP="003E53C1">
      <w:pPr>
        <w:rPr>
          <w:sz w:val="22"/>
          <w:highlight w:val="green"/>
        </w:rPr>
      </w:pPr>
      <w:r w:rsidRPr="00893BC4">
        <w:rPr>
          <w:sz w:val="22"/>
          <w:highlight w:val="green"/>
        </w:rPr>
        <w:t>Agreement:</w:t>
      </w:r>
    </w:p>
    <w:p w14:paraId="327F690B" w14:textId="77777777" w:rsidR="00B471E4" w:rsidRPr="00850011" w:rsidRDefault="00B471E4" w:rsidP="00B471E4">
      <w:pPr>
        <w:widowControl w:val="0"/>
        <w:numPr>
          <w:ilvl w:val="0"/>
          <w:numId w:val="9"/>
        </w:numPr>
        <w:jc w:val="both"/>
        <w:rPr>
          <w:sz w:val="22"/>
          <w:highlight w:val="yellow"/>
        </w:rPr>
      </w:pPr>
      <w:r w:rsidRPr="00850011">
        <w:rPr>
          <w:sz w:val="22"/>
          <w:highlight w:val="yellow"/>
        </w:rPr>
        <w:t>Study changes needed for Configured Grant support in NR-U</w:t>
      </w:r>
    </w:p>
    <w:p w14:paraId="3954379B" w14:textId="77777777" w:rsidR="003E53C1" w:rsidRPr="00893BC4" w:rsidRDefault="003E53C1" w:rsidP="003E53C1">
      <w:pPr>
        <w:widowControl w:val="0"/>
        <w:numPr>
          <w:ilvl w:val="0"/>
          <w:numId w:val="9"/>
        </w:numPr>
        <w:jc w:val="both"/>
        <w:rPr>
          <w:sz w:val="22"/>
          <w:lang w:val="en-US"/>
        </w:rPr>
      </w:pPr>
      <w:r w:rsidRPr="00893BC4">
        <w:rPr>
          <w:sz w:val="22"/>
          <w:lang w:val="en-US"/>
        </w:rPr>
        <w:t xml:space="preserve">Baseline for study: If absence of Wi-Fi cannot be guaranteed (e.g. by regulation) in the band (sub-7 GHz) where NR-U is operating, the NR-U operating bandwidth is an integer multiple of 20MHz </w:t>
      </w:r>
    </w:p>
    <w:p w14:paraId="6EE6087A" w14:textId="77777777" w:rsidR="003E53C1" w:rsidRPr="00893BC4" w:rsidRDefault="003E53C1" w:rsidP="003E53C1">
      <w:pPr>
        <w:widowControl w:val="0"/>
        <w:numPr>
          <w:ilvl w:val="0"/>
          <w:numId w:val="9"/>
        </w:numPr>
        <w:jc w:val="both"/>
        <w:rPr>
          <w:sz w:val="22"/>
          <w:lang w:val="en-US"/>
        </w:rPr>
      </w:pPr>
      <w:r w:rsidRPr="00893BC4">
        <w:rPr>
          <w:sz w:val="22"/>
          <w:lang w:val="en-US"/>
        </w:rPr>
        <w:t xml:space="preserve">At least for band where absence of Wi-Fi cannot be guaranteed (e.g. by regulation), LBT can be performed in units of 20 MHz. </w:t>
      </w:r>
    </w:p>
    <w:p w14:paraId="09E021FD" w14:textId="77777777" w:rsidR="003E53C1" w:rsidRPr="00893BC4" w:rsidRDefault="003E53C1" w:rsidP="003E53C1">
      <w:pPr>
        <w:widowControl w:val="0"/>
        <w:numPr>
          <w:ilvl w:val="1"/>
          <w:numId w:val="9"/>
        </w:numPr>
        <w:jc w:val="both"/>
        <w:rPr>
          <w:sz w:val="22"/>
          <w:lang w:val="en-US"/>
        </w:rPr>
      </w:pPr>
      <w:r w:rsidRPr="00893BC4">
        <w:rPr>
          <w:sz w:val="22"/>
          <w:lang w:val="en-US"/>
        </w:rPr>
        <w:t>FFS: details on how to perform LBT for as single carrier with bandwidth greater than 20 MHz, i.e., integer multiples of 20 MHz.</w:t>
      </w:r>
    </w:p>
    <w:p w14:paraId="7684AF83" w14:textId="77777777" w:rsidR="003E53C1" w:rsidRPr="00850011" w:rsidRDefault="003E53C1" w:rsidP="003E53C1">
      <w:pPr>
        <w:widowControl w:val="0"/>
        <w:numPr>
          <w:ilvl w:val="0"/>
          <w:numId w:val="9"/>
        </w:numPr>
        <w:jc w:val="both"/>
        <w:rPr>
          <w:sz w:val="22"/>
          <w:highlight w:val="yellow"/>
          <w:lang w:val="en-US"/>
        </w:rPr>
      </w:pPr>
      <w:r w:rsidRPr="00850011">
        <w:rPr>
          <w:sz w:val="22"/>
          <w:highlight w:val="yellow"/>
          <w:lang w:val="en-US"/>
        </w:rPr>
        <w:t>Study whether or not the following techniques enhance performance beyond the baseline LBT mechanisms</w:t>
      </w:r>
    </w:p>
    <w:p w14:paraId="5B4E352A" w14:textId="77777777" w:rsidR="003E53C1" w:rsidRPr="00893BC4" w:rsidRDefault="003E53C1" w:rsidP="003E53C1">
      <w:pPr>
        <w:widowControl w:val="0"/>
        <w:numPr>
          <w:ilvl w:val="1"/>
          <w:numId w:val="9"/>
        </w:numPr>
        <w:jc w:val="both"/>
        <w:rPr>
          <w:sz w:val="22"/>
          <w:lang w:val="en-US"/>
        </w:rPr>
      </w:pPr>
      <w:r w:rsidRPr="00893BC4">
        <w:rPr>
          <w:sz w:val="22"/>
          <w:lang w:val="en-US"/>
        </w:rPr>
        <w:t>Techniques to cope with directional antennas/transmissions</w:t>
      </w:r>
    </w:p>
    <w:p w14:paraId="625A80C5" w14:textId="07534CA2" w:rsidR="003E53C1" w:rsidRPr="00893BC4" w:rsidRDefault="003E53C1" w:rsidP="003E53C1">
      <w:pPr>
        <w:widowControl w:val="0"/>
        <w:numPr>
          <w:ilvl w:val="1"/>
          <w:numId w:val="9"/>
        </w:numPr>
        <w:jc w:val="both"/>
        <w:rPr>
          <w:sz w:val="22"/>
          <w:lang w:val="en-US"/>
        </w:rPr>
      </w:pPr>
      <w:r w:rsidRPr="00893BC4">
        <w:rPr>
          <w:sz w:val="22"/>
          <w:lang w:val="en-US"/>
        </w:rPr>
        <w:t xml:space="preserve">Receiver assisted </w:t>
      </w:r>
      <w:r w:rsidR="00560E80" w:rsidRPr="00893BC4">
        <w:rPr>
          <w:sz w:val="22"/>
          <w:lang w:val="en-US"/>
        </w:rPr>
        <w:t>LBT:</w:t>
      </w:r>
      <w:r w:rsidRPr="00893BC4">
        <w:rPr>
          <w:sz w:val="22"/>
          <w:lang w:val="en-US"/>
        </w:rPr>
        <w:t xml:space="preserve"> RTS/CTS type mechanism</w:t>
      </w:r>
    </w:p>
    <w:p w14:paraId="450AF0B7" w14:textId="5CD2C637" w:rsidR="003E53C1" w:rsidRPr="00893BC4" w:rsidRDefault="003E53C1" w:rsidP="003E53C1">
      <w:pPr>
        <w:widowControl w:val="0"/>
        <w:numPr>
          <w:ilvl w:val="2"/>
          <w:numId w:val="9"/>
        </w:numPr>
        <w:jc w:val="both"/>
        <w:rPr>
          <w:sz w:val="22"/>
          <w:lang w:val="en-US"/>
        </w:rPr>
      </w:pPr>
      <w:r w:rsidRPr="00893BC4">
        <w:rPr>
          <w:sz w:val="22"/>
          <w:lang w:val="en-US"/>
        </w:rPr>
        <w:t xml:space="preserve">On-demand receiver assisted LBT: For </w:t>
      </w:r>
      <w:r w:rsidR="00560E80" w:rsidRPr="00893BC4">
        <w:rPr>
          <w:sz w:val="22"/>
          <w:lang w:val="en-US"/>
        </w:rPr>
        <w:t>example,</w:t>
      </w:r>
      <w:r w:rsidRPr="00893BC4">
        <w:rPr>
          <w:sz w:val="22"/>
          <w:lang w:val="en-US"/>
        </w:rPr>
        <w:t xml:space="preserve"> receiver assisted LBT enabled only when needed </w:t>
      </w:r>
    </w:p>
    <w:p w14:paraId="4FC16C94" w14:textId="77777777" w:rsidR="003E53C1" w:rsidRPr="00850011" w:rsidRDefault="003E53C1" w:rsidP="003E53C1">
      <w:pPr>
        <w:widowControl w:val="0"/>
        <w:numPr>
          <w:ilvl w:val="1"/>
          <w:numId w:val="9"/>
        </w:numPr>
        <w:jc w:val="both"/>
        <w:rPr>
          <w:sz w:val="22"/>
          <w:highlight w:val="yellow"/>
          <w:lang w:val="en-US"/>
        </w:rPr>
      </w:pPr>
      <w:r w:rsidRPr="00850011">
        <w:rPr>
          <w:sz w:val="22"/>
          <w:highlight w:val="yellow"/>
          <w:lang w:val="en-US"/>
        </w:rPr>
        <w:t xml:space="preserve">Techniques to enhance spatial reuse </w:t>
      </w:r>
    </w:p>
    <w:p w14:paraId="4A6F4A46" w14:textId="77777777" w:rsidR="003E53C1" w:rsidRPr="00893BC4" w:rsidRDefault="003E53C1" w:rsidP="003E53C1">
      <w:pPr>
        <w:widowControl w:val="0"/>
        <w:numPr>
          <w:ilvl w:val="1"/>
          <w:numId w:val="9"/>
        </w:numPr>
        <w:jc w:val="both"/>
        <w:rPr>
          <w:sz w:val="22"/>
          <w:lang w:val="en-US"/>
        </w:rPr>
      </w:pPr>
      <w:r w:rsidRPr="00893BC4">
        <w:rPr>
          <w:sz w:val="22"/>
          <w:lang w:val="en-US"/>
        </w:rPr>
        <w:t>Preamble detection</w:t>
      </w:r>
    </w:p>
    <w:p w14:paraId="2A813779" w14:textId="77777777" w:rsidR="003E53C1" w:rsidRPr="00893BC4" w:rsidRDefault="003E53C1" w:rsidP="003E53C1">
      <w:pPr>
        <w:widowControl w:val="0"/>
        <w:numPr>
          <w:ilvl w:val="1"/>
          <w:numId w:val="9"/>
        </w:numPr>
        <w:jc w:val="both"/>
        <w:rPr>
          <w:sz w:val="22"/>
          <w:lang w:val="en-US"/>
        </w:rPr>
      </w:pPr>
      <w:r w:rsidRPr="00893BC4">
        <w:rPr>
          <w:sz w:val="22"/>
          <w:lang w:val="en-US"/>
        </w:rPr>
        <w:t>Enhancements to baseline LBT mechanisms above 7 GHz</w:t>
      </w:r>
    </w:p>
    <w:p w14:paraId="3A39E0D8" w14:textId="77777777" w:rsidR="003E53C1" w:rsidRPr="00893BC4" w:rsidRDefault="003E53C1" w:rsidP="003E53C1">
      <w:pPr>
        <w:widowControl w:val="0"/>
        <w:numPr>
          <w:ilvl w:val="0"/>
          <w:numId w:val="9"/>
        </w:numPr>
        <w:jc w:val="both"/>
        <w:rPr>
          <w:sz w:val="22"/>
          <w:lang w:val="en-US"/>
        </w:rPr>
      </w:pPr>
      <w:r w:rsidRPr="00893BC4">
        <w:rPr>
          <w:sz w:val="22"/>
          <w:lang w:val="en-US"/>
        </w:rPr>
        <w:t xml:space="preserve">Note: LTE-LAA LBT mechanism are assumed as baseline for evaluations for 5GHz. </w:t>
      </w:r>
    </w:p>
    <w:p w14:paraId="597387AC" w14:textId="77777777" w:rsidR="003E53C1" w:rsidRPr="00893BC4" w:rsidRDefault="003E53C1" w:rsidP="003E53C1">
      <w:pPr>
        <w:widowControl w:val="0"/>
        <w:numPr>
          <w:ilvl w:val="0"/>
          <w:numId w:val="9"/>
        </w:numPr>
        <w:jc w:val="both"/>
        <w:rPr>
          <w:sz w:val="22"/>
          <w:lang w:val="en-US"/>
        </w:rPr>
      </w:pPr>
      <w:r w:rsidRPr="00893BC4">
        <w:rPr>
          <w:sz w:val="22"/>
          <w:lang w:val="en-US"/>
        </w:rPr>
        <w:t>Note: Other aspects are not precluded from being included</w:t>
      </w:r>
    </w:p>
    <w:p w14:paraId="4C746D7B" w14:textId="2998F023" w:rsidR="00295CA5" w:rsidRPr="00893BC4" w:rsidRDefault="00295CA5" w:rsidP="00295CA5">
      <w:pPr>
        <w:rPr>
          <w:sz w:val="22"/>
          <w:highlight w:val="green"/>
        </w:rPr>
      </w:pPr>
    </w:p>
    <w:p w14:paraId="207DC296" w14:textId="7D3FF48F" w:rsidR="002C4D8C" w:rsidRPr="00893BC4" w:rsidRDefault="006E3AC7" w:rsidP="006E3AC7">
      <w:pPr>
        <w:rPr>
          <w:sz w:val="22"/>
        </w:rPr>
      </w:pPr>
      <w:bookmarkStart w:id="1" w:name="_Hlk525901962"/>
      <w:r w:rsidRPr="00893BC4">
        <w:rPr>
          <w:sz w:val="22"/>
        </w:rPr>
        <w:t>RAN 1 #94 [</w:t>
      </w:r>
      <w:r w:rsidR="00087839" w:rsidRPr="00893BC4">
        <w:rPr>
          <w:sz w:val="22"/>
        </w:rPr>
        <w:t>3</w:t>
      </w:r>
      <w:r w:rsidRPr="00893BC4">
        <w:rPr>
          <w:sz w:val="22"/>
        </w:rPr>
        <w:t>]</w:t>
      </w:r>
    </w:p>
    <w:p w14:paraId="28523ED4" w14:textId="77777777" w:rsidR="006E3AC7" w:rsidRPr="001F2249" w:rsidRDefault="006E3AC7" w:rsidP="006E3AC7">
      <w:pPr>
        <w:rPr>
          <w:sz w:val="22"/>
          <w:lang w:eastAsia="x-none"/>
        </w:rPr>
      </w:pPr>
      <w:r w:rsidRPr="001F2249">
        <w:rPr>
          <w:sz w:val="22"/>
          <w:highlight w:val="green"/>
          <w:lang w:eastAsia="x-none"/>
        </w:rPr>
        <w:t>Agreement</w:t>
      </w:r>
      <w:r w:rsidRPr="001F2249">
        <w:rPr>
          <w:sz w:val="22"/>
          <w:lang w:eastAsia="x-none"/>
        </w:rPr>
        <w:t>:</w:t>
      </w:r>
    </w:p>
    <w:p w14:paraId="76411F28" w14:textId="77777777" w:rsidR="006E3AC7" w:rsidRPr="00850011" w:rsidRDefault="006E3AC7" w:rsidP="006E3AC7">
      <w:pPr>
        <w:rPr>
          <w:sz w:val="22"/>
          <w:lang w:eastAsia="x-none"/>
        </w:rPr>
      </w:pPr>
      <w:r w:rsidRPr="00850011">
        <w:rPr>
          <w:sz w:val="22"/>
          <w:highlight w:val="yellow"/>
          <w:lang w:eastAsia="x-none"/>
        </w:rPr>
        <w:t>It is identified to be beneficial to consider UE multiplexing and collision avoidance mechanisms between configured grant transmissions and between configured grant and scheduled grant transmissions.</w:t>
      </w:r>
      <w:r w:rsidRPr="00850011">
        <w:rPr>
          <w:sz w:val="22"/>
          <w:lang w:eastAsia="x-none"/>
        </w:rPr>
        <w:t xml:space="preserve"> </w:t>
      </w:r>
    </w:p>
    <w:p w14:paraId="3B55410F" w14:textId="77777777" w:rsidR="006E3AC7" w:rsidRPr="001F2249" w:rsidRDefault="006E3AC7" w:rsidP="006E3AC7">
      <w:pPr>
        <w:numPr>
          <w:ilvl w:val="0"/>
          <w:numId w:val="15"/>
        </w:numPr>
        <w:rPr>
          <w:sz w:val="22"/>
          <w:lang w:eastAsia="x-none"/>
        </w:rPr>
      </w:pPr>
      <w:r w:rsidRPr="001F2249">
        <w:rPr>
          <w:sz w:val="22"/>
          <w:lang w:eastAsia="x-none"/>
        </w:rPr>
        <w:lastRenderedPageBreak/>
        <w:t>FFS: detailed mechanism.</w:t>
      </w:r>
    </w:p>
    <w:bookmarkEnd w:id="1"/>
    <w:p w14:paraId="6D5D1DEF" w14:textId="77777777" w:rsidR="006E3AC7" w:rsidRPr="00893BC4" w:rsidRDefault="006E3AC7" w:rsidP="002C4D8C">
      <w:pPr>
        <w:spacing w:after="120"/>
        <w:rPr>
          <w:rFonts w:ascii="Arial" w:hAnsi="Arial" w:cs="Arial"/>
          <w:b/>
          <w:sz w:val="22"/>
        </w:rPr>
      </w:pPr>
    </w:p>
    <w:p w14:paraId="7AFE66FF" w14:textId="1784DDA8" w:rsidR="002C4D8C" w:rsidRPr="00893BC4" w:rsidRDefault="0094614B" w:rsidP="0094614B">
      <w:pPr>
        <w:rPr>
          <w:rFonts w:eastAsia="DengXian"/>
          <w:sz w:val="22"/>
          <w:lang w:val="en-US" w:eastAsia="zh-CN"/>
        </w:rPr>
      </w:pPr>
      <w:r w:rsidRPr="00893BC4">
        <w:rPr>
          <w:rFonts w:eastAsia="DengXian"/>
          <w:sz w:val="22"/>
          <w:lang w:val="en-US" w:eastAsia="zh-CN"/>
        </w:rPr>
        <w:t>In t</w:t>
      </w:r>
      <w:r w:rsidRPr="00893BC4">
        <w:rPr>
          <w:sz w:val="22"/>
          <w:lang w:val="en-US" w:eastAsia="zh-CN"/>
        </w:rPr>
        <w:t xml:space="preserve">his </w:t>
      </w:r>
      <w:r w:rsidRPr="00893BC4">
        <w:rPr>
          <w:rFonts w:eastAsia="DengXian"/>
          <w:sz w:val="22"/>
          <w:lang w:val="en-US" w:eastAsia="zh-CN"/>
        </w:rPr>
        <w:t xml:space="preserve">document, we discuss the access of the unlicensed spectrum by multiple users </w:t>
      </w:r>
      <w:r w:rsidR="00184B90" w:rsidRPr="00893BC4">
        <w:rPr>
          <w:rFonts w:eastAsia="DengXian"/>
          <w:sz w:val="22"/>
          <w:lang w:val="en-US" w:eastAsia="zh-CN"/>
        </w:rPr>
        <w:t>using configured grants.</w:t>
      </w:r>
      <w:r w:rsidRPr="00893BC4">
        <w:rPr>
          <w:rFonts w:eastAsia="DengXian"/>
          <w:sz w:val="22"/>
          <w:lang w:val="en-US" w:eastAsia="zh-CN"/>
        </w:rPr>
        <w:t xml:space="preserve">  </w:t>
      </w:r>
    </w:p>
    <w:p w14:paraId="1C11D7B0" w14:textId="77777777" w:rsidR="0094614B" w:rsidRPr="0094614B" w:rsidRDefault="0094614B" w:rsidP="0094614B">
      <w:pPr>
        <w:rPr>
          <w:lang w:val="en-US" w:eastAsia="zh-CN"/>
        </w:rPr>
      </w:pPr>
    </w:p>
    <w:p w14:paraId="113722DE" w14:textId="77777777" w:rsidR="004607C3" w:rsidRDefault="004607C3">
      <w:pPr>
        <w:pStyle w:val="Header"/>
        <w:tabs>
          <w:tab w:val="clear" w:pos="4153"/>
          <w:tab w:val="clear" w:pos="8306"/>
        </w:tabs>
        <w:rPr>
          <w:rFonts w:ascii="Arial" w:hAnsi="Arial" w:cs="Arial"/>
        </w:rPr>
      </w:pPr>
    </w:p>
    <w:p w14:paraId="69C77960" w14:textId="7A98DFFC" w:rsidR="006E3AC7" w:rsidRDefault="004519B2" w:rsidP="009C6353">
      <w:pPr>
        <w:pStyle w:val="Heading2"/>
        <w:numPr>
          <w:ilvl w:val="0"/>
          <w:numId w:val="16"/>
        </w:numPr>
      </w:pPr>
      <w:r>
        <w:t xml:space="preserve">Discussion on </w:t>
      </w:r>
      <w:r w:rsidR="006E3AC7">
        <w:t xml:space="preserve">Configured </w:t>
      </w:r>
      <w:r w:rsidR="00893BC4">
        <w:t>G</w:t>
      </w:r>
      <w:r w:rsidR="006E3AC7">
        <w:t>rants</w:t>
      </w:r>
      <w:r w:rsidR="009C6353">
        <w:t xml:space="preserve"> Multiplexing </w:t>
      </w:r>
    </w:p>
    <w:p w14:paraId="4E0ABEC4" w14:textId="60EC0651" w:rsidR="00326E04" w:rsidRDefault="00326E04" w:rsidP="00547FAE">
      <w:pPr>
        <w:pStyle w:val="Heading3"/>
      </w:pPr>
    </w:p>
    <w:p w14:paraId="59BB3B26" w14:textId="5BCC934D" w:rsidR="00326E04" w:rsidRPr="00310673" w:rsidRDefault="00893BC4" w:rsidP="00D23F0C">
      <w:pPr>
        <w:jc w:val="both"/>
        <w:rPr>
          <w:sz w:val="22"/>
          <w:szCs w:val="22"/>
        </w:rPr>
      </w:pPr>
      <w:r w:rsidRPr="00310673">
        <w:rPr>
          <w:sz w:val="22"/>
          <w:szCs w:val="22"/>
        </w:rPr>
        <w:t xml:space="preserve">NR-U is considering the use of Configured Grants (CG) operations </w:t>
      </w:r>
      <w:r w:rsidR="00AF7B5A" w:rsidRPr="00310673">
        <w:rPr>
          <w:sz w:val="22"/>
          <w:szCs w:val="22"/>
        </w:rPr>
        <w:t>for transmissio</w:t>
      </w:r>
      <w:bookmarkStart w:id="2" w:name="_GoBack"/>
      <w:bookmarkEnd w:id="2"/>
      <w:r w:rsidR="00AF7B5A" w:rsidRPr="00310673">
        <w:rPr>
          <w:sz w:val="22"/>
          <w:szCs w:val="22"/>
        </w:rPr>
        <w:t>ns</w:t>
      </w:r>
      <w:r w:rsidRPr="00310673">
        <w:rPr>
          <w:sz w:val="22"/>
          <w:szCs w:val="22"/>
        </w:rPr>
        <w:t xml:space="preserve"> on the unlicensed bands. CG refers to a preconfigured resource allocation that can be used by UL user</w:t>
      </w:r>
      <w:r w:rsidR="009B5EA6">
        <w:rPr>
          <w:sz w:val="22"/>
          <w:szCs w:val="22"/>
        </w:rPr>
        <w:t>s</w:t>
      </w:r>
      <w:r w:rsidRPr="00310673">
        <w:rPr>
          <w:sz w:val="22"/>
          <w:szCs w:val="22"/>
        </w:rPr>
        <w:t xml:space="preserve"> if they have data to transmit</w:t>
      </w:r>
      <w:r w:rsidR="00DE783F" w:rsidRPr="00310673">
        <w:rPr>
          <w:sz w:val="22"/>
          <w:szCs w:val="22"/>
        </w:rPr>
        <w:t xml:space="preserve"> without waiting for an explicit grant, that introduces significant delays.</w:t>
      </w:r>
    </w:p>
    <w:p w14:paraId="3410D51F" w14:textId="2526825E" w:rsidR="00893BC4" w:rsidRPr="00310673" w:rsidRDefault="00893BC4" w:rsidP="00D23F0C">
      <w:pPr>
        <w:jc w:val="both"/>
        <w:rPr>
          <w:sz w:val="22"/>
          <w:szCs w:val="22"/>
        </w:rPr>
      </w:pPr>
      <w:r w:rsidRPr="00310673">
        <w:rPr>
          <w:sz w:val="22"/>
          <w:szCs w:val="22"/>
        </w:rPr>
        <w:t xml:space="preserve">Two types of CG are being proposed, </w:t>
      </w:r>
      <w:r w:rsidR="00DE783F" w:rsidRPr="00310673">
        <w:rPr>
          <w:sz w:val="22"/>
          <w:szCs w:val="22"/>
        </w:rPr>
        <w:t xml:space="preserve">following LTE feLAA, </w:t>
      </w:r>
      <w:r w:rsidRPr="00310673">
        <w:rPr>
          <w:sz w:val="22"/>
          <w:szCs w:val="22"/>
        </w:rPr>
        <w:t xml:space="preserve">where type-1 CG are only based on RRC configurations; and type-2 </w:t>
      </w:r>
      <w:r w:rsidR="00DE783F" w:rsidRPr="00310673">
        <w:rPr>
          <w:sz w:val="22"/>
          <w:szCs w:val="22"/>
        </w:rPr>
        <w:t xml:space="preserve">CG that </w:t>
      </w:r>
      <w:r w:rsidRPr="00310673">
        <w:rPr>
          <w:sz w:val="22"/>
          <w:szCs w:val="22"/>
        </w:rPr>
        <w:t xml:space="preserve">couples both RRC configuration and L1 activation. </w:t>
      </w:r>
    </w:p>
    <w:p w14:paraId="5D78AAFC" w14:textId="125B61A0" w:rsidR="00893BC4" w:rsidRPr="00310673" w:rsidRDefault="00893BC4" w:rsidP="00D23F0C">
      <w:pPr>
        <w:jc w:val="both"/>
        <w:rPr>
          <w:sz w:val="22"/>
          <w:szCs w:val="22"/>
        </w:rPr>
      </w:pPr>
      <w:r w:rsidRPr="00310673">
        <w:rPr>
          <w:sz w:val="22"/>
          <w:szCs w:val="22"/>
        </w:rPr>
        <w:t>These RRC configurations are then semi-static, user-specific configurations used for UL data transmission</w:t>
      </w:r>
      <w:r w:rsidR="00AC1ADC">
        <w:rPr>
          <w:sz w:val="22"/>
          <w:szCs w:val="22"/>
        </w:rPr>
        <w:t>.</w:t>
      </w:r>
    </w:p>
    <w:p w14:paraId="062DD451" w14:textId="79BB8AD7" w:rsidR="00DE783F" w:rsidRPr="00310673" w:rsidRDefault="00DE783F" w:rsidP="00D23F0C">
      <w:pPr>
        <w:jc w:val="both"/>
        <w:rPr>
          <w:sz w:val="22"/>
          <w:szCs w:val="22"/>
        </w:rPr>
      </w:pPr>
    </w:p>
    <w:p w14:paraId="2ACA6014" w14:textId="36810447" w:rsidR="00D81CC5" w:rsidRPr="00310673" w:rsidRDefault="00D81CC5" w:rsidP="00D23F0C">
      <w:pPr>
        <w:jc w:val="both"/>
        <w:rPr>
          <w:sz w:val="22"/>
          <w:szCs w:val="22"/>
        </w:rPr>
      </w:pPr>
      <w:r w:rsidRPr="00310673">
        <w:rPr>
          <w:sz w:val="22"/>
          <w:szCs w:val="22"/>
        </w:rPr>
        <w:t xml:space="preserve">To maximise the use of the </w:t>
      </w:r>
      <w:r w:rsidR="00D23F0C" w:rsidRPr="00310673">
        <w:rPr>
          <w:sz w:val="22"/>
          <w:szCs w:val="22"/>
        </w:rPr>
        <w:t>unlicensed bands when one transmission is on-going, it has been identified in previous meeting</w:t>
      </w:r>
      <w:r w:rsidR="009B5EA6">
        <w:rPr>
          <w:sz w:val="22"/>
          <w:szCs w:val="22"/>
        </w:rPr>
        <w:t>s</w:t>
      </w:r>
      <w:r w:rsidR="00D23F0C" w:rsidRPr="00310673">
        <w:rPr>
          <w:sz w:val="22"/>
          <w:szCs w:val="22"/>
        </w:rPr>
        <w:t xml:space="preserve"> to consider UE multiplexing and collision avoidance mechanisms.</w:t>
      </w:r>
    </w:p>
    <w:p w14:paraId="1577903B" w14:textId="5825C9E7" w:rsidR="009E2EA8" w:rsidRPr="00310673" w:rsidRDefault="00D23F0C" w:rsidP="00D23F0C">
      <w:pPr>
        <w:jc w:val="both"/>
        <w:rPr>
          <w:sz w:val="22"/>
          <w:szCs w:val="22"/>
        </w:rPr>
      </w:pPr>
      <w:r w:rsidRPr="00310673">
        <w:rPr>
          <w:sz w:val="22"/>
          <w:szCs w:val="22"/>
        </w:rPr>
        <w:t>Focusing on UL transmissions with CG, we can consider having multiple configured grants UL resources that are multiplexed in frequency (</w:t>
      </w:r>
      <w:r w:rsidR="00DD0DC5">
        <w:rPr>
          <w:sz w:val="22"/>
          <w:szCs w:val="22"/>
        </w:rPr>
        <w:t>F</w:t>
      </w:r>
      <w:r w:rsidRPr="00310673">
        <w:rPr>
          <w:sz w:val="22"/>
          <w:szCs w:val="22"/>
        </w:rPr>
        <w:t xml:space="preserve">DM) or space (SDM). </w:t>
      </w:r>
    </w:p>
    <w:p w14:paraId="477238B6" w14:textId="77777777" w:rsidR="009129CC" w:rsidRPr="00310673" w:rsidRDefault="009129CC" w:rsidP="00D23F0C">
      <w:pPr>
        <w:jc w:val="both"/>
        <w:rPr>
          <w:sz w:val="22"/>
          <w:szCs w:val="22"/>
        </w:rPr>
      </w:pPr>
    </w:p>
    <w:p w14:paraId="444792E1" w14:textId="77777777" w:rsidR="009129CC" w:rsidRPr="00310673" w:rsidRDefault="009129CC" w:rsidP="009129CC">
      <w:pPr>
        <w:spacing w:after="120"/>
        <w:rPr>
          <w:b/>
          <w:sz w:val="22"/>
          <w:szCs w:val="22"/>
        </w:rPr>
      </w:pPr>
      <w:r w:rsidRPr="00310673">
        <w:rPr>
          <w:b/>
          <w:sz w:val="22"/>
          <w:szCs w:val="22"/>
        </w:rPr>
        <w:t xml:space="preserve">Proposition 1: </w:t>
      </w:r>
      <w:r w:rsidRPr="00AE6C68">
        <w:rPr>
          <w:sz w:val="22"/>
          <w:szCs w:val="22"/>
        </w:rPr>
        <w:t>NR-U should support FDM or SDM multiplexing for UL users through configured grants.</w:t>
      </w:r>
    </w:p>
    <w:p w14:paraId="1E38ACCB" w14:textId="463669BF" w:rsidR="009E2EA8" w:rsidRPr="00310673" w:rsidRDefault="007A486E" w:rsidP="009E2EA8">
      <w:pPr>
        <w:jc w:val="both"/>
        <w:rPr>
          <w:sz w:val="22"/>
          <w:szCs w:val="22"/>
        </w:rPr>
      </w:pPr>
      <w:r w:rsidRPr="00310673">
        <w:rPr>
          <w:sz w:val="22"/>
          <w:szCs w:val="22"/>
        </w:rPr>
        <w:t>To enable UL multiplexing on configured grants, i.e. allow a CG-based UL transmission to occur while another user is already transmitting</w:t>
      </w:r>
      <w:r w:rsidR="009E2EA8" w:rsidRPr="00310673">
        <w:rPr>
          <w:sz w:val="22"/>
          <w:szCs w:val="22"/>
        </w:rPr>
        <w:t>, the medium needs to be shared and so the COT of the ongoing transmission need</w:t>
      </w:r>
      <w:r w:rsidR="009B5EA6">
        <w:rPr>
          <w:sz w:val="22"/>
          <w:szCs w:val="22"/>
        </w:rPr>
        <w:t>s</w:t>
      </w:r>
      <w:r w:rsidR="009E2EA8" w:rsidRPr="00310673">
        <w:rPr>
          <w:sz w:val="22"/>
          <w:szCs w:val="22"/>
        </w:rPr>
        <w:t xml:space="preserve"> to be shared between the users that are multiplexed. </w:t>
      </w:r>
      <w:r w:rsidR="009129CC" w:rsidRPr="00310673">
        <w:rPr>
          <w:sz w:val="22"/>
          <w:szCs w:val="22"/>
        </w:rPr>
        <w:t xml:space="preserve">Users willing to transmit during configured grant resources would then have to compete with each other during the Clear Channel Assessment (CCA) phase, even within the same cell. A simple energy-detection based LBT would consider the channel busy and not allow a new transmission while another one is ongoing. </w:t>
      </w:r>
    </w:p>
    <w:p w14:paraId="14531C80" w14:textId="77777777" w:rsidR="009129CC" w:rsidRPr="00310673" w:rsidRDefault="009129CC" w:rsidP="009E2EA8">
      <w:pPr>
        <w:jc w:val="both"/>
        <w:rPr>
          <w:sz w:val="22"/>
          <w:szCs w:val="22"/>
        </w:rPr>
      </w:pPr>
    </w:p>
    <w:p w14:paraId="25038975" w14:textId="2BE215E9" w:rsidR="009129CC" w:rsidRPr="00310673" w:rsidRDefault="009129CC" w:rsidP="009E2EA8">
      <w:pPr>
        <w:jc w:val="both"/>
        <w:rPr>
          <w:b/>
          <w:sz w:val="22"/>
          <w:szCs w:val="22"/>
        </w:rPr>
      </w:pPr>
      <w:r w:rsidRPr="00310673">
        <w:rPr>
          <w:b/>
          <w:sz w:val="22"/>
          <w:szCs w:val="22"/>
        </w:rPr>
        <w:t xml:space="preserve">Observation: </w:t>
      </w:r>
      <w:r w:rsidRPr="00AE6C68">
        <w:rPr>
          <w:sz w:val="22"/>
          <w:szCs w:val="22"/>
        </w:rPr>
        <w:t>Energy-based LBT is not sufficient to enable UL multiplexing.</w:t>
      </w:r>
    </w:p>
    <w:p w14:paraId="55DEAE86" w14:textId="77777777" w:rsidR="009129CC" w:rsidRPr="00310673" w:rsidRDefault="009129CC" w:rsidP="009129CC">
      <w:pPr>
        <w:spacing w:after="120"/>
        <w:rPr>
          <w:b/>
          <w:sz w:val="22"/>
          <w:szCs w:val="22"/>
        </w:rPr>
      </w:pPr>
    </w:p>
    <w:p w14:paraId="086389EC" w14:textId="77777777" w:rsidR="00AE6C68" w:rsidRDefault="009129CC" w:rsidP="00AE6C68">
      <w:pPr>
        <w:pStyle w:val="NoSpacing"/>
        <w:jc w:val="both"/>
        <w:rPr>
          <w:sz w:val="22"/>
          <w:szCs w:val="22"/>
        </w:rPr>
      </w:pPr>
      <w:r w:rsidRPr="00310673">
        <w:rPr>
          <w:b/>
          <w:sz w:val="22"/>
          <w:szCs w:val="22"/>
        </w:rPr>
        <w:t xml:space="preserve">Proposition 2: </w:t>
      </w:r>
      <w:r w:rsidR="00AE6C68" w:rsidRPr="00AE6C68">
        <w:rPr>
          <w:sz w:val="22"/>
          <w:szCs w:val="22"/>
        </w:rPr>
        <w:t xml:space="preserve">The list and format of necessary information for </w:t>
      </w:r>
      <w:r w:rsidR="00AE6C68">
        <w:rPr>
          <w:sz w:val="22"/>
          <w:szCs w:val="22"/>
        </w:rPr>
        <w:t xml:space="preserve">multiplexing and </w:t>
      </w:r>
      <w:r w:rsidR="00AE6C68" w:rsidRPr="00AE6C68">
        <w:rPr>
          <w:sz w:val="22"/>
          <w:szCs w:val="22"/>
        </w:rPr>
        <w:t>COT sharing using CG should be studied.</w:t>
      </w:r>
    </w:p>
    <w:p w14:paraId="03D117E0" w14:textId="2971A8C0" w:rsidR="009129CC" w:rsidRPr="00310673" w:rsidRDefault="009129CC" w:rsidP="009129CC">
      <w:pPr>
        <w:pStyle w:val="NoSpacing"/>
        <w:rPr>
          <w:b/>
          <w:sz w:val="22"/>
          <w:szCs w:val="22"/>
        </w:rPr>
      </w:pPr>
    </w:p>
    <w:p w14:paraId="5580E348" w14:textId="1A29CDEA" w:rsidR="009E2EA8" w:rsidRPr="00310673" w:rsidRDefault="009E2EA8" w:rsidP="009E2EA8">
      <w:pPr>
        <w:jc w:val="both"/>
        <w:rPr>
          <w:sz w:val="22"/>
          <w:szCs w:val="22"/>
        </w:rPr>
      </w:pPr>
      <w:r w:rsidRPr="00310673">
        <w:rPr>
          <w:sz w:val="22"/>
          <w:szCs w:val="22"/>
        </w:rPr>
        <w:t xml:space="preserve">For </w:t>
      </w:r>
      <w:r w:rsidR="009129CC" w:rsidRPr="00310673">
        <w:rPr>
          <w:sz w:val="22"/>
          <w:szCs w:val="22"/>
        </w:rPr>
        <w:t>UL multiplexing</w:t>
      </w:r>
      <w:r w:rsidRPr="00310673">
        <w:rPr>
          <w:sz w:val="22"/>
          <w:szCs w:val="22"/>
        </w:rPr>
        <w:t>, two fundamental information have to be shared</w:t>
      </w:r>
      <w:r w:rsidR="009129CC" w:rsidRPr="00310673">
        <w:rPr>
          <w:sz w:val="22"/>
          <w:szCs w:val="22"/>
        </w:rPr>
        <w:t xml:space="preserve"> between multiplexed users</w:t>
      </w:r>
      <w:r w:rsidRPr="00310673">
        <w:rPr>
          <w:sz w:val="22"/>
          <w:szCs w:val="22"/>
        </w:rPr>
        <w:t>:</w:t>
      </w:r>
    </w:p>
    <w:p w14:paraId="4C9C15E6" w14:textId="77777777" w:rsidR="009E2EA8" w:rsidRPr="00310673" w:rsidRDefault="009E2EA8" w:rsidP="009E2EA8">
      <w:pPr>
        <w:pStyle w:val="ListParagraph"/>
        <w:numPr>
          <w:ilvl w:val="1"/>
          <w:numId w:val="14"/>
        </w:numPr>
        <w:jc w:val="both"/>
        <w:rPr>
          <w:sz w:val="22"/>
          <w:szCs w:val="22"/>
        </w:rPr>
      </w:pPr>
      <w:r w:rsidRPr="00310673">
        <w:rPr>
          <w:sz w:val="22"/>
          <w:szCs w:val="22"/>
        </w:rPr>
        <w:t xml:space="preserve">Ongoing transmission identification. </w:t>
      </w:r>
    </w:p>
    <w:p w14:paraId="576C09C2" w14:textId="7395DFAF" w:rsidR="009E2EA8" w:rsidRPr="00310673" w:rsidRDefault="009E2EA8" w:rsidP="007A486E">
      <w:pPr>
        <w:pStyle w:val="ListParagraph"/>
        <w:numPr>
          <w:ilvl w:val="1"/>
          <w:numId w:val="14"/>
        </w:numPr>
        <w:jc w:val="both"/>
        <w:rPr>
          <w:sz w:val="22"/>
          <w:szCs w:val="22"/>
        </w:rPr>
      </w:pPr>
      <w:r w:rsidRPr="00310673">
        <w:rPr>
          <w:sz w:val="22"/>
          <w:szCs w:val="22"/>
        </w:rPr>
        <w:t xml:space="preserve">Ongoing transmission COT expiration deadline. </w:t>
      </w:r>
    </w:p>
    <w:p w14:paraId="57B3252C" w14:textId="1944872A" w:rsidR="00310673" w:rsidRPr="00310673" w:rsidRDefault="00310673" w:rsidP="00310673">
      <w:pPr>
        <w:jc w:val="both"/>
        <w:rPr>
          <w:sz w:val="22"/>
          <w:szCs w:val="22"/>
        </w:rPr>
      </w:pPr>
      <w:r w:rsidRPr="00310673">
        <w:rPr>
          <w:sz w:val="22"/>
          <w:szCs w:val="22"/>
        </w:rPr>
        <w:t>To minimize the latency, it is preferred that such information would be sent over-the-air rather than through backhaul or on-demand/reply basis. The time sensitivity is important as the COT duration are in the order of milliseconds.</w:t>
      </w:r>
    </w:p>
    <w:p w14:paraId="044D585E" w14:textId="77777777" w:rsidR="009E2EA8" w:rsidRPr="00310673" w:rsidRDefault="009E2EA8" w:rsidP="009E2EA8">
      <w:pPr>
        <w:jc w:val="both"/>
        <w:rPr>
          <w:sz w:val="22"/>
          <w:szCs w:val="22"/>
        </w:rPr>
      </w:pPr>
      <w:r w:rsidRPr="00310673">
        <w:rPr>
          <w:sz w:val="22"/>
          <w:szCs w:val="22"/>
        </w:rPr>
        <w:t>For further ease of reading, we call “initiator user” the user that already successfully gained access to the unlicensed spectrum and started its transmission; and “listener user” the user that is listening to the medium for the CCA purpose.</w:t>
      </w:r>
    </w:p>
    <w:p w14:paraId="14C5D371" w14:textId="77777777" w:rsidR="009E2EA8" w:rsidRPr="00310673" w:rsidRDefault="009E2EA8" w:rsidP="007A486E">
      <w:pPr>
        <w:jc w:val="both"/>
        <w:rPr>
          <w:sz w:val="22"/>
          <w:szCs w:val="22"/>
        </w:rPr>
      </w:pPr>
    </w:p>
    <w:p w14:paraId="61B2AC2C" w14:textId="1C8BC8D6" w:rsidR="00870560" w:rsidRPr="00310673" w:rsidRDefault="00870560" w:rsidP="009E2EA8">
      <w:pPr>
        <w:jc w:val="both"/>
        <w:rPr>
          <w:sz w:val="22"/>
          <w:szCs w:val="22"/>
        </w:rPr>
      </w:pPr>
      <w:r w:rsidRPr="00310673">
        <w:rPr>
          <w:sz w:val="22"/>
          <w:szCs w:val="22"/>
        </w:rPr>
        <w:t>T</w:t>
      </w:r>
      <w:r w:rsidR="009E2EA8" w:rsidRPr="00310673">
        <w:rPr>
          <w:sz w:val="22"/>
          <w:szCs w:val="22"/>
        </w:rPr>
        <w:t xml:space="preserve">he </w:t>
      </w:r>
      <w:r w:rsidRPr="00310673">
        <w:rPr>
          <w:sz w:val="22"/>
          <w:szCs w:val="22"/>
        </w:rPr>
        <w:t xml:space="preserve">ongoing transmission </w:t>
      </w:r>
      <w:r w:rsidR="009E2EA8" w:rsidRPr="00310673">
        <w:rPr>
          <w:sz w:val="22"/>
          <w:szCs w:val="22"/>
        </w:rPr>
        <w:t>identification issue</w:t>
      </w:r>
      <w:r w:rsidRPr="00310673">
        <w:rPr>
          <w:sz w:val="22"/>
          <w:szCs w:val="22"/>
        </w:rPr>
        <w:t xml:space="preserve"> is for</w:t>
      </w:r>
      <w:r w:rsidR="009E2EA8" w:rsidRPr="00310673">
        <w:rPr>
          <w:sz w:val="22"/>
          <w:szCs w:val="22"/>
        </w:rPr>
        <w:t xml:space="preserve"> the listening user </w:t>
      </w:r>
      <w:r w:rsidRPr="00310673">
        <w:rPr>
          <w:sz w:val="22"/>
          <w:szCs w:val="22"/>
        </w:rPr>
        <w:t xml:space="preserve">to </w:t>
      </w:r>
      <w:r w:rsidR="009E2EA8" w:rsidRPr="00310673">
        <w:rPr>
          <w:sz w:val="22"/>
          <w:szCs w:val="22"/>
        </w:rPr>
        <w:t>be</w:t>
      </w:r>
      <w:r w:rsidRPr="00310673">
        <w:rPr>
          <w:sz w:val="22"/>
          <w:szCs w:val="22"/>
        </w:rPr>
        <w:t xml:space="preserve"> </w:t>
      </w:r>
      <w:r w:rsidR="009E2EA8" w:rsidRPr="00310673">
        <w:rPr>
          <w:sz w:val="22"/>
          <w:szCs w:val="22"/>
        </w:rPr>
        <w:t xml:space="preserve">able to recognize whether the ongoing transmission is </w:t>
      </w:r>
      <w:r w:rsidR="009B5EA6">
        <w:rPr>
          <w:sz w:val="22"/>
          <w:szCs w:val="22"/>
        </w:rPr>
        <w:t>originating</w:t>
      </w:r>
      <w:r w:rsidR="009B5EA6" w:rsidRPr="00310673">
        <w:rPr>
          <w:sz w:val="22"/>
          <w:szCs w:val="22"/>
        </w:rPr>
        <w:t xml:space="preserve"> </w:t>
      </w:r>
      <w:r w:rsidR="009E2EA8" w:rsidRPr="00310673">
        <w:rPr>
          <w:sz w:val="22"/>
          <w:szCs w:val="22"/>
        </w:rPr>
        <w:t xml:space="preserve">from a user that it is allowed to share </w:t>
      </w:r>
      <w:r w:rsidR="009B5EA6">
        <w:rPr>
          <w:sz w:val="22"/>
          <w:szCs w:val="22"/>
        </w:rPr>
        <w:t xml:space="preserve">the medium </w:t>
      </w:r>
      <w:r w:rsidR="009E2EA8" w:rsidRPr="00310673">
        <w:rPr>
          <w:sz w:val="22"/>
          <w:szCs w:val="22"/>
        </w:rPr>
        <w:t>with</w:t>
      </w:r>
      <w:r w:rsidRPr="00310673">
        <w:rPr>
          <w:sz w:val="22"/>
          <w:szCs w:val="22"/>
        </w:rPr>
        <w:t>. For that,</w:t>
      </w:r>
      <w:r w:rsidR="009E2EA8" w:rsidRPr="00310673">
        <w:rPr>
          <w:sz w:val="22"/>
          <w:szCs w:val="22"/>
        </w:rPr>
        <w:t xml:space="preserve"> the information can be sent </w:t>
      </w:r>
      <w:r w:rsidR="003F76AE" w:rsidRPr="00310673">
        <w:rPr>
          <w:sz w:val="22"/>
          <w:szCs w:val="22"/>
        </w:rPr>
        <w:t xml:space="preserve">together with </w:t>
      </w:r>
      <w:r w:rsidR="009E2EA8" w:rsidRPr="00310673">
        <w:rPr>
          <w:sz w:val="22"/>
          <w:szCs w:val="22"/>
        </w:rPr>
        <w:t xml:space="preserve">or embedded with the </w:t>
      </w:r>
      <w:r w:rsidRPr="00310673">
        <w:rPr>
          <w:sz w:val="22"/>
          <w:szCs w:val="22"/>
        </w:rPr>
        <w:t xml:space="preserve">ongoing </w:t>
      </w:r>
      <w:r w:rsidR="009E2EA8" w:rsidRPr="00310673">
        <w:rPr>
          <w:sz w:val="22"/>
          <w:szCs w:val="22"/>
        </w:rPr>
        <w:t>transmission</w:t>
      </w:r>
      <w:r w:rsidRPr="00310673">
        <w:rPr>
          <w:sz w:val="22"/>
          <w:szCs w:val="22"/>
        </w:rPr>
        <w:t xml:space="preserve">, for example using </w:t>
      </w:r>
      <w:r w:rsidR="009E2EA8" w:rsidRPr="00310673">
        <w:rPr>
          <w:sz w:val="22"/>
          <w:szCs w:val="22"/>
        </w:rPr>
        <w:t>specific recognizable patterns (e.g. [R1-1808321])</w:t>
      </w:r>
      <w:r w:rsidRPr="00310673">
        <w:rPr>
          <w:sz w:val="22"/>
          <w:szCs w:val="22"/>
        </w:rPr>
        <w:t xml:space="preserve">. </w:t>
      </w:r>
      <w:r w:rsidR="00B62449" w:rsidRPr="00310673">
        <w:rPr>
          <w:sz w:val="22"/>
          <w:szCs w:val="22"/>
        </w:rPr>
        <w:t>Patterns</w:t>
      </w:r>
      <w:r w:rsidR="00C470FB">
        <w:rPr>
          <w:sz w:val="22"/>
          <w:szCs w:val="22"/>
        </w:rPr>
        <w:t xml:space="preserve"> or explicit signals</w:t>
      </w:r>
      <w:r w:rsidR="00B62449" w:rsidRPr="00310673">
        <w:rPr>
          <w:sz w:val="22"/>
          <w:szCs w:val="22"/>
        </w:rPr>
        <w:t xml:space="preserve"> can relate, for example, to operator identification or cell identifications, that are common to the users prescheduled by the gNB.</w:t>
      </w:r>
    </w:p>
    <w:p w14:paraId="4C42008F" w14:textId="39A479F5" w:rsidR="009E2EA8" w:rsidRDefault="00870560" w:rsidP="009E2EA8">
      <w:pPr>
        <w:jc w:val="both"/>
        <w:rPr>
          <w:sz w:val="22"/>
          <w:szCs w:val="22"/>
        </w:rPr>
      </w:pPr>
      <w:r w:rsidRPr="00310673">
        <w:rPr>
          <w:sz w:val="22"/>
          <w:szCs w:val="22"/>
        </w:rPr>
        <w:t>Upon recognition of the source of the existing signal, the listener user can understand whether it is allowed for sharing the resource</w:t>
      </w:r>
      <w:r w:rsidR="00C470FB">
        <w:rPr>
          <w:sz w:val="22"/>
          <w:szCs w:val="22"/>
        </w:rPr>
        <w:t xml:space="preserve"> (</w:t>
      </w:r>
      <w:r w:rsidR="009B5EA6">
        <w:rPr>
          <w:sz w:val="22"/>
          <w:szCs w:val="22"/>
        </w:rPr>
        <w:t xml:space="preserve">e.g. </w:t>
      </w:r>
      <w:r w:rsidR="00C470FB">
        <w:rPr>
          <w:sz w:val="22"/>
          <w:szCs w:val="22"/>
        </w:rPr>
        <w:t xml:space="preserve">see </w:t>
      </w:r>
      <w:r w:rsidR="00C470FB">
        <w:rPr>
          <w:sz w:val="22"/>
          <w:szCs w:val="22"/>
        </w:rPr>
        <w:fldChar w:fldCharType="begin"/>
      </w:r>
      <w:r w:rsidR="00C470FB">
        <w:rPr>
          <w:sz w:val="22"/>
          <w:szCs w:val="22"/>
        </w:rPr>
        <w:instrText xml:space="preserve"> REF _Ref525909896 \h </w:instrText>
      </w:r>
      <w:r w:rsidR="00C470FB">
        <w:rPr>
          <w:sz w:val="22"/>
          <w:szCs w:val="22"/>
        </w:rPr>
      </w:r>
      <w:r w:rsidR="00C470FB">
        <w:rPr>
          <w:sz w:val="22"/>
          <w:szCs w:val="22"/>
        </w:rPr>
        <w:fldChar w:fldCharType="separate"/>
      </w:r>
      <w:r w:rsidR="00C470FB">
        <w:t xml:space="preserve">Figure </w:t>
      </w:r>
      <w:r w:rsidR="00C470FB">
        <w:rPr>
          <w:noProof/>
        </w:rPr>
        <w:t>1</w:t>
      </w:r>
      <w:r w:rsidR="00C470FB">
        <w:rPr>
          <w:sz w:val="22"/>
          <w:szCs w:val="22"/>
        </w:rPr>
        <w:fldChar w:fldCharType="end"/>
      </w:r>
      <w:r w:rsidR="00C470FB">
        <w:rPr>
          <w:sz w:val="22"/>
          <w:szCs w:val="22"/>
        </w:rPr>
        <w:t>).</w:t>
      </w:r>
    </w:p>
    <w:p w14:paraId="4D452C95" w14:textId="58F9E12E" w:rsidR="00403A65" w:rsidRDefault="00C965F0" w:rsidP="009E2EA8">
      <w:pPr>
        <w:jc w:val="both"/>
        <w:rPr>
          <w:sz w:val="22"/>
          <w:szCs w:val="22"/>
        </w:rPr>
      </w:pPr>
      <w:r>
        <w:rPr>
          <w:noProof/>
          <w:sz w:val="22"/>
          <w:szCs w:val="22"/>
        </w:rPr>
        <w:lastRenderedPageBreak/>
        <w:drawing>
          <wp:inline distT="0" distB="0" distL="0" distR="0" wp14:anchorId="0BAF82B1" wp14:editId="0B9D0FA2">
            <wp:extent cx="3368233" cy="2087561"/>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3055" cy="2096747"/>
                    </a:xfrm>
                    <a:prstGeom prst="rect">
                      <a:avLst/>
                    </a:prstGeom>
                    <a:noFill/>
                  </pic:spPr>
                </pic:pic>
              </a:graphicData>
            </a:graphic>
          </wp:inline>
        </w:drawing>
      </w:r>
    </w:p>
    <w:p w14:paraId="0C48F9F5" w14:textId="02B90DE8" w:rsidR="00403A65" w:rsidRDefault="00403A65" w:rsidP="00403A65">
      <w:pPr>
        <w:keepNext/>
        <w:jc w:val="both"/>
      </w:pPr>
    </w:p>
    <w:p w14:paraId="398366D3" w14:textId="790C4EAE" w:rsidR="00403A65" w:rsidRPr="00310673" w:rsidRDefault="00403A65" w:rsidP="00403A65">
      <w:pPr>
        <w:pStyle w:val="Caption"/>
        <w:jc w:val="both"/>
        <w:rPr>
          <w:sz w:val="22"/>
          <w:szCs w:val="22"/>
        </w:rPr>
      </w:pPr>
      <w:bookmarkStart w:id="3" w:name="_Ref525909896"/>
      <w:r>
        <w:t xml:space="preserve">Figure </w:t>
      </w:r>
      <w:r w:rsidR="00AC474E">
        <w:rPr>
          <w:noProof/>
        </w:rPr>
        <w:fldChar w:fldCharType="begin"/>
      </w:r>
      <w:r w:rsidR="00AC474E">
        <w:rPr>
          <w:noProof/>
        </w:rPr>
        <w:instrText xml:space="preserve"> SEQ Figure \* ARABIC </w:instrText>
      </w:r>
      <w:r w:rsidR="00AC474E">
        <w:rPr>
          <w:noProof/>
        </w:rPr>
        <w:fldChar w:fldCharType="separate"/>
      </w:r>
      <w:r>
        <w:rPr>
          <w:noProof/>
        </w:rPr>
        <w:t>1</w:t>
      </w:r>
      <w:r w:rsidR="00AC474E">
        <w:rPr>
          <w:noProof/>
        </w:rPr>
        <w:fldChar w:fldCharType="end"/>
      </w:r>
      <w:bookmarkEnd w:id="3"/>
      <w:r>
        <w:t xml:space="preserve"> - </w:t>
      </w:r>
      <w:r w:rsidR="001F4AF2">
        <w:t>Illustration</w:t>
      </w:r>
      <w:r>
        <w:t xml:space="preserve"> of COT ownership information sharing for multiplexed transmissions</w:t>
      </w:r>
    </w:p>
    <w:p w14:paraId="360C82D7" w14:textId="77777777" w:rsidR="00870560" w:rsidRPr="00310673" w:rsidRDefault="00870560" w:rsidP="009E2EA8">
      <w:pPr>
        <w:jc w:val="both"/>
        <w:rPr>
          <w:sz w:val="22"/>
          <w:szCs w:val="22"/>
        </w:rPr>
      </w:pPr>
    </w:p>
    <w:p w14:paraId="1B40F439" w14:textId="710909D5" w:rsidR="00870560" w:rsidRPr="00310673" w:rsidRDefault="00870560" w:rsidP="009E2EA8">
      <w:pPr>
        <w:jc w:val="both"/>
        <w:rPr>
          <w:sz w:val="22"/>
          <w:szCs w:val="22"/>
        </w:rPr>
      </w:pPr>
      <w:r w:rsidRPr="00310673">
        <w:rPr>
          <w:sz w:val="22"/>
          <w:szCs w:val="22"/>
        </w:rPr>
        <w:t>The ongoing transmission COT expiration deadline issue refers to the fact that if a node is sharing an ongoing transmission, it also shared the COT that is ongoing.</w:t>
      </w:r>
      <w:r w:rsidR="009B5EA6">
        <w:rPr>
          <w:sz w:val="22"/>
          <w:szCs w:val="22"/>
        </w:rPr>
        <w:t xml:space="preserve"> A</w:t>
      </w:r>
      <w:r w:rsidRPr="00310673">
        <w:rPr>
          <w:sz w:val="22"/>
          <w:szCs w:val="22"/>
        </w:rPr>
        <w:t xml:space="preserve"> </w:t>
      </w:r>
      <w:r w:rsidR="009B5EA6">
        <w:rPr>
          <w:sz w:val="22"/>
          <w:szCs w:val="22"/>
        </w:rPr>
        <w:t>c</w:t>
      </w:r>
      <w:r w:rsidRPr="00310673">
        <w:rPr>
          <w:sz w:val="22"/>
          <w:szCs w:val="22"/>
        </w:rPr>
        <w:t>onfigured grant has the flexibility to have multiple starting time</w:t>
      </w:r>
      <w:r w:rsidR="00B62449" w:rsidRPr="00310673">
        <w:rPr>
          <w:sz w:val="22"/>
          <w:szCs w:val="22"/>
        </w:rPr>
        <w:t xml:space="preserve"> instances, depending on </w:t>
      </w:r>
      <w:r w:rsidR="009B5EA6">
        <w:rPr>
          <w:sz w:val="22"/>
          <w:szCs w:val="22"/>
        </w:rPr>
        <w:t xml:space="preserve">the </w:t>
      </w:r>
      <w:r w:rsidR="00B62449" w:rsidRPr="00310673">
        <w:rPr>
          <w:sz w:val="22"/>
          <w:szCs w:val="22"/>
        </w:rPr>
        <w:t xml:space="preserve">data buffer at the user side </w:t>
      </w:r>
      <w:r w:rsidRPr="00310673">
        <w:rPr>
          <w:sz w:val="22"/>
          <w:szCs w:val="22"/>
        </w:rPr>
        <w:t xml:space="preserve">and due to </w:t>
      </w:r>
      <w:r w:rsidR="004618A1" w:rsidRPr="00310673">
        <w:rPr>
          <w:sz w:val="22"/>
          <w:szCs w:val="22"/>
        </w:rPr>
        <w:t xml:space="preserve">CCA procedure, it is not certain when the ongoing transmission started the COT. It is also possible that the COT duration of </w:t>
      </w:r>
      <w:r w:rsidR="003F76AE" w:rsidRPr="00310673">
        <w:rPr>
          <w:sz w:val="22"/>
          <w:szCs w:val="22"/>
        </w:rPr>
        <w:t>the</w:t>
      </w:r>
      <w:r w:rsidR="004618A1" w:rsidRPr="00310673">
        <w:rPr>
          <w:sz w:val="22"/>
          <w:szCs w:val="22"/>
        </w:rPr>
        <w:t xml:space="preserve"> ongoing transmission </w:t>
      </w:r>
      <w:r w:rsidR="009B5EA6">
        <w:rPr>
          <w:sz w:val="22"/>
          <w:szCs w:val="22"/>
        </w:rPr>
        <w:t>is not</w:t>
      </w:r>
      <w:r w:rsidR="004618A1" w:rsidRPr="00310673">
        <w:rPr>
          <w:sz w:val="22"/>
          <w:szCs w:val="22"/>
        </w:rPr>
        <w:t xml:space="preserve"> constant, e.g. following the priority classes of the transmission.</w:t>
      </w:r>
    </w:p>
    <w:p w14:paraId="47EA43BB" w14:textId="1C38640F" w:rsidR="004618A1" w:rsidRPr="00310673" w:rsidRDefault="004618A1" w:rsidP="009E2EA8">
      <w:pPr>
        <w:jc w:val="both"/>
        <w:rPr>
          <w:sz w:val="22"/>
          <w:szCs w:val="22"/>
        </w:rPr>
      </w:pPr>
      <w:r w:rsidRPr="00310673">
        <w:rPr>
          <w:sz w:val="22"/>
          <w:szCs w:val="22"/>
        </w:rPr>
        <w:t>Thus, the listener user needs to receive the information about the ongoing COT expiration deadline, e.g. as a form of the remaining duration or an absolute time reference, so that the listener user knows until when it can share the medium.</w:t>
      </w:r>
    </w:p>
    <w:p w14:paraId="692DE345" w14:textId="77777777" w:rsidR="00C965F0" w:rsidRDefault="00C965F0" w:rsidP="003204D8">
      <w:pPr>
        <w:pStyle w:val="NoSpacing"/>
        <w:rPr>
          <w:b/>
          <w:sz w:val="22"/>
          <w:szCs w:val="22"/>
        </w:rPr>
      </w:pPr>
    </w:p>
    <w:p w14:paraId="0D40284D" w14:textId="3438269B" w:rsidR="003204D8" w:rsidRPr="00AE6C68" w:rsidRDefault="003204D8" w:rsidP="003204D8">
      <w:pPr>
        <w:pStyle w:val="NoSpacing"/>
        <w:rPr>
          <w:sz w:val="22"/>
          <w:szCs w:val="22"/>
        </w:rPr>
      </w:pPr>
      <w:r w:rsidRPr="00310673">
        <w:rPr>
          <w:b/>
          <w:sz w:val="22"/>
          <w:szCs w:val="22"/>
        </w:rPr>
        <w:t xml:space="preserve">Proposition 3: </w:t>
      </w:r>
      <w:r w:rsidRPr="00AE6C68">
        <w:rPr>
          <w:sz w:val="22"/>
          <w:szCs w:val="22"/>
        </w:rPr>
        <w:t>COT ownership information should contain at least identification and COT expiration information.</w:t>
      </w:r>
    </w:p>
    <w:p w14:paraId="1B2AEA75" w14:textId="308E592B" w:rsidR="004618A1" w:rsidRPr="00310673" w:rsidRDefault="004618A1" w:rsidP="009E2EA8">
      <w:pPr>
        <w:jc w:val="both"/>
        <w:rPr>
          <w:sz w:val="22"/>
          <w:szCs w:val="22"/>
        </w:rPr>
      </w:pPr>
    </w:p>
    <w:p w14:paraId="5FFFA5C7" w14:textId="452B174C" w:rsidR="00A73E2B" w:rsidRPr="00310673" w:rsidRDefault="009129CC" w:rsidP="009E2EA8">
      <w:pPr>
        <w:jc w:val="both"/>
        <w:rPr>
          <w:sz w:val="22"/>
          <w:szCs w:val="22"/>
        </w:rPr>
      </w:pPr>
      <w:r w:rsidRPr="00310673">
        <w:rPr>
          <w:sz w:val="22"/>
          <w:szCs w:val="22"/>
        </w:rPr>
        <w:t xml:space="preserve">To </w:t>
      </w:r>
      <w:r w:rsidR="00E82916" w:rsidRPr="00310673">
        <w:rPr>
          <w:sz w:val="22"/>
          <w:szCs w:val="22"/>
        </w:rPr>
        <w:t xml:space="preserve">improve the </w:t>
      </w:r>
      <w:r w:rsidR="003204D8" w:rsidRPr="00310673">
        <w:rPr>
          <w:sz w:val="22"/>
          <w:szCs w:val="22"/>
        </w:rPr>
        <w:t xml:space="preserve">reliability of COT information sharing between users, and since the CG transmissions can start at different times, it is therefore recommended to multiply the occurrences. Multiple occurrences in time of the COT ownership information can increase the chances that other user multiplexed listening to the medium can </w:t>
      </w:r>
      <w:r w:rsidR="009B5EA6">
        <w:rPr>
          <w:sz w:val="22"/>
          <w:szCs w:val="22"/>
        </w:rPr>
        <w:t>receive</w:t>
      </w:r>
      <w:r w:rsidR="009B5EA6" w:rsidRPr="00310673">
        <w:rPr>
          <w:sz w:val="22"/>
          <w:szCs w:val="22"/>
        </w:rPr>
        <w:t xml:space="preserve"> </w:t>
      </w:r>
      <w:r w:rsidR="003204D8" w:rsidRPr="00310673">
        <w:rPr>
          <w:sz w:val="22"/>
          <w:szCs w:val="22"/>
        </w:rPr>
        <w:t xml:space="preserve">the </w:t>
      </w:r>
      <w:r w:rsidR="009B5EA6">
        <w:rPr>
          <w:sz w:val="22"/>
          <w:szCs w:val="22"/>
        </w:rPr>
        <w:t>required</w:t>
      </w:r>
      <w:r w:rsidR="009B5EA6" w:rsidRPr="00310673">
        <w:rPr>
          <w:sz w:val="22"/>
          <w:szCs w:val="22"/>
        </w:rPr>
        <w:t xml:space="preserve"> </w:t>
      </w:r>
      <w:r w:rsidR="003204D8" w:rsidRPr="00310673">
        <w:rPr>
          <w:sz w:val="22"/>
          <w:szCs w:val="22"/>
        </w:rPr>
        <w:t xml:space="preserve">information to perform multiplexing. </w:t>
      </w:r>
    </w:p>
    <w:p w14:paraId="2BFD85C7" w14:textId="2129912F" w:rsidR="003204D8" w:rsidRPr="00310673" w:rsidRDefault="003204D8" w:rsidP="009E2EA8">
      <w:pPr>
        <w:jc w:val="both"/>
        <w:rPr>
          <w:sz w:val="22"/>
          <w:szCs w:val="22"/>
        </w:rPr>
      </w:pPr>
      <w:r w:rsidRPr="00310673">
        <w:rPr>
          <w:sz w:val="22"/>
          <w:szCs w:val="22"/>
        </w:rPr>
        <w:t xml:space="preserve">This obviously adds some overhead but has the advantage of enabling FDM or SDM over a </w:t>
      </w:r>
      <w:r w:rsidR="009B5EA6" w:rsidRPr="00310673">
        <w:rPr>
          <w:sz w:val="22"/>
          <w:szCs w:val="22"/>
        </w:rPr>
        <w:t xml:space="preserve">potentially </w:t>
      </w:r>
      <w:r w:rsidRPr="00310673">
        <w:rPr>
          <w:sz w:val="22"/>
          <w:szCs w:val="22"/>
        </w:rPr>
        <w:t>large unused bandwidth and thus improve spectrum usage.</w:t>
      </w:r>
    </w:p>
    <w:p w14:paraId="445FBED6" w14:textId="77BC0CF7" w:rsidR="003F76AE" w:rsidRDefault="00C965F0" w:rsidP="009E2EA8">
      <w:pPr>
        <w:jc w:val="both"/>
        <w:rPr>
          <w:sz w:val="22"/>
          <w:szCs w:val="22"/>
        </w:rPr>
      </w:pPr>
      <w:r>
        <w:rPr>
          <w:sz w:val="22"/>
          <w:szCs w:val="22"/>
        </w:rPr>
        <w:t>Possible ways to multiply the COT ownership information include periodic and aperiodic transmissions.</w:t>
      </w:r>
    </w:p>
    <w:p w14:paraId="044A5F56" w14:textId="77777777" w:rsidR="00C965F0" w:rsidRPr="00310673" w:rsidRDefault="00C965F0" w:rsidP="009E2EA8">
      <w:pPr>
        <w:jc w:val="both"/>
        <w:rPr>
          <w:sz w:val="22"/>
          <w:szCs w:val="22"/>
        </w:rPr>
      </w:pPr>
    </w:p>
    <w:p w14:paraId="56542246" w14:textId="4A2B9A24" w:rsidR="00D23F0C" w:rsidRPr="00310673" w:rsidRDefault="003204D8" w:rsidP="003204D8">
      <w:pPr>
        <w:pStyle w:val="NoSpacing"/>
        <w:rPr>
          <w:sz w:val="22"/>
          <w:szCs w:val="22"/>
        </w:rPr>
      </w:pPr>
      <w:r w:rsidRPr="00310673">
        <w:rPr>
          <w:b/>
          <w:sz w:val="22"/>
          <w:szCs w:val="22"/>
        </w:rPr>
        <w:t>Proposition 4</w:t>
      </w:r>
      <w:r w:rsidRPr="00AE6C68">
        <w:rPr>
          <w:sz w:val="22"/>
          <w:szCs w:val="22"/>
        </w:rPr>
        <w:t>: COT ownership information repetition should be studied to maximize chances of spectrum reuse.</w:t>
      </w:r>
    </w:p>
    <w:p w14:paraId="216B4A9D" w14:textId="77AC903A" w:rsidR="002446B8" w:rsidRDefault="002446B8" w:rsidP="002446B8"/>
    <w:p w14:paraId="237E15CB" w14:textId="2608CED5" w:rsidR="00C470FB" w:rsidRDefault="00C470FB" w:rsidP="00C470FB">
      <w:pPr>
        <w:jc w:val="both"/>
        <w:rPr>
          <w:sz w:val="22"/>
        </w:rPr>
      </w:pPr>
      <w:r>
        <w:rPr>
          <w:sz w:val="22"/>
        </w:rPr>
        <w:t>From the listener user point of view, w</w:t>
      </w:r>
      <w:r w:rsidRPr="00C470FB">
        <w:rPr>
          <w:sz w:val="22"/>
        </w:rPr>
        <w:t xml:space="preserve">hen a </w:t>
      </w:r>
      <w:r>
        <w:rPr>
          <w:sz w:val="22"/>
        </w:rPr>
        <w:t xml:space="preserve">user </w:t>
      </w:r>
      <w:r w:rsidRPr="00C470FB">
        <w:rPr>
          <w:sz w:val="22"/>
        </w:rPr>
        <w:t>desires to transmit, it will initiate the CCA procedure.</w:t>
      </w:r>
    </w:p>
    <w:p w14:paraId="579FF95F" w14:textId="77777777" w:rsidR="00C470FB" w:rsidRDefault="00C470FB" w:rsidP="00C470FB">
      <w:pPr>
        <w:jc w:val="both"/>
        <w:rPr>
          <w:sz w:val="22"/>
        </w:rPr>
      </w:pPr>
      <w:r w:rsidRPr="00C470FB">
        <w:rPr>
          <w:sz w:val="22"/>
        </w:rPr>
        <w:t>If no signal energy is detected beyond the ED threshold, the channel is considered clear. A full CCA procedure needs to perform several “clear” assessments (depending on the random LBT duration required) to gain access to the channel and perform the transmission.</w:t>
      </w:r>
      <w:r>
        <w:rPr>
          <w:sz w:val="22"/>
        </w:rPr>
        <w:t xml:space="preserve"> </w:t>
      </w:r>
    </w:p>
    <w:p w14:paraId="3225F7AF" w14:textId="278D271E" w:rsidR="00C470FB" w:rsidRDefault="00C470FB" w:rsidP="00C470FB">
      <w:pPr>
        <w:jc w:val="both"/>
        <w:rPr>
          <w:sz w:val="22"/>
        </w:rPr>
      </w:pPr>
      <w:r>
        <w:rPr>
          <w:sz w:val="22"/>
        </w:rPr>
        <w:t>If</w:t>
      </w:r>
      <w:r w:rsidRPr="00C470FB">
        <w:rPr>
          <w:sz w:val="22"/>
        </w:rPr>
        <w:t xml:space="preserve"> the listener</w:t>
      </w:r>
      <w:r>
        <w:rPr>
          <w:sz w:val="22"/>
        </w:rPr>
        <w:t xml:space="preserve"> user</w:t>
      </w:r>
      <w:r w:rsidRPr="00C470FB">
        <w:rPr>
          <w:sz w:val="22"/>
        </w:rPr>
        <w:t xml:space="preserve"> detects energy, instead of considering the channel as “busy” hence starting a back-off and delaying the transmission, the listener can further attempt to recognize the proposed pattern for an aggressive frequency reuse of the unlicensed spectrum. If the pattern is not present (or not decoded correctly) the channel is therefor considered busy, as the pattern is too weak or the detected signal is from another technology or device that does not allow or facilitate the enhanced sharing. If the pattern is correctly decoded the listener should check if the medium is suitable to share: the identification information indicates a valid initiator (e.g. if the initiator is </w:t>
      </w:r>
      <w:r>
        <w:rPr>
          <w:sz w:val="22"/>
        </w:rPr>
        <w:t>a user</w:t>
      </w:r>
      <w:r w:rsidRPr="00C470FB">
        <w:rPr>
          <w:sz w:val="22"/>
        </w:rPr>
        <w:t xml:space="preserve"> of the same </w:t>
      </w:r>
      <w:r>
        <w:rPr>
          <w:sz w:val="22"/>
        </w:rPr>
        <w:t>cell</w:t>
      </w:r>
      <w:r w:rsidRPr="00C470FB">
        <w:rPr>
          <w:sz w:val="22"/>
        </w:rPr>
        <w:t>) and if the COT expiration time is compatible with the desired transmission: if the planed transmission duration is shorter than the remaining COT duration time, then the transmission can be performed and the channel is shareable. In that case, the transmission can start immediately. Otherwise, the channel is not shareable and considered busy until the expiration time.</w:t>
      </w:r>
    </w:p>
    <w:p w14:paraId="6D2284C9" w14:textId="604CF985" w:rsidR="00C470FB" w:rsidRDefault="00C470FB" w:rsidP="00C470FB">
      <w:pPr>
        <w:jc w:val="both"/>
        <w:rPr>
          <w:sz w:val="22"/>
        </w:rPr>
      </w:pPr>
    </w:p>
    <w:p w14:paraId="040D4FBE" w14:textId="242C020F" w:rsidR="00C470FB" w:rsidRPr="00C470FB" w:rsidRDefault="00C470FB" w:rsidP="00C470FB">
      <w:pPr>
        <w:jc w:val="both"/>
        <w:rPr>
          <w:sz w:val="22"/>
        </w:rPr>
      </w:pPr>
      <w:r w:rsidRPr="00C470FB">
        <w:rPr>
          <w:b/>
          <w:sz w:val="22"/>
        </w:rPr>
        <w:t>Proposition 5</w:t>
      </w:r>
      <w:r>
        <w:rPr>
          <w:sz w:val="22"/>
        </w:rPr>
        <w:t>: The CCA procedure should be adapted to enable spectrum reuse, through identification and validation of ongoing signals.</w:t>
      </w:r>
    </w:p>
    <w:p w14:paraId="09AE30EB" w14:textId="77777777" w:rsidR="00736F4A" w:rsidRDefault="00736F4A" w:rsidP="005D20F1">
      <w:pPr>
        <w:spacing w:after="120"/>
        <w:rPr>
          <w:rFonts w:ascii="Arial" w:hAnsi="Arial" w:cs="Arial"/>
          <w:b/>
        </w:rPr>
      </w:pPr>
    </w:p>
    <w:p w14:paraId="7A975440" w14:textId="6B3EF754" w:rsidR="005D20F1" w:rsidRDefault="005D20F1" w:rsidP="009C6353">
      <w:pPr>
        <w:pStyle w:val="Heading2"/>
        <w:numPr>
          <w:ilvl w:val="0"/>
          <w:numId w:val="16"/>
        </w:numPr>
      </w:pPr>
      <w:r w:rsidRPr="009C6353">
        <w:lastRenderedPageBreak/>
        <w:t>Conclusion</w:t>
      </w:r>
    </w:p>
    <w:p w14:paraId="69A337A4" w14:textId="359A7E99" w:rsidR="00310673" w:rsidRDefault="00310673" w:rsidP="00310673"/>
    <w:p w14:paraId="02F77C44" w14:textId="2FD92430" w:rsidR="00310673" w:rsidRPr="00310673" w:rsidRDefault="00310673" w:rsidP="004519B2">
      <w:pPr>
        <w:jc w:val="both"/>
        <w:rPr>
          <w:sz w:val="22"/>
          <w:szCs w:val="22"/>
        </w:rPr>
      </w:pPr>
      <w:r w:rsidRPr="00310673">
        <w:rPr>
          <w:sz w:val="22"/>
          <w:szCs w:val="22"/>
        </w:rPr>
        <w:t xml:space="preserve">In this document, we present some aspects that need to studied to enable UL multiplexing using configured grants. The propositions are summarized as: </w:t>
      </w:r>
    </w:p>
    <w:p w14:paraId="5069ED1B" w14:textId="77777777" w:rsidR="00310673" w:rsidRPr="00310673" w:rsidRDefault="00310673" w:rsidP="004519B2">
      <w:pPr>
        <w:spacing w:after="120"/>
        <w:jc w:val="both"/>
        <w:rPr>
          <w:b/>
          <w:sz w:val="22"/>
          <w:szCs w:val="22"/>
        </w:rPr>
      </w:pPr>
    </w:p>
    <w:p w14:paraId="384E04E7" w14:textId="5EF576F5" w:rsidR="00310673" w:rsidRPr="004519B2" w:rsidRDefault="00310673" w:rsidP="004519B2">
      <w:pPr>
        <w:spacing w:after="120"/>
        <w:jc w:val="both"/>
        <w:rPr>
          <w:sz w:val="22"/>
          <w:szCs w:val="22"/>
        </w:rPr>
      </w:pPr>
      <w:r w:rsidRPr="00310673">
        <w:rPr>
          <w:b/>
          <w:sz w:val="22"/>
          <w:szCs w:val="22"/>
        </w:rPr>
        <w:t xml:space="preserve">Proposition 1: </w:t>
      </w:r>
      <w:r w:rsidRPr="004519B2">
        <w:rPr>
          <w:sz w:val="22"/>
          <w:szCs w:val="22"/>
        </w:rPr>
        <w:t>NR-U should support FDM or SDM multiplexing for UL users through configured grants.</w:t>
      </w:r>
    </w:p>
    <w:p w14:paraId="519116D7" w14:textId="2074BB8A" w:rsidR="00310673" w:rsidRDefault="00310673" w:rsidP="004519B2">
      <w:pPr>
        <w:jc w:val="both"/>
        <w:rPr>
          <w:sz w:val="22"/>
          <w:szCs w:val="22"/>
        </w:rPr>
      </w:pPr>
      <w:r w:rsidRPr="00310673">
        <w:rPr>
          <w:b/>
          <w:sz w:val="22"/>
          <w:szCs w:val="22"/>
        </w:rPr>
        <w:t xml:space="preserve">Observation: </w:t>
      </w:r>
      <w:r w:rsidRPr="004519B2">
        <w:rPr>
          <w:sz w:val="22"/>
          <w:szCs w:val="22"/>
        </w:rPr>
        <w:t>Energy-based LBT is not sufficient to enable UL multiplexing.</w:t>
      </w:r>
    </w:p>
    <w:p w14:paraId="394B5F12" w14:textId="77777777" w:rsidR="00C965F0" w:rsidRPr="00310673" w:rsidRDefault="00C965F0" w:rsidP="004519B2">
      <w:pPr>
        <w:jc w:val="both"/>
        <w:rPr>
          <w:b/>
          <w:sz w:val="22"/>
          <w:szCs w:val="22"/>
        </w:rPr>
      </w:pPr>
    </w:p>
    <w:p w14:paraId="09E18CBE" w14:textId="1C083718" w:rsidR="00310673" w:rsidRDefault="00310673" w:rsidP="004519B2">
      <w:pPr>
        <w:pStyle w:val="NoSpacing"/>
        <w:jc w:val="both"/>
        <w:rPr>
          <w:sz w:val="22"/>
          <w:szCs w:val="22"/>
        </w:rPr>
      </w:pPr>
      <w:r w:rsidRPr="00310673">
        <w:rPr>
          <w:b/>
          <w:sz w:val="22"/>
          <w:szCs w:val="22"/>
        </w:rPr>
        <w:t>Proposition 2</w:t>
      </w:r>
      <w:r w:rsidRPr="004519B2">
        <w:rPr>
          <w:sz w:val="22"/>
          <w:szCs w:val="22"/>
        </w:rPr>
        <w:t xml:space="preserve">: </w:t>
      </w:r>
      <w:r w:rsidR="00AE6C68" w:rsidRPr="00AE6C68">
        <w:rPr>
          <w:sz w:val="22"/>
          <w:szCs w:val="22"/>
        </w:rPr>
        <w:t xml:space="preserve">The list and format of necessary information for </w:t>
      </w:r>
      <w:r w:rsidR="00AE6C68">
        <w:rPr>
          <w:sz w:val="22"/>
          <w:szCs w:val="22"/>
        </w:rPr>
        <w:t xml:space="preserve">multiplexing and </w:t>
      </w:r>
      <w:r w:rsidR="00AE6C68" w:rsidRPr="00AE6C68">
        <w:rPr>
          <w:sz w:val="22"/>
          <w:szCs w:val="22"/>
        </w:rPr>
        <w:t>COT sharing using CG should be studied.</w:t>
      </w:r>
    </w:p>
    <w:p w14:paraId="3FF3D842" w14:textId="77777777" w:rsidR="00C965F0" w:rsidRPr="004519B2" w:rsidRDefault="00C965F0" w:rsidP="004519B2">
      <w:pPr>
        <w:pStyle w:val="NoSpacing"/>
        <w:jc w:val="both"/>
        <w:rPr>
          <w:sz w:val="22"/>
          <w:szCs w:val="22"/>
        </w:rPr>
      </w:pPr>
    </w:p>
    <w:p w14:paraId="1DE946C7" w14:textId="08BC25C9" w:rsidR="00310673" w:rsidRDefault="00310673" w:rsidP="004519B2">
      <w:pPr>
        <w:pStyle w:val="NoSpacing"/>
        <w:jc w:val="both"/>
        <w:rPr>
          <w:sz w:val="22"/>
          <w:szCs w:val="22"/>
        </w:rPr>
      </w:pPr>
      <w:r w:rsidRPr="00310673">
        <w:rPr>
          <w:b/>
          <w:sz w:val="22"/>
          <w:szCs w:val="22"/>
        </w:rPr>
        <w:t>Proposition 3</w:t>
      </w:r>
      <w:r w:rsidRPr="004519B2">
        <w:rPr>
          <w:sz w:val="22"/>
          <w:szCs w:val="22"/>
        </w:rPr>
        <w:t>: COT ownership information should contain at least identification and COT expiration information.</w:t>
      </w:r>
    </w:p>
    <w:p w14:paraId="35024046" w14:textId="77777777" w:rsidR="00C965F0" w:rsidRPr="004519B2" w:rsidRDefault="00C965F0" w:rsidP="004519B2">
      <w:pPr>
        <w:pStyle w:val="NoSpacing"/>
        <w:jc w:val="both"/>
        <w:rPr>
          <w:sz w:val="22"/>
          <w:szCs w:val="22"/>
        </w:rPr>
      </w:pPr>
    </w:p>
    <w:p w14:paraId="3A835F3E" w14:textId="77777777" w:rsidR="00310673" w:rsidRPr="00310673" w:rsidRDefault="00310673" w:rsidP="004519B2">
      <w:pPr>
        <w:pStyle w:val="NoSpacing"/>
        <w:jc w:val="both"/>
        <w:rPr>
          <w:sz w:val="22"/>
          <w:szCs w:val="22"/>
        </w:rPr>
      </w:pPr>
      <w:r w:rsidRPr="00310673">
        <w:rPr>
          <w:b/>
          <w:sz w:val="22"/>
          <w:szCs w:val="22"/>
        </w:rPr>
        <w:t xml:space="preserve">Proposition 4: </w:t>
      </w:r>
      <w:r w:rsidRPr="004519B2">
        <w:rPr>
          <w:sz w:val="22"/>
          <w:szCs w:val="22"/>
        </w:rPr>
        <w:t>COT ownership information repetition should be studied to maximize chances of spectrum reuse.</w:t>
      </w:r>
    </w:p>
    <w:p w14:paraId="60F1E24C" w14:textId="0BB9B8F1" w:rsidR="00310673" w:rsidRDefault="00310673" w:rsidP="00310673">
      <w:pPr>
        <w:pStyle w:val="NoSpacing"/>
        <w:rPr>
          <w:b/>
          <w:sz w:val="22"/>
        </w:rPr>
      </w:pPr>
    </w:p>
    <w:p w14:paraId="6EF8B6F6" w14:textId="568FEB29" w:rsidR="00C470FB" w:rsidRDefault="00C470FB" w:rsidP="00310673">
      <w:pPr>
        <w:pStyle w:val="NoSpacing"/>
        <w:rPr>
          <w:b/>
          <w:sz w:val="22"/>
        </w:rPr>
      </w:pPr>
      <w:r w:rsidRPr="00C470FB">
        <w:rPr>
          <w:b/>
          <w:sz w:val="22"/>
        </w:rPr>
        <w:t>Proposition 5</w:t>
      </w:r>
      <w:r>
        <w:rPr>
          <w:sz w:val="22"/>
        </w:rPr>
        <w:t>: The CCA procedure should be adapted to enable spectrum reuse, through identification and validation of ongoing signals.</w:t>
      </w:r>
    </w:p>
    <w:p w14:paraId="1A8813E3" w14:textId="77777777" w:rsidR="005D20F1" w:rsidRDefault="005D20F1" w:rsidP="005D20F1">
      <w:pPr>
        <w:spacing w:after="120"/>
        <w:rPr>
          <w:rFonts w:ascii="Arial" w:hAnsi="Arial" w:cs="Arial"/>
          <w:b/>
        </w:rPr>
      </w:pPr>
    </w:p>
    <w:p w14:paraId="716FB006" w14:textId="444736FB" w:rsidR="005D20F1" w:rsidRDefault="005D20F1" w:rsidP="009C6353">
      <w:pPr>
        <w:pStyle w:val="Heading2"/>
        <w:numPr>
          <w:ilvl w:val="0"/>
          <w:numId w:val="16"/>
        </w:numPr>
      </w:pPr>
      <w:r>
        <w:t>References</w:t>
      </w:r>
    </w:p>
    <w:p w14:paraId="232E6D89" w14:textId="77777777" w:rsidR="009C6353" w:rsidRPr="009C6353" w:rsidRDefault="009C6353" w:rsidP="009C6353"/>
    <w:p w14:paraId="4A491A4F" w14:textId="77777777" w:rsidR="00C06DCC" w:rsidRPr="00DD0DC5" w:rsidRDefault="00C06DCC" w:rsidP="00C06DCC">
      <w:pPr>
        <w:rPr>
          <w:sz w:val="22"/>
          <w:szCs w:val="22"/>
          <w:lang w:eastAsia="zh-CN"/>
        </w:rPr>
      </w:pPr>
      <w:bookmarkStart w:id="4" w:name="_Hlk525901943"/>
      <w:r w:rsidRPr="00DD0DC5">
        <w:rPr>
          <w:sz w:val="22"/>
          <w:szCs w:val="22"/>
          <w:lang w:eastAsia="zh-CN"/>
        </w:rPr>
        <w:t xml:space="preserve">[1] RP-181339, “New SID on NR-based Access to </w:t>
      </w:r>
      <w:r w:rsidRPr="00DD0DC5">
        <w:rPr>
          <w:color w:val="000000"/>
          <w:sz w:val="22"/>
          <w:szCs w:val="22"/>
          <w:lang w:eastAsia="zh-CN"/>
        </w:rPr>
        <w:t>Unlicensed</w:t>
      </w:r>
      <w:r w:rsidRPr="00DD0DC5">
        <w:rPr>
          <w:sz w:val="22"/>
          <w:szCs w:val="22"/>
          <w:lang w:eastAsia="zh-CN"/>
        </w:rPr>
        <w:t xml:space="preserve"> Spectrum”, La Jolla, USA, June 11-14, 2018.</w:t>
      </w:r>
    </w:p>
    <w:p w14:paraId="3192AE87" w14:textId="50074BD6" w:rsidR="000221D8" w:rsidRPr="00DD0DC5" w:rsidRDefault="00087839" w:rsidP="00C06DCC">
      <w:pPr>
        <w:rPr>
          <w:sz w:val="22"/>
          <w:szCs w:val="22"/>
          <w:lang w:eastAsia="zh-CN"/>
        </w:rPr>
      </w:pPr>
      <w:r w:rsidRPr="00DD0DC5">
        <w:rPr>
          <w:sz w:val="22"/>
          <w:szCs w:val="22"/>
          <w:lang w:eastAsia="zh-CN"/>
        </w:rPr>
        <w:t xml:space="preserve">[2] </w:t>
      </w:r>
      <w:r w:rsidR="000221D8" w:rsidRPr="00DD0DC5">
        <w:rPr>
          <w:sz w:val="22"/>
          <w:szCs w:val="22"/>
          <w:lang w:eastAsia="zh-CN"/>
        </w:rPr>
        <w:t>Chairman’s notes of RAN1#92bis</w:t>
      </w:r>
    </w:p>
    <w:p w14:paraId="6519B0CF" w14:textId="7C26B5A0" w:rsidR="000221D8" w:rsidRPr="00DD0DC5" w:rsidRDefault="000221D8" w:rsidP="000221D8">
      <w:pPr>
        <w:rPr>
          <w:sz w:val="22"/>
          <w:szCs w:val="22"/>
          <w:lang w:eastAsia="zh-CN"/>
        </w:rPr>
      </w:pPr>
      <w:r w:rsidRPr="00DD0DC5">
        <w:rPr>
          <w:sz w:val="22"/>
          <w:szCs w:val="22"/>
          <w:lang w:eastAsia="zh-CN"/>
        </w:rPr>
        <w:t>[</w:t>
      </w:r>
      <w:r w:rsidR="00087839" w:rsidRPr="00DD0DC5">
        <w:rPr>
          <w:sz w:val="22"/>
          <w:szCs w:val="22"/>
          <w:lang w:eastAsia="zh-CN"/>
        </w:rPr>
        <w:t>3</w:t>
      </w:r>
      <w:r w:rsidRPr="00DD0DC5">
        <w:rPr>
          <w:sz w:val="22"/>
          <w:szCs w:val="22"/>
          <w:lang w:eastAsia="zh-CN"/>
        </w:rPr>
        <w:t>] Chairman’s notes of RAN1#94</w:t>
      </w:r>
    </w:p>
    <w:bookmarkEnd w:id="4"/>
    <w:p w14:paraId="53FBDB46" w14:textId="16EA3227" w:rsidR="00422D97" w:rsidRPr="00A674C1" w:rsidRDefault="00422D97" w:rsidP="000221D8">
      <w:pPr>
        <w:rPr>
          <w:lang w:eastAsia="zh-CN"/>
        </w:rPr>
      </w:pPr>
    </w:p>
    <w:sectPr w:rsidR="00422D97" w:rsidRPr="00A674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7329F" w14:textId="77777777" w:rsidR="00B038ED" w:rsidRDefault="00B038ED">
      <w:r>
        <w:separator/>
      </w:r>
    </w:p>
  </w:endnote>
  <w:endnote w:type="continuationSeparator" w:id="0">
    <w:p w14:paraId="5CDCD74E" w14:textId="77777777" w:rsidR="00B038ED" w:rsidRDefault="00B0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F11C1" w14:textId="77777777" w:rsidR="00B038ED" w:rsidRDefault="00B038ED">
      <w:r>
        <w:separator/>
      </w:r>
    </w:p>
  </w:footnote>
  <w:footnote w:type="continuationSeparator" w:id="0">
    <w:p w14:paraId="6969E5A8" w14:textId="77777777" w:rsidR="00B038ED" w:rsidRDefault="00B03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A201F"/>
    <w:multiLevelType w:val="hybridMultilevel"/>
    <w:tmpl w:val="0024B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D44A0B"/>
    <w:multiLevelType w:val="hybridMultilevel"/>
    <w:tmpl w:val="71B80A94"/>
    <w:lvl w:ilvl="0" w:tplc="E26E2A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7E795E"/>
    <w:multiLevelType w:val="hybridMultilevel"/>
    <w:tmpl w:val="CFBE36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9876B28"/>
    <w:multiLevelType w:val="hybridMultilevel"/>
    <w:tmpl w:val="B6149F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470E6F"/>
    <w:multiLevelType w:val="hybridMultilevel"/>
    <w:tmpl w:val="C606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FAE2C43"/>
    <w:multiLevelType w:val="hybridMultilevel"/>
    <w:tmpl w:val="416A1490"/>
    <w:lvl w:ilvl="0" w:tplc="71B6C6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
  </w:num>
  <w:num w:numId="5">
    <w:abstractNumId w:val="11"/>
  </w:num>
  <w:num w:numId="6">
    <w:abstractNumId w:val="0"/>
  </w:num>
  <w:num w:numId="7">
    <w:abstractNumId w:val="2"/>
  </w:num>
  <w:num w:numId="8">
    <w:abstractNumId w:val="6"/>
  </w:num>
  <w:num w:numId="9">
    <w:abstractNumId w:val="13"/>
  </w:num>
  <w:num w:numId="10">
    <w:abstractNumId w:val="7"/>
  </w:num>
  <w:num w:numId="11">
    <w:abstractNumId w:val="4"/>
  </w:num>
  <w:num w:numId="12">
    <w:abstractNumId w:val="14"/>
  </w:num>
  <w:num w:numId="13">
    <w:abstractNumId w:val="3"/>
  </w:num>
  <w:num w:numId="14">
    <w:abstractNumId w:val="8"/>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38"/>
    <w:rsid w:val="000221D8"/>
    <w:rsid w:val="000473B8"/>
    <w:rsid w:val="00050753"/>
    <w:rsid w:val="000543F2"/>
    <w:rsid w:val="0008607F"/>
    <w:rsid w:val="00087839"/>
    <w:rsid w:val="000A25F4"/>
    <w:rsid w:val="00124BFC"/>
    <w:rsid w:val="00167B1B"/>
    <w:rsid w:val="00184B90"/>
    <w:rsid w:val="001B525D"/>
    <w:rsid w:val="001C1AD2"/>
    <w:rsid w:val="001D3DCD"/>
    <w:rsid w:val="001F2249"/>
    <w:rsid w:val="001F4AF2"/>
    <w:rsid w:val="002428D3"/>
    <w:rsid w:val="002446B8"/>
    <w:rsid w:val="002817E3"/>
    <w:rsid w:val="00295CA5"/>
    <w:rsid w:val="002B250C"/>
    <w:rsid w:val="002C4D8C"/>
    <w:rsid w:val="002D0ECD"/>
    <w:rsid w:val="002E2E6A"/>
    <w:rsid w:val="00310673"/>
    <w:rsid w:val="003204D8"/>
    <w:rsid w:val="00326E04"/>
    <w:rsid w:val="003741CF"/>
    <w:rsid w:val="00396061"/>
    <w:rsid w:val="003A0B04"/>
    <w:rsid w:val="003B33CC"/>
    <w:rsid w:val="003C2D5B"/>
    <w:rsid w:val="003D7F6E"/>
    <w:rsid w:val="003E53C1"/>
    <w:rsid w:val="003F76AE"/>
    <w:rsid w:val="00403A65"/>
    <w:rsid w:val="004068F0"/>
    <w:rsid w:val="00415AF2"/>
    <w:rsid w:val="00422D97"/>
    <w:rsid w:val="0043522E"/>
    <w:rsid w:val="00446E33"/>
    <w:rsid w:val="004519B2"/>
    <w:rsid w:val="004607C3"/>
    <w:rsid w:val="004618A1"/>
    <w:rsid w:val="004A40E2"/>
    <w:rsid w:val="004F68D2"/>
    <w:rsid w:val="004F7133"/>
    <w:rsid w:val="0053380A"/>
    <w:rsid w:val="005364DE"/>
    <w:rsid w:val="00541141"/>
    <w:rsid w:val="00547FAE"/>
    <w:rsid w:val="00560E80"/>
    <w:rsid w:val="00566DA9"/>
    <w:rsid w:val="00572FCE"/>
    <w:rsid w:val="005B3E64"/>
    <w:rsid w:val="005C30F9"/>
    <w:rsid w:val="005D1308"/>
    <w:rsid w:val="005D20F1"/>
    <w:rsid w:val="005E6239"/>
    <w:rsid w:val="005F5A0D"/>
    <w:rsid w:val="0063736B"/>
    <w:rsid w:val="006513DA"/>
    <w:rsid w:val="006572DF"/>
    <w:rsid w:val="006737F3"/>
    <w:rsid w:val="00697A5E"/>
    <w:rsid w:val="006A0EE6"/>
    <w:rsid w:val="006E3AC7"/>
    <w:rsid w:val="006E4EFB"/>
    <w:rsid w:val="00736F4A"/>
    <w:rsid w:val="0076045B"/>
    <w:rsid w:val="00790563"/>
    <w:rsid w:val="007A486E"/>
    <w:rsid w:val="00807ECA"/>
    <w:rsid w:val="00825F63"/>
    <w:rsid w:val="00850011"/>
    <w:rsid w:val="00850AEA"/>
    <w:rsid w:val="00852D8E"/>
    <w:rsid w:val="00870560"/>
    <w:rsid w:val="00876200"/>
    <w:rsid w:val="008822B1"/>
    <w:rsid w:val="00893BC4"/>
    <w:rsid w:val="008B4E3B"/>
    <w:rsid w:val="009129CC"/>
    <w:rsid w:val="0094614B"/>
    <w:rsid w:val="009757B5"/>
    <w:rsid w:val="009850F9"/>
    <w:rsid w:val="009B5EA6"/>
    <w:rsid w:val="009C6353"/>
    <w:rsid w:val="009E2EA8"/>
    <w:rsid w:val="00A06599"/>
    <w:rsid w:val="00A214EF"/>
    <w:rsid w:val="00A361F7"/>
    <w:rsid w:val="00A44058"/>
    <w:rsid w:val="00A452FA"/>
    <w:rsid w:val="00A57510"/>
    <w:rsid w:val="00A674C1"/>
    <w:rsid w:val="00A67D35"/>
    <w:rsid w:val="00A700BB"/>
    <w:rsid w:val="00A73E2B"/>
    <w:rsid w:val="00AC1ADC"/>
    <w:rsid w:val="00AC474E"/>
    <w:rsid w:val="00AC4E90"/>
    <w:rsid w:val="00AE6C68"/>
    <w:rsid w:val="00AF73E7"/>
    <w:rsid w:val="00AF7B5A"/>
    <w:rsid w:val="00B038ED"/>
    <w:rsid w:val="00B471E4"/>
    <w:rsid w:val="00B55995"/>
    <w:rsid w:val="00B62449"/>
    <w:rsid w:val="00B74EF2"/>
    <w:rsid w:val="00BC57FE"/>
    <w:rsid w:val="00BF5CEA"/>
    <w:rsid w:val="00C06DCC"/>
    <w:rsid w:val="00C153D0"/>
    <w:rsid w:val="00C215E6"/>
    <w:rsid w:val="00C2413B"/>
    <w:rsid w:val="00C470FB"/>
    <w:rsid w:val="00C965F0"/>
    <w:rsid w:val="00CA6B4B"/>
    <w:rsid w:val="00CF3357"/>
    <w:rsid w:val="00D161FA"/>
    <w:rsid w:val="00D170D8"/>
    <w:rsid w:val="00D23F0C"/>
    <w:rsid w:val="00D32A94"/>
    <w:rsid w:val="00D44042"/>
    <w:rsid w:val="00D81CC5"/>
    <w:rsid w:val="00D82E3D"/>
    <w:rsid w:val="00DC3395"/>
    <w:rsid w:val="00DD0DC5"/>
    <w:rsid w:val="00DE6552"/>
    <w:rsid w:val="00DE783F"/>
    <w:rsid w:val="00DF08A9"/>
    <w:rsid w:val="00E2041F"/>
    <w:rsid w:val="00E20A0D"/>
    <w:rsid w:val="00E50B89"/>
    <w:rsid w:val="00E66BEF"/>
    <w:rsid w:val="00E750BC"/>
    <w:rsid w:val="00E82916"/>
    <w:rsid w:val="00E85083"/>
    <w:rsid w:val="00EA30DC"/>
    <w:rsid w:val="00ED397C"/>
    <w:rsid w:val="00F60E0D"/>
    <w:rsid w:val="00F652FD"/>
    <w:rsid w:val="00F66669"/>
    <w:rsid w:val="00FB23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D64A0"/>
  <w15:chartTrackingRefBased/>
  <w15:docId w15:val="{4286E958-A187-42E5-863D-6F3561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Lista1,列出段落"/>
    <w:basedOn w:val="Normal"/>
    <w:link w:val="ListParagraphChar"/>
    <w:uiPriority w:val="34"/>
    <w:qFormat/>
    <w:rsid w:val="00295CA5"/>
    <w:pPr>
      <w:overflowPunct w:val="0"/>
      <w:autoSpaceDE w:val="0"/>
      <w:autoSpaceDN w:val="0"/>
      <w:adjustRightInd w:val="0"/>
      <w:spacing w:after="180"/>
      <w:ind w:left="720"/>
      <w:contextualSpacing/>
      <w:textAlignment w:val="baseline"/>
    </w:pPr>
    <w:rPr>
      <w:lang w:eastAsia="ja-JP"/>
    </w:rPr>
  </w:style>
  <w:style w:type="character" w:customStyle="1" w:styleId="ListParagraphChar">
    <w:name w:val="List Paragraph Char"/>
    <w:aliases w:val="- Bullets Char,?? ?? Char,????? Char,???? Char,Lista1 Char,列出段落 Char"/>
    <w:link w:val="ListParagraph"/>
    <w:uiPriority w:val="34"/>
    <w:qFormat/>
    <w:locked/>
    <w:rsid w:val="00295CA5"/>
    <w:rPr>
      <w:rFonts w:eastAsia="SimSun"/>
      <w:lang w:eastAsia="ja-JP"/>
    </w:rPr>
  </w:style>
  <w:style w:type="paragraph" w:styleId="CommentSubject">
    <w:name w:val="annotation subject"/>
    <w:basedOn w:val="CommentText"/>
    <w:next w:val="CommentText"/>
    <w:link w:val="CommentSubjectChar"/>
    <w:uiPriority w:val="99"/>
    <w:semiHidden/>
    <w:unhideWhenUsed/>
    <w:rsid w:val="005F5A0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5A0D"/>
    <w:rPr>
      <w:rFonts w:ascii="Arial" w:hAnsi="Arial"/>
      <w:lang w:eastAsia="en-US"/>
    </w:rPr>
  </w:style>
  <w:style w:type="character" w:customStyle="1" w:styleId="CommentSubjectChar">
    <w:name w:val="Comment Subject Char"/>
    <w:basedOn w:val="CommentTextChar"/>
    <w:link w:val="CommentSubject"/>
    <w:uiPriority w:val="99"/>
    <w:semiHidden/>
    <w:rsid w:val="005F5A0D"/>
    <w:rPr>
      <w:rFonts w:ascii="Arial" w:hAnsi="Arial"/>
      <w:b/>
      <w:bCs/>
      <w:lang w:eastAsia="en-US"/>
    </w:rPr>
  </w:style>
  <w:style w:type="paragraph" w:styleId="Caption">
    <w:name w:val="caption"/>
    <w:basedOn w:val="Normal"/>
    <w:next w:val="Normal"/>
    <w:uiPriority w:val="35"/>
    <w:unhideWhenUsed/>
    <w:qFormat/>
    <w:rsid w:val="009850F9"/>
    <w:rPr>
      <w:b/>
      <w:bCs/>
    </w:rPr>
  </w:style>
  <w:style w:type="paragraph" w:styleId="NoSpacing">
    <w:name w:val="No Spacing"/>
    <w:uiPriority w:val="1"/>
    <w:qFormat/>
    <w:rsid w:val="00A674C1"/>
    <w:rPr>
      <w:lang w:eastAsia="en-US"/>
    </w:rPr>
  </w:style>
  <w:style w:type="paragraph" w:styleId="Revision">
    <w:name w:val="Revision"/>
    <w:hidden/>
    <w:uiPriority w:val="99"/>
    <w:semiHidden/>
    <w:rsid w:val="00807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1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52810-6CC9-4757-B9BD-B05F23F8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TCL Communications</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Sebastian, WAGNER</dc:creator>
  <cp:keywords/>
  <dc:description/>
  <cp:lastModifiedBy>Virgile GARCIA</cp:lastModifiedBy>
  <cp:revision>4</cp:revision>
  <cp:lastPrinted>2002-04-23T07:10:00Z</cp:lastPrinted>
  <dcterms:created xsi:type="dcterms:W3CDTF">2018-09-28T14:34:00Z</dcterms:created>
  <dcterms:modified xsi:type="dcterms:W3CDTF">2018-09-28T14:41:00Z</dcterms:modified>
</cp:coreProperties>
</file>