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5E" w:rsidRDefault="006829E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 w:rsidR="00766C4E">
        <w:rPr>
          <w:rFonts w:ascii="Arial" w:hAnsi="Arial" w:cs="Arial" w:hint="eastAsia"/>
          <w:b/>
          <w:bCs/>
          <w:sz w:val="28"/>
          <w:lang w:eastAsia="zh-CN"/>
        </w:rPr>
        <w:t>bis</w:t>
      </w:r>
      <w:r>
        <w:rPr>
          <w:rFonts w:ascii="Arial" w:hAnsi="Arial" w:cs="Arial"/>
          <w:b/>
          <w:bCs/>
          <w:sz w:val="28"/>
        </w:rPr>
        <w:tab/>
        <w:t>R1-18</w:t>
      </w:r>
      <w:r w:rsidR="00086EAF">
        <w:rPr>
          <w:rFonts w:ascii="Arial" w:hAnsi="Arial" w:cs="Arial" w:hint="eastAsia"/>
          <w:b/>
          <w:bCs/>
          <w:sz w:val="28"/>
          <w:lang w:eastAsia="zh-CN"/>
        </w:rPr>
        <w:t>11068</w:t>
      </w:r>
    </w:p>
    <w:p w:rsidR="006D205E" w:rsidRDefault="00086E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86EAF">
        <w:rPr>
          <w:rFonts w:ascii="Arial" w:eastAsia="MS Mincho" w:hAnsi="Arial" w:cs="Arial"/>
          <w:b/>
          <w:bCs/>
          <w:sz w:val="28"/>
          <w:lang w:eastAsia="ja-JP"/>
        </w:rPr>
        <w:t>Chengdu, China, October 8th – 12th, 2018</w:t>
      </w:r>
    </w:p>
    <w:p w:rsidR="006D205E" w:rsidRDefault="006829EF" w:rsidP="00BA4757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6D205E" w:rsidRDefault="006829EF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6D205E" w:rsidRDefault="006829EF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connection density of IMT-2020 self-evaluation</w:t>
      </w:r>
      <w:r>
        <w:rPr>
          <w:rFonts w:hint="eastAsia"/>
          <w:b/>
          <w:lang w:eastAsia="zh-CN"/>
        </w:rPr>
        <w:t xml:space="preserve"> </w:t>
      </w:r>
    </w:p>
    <w:p w:rsidR="006D205E" w:rsidRDefault="006829EF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6D205E" w:rsidRDefault="006D205E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6D205E" w:rsidRDefault="006829EF">
      <w:pPr>
        <w:pStyle w:val="1"/>
        <w:spacing w:before="0"/>
      </w:pPr>
      <w:r>
        <w:rPr>
          <w:lang w:eastAsia="zh-CN"/>
        </w:rPr>
        <w:t>Introduction</w:t>
      </w:r>
    </w:p>
    <w:p w:rsidR="00086EAF" w:rsidRDefault="00086EAF" w:rsidP="00086EA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6D205E" w:rsidRDefault="006829E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6D205E" w:rsidRDefault="006829EF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RAN#80, an approved Way forward shown </w:t>
      </w:r>
      <w:r>
        <w:rPr>
          <w:color w:val="000000"/>
          <w:sz w:val="20"/>
          <w:szCs w:val="20"/>
        </w:rPr>
        <w:t xml:space="preserve">Urban Macro – </w:t>
      </w:r>
      <w:proofErr w:type="spellStart"/>
      <w:r>
        <w:rPr>
          <w:color w:val="000000"/>
          <w:sz w:val="20"/>
          <w:szCs w:val="20"/>
        </w:rPr>
        <w:t>mMTC</w:t>
      </w:r>
      <w:proofErr w:type="spellEnd"/>
      <w:r>
        <w:rPr>
          <w:rFonts w:hint="eastAsia"/>
          <w:lang w:eastAsia="zh-CN"/>
        </w:rPr>
        <w:t xml:space="preserve"> should be evaluated by LTE [3]. In this contribution, some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 xml:space="preserve">s on evaluation details and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Connection Density of both NR and LTE will be shown by full-buffer system-level simulation followed by link-level simulation.</w:t>
      </w:r>
    </w:p>
    <w:p w:rsidR="006D205E" w:rsidRDefault="006829EF" w:rsidP="00BA4757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F</w:t>
      </w:r>
      <w:r>
        <w:t>ull-buffer system-level simulation followed by link-level simulation</w:t>
      </w:r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>In the system-level part, the main difference between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NR is uplink bandwidth, which </w:t>
      </w:r>
      <w:r w:rsidR="00086EAF">
        <w:rPr>
          <w:lang w:eastAsia="zh-CN"/>
        </w:rPr>
        <w:t>180 kHz</w:t>
      </w:r>
      <w:r>
        <w:rPr>
          <w:rFonts w:hint="eastAsia"/>
          <w:lang w:eastAsia="zh-CN"/>
        </w:rPr>
        <w:t xml:space="preserve"> is applied for obtaining NR UL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 xml:space="preserve">, while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for NB-</w:t>
      </w:r>
      <w:proofErr w:type="spellStart"/>
      <w:r>
        <w:rPr>
          <w:rFonts w:hint="eastAsia"/>
          <w:lang w:eastAsia="zh-CN"/>
        </w:rPr>
        <w:t>IoT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in LTE.</w:t>
      </w:r>
    </w:p>
    <w:p w:rsidR="006D205E" w:rsidRDefault="006829EF">
      <w:pPr>
        <w:pStyle w:val="2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NR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Figure1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 xml:space="preserve">. However, in the part of link level simulation, NR link adoption is supported. Table 1 presents that NR can </w:t>
      </w:r>
      <w:r>
        <w:t>meet the IMT-2020 connection density target</w:t>
      </w:r>
      <w:r>
        <w:rPr>
          <w:rFonts w:hint="eastAsia"/>
          <w:lang w:eastAsia="zh-CN"/>
        </w:rPr>
        <w:t xml:space="preserve"> by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bandwidth.</w:t>
      </w:r>
    </w:p>
    <w:p w:rsidR="0004776D" w:rsidRDefault="0004776D">
      <w:pPr>
        <w:jc w:val="center"/>
        <w:rPr>
          <w:lang w:eastAsia="zh-CN"/>
        </w:rPr>
      </w:pPr>
      <w:r w:rsidRPr="0004776D">
        <w:rPr>
          <w:noProof/>
          <w:lang w:eastAsia="zh-CN"/>
        </w:rPr>
        <w:drawing>
          <wp:inline distT="0" distB="0" distL="114300" distR="114300">
            <wp:extent cx="3239770" cy="2429510"/>
            <wp:effectExtent l="0" t="0" r="17780" b="8890"/>
            <wp:docPr id="1" name="图片 2" descr="mmtc1732 N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tc1732 NR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Figure1 the Uplink SINR distribution of NR</w:t>
      </w:r>
    </w:p>
    <w:p w:rsidR="006D205E" w:rsidRPr="00086EAF" w:rsidRDefault="00BA4757">
      <w:pPr>
        <w:jc w:val="center"/>
        <w:rPr>
          <w:lang w:eastAsia="zh-CN"/>
        </w:rPr>
      </w:pPr>
      <w:r w:rsidRPr="00BA4757">
        <w:rPr>
          <w:noProof/>
          <w:lang w:eastAsia="zh-CN"/>
        </w:rPr>
        <w:drawing>
          <wp:inline distT="0" distB="0" distL="114300" distR="114300">
            <wp:extent cx="3256280" cy="2442210"/>
            <wp:effectExtent l="0" t="0" r="1270" b="15240"/>
            <wp:docPr id="8" name="图片 6" descr="NROM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ROMAS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28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t>NR link spectral efficiency</w:t>
      </w:r>
    </w:p>
    <w:tbl>
      <w:tblPr>
        <w:tblStyle w:val="ad"/>
        <w:tblW w:w="5122" w:type="dxa"/>
        <w:tblInd w:w="1595" w:type="dxa"/>
        <w:tblLayout w:type="fixed"/>
        <w:tblLook w:val="04A0"/>
      </w:tblPr>
      <w:tblGrid>
        <w:gridCol w:w="1722"/>
        <w:gridCol w:w="1700"/>
        <w:gridCol w:w="1700"/>
      </w:tblGrid>
      <w:tr w:rsidR="00086EAF" w:rsidTr="00086EAF">
        <w:tc>
          <w:tcPr>
            <w:tcW w:w="1722" w:type="dxa"/>
            <w:vAlign w:val="center"/>
          </w:tcPr>
          <w:p w:rsidR="00086EAF" w:rsidRDefault="00086EA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086EAF" w:rsidRDefault="00086EA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  <w:tc>
          <w:tcPr>
            <w:tcW w:w="1700" w:type="dxa"/>
          </w:tcPr>
          <w:p w:rsidR="00086EAF" w:rsidRDefault="00086EA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a_b</w:t>
            </w:r>
            <w:proofErr w:type="spellEnd"/>
          </w:p>
        </w:tc>
      </w:tr>
      <w:tr w:rsidR="00086EAF" w:rsidTr="00BA4757">
        <w:tc>
          <w:tcPr>
            <w:tcW w:w="1722" w:type="dxa"/>
            <w:vAlign w:val="center"/>
          </w:tcPr>
          <w:p w:rsidR="00086EAF" w:rsidRDefault="00086EAF" w:rsidP="00086EA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86EAF" w:rsidRPr="00BA4757" w:rsidRDefault="00BA4757" w:rsidP="00086EAF">
            <w:pPr>
              <w:spacing w:after="0"/>
              <w:jc w:val="center"/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</w:pPr>
            <w:r w:rsidRPr="00BA4757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1 097 584</w:t>
            </w:r>
          </w:p>
        </w:tc>
        <w:tc>
          <w:tcPr>
            <w:tcW w:w="1700" w:type="dxa"/>
            <w:shd w:val="clear" w:color="auto" w:fill="auto"/>
          </w:tcPr>
          <w:p w:rsidR="00086EAF" w:rsidRPr="00BA4757" w:rsidRDefault="00BA4757" w:rsidP="00086EAF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zh-CN"/>
              </w:rPr>
            </w:pPr>
            <w:r w:rsidRPr="00BA4757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1 424 456</w:t>
            </w:r>
          </w:p>
        </w:tc>
      </w:tr>
    </w:tbl>
    <w:p w:rsidR="006D205E" w:rsidRDefault="006829EF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bookmarkStart w:id="0" w:name="_Ref510556872"/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bookmarkEnd w:id="0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NR</w:t>
      </w:r>
    </w:p>
    <w:p w:rsidR="006D205E" w:rsidRDefault="006829EF" w:rsidP="00BA4757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>
      <w:pPr>
        <w:pStyle w:val="2"/>
        <w:rPr>
          <w:lang w:eastAsia="zh-CN"/>
        </w:rPr>
      </w:pPr>
      <w:r>
        <w:rPr>
          <w:rFonts w:hint="eastAsia"/>
          <w:lang w:eastAsia="zh-CN"/>
        </w:rPr>
        <w:t>LTE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6D205E" w:rsidRDefault="006829EF">
      <w:pPr>
        <w:ind w:firstLine="420"/>
        <w:rPr>
          <w:lang w:eastAsia="zh-CN"/>
        </w:rPr>
      </w:pPr>
      <w:r>
        <w:rPr>
          <w:rFonts w:hint="eastAsia"/>
          <w:lang w:eastAsia="zh-CN"/>
        </w:rPr>
        <w:t>In LTE side,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 2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>. However, in the part of link level simulation, 1, 2, 4, 8, 16</w:t>
      </w:r>
      <w:r>
        <w:rPr>
          <w:lang w:eastAsia="zh-CN"/>
        </w:rPr>
        <w:t xml:space="preserve"> repetitions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simulated to reach </w:t>
      </w:r>
      <w:r>
        <w:t>link spectral efficiency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SINR values,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comes from system level simulation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results</w:t>
      </w:r>
      <w:r>
        <w:rPr>
          <w:lang w:eastAsia="zh-CN"/>
        </w:rPr>
        <w:t>. A fixed TBS of 256 bits was simulated, which exactly matches the agreed packet size of 32 bytes</w:t>
      </w:r>
      <w:r>
        <w:rPr>
          <w:rFonts w:hint="eastAsia"/>
          <w:lang w:eastAsia="zh-CN"/>
        </w:rPr>
        <w:t xml:space="preserve">. Table2 presents that NR </w:t>
      </w:r>
      <w:r>
        <w:t>meet</w:t>
      </w:r>
      <w:r>
        <w:rPr>
          <w:rFonts w:hint="eastAsia"/>
          <w:lang w:eastAsia="zh-CN"/>
        </w:rPr>
        <w:t>s</w:t>
      </w:r>
      <w:r>
        <w:t xml:space="preserve"> the IMT-2020 connection density target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>1</w:t>
      </w:r>
      <w:r>
        <w:rPr>
          <w:rFonts w:hint="eastAsia"/>
          <w:lang w:eastAsia="zh-CN"/>
        </w:rPr>
        <w:t>80</w:t>
      </w:r>
      <w:r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system bandwidth.</w:t>
      </w:r>
    </w:p>
    <w:p w:rsidR="0004776D" w:rsidRDefault="0004776D">
      <w:pPr>
        <w:jc w:val="center"/>
        <w:rPr>
          <w:lang w:eastAsia="zh-CN"/>
        </w:rPr>
      </w:pPr>
      <w:r w:rsidRPr="0004776D">
        <w:rPr>
          <w:noProof/>
          <w:lang w:eastAsia="zh-CN"/>
        </w:rPr>
        <w:drawing>
          <wp:inline distT="0" distB="0" distL="114300" distR="114300">
            <wp:extent cx="3239770" cy="2429510"/>
            <wp:effectExtent l="0" t="0" r="17780" b="8890"/>
            <wp:docPr id="3" name="图片 3" descr="mmtc1732 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tc1732 NB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Figure3 the Uplink SINR distribution of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6D205E" w:rsidRDefault="00BA4757">
      <w:pPr>
        <w:jc w:val="center"/>
        <w:rPr>
          <w:lang w:eastAsia="zh-CN"/>
        </w:rPr>
      </w:pPr>
      <w:r w:rsidRPr="00BA4757">
        <w:rPr>
          <w:lang w:eastAsia="zh-CN"/>
        </w:rPr>
        <w:drawing>
          <wp:inline distT="0" distB="0" distL="114300" distR="114300">
            <wp:extent cx="3599815" cy="2699385"/>
            <wp:effectExtent l="0" t="0" r="635" b="5715"/>
            <wp:docPr id="11" name="图片 4" descr="link 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ink f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t xml:space="preserve"> NB-</w:t>
      </w:r>
      <w:proofErr w:type="spellStart"/>
      <w:r>
        <w:t>IoT</w:t>
      </w:r>
      <w:proofErr w:type="spellEnd"/>
      <w:r>
        <w:t xml:space="preserve"> link spectral efficiency</w:t>
      </w:r>
    </w:p>
    <w:tbl>
      <w:tblPr>
        <w:tblStyle w:val="ad"/>
        <w:tblW w:w="5122" w:type="dxa"/>
        <w:tblInd w:w="1595" w:type="dxa"/>
        <w:tblLayout w:type="fixed"/>
        <w:tblLook w:val="04A0"/>
      </w:tblPr>
      <w:tblGrid>
        <w:gridCol w:w="1722"/>
        <w:gridCol w:w="1700"/>
        <w:gridCol w:w="1700"/>
      </w:tblGrid>
      <w:tr w:rsidR="00086EAF" w:rsidTr="00086EAF">
        <w:tc>
          <w:tcPr>
            <w:tcW w:w="1722" w:type="dxa"/>
          </w:tcPr>
          <w:p w:rsidR="00086EAF" w:rsidRDefault="00086EA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</w:tcPr>
          <w:p w:rsidR="00086EAF" w:rsidRDefault="00086EA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  <w:tc>
          <w:tcPr>
            <w:tcW w:w="1700" w:type="dxa"/>
          </w:tcPr>
          <w:p w:rsidR="00086EAF" w:rsidRDefault="00086EA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Conf</w:t>
            </w:r>
            <w:r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UM</w:t>
            </w: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a_b</w:t>
            </w:r>
            <w:proofErr w:type="spellEnd"/>
          </w:p>
        </w:tc>
      </w:tr>
      <w:tr w:rsidR="00086EAF" w:rsidTr="00086EAF">
        <w:tc>
          <w:tcPr>
            <w:tcW w:w="1722" w:type="dxa"/>
          </w:tcPr>
          <w:p w:rsidR="00086EAF" w:rsidRDefault="00086EAF" w:rsidP="00086EAF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eastAsiaTheme="minorEastAsia" w:cs="Arial" w:hint="eastAsia"/>
                <w:sz w:val="18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700" w:type="dxa"/>
          </w:tcPr>
          <w:p w:rsidR="00086EAF" w:rsidRDefault="0004776D" w:rsidP="00086EAF">
            <w:pPr>
              <w:spacing w:after="0"/>
              <w:jc w:val="center"/>
            </w:pPr>
            <w:r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2 221 984</w:t>
            </w:r>
          </w:p>
        </w:tc>
        <w:tc>
          <w:tcPr>
            <w:tcW w:w="1700" w:type="dxa"/>
          </w:tcPr>
          <w:p w:rsidR="00086EAF" w:rsidRDefault="0004776D" w:rsidP="00086EAF">
            <w:pPr>
              <w:spacing w:after="0"/>
              <w:jc w:val="center"/>
            </w:pPr>
            <w:r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2 244 167</w:t>
            </w:r>
          </w:p>
        </w:tc>
      </w:tr>
    </w:tbl>
    <w:p w:rsidR="006D205E" w:rsidRDefault="006829EF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NB-</w:t>
      </w:r>
      <w:proofErr w:type="spellStart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IoT</w:t>
      </w:r>
      <w:proofErr w:type="spellEnd"/>
    </w:p>
    <w:p w:rsidR="006D205E" w:rsidRDefault="006829EF" w:rsidP="00BA4757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BA4757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D205E" w:rsidRDefault="006829EF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evaluation results of Connection Density towards IMT-2020 submission. Furthermore,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NR</w:t>
      </w:r>
      <w:r>
        <w:rPr>
          <w:rFonts w:hint="eastAsia"/>
          <w:lang w:eastAsia="zh-CN"/>
        </w:rPr>
        <w:t xml:space="preserve"> and</w:t>
      </w:r>
      <w:r>
        <w:t xml:space="preserve"> NB-</w:t>
      </w:r>
      <w:proofErr w:type="spellStart"/>
      <w:r>
        <w:t>IoT</w:t>
      </w:r>
      <w:proofErr w:type="spellEnd"/>
      <w:r>
        <w:t xml:space="preserve"> connection density performance</w:t>
      </w:r>
      <w:r>
        <w:rPr>
          <w:rFonts w:hint="eastAsia"/>
          <w:lang w:eastAsia="zh-CN"/>
        </w:rPr>
        <w:t xml:space="preserve"> are shown</w:t>
      </w:r>
      <w:r>
        <w:t xml:space="preserve"> for the full buffer evaluation procedure. It has been</w:t>
      </w:r>
      <w:r>
        <w:rPr>
          <w:rFonts w:hint="eastAsia"/>
          <w:lang w:eastAsia="zh-CN"/>
        </w:rPr>
        <w:t xml:space="preserve"> clearly</w:t>
      </w:r>
      <w:r>
        <w:t xml:space="preserve"> shown that </w:t>
      </w:r>
      <w:r>
        <w:rPr>
          <w:rFonts w:hint="eastAsia"/>
          <w:lang w:eastAsia="zh-CN"/>
        </w:rPr>
        <w:t>both two</w:t>
      </w:r>
      <w:r>
        <w:t xml:space="preserve"> technologies with margin meets the requirement of 10^6 devices/km</w:t>
      </w:r>
      <w:r>
        <w:rPr>
          <w:vertAlign w:val="superscript"/>
        </w:rPr>
        <w:t>2</w:t>
      </w:r>
      <w:r>
        <w:rPr>
          <w:rFonts w:hint="eastAsia"/>
          <w:lang w:eastAsia="zh-CN"/>
        </w:rPr>
        <w:t>.</w:t>
      </w:r>
    </w:p>
    <w:p w:rsidR="006D205E" w:rsidRDefault="006829EF" w:rsidP="00BA4757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BA4757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6D205E" w:rsidRDefault="006829EF" w:rsidP="00BA4757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6D205E" w:rsidRDefault="006829EF" w:rsidP="00BA475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6D205E" w:rsidRDefault="006829EF" w:rsidP="00BA4757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>
        <w:rPr>
          <w:sz w:val="22"/>
          <w:szCs w:val="22"/>
          <w:lang w:eastAsia="zh-CN"/>
        </w:rPr>
        <w:t>.</w:t>
      </w:r>
    </w:p>
    <w:p w:rsidR="006D205E" w:rsidRDefault="006829EF">
      <w:pPr>
        <w:pStyle w:val="a4"/>
        <w:ind w:leftChars="100" w:left="22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RP-181306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“Way forward on </w:t>
      </w:r>
      <w:proofErr w:type="spellStart"/>
      <w:r>
        <w:rPr>
          <w:lang w:eastAsia="zh-CN"/>
        </w:rPr>
        <w:t>on</w:t>
      </w:r>
      <w:proofErr w:type="spellEnd"/>
      <w:r>
        <w:rPr>
          <w:lang w:eastAsia="zh-CN"/>
        </w:rPr>
        <w:t xml:space="preserve"> LTE evaluation towards 3GPP Updated </w:t>
      </w:r>
      <w:r>
        <w:rPr>
          <w:rFonts w:hint="eastAsia"/>
          <w:lang w:eastAsia="zh-CN"/>
        </w:rPr>
        <w:t>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RAN#80,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Ericsson, Telecom Italia</w:t>
      </w:r>
    </w:p>
    <w:p w:rsidR="00086EAF" w:rsidRDefault="00086EAF">
      <w:pPr>
        <w:pStyle w:val="a4"/>
        <w:ind w:leftChars="100" w:left="220"/>
        <w:rPr>
          <w:lang w:eastAsia="zh-CN"/>
        </w:rPr>
      </w:pPr>
    </w:p>
    <w:p w:rsidR="00086EAF" w:rsidRDefault="00086EAF">
      <w:pPr>
        <w:pStyle w:val="a4"/>
        <w:ind w:leftChars="100" w:left="220"/>
        <w:rPr>
          <w:lang w:eastAsia="zh-CN"/>
        </w:rPr>
      </w:pPr>
    </w:p>
    <w:p w:rsidR="006D205E" w:rsidRDefault="006829EF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8" w:type="dxa"/>
        <w:tblInd w:w="279" w:type="dxa"/>
        <w:tblLayout w:type="fixed"/>
        <w:tblLook w:val="04A0"/>
      </w:tblPr>
      <w:tblGrid>
        <w:gridCol w:w="2428"/>
        <w:gridCol w:w="3068"/>
        <w:gridCol w:w="3292"/>
      </w:tblGrid>
      <w:tr w:rsidR="006D205E">
        <w:trPr>
          <w:trHeight w:val="28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6D205E">
        <w:trPr>
          <w:trHeight w:val="1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180kHz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6D205E">
        <w:trPr>
          <w:trHeight w:val="8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BS antenna elements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16Rx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>cross-polarized antenna</w:t>
            </w:r>
            <w:r>
              <w:rPr>
                <w:rFonts w:cs="Arial"/>
                <w:sz w:val="18"/>
                <w:szCs w:val="18"/>
                <w:lang w:eastAsia="zh-CN"/>
              </w:rPr>
              <w:t>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(8,1,2,1,1),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(N/A, 0.8)λ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2TXRU,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(1,1,2,1,1)</w:t>
            </w:r>
          </w:p>
        </w:tc>
      </w:tr>
      <w:tr w:rsidR="006D205E">
        <w:trPr>
          <w:trHeight w:val="54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UE antenna elements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1TXRU</w:t>
            </w:r>
          </w:p>
        </w:tc>
      </w:tr>
      <w:tr w:rsidR="006D205E">
        <w:trPr>
          <w:trHeight w:val="34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Omni-directional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6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 1: Channel model A</w:t>
            </w:r>
          </w:p>
          <w:p w:rsidR="00086EAF" w:rsidRDefault="00086EAF" w:rsidP="00086EA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2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: Channel model 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B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per site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99° for configuration A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93° for configuration B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boresight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/ 150 / 270 degrees</w:t>
            </w:r>
          </w:p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3245" cy="351155"/>
                  <wp:effectExtent l="0" t="0" r="8255" b="1079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Radio distance based wrapping</w:t>
            </w:r>
          </w:p>
        </w:tc>
      </w:tr>
      <w:tr w:rsidR="006D205E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10 m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layout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7 sites, 3 sectors per site</w:t>
            </w:r>
          </w:p>
        </w:tc>
      </w:tr>
      <w:tr w:rsidR="006D205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UL Power control SINR target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P0= -1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Alpha=1</w:t>
            </w:r>
          </w:p>
        </w:tc>
      </w:tr>
    </w:tbl>
    <w:p w:rsidR="006829EF" w:rsidRDefault="006829EF">
      <w:pPr>
        <w:jc w:val="center"/>
        <w:rPr>
          <w:lang w:eastAsia="zh-CN"/>
        </w:rPr>
      </w:pPr>
    </w:p>
    <w:p w:rsidR="006D205E" w:rsidRDefault="006829E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9" w:type="dxa"/>
        <w:tblInd w:w="250" w:type="dxa"/>
        <w:tblLayout w:type="fixed"/>
        <w:tblLook w:val="04A0"/>
      </w:tblPr>
      <w:tblGrid>
        <w:gridCol w:w="2813"/>
        <w:gridCol w:w="2194"/>
        <w:gridCol w:w="3782"/>
      </w:tblGrid>
      <w:tr w:rsidR="006D205E" w:rsidTr="00086EAF">
        <w:trPr>
          <w:trHeight w:val="281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NPUSCH F1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 kHz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32, 42, 48, 64, 80, 104, 144, 168, 184 bits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256 bits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/BPSK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Resource units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2, 3, 4, 5, 6, 8, 10 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1, 2, 4, 8, 16</w:t>
            </w:r>
          </w:p>
        </w:tc>
      </w:tr>
      <w:tr w:rsidR="006D205E" w:rsidTr="00086EAF">
        <w:trPr>
          <w:trHeight w:val="242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SNR range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…15 dB</w:t>
            </w:r>
          </w:p>
        </w:tc>
      </w:tr>
      <w:tr w:rsidR="006D205E" w:rsidTr="00086EAF">
        <w:trPr>
          <w:trHeight w:val="135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5E" w:rsidRDefault="006829EF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 Channel model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5E" w:rsidRDefault="006829E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</w:tr>
    </w:tbl>
    <w:p w:rsidR="006D205E" w:rsidRDefault="006D205E">
      <w:pPr>
        <w:rPr>
          <w:lang w:eastAsia="zh-CN"/>
        </w:rPr>
      </w:pPr>
    </w:p>
    <w:p w:rsidR="006D205E" w:rsidRDefault="006D205E"/>
    <w:sectPr w:rsidR="006D205E" w:rsidSect="006D2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4776D"/>
    <w:rsid w:val="000850AF"/>
    <w:rsid w:val="00086EAF"/>
    <w:rsid w:val="000907DA"/>
    <w:rsid w:val="000D3C7A"/>
    <w:rsid w:val="00135C6E"/>
    <w:rsid w:val="001B410D"/>
    <w:rsid w:val="001C1DC3"/>
    <w:rsid w:val="001C21C5"/>
    <w:rsid w:val="002051BA"/>
    <w:rsid w:val="00213D3E"/>
    <w:rsid w:val="00262CB3"/>
    <w:rsid w:val="00265B61"/>
    <w:rsid w:val="0026604B"/>
    <w:rsid w:val="00274696"/>
    <w:rsid w:val="00293285"/>
    <w:rsid w:val="002B7B27"/>
    <w:rsid w:val="0039672F"/>
    <w:rsid w:val="00442133"/>
    <w:rsid w:val="00466C67"/>
    <w:rsid w:val="00524E84"/>
    <w:rsid w:val="0052593D"/>
    <w:rsid w:val="00587A16"/>
    <w:rsid w:val="005B5477"/>
    <w:rsid w:val="005B6313"/>
    <w:rsid w:val="005D5965"/>
    <w:rsid w:val="005E4F27"/>
    <w:rsid w:val="005E5B62"/>
    <w:rsid w:val="005F7A08"/>
    <w:rsid w:val="00656A93"/>
    <w:rsid w:val="006829EF"/>
    <w:rsid w:val="00687413"/>
    <w:rsid w:val="006A431A"/>
    <w:rsid w:val="006C126B"/>
    <w:rsid w:val="006D205E"/>
    <w:rsid w:val="006E24BC"/>
    <w:rsid w:val="00704562"/>
    <w:rsid w:val="00714D8D"/>
    <w:rsid w:val="00740D77"/>
    <w:rsid w:val="00753C53"/>
    <w:rsid w:val="00760537"/>
    <w:rsid w:val="00766C4E"/>
    <w:rsid w:val="007B3D96"/>
    <w:rsid w:val="007D66F8"/>
    <w:rsid w:val="008102DD"/>
    <w:rsid w:val="008158D4"/>
    <w:rsid w:val="0089123C"/>
    <w:rsid w:val="008A55B7"/>
    <w:rsid w:val="008E724A"/>
    <w:rsid w:val="008F11F7"/>
    <w:rsid w:val="00931E52"/>
    <w:rsid w:val="0099300B"/>
    <w:rsid w:val="00994B0D"/>
    <w:rsid w:val="00997EFD"/>
    <w:rsid w:val="009D46FF"/>
    <w:rsid w:val="009D60AC"/>
    <w:rsid w:val="009E045B"/>
    <w:rsid w:val="00A83F05"/>
    <w:rsid w:val="00AD77DF"/>
    <w:rsid w:val="00B044A8"/>
    <w:rsid w:val="00B27874"/>
    <w:rsid w:val="00B3163C"/>
    <w:rsid w:val="00B41DE8"/>
    <w:rsid w:val="00B54EF2"/>
    <w:rsid w:val="00B95DB0"/>
    <w:rsid w:val="00BA4757"/>
    <w:rsid w:val="00BC434E"/>
    <w:rsid w:val="00C14FF4"/>
    <w:rsid w:val="00C24004"/>
    <w:rsid w:val="00C44DF3"/>
    <w:rsid w:val="00C54BDD"/>
    <w:rsid w:val="00C6410F"/>
    <w:rsid w:val="00C66050"/>
    <w:rsid w:val="00C85E48"/>
    <w:rsid w:val="00CF5922"/>
    <w:rsid w:val="00D06FBB"/>
    <w:rsid w:val="00D16362"/>
    <w:rsid w:val="00D216AE"/>
    <w:rsid w:val="00D6477F"/>
    <w:rsid w:val="00D9344A"/>
    <w:rsid w:val="00DB7853"/>
    <w:rsid w:val="00DD311A"/>
    <w:rsid w:val="00E07146"/>
    <w:rsid w:val="00E21077"/>
    <w:rsid w:val="00E85AB2"/>
    <w:rsid w:val="00E867A5"/>
    <w:rsid w:val="00EB2036"/>
    <w:rsid w:val="00ED5EB5"/>
    <w:rsid w:val="00EF55BA"/>
    <w:rsid w:val="00F40B36"/>
    <w:rsid w:val="00F5333C"/>
    <w:rsid w:val="00F6204F"/>
    <w:rsid w:val="00F740B4"/>
    <w:rsid w:val="00F97B3A"/>
    <w:rsid w:val="00FC4DC3"/>
    <w:rsid w:val="0AA12C38"/>
    <w:rsid w:val="0C3C7C74"/>
    <w:rsid w:val="116E3BE3"/>
    <w:rsid w:val="121863DC"/>
    <w:rsid w:val="166D04EE"/>
    <w:rsid w:val="1A615D50"/>
    <w:rsid w:val="1AAF6B40"/>
    <w:rsid w:val="1F8910D1"/>
    <w:rsid w:val="21537E7B"/>
    <w:rsid w:val="21A659EB"/>
    <w:rsid w:val="24EF5AB5"/>
    <w:rsid w:val="251F1169"/>
    <w:rsid w:val="3B363F26"/>
    <w:rsid w:val="43460598"/>
    <w:rsid w:val="43B15B07"/>
    <w:rsid w:val="456752AD"/>
    <w:rsid w:val="4E8F6AE0"/>
    <w:rsid w:val="538F175E"/>
    <w:rsid w:val="5DDD1569"/>
    <w:rsid w:val="5E10093D"/>
    <w:rsid w:val="637361EB"/>
    <w:rsid w:val="647206DF"/>
    <w:rsid w:val="66993EE9"/>
    <w:rsid w:val="68624B5D"/>
    <w:rsid w:val="6BB22BF6"/>
    <w:rsid w:val="6CBD6CE9"/>
    <w:rsid w:val="70EE6E65"/>
    <w:rsid w:val="729F1668"/>
    <w:rsid w:val="73A6522A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5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6D205E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D205E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D205E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6D20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6D20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6D205E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D205E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D205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D205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6D205E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6D205E"/>
    <w:pPr>
      <w:jc w:val="left"/>
    </w:pPr>
  </w:style>
  <w:style w:type="paragraph" w:styleId="a5">
    <w:name w:val="caption"/>
    <w:basedOn w:val="a"/>
    <w:next w:val="a"/>
    <w:link w:val="Char1"/>
    <w:qFormat/>
    <w:rsid w:val="006D205E"/>
    <w:pPr>
      <w:widowControl w:val="0"/>
      <w:autoSpaceDE/>
      <w:autoSpaceDN/>
      <w:adjustRightInd/>
      <w:snapToGrid/>
      <w:spacing w:after="240"/>
      <w:jc w:val="center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6D205E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6D205E"/>
    <w:pPr>
      <w:widowControl w:val="0"/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8">
    <w:name w:val="Balloon Text"/>
    <w:basedOn w:val="a"/>
    <w:link w:val="Char4"/>
    <w:uiPriority w:val="99"/>
    <w:unhideWhenUsed/>
    <w:qFormat/>
    <w:rsid w:val="006D205E"/>
    <w:pPr>
      <w:spacing w:after="0"/>
    </w:pPr>
    <w:rPr>
      <w:sz w:val="18"/>
      <w:szCs w:val="18"/>
    </w:rPr>
  </w:style>
  <w:style w:type="paragraph" w:styleId="a9">
    <w:name w:val="footer"/>
    <w:basedOn w:val="a"/>
    <w:link w:val="Char5"/>
    <w:uiPriority w:val="99"/>
    <w:unhideWhenUsed/>
    <w:qFormat/>
    <w:rsid w:val="006D205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Char6"/>
    <w:uiPriority w:val="99"/>
    <w:unhideWhenUsed/>
    <w:qFormat/>
    <w:rsid w:val="006D20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sid w:val="006D205E"/>
    <w:rPr>
      <w:b/>
    </w:rPr>
  </w:style>
  <w:style w:type="character" w:styleId="ac">
    <w:name w:val="annotation reference"/>
    <w:basedOn w:val="a0"/>
    <w:uiPriority w:val="99"/>
    <w:unhideWhenUsed/>
    <w:qFormat/>
    <w:rsid w:val="006D205E"/>
    <w:rPr>
      <w:sz w:val="21"/>
      <w:szCs w:val="21"/>
    </w:rPr>
  </w:style>
  <w:style w:type="table" w:styleId="ad">
    <w:name w:val="Table Grid"/>
    <w:basedOn w:val="a1"/>
    <w:qFormat/>
    <w:rsid w:val="006D2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页眉 Char"/>
    <w:basedOn w:val="a0"/>
    <w:link w:val="aa"/>
    <w:uiPriority w:val="99"/>
    <w:semiHidden/>
    <w:qFormat/>
    <w:rsid w:val="006D205E"/>
    <w:rPr>
      <w:sz w:val="18"/>
      <w:szCs w:val="18"/>
    </w:rPr>
  </w:style>
  <w:style w:type="character" w:customStyle="1" w:styleId="Char5">
    <w:name w:val="页脚 Char"/>
    <w:basedOn w:val="a0"/>
    <w:link w:val="a9"/>
    <w:uiPriority w:val="99"/>
    <w:semiHidden/>
    <w:qFormat/>
    <w:rsid w:val="006D205E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6D205E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6D205E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6D205E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6D205E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6D205E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6D205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6D205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6D205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6D205E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6D20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6D205E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4">
    <w:name w:val="批注框文本 Char"/>
    <w:basedOn w:val="a0"/>
    <w:link w:val="a8"/>
    <w:uiPriority w:val="99"/>
    <w:semiHidden/>
    <w:qFormat/>
    <w:rsid w:val="006D205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6D205E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6D205E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6D205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7"/>
    <w:uiPriority w:val="34"/>
    <w:unhideWhenUsed/>
    <w:qFormat/>
    <w:rsid w:val="006D205E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qFormat/>
    <w:rsid w:val="006D205E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6D205E"/>
    <w:rPr>
      <w:b/>
      <w:bCs/>
    </w:rPr>
  </w:style>
  <w:style w:type="paragraph" w:customStyle="1" w:styleId="enumlev1">
    <w:name w:val="enumlev1"/>
    <w:basedOn w:val="a"/>
    <w:link w:val="enumlev1Char"/>
    <w:qFormat/>
    <w:rsid w:val="006D205E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6D205E"/>
    <w:rPr>
      <w:rFonts w:eastAsiaTheme="minorEastAsia"/>
      <w:sz w:val="24"/>
      <w:lang w:val="en-GB" w:eastAsia="en-US"/>
    </w:rPr>
  </w:style>
  <w:style w:type="character" w:customStyle="1" w:styleId="Char7">
    <w:name w:val="列出段落 Char"/>
    <w:link w:val="10"/>
    <w:uiPriority w:val="34"/>
    <w:qFormat/>
    <w:locked/>
    <w:rsid w:val="006D205E"/>
    <w:rPr>
      <w:sz w:val="22"/>
      <w:szCs w:val="22"/>
      <w:lang w:eastAsia="en-US"/>
    </w:rPr>
  </w:style>
  <w:style w:type="character" w:customStyle="1" w:styleId="Char1">
    <w:name w:val="题注 Char"/>
    <w:link w:val="a5"/>
    <w:qFormat/>
    <w:rsid w:val="006D205E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3">
    <w:name w:val="正文文本 Char"/>
    <w:basedOn w:val="a0"/>
    <w:link w:val="a7"/>
    <w:qFormat/>
    <w:rsid w:val="006D20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824</Words>
  <Characters>4702</Characters>
  <Application>Microsoft Office Word</Application>
  <DocSecurity>0</DocSecurity>
  <Lines>39</Lines>
  <Paragraphs>11</Paragraphs>
  <ScaleCrop>false</ScaleCrop>
  <Company>ZTE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11</cp:revision>
  <dcterms:created xsi:type="dcterms:W3CDTF">2018-08-10T02:37:00Z</dcterms:created>
  <dcterms:modified xsi:type="dcterms:W3CDTF">2018-09-29T03:08:00Z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