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19E08322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="00F14E79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F14E7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</w:t>
      </w:r>
      <w:r w:rsidR="00B67CFD">
        <w:rPr>
          <w:rFonts w:ascii="Arial" w:hAnsi="Arial" w:cs="Arial"/>
          <w:b/>
          <w:sz w:val="24"/>
          <w:szCs w:val="24"/>
        </w:rPr>
        <w:t>9</w:t>
      </w:r>
      <w:r w:rsidR="00F14E79">
        <w:rPr>
          <w:rFonts w:ascii="Arial" w:hAnsi="Arial" w:cs="Arial"/>
          <w:b/>
          <w:sz w:val="24"/>
          <w:szCs w:val="24"/>
        </w:rPr>
        <w:t>26</w:t>
      </w:r>
    </w:p>
    <w:p w14:paraId="7B06AEC4" w14:textId="27121D84" w:rsidR="007F637A" w:rsidRDefault="00F14E79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12</w:t>
      </w:r>
      <w:r w:rsidR="007F637A"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F63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3C91760D" w:rsidR="007F637A" w:rsidRPr="00FD021C" w:rsidRDefault="00F14E79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Chengdu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China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4CCA473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A21323">
        <w:rPr>
          <w:sz w:val="22"/>
          <w:szCs w:val="22"/>
          <w:lang w:val="sv-FI"/>
        </w:rPr>
        <w:t>2.4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46CE164A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FA0631" w:rsidRPr="00FA0631">
        <w:rPr>
          <w:sz w:val="22"/>
          <w:szCs w:val="22"/>
        </w:rPr>
        <w:t>Coexistence of NB-IoT with NR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5BC134CA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RAN#80 meeting, a new 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>Rel-16 enhancements for NB-IoT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 with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objective to study the coexistence of NB-IoT with NR. </w:t>
      </w:r>
    </w:p>
    <w:p w14:paraId="55C5A0E6" w14:textId="77777777" w:rsidR="00FA0631" w:rsidRPr="00FA0631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19BA7D16" w14:textId="77777777" w:rsidR="00FA0631" w:rsidRPr="00FA0631" w:rsidRDefault="00FA0631" w:rsidP="00FA0631">
      <w:pPr>
        <w:spacing w:after="120"/>
        <w:rPr>
          <w:rFonts w:eastAsia="宋体"/>
          <w:b/>
          <w:bCs/>
          <w:u w:val="single"/>
          <w:lang w:val="en-US" w:eastAsia="en-US"/>
        </w:rPr>
      </w:pPr>
      <w:bookmarkStart w:id="0" w:name="_Hlk516692042"/>
      <w:r w:rsidRPr="00FA0631">
        <w:rPr>
          <w:rFonts w:eastAsia="宋体"/>
          <w:b/>
          <w:bCs/>
          <w:u w:val="single"/>
          <w:lang w:val="en-US" w:eastAsia="en-US"/>
        </w:rPr>
        <w:t>Coexistence with NR</w:t>
      </w:r>
    </w:p>
    <w:p w14:paraId="225D6D31" w14:textId="77777777" w:rsidR="00FA0631" w:rsidRPr="00FA0631" w:rsidRDefault="00FA0631" w:rsidP="00FA063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Study NR and LTE specifications to identify </w:t>
      </w:r>
      <w:bookmarkStart w:id="1" w:name="_Hlk516784255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possible issues related to coexistence of </w:t>
      </w:r>
      <w:bookmarkEnd w:id="1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NB-IoT with NR [RAN4, RAN1, RAN2]</w:t>
      </w:r>
    </w:p>
    <w:bookmarkEnd w:id="0"/>
    <w:p w14:paraId="463D44C9" w14:textId="77777777" w:rsidR="00F14E79" w:rsidRDefault="00F14E79" w:rsidP="00F14E7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F961C5B" w14:textId="7C89F879" w:rsidR="00F14E79" w:rsidRDefault="00F14E79" w:rsidP="00F14E7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RAN1#94 meeting,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the following observation and agreement were achieved</w:t>
      </w:r>
      <w:r w:rsidR="00DB6F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[2]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7CCAB748" w14:textId="77777777" w:rsidR="00F14E79" w:rsidRDefault="00F14E79" w:rsidP="00F14E7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7E63866" w14:textId="77777777" w:rsidR="00F14E79" w:rsidRPr="00D00165" w:rsidRDefault="00F14E79" w:rsidP="00F14E79">
      <w:pPr>
        <w:rPr>
          <w:rFonts w:eastAsia="Batang"/>
          <w:b/>
          <w:snapToGrid w:val="0"/>
          <w:kern w:val="2"/>
          <w:sz w:val="22"/>
          <w:szCs w:val="22"/>
          <w:lang w:eastAsia="ko-KR"/>
        </w:rPr>
      </w:pPr>
      <w:r w:rsidRPr="00D00165">
        <w:rPr>
          <w:rFonts w:eastAsia="Batang"/>
          <w:b/>
          <w:snapToGrid w:val="0"/>
          <w:kern w:val="2"/>
          <w:sz w:val="22"/>
          <w:szCs w:val="22"/>
          <w:lang w:eastAsia="ko-KR"/>
        </w:rPr>
        <w:t>Observation</w:t>
      </w:r>
    </w:p>
    <w:p w14:paraId="260E629E" w14:textId="7DEDF5EE" w:rsidR="00F14E79" w:rsidRDefault="00F14E79" w:rsidP="00F14E79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From RAN1 perspective, no issues were identified that would prevent the coexistence of NR and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NB-IoT</w:t>
      </w:r>
    </w:p>
    <w:p w14:paraId="10EA1EC5" w14:textId="77777777" w:rsidR="00F14E79" w:rsidRPr="00EC7337" w:rsidRDefault="00F14E79" w:rsidP="00F14E79">
      <w:p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0AB171B" w14:textId="77777777" w:rsidR="00F14E79" w:rsidRPr="00D00165" w:rsidRDefault="00F14E79" w:rsidP="00F14E79">
      <w:pPr>
        <w:rPr>
          <w:b/>
          <w:sz w:val="22"/>
          <w:szCs w:val="22"/>
          <w:lang w:eastAsia="zh-CN"/>
        </w:rPr>
      </w:pPr>
      <w:r w:rsidRPr="00D00165">
        <w:rPr>
          <w:b/>
          <w:sz w:val="22"/>
          <w:szCs w:val="22"/>
          <w:highlight w:val="green"/>
          <w:lang w:eastAsia="zh-CN"/>
        </w:rPr>
        <w:t>Agreement</w:t>
      </w:r>
    </w:p>
    <w:p w14:paraId="3EA20860" w14:textId="778D0F3E" w:rsidR="00F14E79" w:rsidRPr="00EC7337" w:rsidRDefault="00F14E79" w:rsidP="00F14E79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RAN1 studies additional specification enhancement for improving the performance of coexistence of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NB-IoT</w:t>
      </w:r>
      <w:r w:rsidRP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</w:t>
      </w:r>
    </w:p>
    <w:p w14:paraId="31060371" w14:textId="5B5C4180" w:rsidR="00C77218" w:rsidRPr="00F14E79" w:rsidRDefault="00C77218" w:rsidP="00B509B4">
      <w:pPr>
        <w:pStyle w:val="ListNumber"/>
        <w:numPr>
          <w:ilvl w:val="0"/>
          <w:numId w:val="0"/>
        </w:numPr>
      </w:pPr>
    </w:p>
    <w:p w14:paraId="2262A0BE" w14:textId="0F893446" w:rsidR="00FA0631" w:rsidRP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2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F14E79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facilitating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close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coexistence with NR. </w:t>
      </w:r>
    </w:p>
    <w:p w14:paraId="6085A115" w14:textId="12DA86FC" w:rsidR="004000E8" w:rsidRDefault="00230D18" w:rsidP="00CE0424">
      <w:pPr>
        <w:pStyle w:val="Heading1"/>
      </w:pPr>
      <w:r>
        <w:t>2</w:t>
      </w:r>
      <w:r>
        <w:tab/>
      </w:r>
      <w:bookmarkEnd w:id="2"/>
      <w:r w:rsidR="00FA0631">
        <w:t>Discussion</w:t>
      </w:r>
    </w:p>
    <w:p w14:paraId="33B0FED8" w14:textId="77777777" w:rsidR="00F14E79" w:rsidRPr="00EC7337" w:rsidRDefault="00F14E79" w:rsidP="00F14E79">
      <w:pPr>
        <w:pStyle w:val="Heading2"/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EC7337">
        <w:rPr>
          <w:rFonts w:hint="eastAsia"/>
          <w:sz w:val="28"/>
          <w:szCs w:val="28"/>
        </w:rPr>
        <w:t xml:space="preserve">Subcarrier </w:t>
      </w:r>
      <w:r w:rsidRPr="00EC7337">
        <w:rPr>
          <w:sz w:val="28"/>
          <w:szCs w:val="28"/>
        </w:rPr>
        <w:t xml:space="preserve">and PRB </w:t>
      </w:r>
      <w:r>
        <w:rPr>
          <w:sz w:val="28"/>
          <w:szCs w:val="28"/>
        </w:rPr>
        <w:t xml:space="preserve">Grid </w:t>
      </w:r>
      <w:r w:rsidRPr="00EC7337">
        <w:rPr>
          <w:rFonts w:hint="eastAsia"/>
          <w:sz w:val="28"/>
          <w:szCs w:val="28"/>
        </w:rPr>
        <w:t>Alignment</w:t>
      </w:r>
    </w:p>
    <w:p w14:paraId="3FF8981C" w14:textId="2CAC0789" w:rsidR="00CA03EB" w:rsidRDefault="00CA03E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</w:t>
      </w:r>
      <w:r w:rsidR="00192251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important </w:t>
      </w:r>
      <w:r w:rsidR="00192251">
        <w:rPr>
          <w:rFonts w:eastAsia="Batang"/>
          <w:snapToGrid w:val="0"/>
          <w:kern w:val="2"/>
          <w:sz w:val="22"/>
          <w:szCs w:val="22"/>
          <w:lang w:eastAsia="ko-KR"/>
        </w:rPr>
        <w:t>requirement</w:t>
      </w:r>
      <w:r w:rsidR="00192251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for NR is to ensure good </w:t>
      </w:r>
      <w:r w:rsid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co-existence with LTE since NR and </w:t>
      </w:r>
      <w:r w:rsidR="00192251" w:rsidRP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may be deployed with frequency-overlapping carriers as well as frequency adjacent non-overlapping carriers.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 xml:space="preserve">It is noted that LTE shall include also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NB-IoT. As agreed in RAN#79,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the LP</w:t>
      </w:r>
      <w:r w:rsidR="00083055">
        <w:rPr>
          <w:rFonts w:eastAsia="Batang"/>
          <w:snapToGrid w:val="0"/>
          <w:kern w:val="2"/>
          <w:sz w:val="22"/>
          <w:szCs w:val="22"/>
          <w:lang w:eastAsia="ko-KR"/>
        </w:rPr>
        <w:t>W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A user case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will continue to be addressed by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NB-IoT</w:t>
      </w:r>
      <w:r w:rsidR="00B67CFD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allow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 smooth migration path 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/NB-IoT </w:t>
      </w:r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by joint deployment with NR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This would allow the operator </w:t>
      </w:r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update the existing </w:t>
      </w:r>
      <w:proofErr w:type="spellStart"/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/NB-IoT enabled network to NR while continuing serving the deployed Io</w:t>
      </w:r>
      <w:r w:rsidR="00B67CFD">
        <w:rPr>
          <w:rFonts w:eastAsia="Batang"/>
          <w:snapToGrid w:val="0"/>
          <w:kern w:val="2"/>
          <w:sz w:val="22"/>
          <w:szCs w:val="22"/>
          <w:lang w:eastAsia="ko-KR"/>
        </w:rPr>
        <w:t>T devices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5A16659F" w14:textId="6643021F" w:rsidR="00CA03EB" w:rsidRDefault="00CA03E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45FB0C6" w14:textId="578B4B93" w:rsidR="00DB6F43" w:rsidRDefault="00DB6F43" w:rsidP="00083055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According to [3], for in-band or guard-band mode operation, the downlink subcarrier alignment between NB-IoT and NR can be achieved when 15kHz subcarrier spacing is used in NR. However, for standalone mode operation, as discussed in [4] the subcarrier grid between NB-IoT and NR will be shifted by +7.5kHz or -7.5kHz. This is because the standalone NB-IoT carrier is </w:t>
      </w:r>
      <w:proofErr w:type="spellStart"/>
      <w:r w:rsidR="00C6277B">
        <w:rPr>
          <w:rFonts w:eastAsia="Batang"/>
          <w:snapToGrid w:val="0"/>
          <w:kern w:val="2"/>
          <w:sz w:val="22"/>
          <w:szCs w:val="22"/>
          <w:lang w:eastAsia="ko-KR"/>
        </w:rPr>
        <w:t>centered</w:t>
      </w:r>
      <w:proofErr w:type="spellEnd"/>
      <w:r w:rsidR="00C6277B">
        <w:rPr>
          <w:rFonts w:eastAsia="Batang"/>
          <w:snapToGrid w:val="0"/>
          <w:kern w:val="2"/>
          <w:sz w:val="22"/>
          <w:szCs w:val="22"/>
          <w:lang w:eastAsia="ko-KR"/>
        </w:rPr>
        <w:t xml:space="preserve"> on between </w:t>
      </w:r>
      <w:r w:rsidR="0021272D">
        <w:rPr>
          <w:rFonts w:eastAsia="Batang"/>
          <w:snapToGrid w:val="0"/>
          <w:kern w:val="2"/>
          <w:sz w:val="22"/>
          <w:szCs w:val="22"/>
          <w:lang w:eastAsia="ko-KR"/>
        </w:rPr>
        <w:t>two</w:t>
      </w:r>
      <w:r w:rsidR="00C6277B">
        <w:rPr>
          <w:rFonts w:eastAsia="Batang"/>
          <w:snapToGrid w:val="0"/>
          <w:kern w:val="2"/>
          <w:sz w:val="22"/>
          <w:szCs w:val="22"/>
          <w:lang w:eastAsia="ko-KR"/>
        </w:rPr>
        <w:t xml:space="preserve"> subcarriers instead of a subcarrier. The subcarrier grid misalignment will cause non-</w:t>
      </w:r>
      <w:r w:rsidR="00C6277B" w:rsidRPr="00C6277B">
        <w:rPr>
          <w:rFonts w:eastAsia="Batang"/>
          <w:snapToGrid w:val="0"/>
          <w:kern w:val="2"/>
          <w:sz w:val="22"/>
          <w:szCs w:val="22"/>
          <w:lang w:eastAsia="ko-KR"/>
        </w:rPr>
        <w:t>negligible</w:t>
      </w:r>
      <w:r w:rsidR="00C6277B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inter-subcarrier interference. Therefore, </w:t>
      </w:r>
      <w:r w:rsidR="00C6277B">
        <w:rPr>
          <w:rFonts w:eastAsia="Batang"/>
          <w:snapToGrid w:val="0"/>
          <w:kern w:val="2"/>
          <w:sz w:val="22"/>
          <w:szCs w:val="22"/>
          <w:lang w:eastAsia="ko-KR"/>
        </w:rPr>
        <w:lastRenderedPageBreak/>
        <w:t xml:space="preserve">NB-IoT </w:t>
      </w:r>
      <w:proofErr w:type="gramStart"/>
      <w:r w:rsidR="00C6277B">
        <w:rPr>
          <w:rFonts w:eastAsia="Batang"/>
          <w:snapToGrid w:val="0"/>
          <w:kern w:val="2"/>
          <w:sz w:val="22"/>
          <w:szCs w:val="22"/>
          <w:lang w:eastAsia="ko-KR"/>
        </w:rPr>
        <w:t>has to</w:t>
      </w:r>
      <w:proofErr w:type="gramEnd"/>
      <w:r w:rsidR="00C6277B">
        <w:rPr>
          <w:rFonts w:eastAsia="Batang"/>
          <w:snapToGrid w:val="0"/>
          <w:kern w:val="2"/>
          <w:sz w:val="22"/>
          <w:szCs w:val="22"/>
          <w:lang w:eastAsia="ko-KR"/>
        </w:rPr>
        <w:t xml:space="preserve"> use the in-band or guard-band operation for coexistence with NR.</w:t>
      </w:r>
    </w:p>
    <w:p w14:paraId="7C6B68E3" w14:textId="0222E5F0" w:rsidR="00C6277B" w:rsidRDefault="00C6277B" w:rsidP="00C6277B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157E81">
        <w:rPr>
          <w:sz w:val="22"/>
          <w:szCs w:val="22"/>
        </w:rPr>
        <w:t>NB-IoT shall be configured with in-band or guard-band mode operation for coexistence with NR</w:t>
      </w:r>
      <w:r>
        <w:rPr>
          <w:sz w:val="22"/>
          <w:szCs w:val="22"/>
        </w:rPr>
        <w:t xml:space="preserve">. </w:t>
      </w:r>
    </w:p>
    <w:p w14:paraId="2088678F" w14:textId="61A6DD8B" w:rsidR="00DB6F43" w:rsidRDefault="00157E81" w:rsidP="00083055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Secondly,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PRB grid between NB-IoT and NR may not be aligned for the in-band or guard-band mode operation since the DC subcarrier is used in NR. </w:t>
      </w:r>
      <w:r w:rsidR="00E00871">
        <w:rPr>
          <w:rFonts w:eastAsia="Batang"/>
          <w:snapToGrid w:val="0"/>
          <w:kern w:val="2"/>
          <w:sz w:val="22"/>
          <w:szCs w:val="22"/>
          <w:lang w:eastAsia="ko-KR"/>
        </w:rPr>
        <w:t>As a result, at least 1 RB will be left unused in NR when coexisting with NB-IoT. If there are multiple non-anchor carriers distributed in the NR band</w:t>
      </w:r>
      <w:r w:rsidR="0021272D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NB-IoT</w:t>
      </w:r>
      <w:r w:rsidR="00E00871">
        <w:rPr>
          <w:rFonts w:eastAsia="Batang"/>
          <w:snapToGrid w:val="0"/>
          <w:kern w:val="2"/>
          <w:sz w:val="22"/>
          <w:szCs w:val="22"/>
          <w:lang w:eastAsia="ko-KR"/>
        </w:rPr>
        <w:t xml:space="preserve">, then </w:t>
      </w:r>
      <w:r w:rsidR="0021272D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number of unused RBs could be </w:t>
      </w:r>
      <w:r w:rsidR="00E00871">
        <w:rPr>
          <w:rFonts w:eastAsia="Batang"/>
          <w:snapToGrid w:val="0"/>
          <w:kern w:val="2"/>
          <w:sz w:val="22"/>
          <w:szCs w:val="22"/>
          <w:lang w:eastAsia="ko-KR"/>
        </w:rPr>
        <w:t xml:space="preserve">large. </w:t>
      </w:r>
      <w:r w:rsidR="006F20C2">
        <w:rPr>
          <w:rFonts w:eastAsia="Batang"/>
          <w:snapToGrid w:val="0"/>
          <w:kern w:val="2"/>
          <w:sz w:val="22"/>
          <w:szCs w:val="22"/>
          <w:lang w:eastAsia="ko-KR"/>
        </w:rPr>
        <w:t xml:space="preserve">One way to solve this issue is to introduce the sub-PRB level rate matching scheme in NR, however, this has not been agreed in Rel-15. </w:t>
      </w:r>
      <w:r w:rsidR="00E00871">
        <w:rPr>
          <w:rFonts w:eastAsia="Batang"/>
          <w:snapToGrid w:val="0"/>
          <w:kern w:val="2"/>
          <w:sz w:val="22"/>
          <w:szCs w:val="22"/>
          <w:lang w:eastAsia="ko-KR"/>
        </w:rPr>
        <w:t xml:space="preserve">Alternatively, we can consider shifting the NB-IoT carrier to align the RB grid between NR and NB-IoT. Due to backward compatibility, the RB shift can only be applied to the non-anchor carrier. </w:t>
      </w:r>
    </w:p>
    <w:p w14:paraId="4169772B" w14:textId="77777777" w:rsidR="00E00871" w:rsidRDefault="00E00871" w:rsidP="00083055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BBEEF3D" w14:textId="6D5F53F1" w:rsidR="00157E81" w:rsidRDefault="00157E81" w:rsidP="00157E81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E00871">
        <w:rPr>
          <w:sz w:val="22"/>
          <w:szCs w:val="22"/>
        </w:rPr>
        <w:t xml:space="preserve">RB shift can be considered for the NB-IoT non-anchor carrier </w:t>
      </w:r>
      <w:r w:rsidR="0021272D">
        <w:rPr>
          <w:sz w:val="22"/>
          <w:szCs w:val="22"/>
        </w:rPr>
        <w:t>for</w:t>
      </w:r>
      <w:r w:rsidR="00E008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RB grid alignment between NR and </w:t>
      </w:r>
      <w:r w:rsidR="00E00871">
        <w:rPr>
          <w:sz w:val="22"/>
          <w:szCs w:val="22"/>
        </w:rPr>
        <w:t>NB-IoT</w:t>
      </w:r>
      <w:r>
        <w:rPr>
          <w:sz w:val="22"/>
          <w:szCs w:val="22"/>
        </w:rPr>
        <w:t xml:space="preserve">. </w:t>
      </w:r>
    </w:p>
    <w:p w14:paraId="2AAA8F83" w14:textId="77777777" w:rsidR="00F14E79" w:rsidRPr="00EC7337" w:rsidRDefault="00F14E79" w:rsidP="00F14E79">
      <w:pPr>
        <w:pStyle w:val="Heading2"/>
        <w:spacing w:before="120"/>
        <w:rPr>
          <w:sz w:val="28"/>
          <w:szCs w:val="28"/>
        </w:rPr>
      </w:pPr>
      <w:r>
        <w:rPr>
          <w:sz w:val="28"/>
          <w:szCs w:val="28"/>
        </w:rPr>
        <w:t>2.2 Resource configuration</w:t>
      </w:r>
    </w:p>
    <w:p w14:paraId="3EB0387D" w14:textId="3463604E" w:rsidR="00AE60EC" w:rsidRDefault="00AE60EC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or </w:t>
      </w:r>
      <w:proofErr w:type="spellStart"/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deployment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of 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NR, b</w:t>
      </w:r>
      <w:r w:rsidR="00530FD5" w:rsidRPr="00FA761F">
        <w:rPr>
          <w:rFonts w:eastAsia="Batang"/>
          <w:snapToGrid w:val="0"/>
          <w:kern w:val="2"/>
          <w:sz w:val="22"/>
          <w:szCs w:val="22"/>
          <w:lang w:eastAsia="ko-KR"/>
        </w:rPr>
        <w:t>oth time domain coexistence and frequency domain coexistence shall be considered.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A761F"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A NB-IoT system contains one 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anchor </w:t>
      </w:r>
      <w:r w:rsidR="00FA761F"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carrier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zero or more non-anchor carriers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where a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NB-IoT carrier spans one PRB consist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12 subcarriers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with a bandwidth of 180kHz.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Therefore, it shall be possible to allocate at least one PRB of 180kHz on a NR carrier for NB-IoT. In other words, coexistence between NR and NB-IoT can be enabled by </w:t>
      </w:r>
      <w:r w:rsidR="006633E1">
        <w:rPr>
          <w:rFonts w:eastAsia="Batang"/>
          <w:snapToGrid w:val="0"/>
          <w:kern w:val="2"/>
          <w:sz w:val="22"/>
          <w:szCs w:val="22"/>
          <w:lang w:eastAsia="ko-KR"/>
        </w:rPr>
        <w:t xml:space="preserve">FDM based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semi-static resource partition.</w:t>
      </w:r>
    </w:p>
    <w:p w14:paraId="1BEB13A7" w14:textId="3896E79F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463A58D" w14:textId="4D2DD9DC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Alternatively, semi-static resource partition via TDM between NR and NB-IoT can also be considered.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For NB-IoT, the common signals/channels are transmitted at partial subframe</w:t>
      </w:r>
      <w:r w:rsidR="006633E1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as follows. Here we assume time division duplex (TDD) for both NB-IoT and NR.</w:t>
      </w:r>
    </w:p>
    <w:p w14:paraId="765922D1" w14:textId="77777777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50A1741" w14:textId="77777777" w:rsidR="009F0779" w:rsidRPr="00E00871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 w:rsidRPr="00E00871">
        <w:rPr>
          <w:sz w:val="22"/>
          <w:szCs w:val="22"/>
          <w:lang w:eastAsia="zh-CN"/>
        </w:rPr>
        <w:t xml:space="preserve">NPSS: subframe 5 in every 10 </w:t>
      </w:r>
      <w:proofErr w:type="spellStart"/>
      <w:r w:rsidRPr="00E00871">
        <w:rPr>
          <w:sz w:val="22"/>
          <w:szCs w:val="22"/>
          <w:lang w:eastAsia="zh-CN"/>
        </w:rPr>
        <w:t>ms</w:t>
      </w:r>
      <w:proofErr w:type="spellEnd"/>
    </w:p>
    <w:p w14:paraId="1F2B0FFA" w14:textId="787FA0B9" w:rsidR="009F0779" w:rsidRPr="00E00871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 w:rsidRPr="00E00871">
        <w:rPr>
          <w:sz w:val="22"/>
          <w:szCs w:val="22"/>
          <w:lang w:eastAsia="zh-CN"/>
        </w:rPr>
        <w:t xml:space="preserve">NSSS: subframe 0 in every 20 </w:t>
      </w:r>
      <w:proofErr w:type="spellStart"/>
      <w:r w:rsidRPr="00E00871">
        <w:rPr>
          <w:sz w:val="22"/>
          <w:szCs w:val="22"/>
          <w:lang w:eastAsia="zh-CN"/>
        </w:rPr>
        <w:t>ms</w:t>
      </w:r>
      <w:proofErr w:type="spellEnd"/>
    </w:p>
    <w:p w14:paraId="75076AE6" w14:textId="363FEA85" w:rsidR="009F0779" w:rsidRPr="00E00871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 w:rsidRPr="00E00871">
        <w:rPr>
          <w:sz w:val="22"/>
          <w:szCs w:val="22"/>
          <w:lang w:eastAsia="zh-CN"/>
        </w:rPr>
        <w:t xml:space="preserve">NPBCH: subframe 9 in every 10 </w:t>
      </w:r>
      <w:proofErr w:type="spellStart"/>
      <w:r w:rsidRPr="00E00871">
        <w:rPr>
          <w:sz w:val="22"/>
          <w:szCs w:val="22"/>
          <w:lang w:eastAsia="zh-CN"/>
        </w:rPr>
        <w:t>ms</w:t>
      </w:r>
      <w:proofErr w:type="spellEnd"/>
    </w:p>
    <w:p w14:paraId="5210AAEF" w14:textId="0488FB77" w:rsidR="009F0779" w:rsidRPr="00E00871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sz w:val="22"/>
          <w:szCs w:val="22"/>
          <w:lang w:eastAsia="zh-CN"/>
        </w:rPr>
      </w:pPr>
      <w:r w:rsidRPr="00E00871">
        <w:rPr>
          <w:sz w:val="22"/>
          <w:szCs w:val="22"/>
          <w:lang w:eastAsia="zh-CN"/>
        </w:rPr>
        <w:t xml:space="preserve">SIB1-NB: subframe 4 or subframe 0 in every 20 </w:t>
      </w:r>
      <w:proofErr w:type="spellStart"/>
      <w:r w:rsidRPr="00E00871">
        <w:rPr>
          <w:sz w:val="22"/>
          <w:szCs w:val="22"/>
          <w:lang w:eastAsia="zh-CN"/>
        </w:rPr>
        <w:t>ms</w:t>
      </w:r>
      <w:proofErr w:type="spellEnd"/>
      <w:r w:rsidRPr="00E00871">
        <w:rPr>
          <w:sz w:val="22"/>
          <w:szCs w:val="22"/>
          <w:lang w:eastAsia="zh-CN"/>
        </w:rPr>
        <w:t xml:space="preserve"> (for anchor carrier) or subframe 0 and 5 in every 20ms (for non-anchor carrier)</w:t>
      </w:r>
    </w:p>
    <w:p w14:paraId="35E2A091" w14:textId="64908340" w:rsidR="00B43958" w:rsidRDefault="006633E1" w:rsidP="00B43958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Therefore,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to support the operation of NB-IoT inside an NR carrier, at least subframe 0, 5 and 9 are needed to be reserved 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full DL transmission, and in case of single anchor carrier used for NB-IoT, subframe 4 shall also be reserved </w:t>
      </w:r>
      <w:r w:rsidR="00B67CFD">
        <w:rPr>
          <w:rFonts w:eastAsia="Batang"/>
          <w:snapToGrid w:val="0"/>
          <w:kern w:val="2"/>
          <w:sz w:val="22"/>
          <w:szCs w:val="22"/>
          <w:lang w:eastAsia="ko-KR"/>
        </w:rPr>
        <w:t>as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full DL. </w:t>
      </w:r>
      <w:r w:rsidR="00DE1132">
        <w:rPr>
          <w:rFonts w:eastAsia="Batang"/>
          <w:snapToGrid w:val="0"/>
          <w:kern w:val="2"/>
          <w:sz w:val="22"/>
          <w:szCs w:val="22"/>
          <w:lang w:eastAsia="ko-KR"/>
        </w:rPr>
        <w:t xml:space="preserve">If we assume subframe 2 and 3 used for NB-IoT uplink transmission, then other subframes, e.g. subframe 6, 7 and 8 can be dedicated to NR transmission by indicating as invalid subframes for NB-IoT. An example of </w:t>
      </w:r>
      <w:r w:rsidR="00F8446A">
        <w:rPr>
          <w:rFonts w:eastAsia="Batang"/>
          <w:snapToGrid w:val="0"/>
          <w:kern w:val="2"/>
          <w:sz w:val="22"/>
          <w:szCs w:val="22"/>
          <w:lang w:eastAsia="ko-KR"/>
        </w:rPr>
        <w:t>the</w:t>
      </w:r>
      <w:r w:rsidR="00DE1132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NB-IoT inside an NR carrier with semi-static resource partition is shown in Figure </w:t>
      </w:r>
      <w:r w:rsidR="00E00871">
        <w:rPr>
          <w:rFonts w:eastAsia="Batang"/>
          <w:snapToGrid w:val="0"/>
          <w:kern w:val="2"/>
          <w:sz w:val="22"/>
          <w:szCs w:val="22"/>
          <w:lang w:eastAsia="ko-KR"/>
        </w:rPr>
        <w:t>1</w:t>
      </w:r>
      <w:r w:rsidR="00DE113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Here we assume </w:t>
      </w:r>
      <w:r w:rsidR="00C87BEE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TDD UL/DL configuration #1 is used for NB-IoT, and </w:t>
      </w:r>
      <w:r w:rsidR="00DE1132">
        <w:rPr>
          <w:rFonts w:eastAsia="Batang"/>
          <w:snapToGrid w:val="0"/>
          <w:kern w:val="2"/>
          <w:sz w:val="22"/>
          <w:szCs w:val="22"/>
          <w:lang w:eastAsia="ko-KR"/>
        </w:rPr>
        <w:t xml:space="preserve">a semi-static </w:t>
      </w:r>
      <w:r w:rsidR="002263DF">
        <w:rPr>
          <w:rFonts w:eastAsia="Batang"/>
          <w:snapToGrid w:val="0"/>
          <w:kern w:val="2"/>
          <w:sz w:val="22"/>
          <w:szCs w:val="22"/>
          <w:lang w:eastAsia="ko-KR"/>
        </w:rPr>
        <w:t xml:space="preserve">TDD </w:t>
      </w:r>
      <w:r w:rsidR="00F8446A">
        <w:rPr>
          <w:rFonts w:eastAsia="Batang"/>
          <w:snapToGrid w:val="0"/>
          <w:kern w:val="2"/>
          <w:sz w:val="22"/>
          <w:szCs w:val="22"/>
          <w:lang w:eastAsia="ko-KR"/>
        </w:rPr>
        <w:t>configuration of 3:2 DL/UL</w:t>
      </w:r>
      <w:r w:rsidR="00863A5E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5ms periodicity </w:t>
      </w:r>
      <w:r w:rsidR="00F8446A">
        <w:rPr>
          <w:rFonts w:eastAsia="Batang"/>
          <w:snapToGrid w:val="0"/>
          <w:kern w:val="2"/>
          <w:sz w:val="22"/>
          <w:szCs w:val="22"/>
          <w:lang w:eastAsia="ko-KR"/>
        </w:rPr>
        <w:t>is used for NR.</w:t>
      </w:r>
      <w:r w:rsidR="002263D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77BBD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resources overlapping with NB-IoT common signals (e.g., NPSS/NSSS/NPBCH/SIB1)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will be configured as reserved resources and not used </w:t>
      </w:r>
      <w:r w:rsidR="00E00871">
        <w:rPr>
          <w:rFonts w:eastAsia="Batang"/>
          <w:snapToGrid w:val="0"/>
          <w:kern w:val="2"/>
          <w:sz w:val="22"/>
          <w:szCs w:val="22"/>
          <w:lang w:eastAsia="ko-KR"/>
        </w:rPr>
        <w:t>in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NR. </w:t>
      </w:r>
    </w:p>
    <w:p w14:paraId="17DA0C5A" w14:textId="3EDDCA83" w:rsidR="00F8446A" w:rsidRPr="0068319D" w:rsidRDefault="00F8446A" w:rsidP="00F8446A">
      <w:pPr>
        <w:pStyle w:val="LGTdoc1"/>
        <w:spacing w:beforeLines="0" w:before="120" w:after="220" w:afterAutospacing="0"/>
        <w:rPr>
          <w:sz w:val="22"/>
          <w:szCs w:val="22"/>
        </w:rPr>
      </w:pPr>
    </w:p>
    <w:p w14:paraId="5C05CBC1" w14:textId="67FCACD4" w:rsidR="006633E1" w:rsidRPr="00F8446A" w:rsidRDefault="006633E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37F1DA0" w14:textId="0CE74C44" w:rsidR="00DD2FF1" w:rsidRDefault="00DE1132" w:rsidP="002037A4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DE1132">
        <w:rPr>
          <w:noProof/>
        </w:rPr>
        <w:lastRenderedPageBreak/>
        <w:drawing>
          <wp:inline distT="0" distB="0" distL="0" distR="0" wp14:anchorId="0103D5D7" wp14:editId="06E88622">
            <wp:extent cx="6120765" cy="24412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4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264A7" w14:textId="2A7BA868" w:rsidR="00DD2FF1" w:rsidRPr="00697A4E" w:rsidRDefault="00DD2FF1" w:rsidP="00DD2FF1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 w:rsidR="00E00871">
        <w:rPr>
          <w:kern w:val="2"/>
          <w:sz w:val="22"/>
          <w:szCs w:val="22"/>
        </w:rPr>
        <w:t>1</w:t>
      </w:r>
      <w:r w:rsidRPr="00080046">
        <w:rPr>
          <w:b w:val="0"/>
          <w:kern w:val="2"/>
          <w:sz w:val="22"/>
          <w:szCs w:val="22"/>
        </w:rPr>
        <w:t xml:space="preserve">: </w:t>
      </w:r>
      <w:r w:rsidR="00DE1132">
        <w:rPr>
          <w:b w:val="0"/>
          <w:kern w:val="2"/>
          <w:sz w:val="22"/>
          <w:szCs w:val="22"/>
        </w:rPr>
        <w:t xml:space="preserve">Coexistence between </w:t>
      </w:r>
      <w:r>
        <w:rPr>
          <w:b w:val="0"/>
          <w:kern w:val="2"/>
          <w:sz w:val="22"/>
          <w:szCs w:val="22"/>
        </w:rPr>
        <w:t xml:space="preserve">NB-IoT </w:t>
      </w:r>
      <w:r w:rsidR="00DE1132">
        <w:rPr>
          <w:b w:val="0"/>
          <w:kern w:val="2"/>
          <w:sz w:val="22"/>
          <w:szCs w:val="22"/>
        </w:rPr>
        <w:t>and NR vis semi-static resource partition</w:t>
      </w:r>
    </w:p>
    <w:p w14:paraId="458EC8BB" w14:textId="6CC9185C" w:rsidR="00D54462" w:rsidRDefault="00F77BBD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improving resource utilization, dynamic resource multiplexing shall also be supported so that NR can utilize the unused DL and UL resources reserved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>for 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 In Rel-15, dynamic r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>ate matching resource set is supported in NR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so that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DCI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can dynamically indicate whether the reserved resources shall be excluded from the PDSCH allocation. I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 the reserved resources are not used for NB-IoT in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the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slot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which PDSCH is mapped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, then these resources can be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emporarily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NR PDSCH by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setting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value of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rate matching indicator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to zero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the rate matching resource set in NR is defined by a pair of RB level bitmap with 1 RB granularity and a symbol level bitmap spanning one or two NR slots, it is possible to support dynamic resource multiplexing between NR and NB-IoT on the subframe/RB level. However, it shall be noted that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rate matching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based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multiplexing is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mainly from NR perspective since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>n NB-IoT UE is unware whether it is operating in an NR carrier or a LTE carrier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4D7F03A2" w14:textId="5E23AF13" w:rsidR="00DE6862" w:rsidRDefault="00DE6862" w:rsidP="002037A4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1B0EAB5" w14:textId="66406A86" w:rsidR="00F77BBD" w:rsidRDefault="00EB2F67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URLLC is configured in 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NR, a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30kHz subcarrier spacing will be used, and then one subframe in LTE is equal to two NR slots. Furthermore, a few number of OFDM symbols at the end of a slot may be used for UL control for enabling fast HARQ-ACK feedback as shown in Figure 2. In such case, DL transmission is only allowed in the part of one subframe. Therefore, these subframes with a mixed UL/DL transmission cannot be used for NB-IoT. Although this would not break the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NB-IoT with NR, it would limit the scheduling flexibility in NR. That is, if there are more subframes reserved for NB-IoT then the performance of URLLC will be affected and there is less probability to serve URLLC on the same carrier.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Since NB-IoT may only occupy a small portion of NR bandwidth, it is desirable to remove the restriction for efficient coexistence between NR and NB-IoT.</w:t>
      </w:r>
    </w:p>
    <w:p w14:paraId="3D1FF1E4" w14:textId="77777777" w:rsidR="00144EF9" w:rsidRPr="00B412EB" w:rsidRDefault="00144EF9" w:rsidP="005B41F1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874C89" w14:textId="1018A242" w:rsidR="00144EF9" w:rsidRDefault="00D70689" w:rsidP="002037A4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D70689">
        <w:rPr>
          <w:noProof/>
        </w:rPr>
        <w:drawing>
          <wp:inline distT="0" distB="0" distL="0" distR="0" wp14:anchorId="769E21CE" wp14:editId="0772A8F0">
            <wp:extent cx="4882009" cy="1228971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0" cy="12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01B65" w14:textId="4ABE3C42" w:rsidR="00D70689" w:rsidRPr="00697A4E" w:rsidRDefault="00D70689" w:rsidP="00D70689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 w:rsidR="00EB2F67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A NR slot format with increasing UL opportunity assuming 30kHz SCS</w:t>
      </w:r>
    </w:p>
    <w:p w14:paraId="119B56B7" w14:textId="0819A5FF" w:rsidR="00EB2F67" w:rsidRDefault="00EB2F67" w:rsidP="00EB2F6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the slot or symbol level configuration shall be considered in NB-IoT to allow DL or UL transmission in part of the subframe.  </w:t>
      </w:r>
    </w:p>
    <w:p w14:paraId="527BA53C" w14:textId="179867EF" w:rsidR="002037A4" w:rsidRDefault="00EB2F67" w:rsidP="002037A4">
      <w:pPr>
        <w:pStyle w:val="Heading1"/>
      </w:pPr>
      <w:r>
        <w:lastRenderedPageBreak/>
        <w:t>3</w:t>
      </w:r>
      <w:r w:rsidR="002037A4">
        <w:tab/>
        <w:t>Summary</w:t>
      </w:r>
    </w:p>
    <w:p w14:paraId="4ADA3184" w14:textId="2AC18F13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discuss the potential issues and solutions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efficient coexistence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of NB-IoT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with NR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We 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made the following proposals.</w:t>
      </w:r>
    </w:p>
    <w:p w14:paraId="6110823B" w14:textId="77777777" w:rsidR="00EB2F67" w:rsidRDefault="00EB2F67" w:rsidP="00EB2F67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NB-IoT shall be configured with in-band or guard-band mode operation for coexistence with NR. </w:t>
      </w:r>
    </w:p>
    <w:p w14:paraId="56CCC11F" w14:textId="77777777" w:rsidR="0021272D" w:rsidRDefault="0021272D" w:rsidP="0021272D">
      <w:pPr>
        <w:pStyle w:val="LGTdoc1"/>
        <w:spacing w:beforeLines="0" w:before="120" w:after="220" w:afterAutospacing="0"/>
        <w:rPr>
          <w:sz w:val="22"/>
          <w:szCs w:val="22"/>
        </w:rPr>
      </w:pPr>
      <w:bookmarkStart w:id="3" w:name="_In-sequence_SDU_delivery"/>
      <w:bookmarkEnd w:id="3"/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RB shift can be considered for the NB-IoT non-anchor carrier for RB grid alignment between NR and NB-IoT. </w:t>
      </w:r>
    </w:p>
    <w:p w14:paraId="69183245" w14:textId="5B01D20B" w:rsidR="00EB2F67" w:rsidRDefault="00EB2F67" w:rsidP="00EB2F6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the slot or symbol level configuration shall be considered in NB-IoT to allow DL or UL transmission in part of the subframe.  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3956DE" w14:textId="7A3B9BEC" w:rsidR="003A7EF3" w:rsidRDefault="00FA0631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4" w:name="_Ref174151459"/>
      <w:bookmarkStart w:id="5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RP-181451, “Ne</w:t>
      </w:r>
      <w:bookmarkStart w:id="6" w:name="_GoBack"/>
      <w:bookmarkEnd w:id="6"/>
      <w:r w:rsidRPr="00504EAE">
        <w:rPr>
          <w:rFonts w:ascii="Times New Roman" w:hAnsi="Times New Roman"/>
          <w:snapToGrid w:val="0"/>
          <w:sz w:val="22"/>
          <w:szCs w:val="22"/>
        </w:rPr>
        <w:t>w WID on Rel-16 enhancements for NB-IoT”, Ericsson, Huawei, 3GPP RAN#80 meeting, La Jolla, USA, June 11-14, 2018</w:t>
      </w:r>
      <w:bookmarkEnd w:id="4"/>
      <w:bookmarkEnd w:id="5"/>
    </w:p>
    <w:p w14:paraId="49EE97CC" w14:textId="77777777" w:rsidR="00DB6F43" w:rsidRDefault="00DB6F43" w:rsidP="00DB6F43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[2]</w:t>
      </w:r>
      <w:r>
        <w:rPr>
          <w:rFonts w:ascii="Times New Roman" w:hAnsi="Times New Roman"/>
          <w:snapToGrid w:val="0"/>
          <w:sz w:val="22"/>
          <w:szCs w:val="22"/>
        </w:rPr>
        <w:tab/>
        <w:t>3GPP RAN1#94, Chairman’s notes, August 2018</w:t>
      </w:r>
    </w:p>
    <w:p w14:paraId="3F9E1AEE" w14:textId="77777777" w:rsidR="00DB6F43" w:rsidRDefault="00DB6F43" w:rsidP="00DB6F43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[3]</w:t>
      </w:r>
      <w:r>
        <w:rPr>
          <w:rFonts w:ascii="Times New Roman" w:hAnsi="Times New Roman"/>
          <w:snapToGrid w:val="0"/>
          <w:sz w:val="22"/>
          <w:szCs w:val="22"/>
        </w:rPr>
        <w:tab/>
        <w:t>R1-1810917, “Coexistence of LTE-MTC with NR”, Qualcomm Incorporated</w:t>
      </w:r>
      <w:bookmarkStart w:id="7" w:name="_Ref522214218"/>
    </w:p>
    <w:p w14:paraId="4A665610" w14:textId="31F8CE4B" w:rsidR="00DB6F43" w:rsidRPr="00EB2F67" w:rsidRDefault="00DB6F43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[4]</w:t>
      </w:r>
      <w:r>
        <w:rPr>
          <w:rFonts w:ascii="Times New Roman" w:hAnsi="Times New Roman"/>
          <w:snapToGrid w:val="0"/>
          <w:sz w:val="22"/>
          <w:szCs w:val="22"/>
        </w:rPr>
        <w:tab/>
        <w:t>R</w:t>
      </w:r>
      <w:r w:rsidR="00EB2F67">
        <w:rPr>
          <w:rFonts w:ascii="Times New Roman" w:hAnsi="Times New Roman"/>
          <w:snapToGrid w:val="0"/>
          <w:sz w:val="22"/>
          <w:szCs w:val="22"/>
        </w:rPr>
        <w:t>1-1808477, “</w:t>
      </w:r>
      <w:r w:rsidRPr="00DB6F43">
        <w:rPr>
          <w:rFonts w:ascii="Times New Roman" w:hAnsi="Times New Roman"/>
          <w:snapToGrid w:val="0"/>
          <w:sz w:val="22"/>
          <w:szCs w:val="22"/>
        </w:rPr>
        <w:t>Discussion on coexistence of NB-IoT with NR</w:t>
      </w:r>
      <w:r w:rsidR="00EB2F67">
        <w:rPr>
          <w:rFonts w:ascii="Times New Roman" w:hAnsi="Times New Roman"/>
          <w:snapToGrid w:val="0"/>
          <w:sz w:val="22"/>
          <w:szCs w:val="22"/>
        </w:rPr>
        <w:t xml:space="preserve">”, </w:t>
      </w:r>
      <w:r w:rsidRPr="00DB6F43">
        <w:rPr>
          <w:rFonts w:ascii="Times New Roman" w:hAnsi="Times New Roman"/>
          <w:snapToGrid w:val="0"/>
          <w:sz w:val="22"/>
          <w:szCs w:val="22"/>
        </w:rPr>
        <w:t>LG Electronics</w:t>
      </w:r>
      <w:bookmarkEnd w:id="7"/>
    </w:p>
    <w:sectPr w:rsidR="00DB6F43" w:rsidRPr="00EB2F67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D8656" w14:textId="77777777" w:rsidR="005D5650" w:rsidRDefault="005D5650">
      <w:r>
        <w:separator/>
      </w:r>
    </w:p>
  </w:endnote>
  <w:endnote w:type="continuationSeparator" w:id="0">
    <w:p w14:paraId="5D6355AB" w14:textId="77777777" w:rsidR="005D5650" w:rsidRDefault="005D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C405AB" w:rsidRDefault="00C405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931DE" w14:textId="77777777" w:rsidR="005D5650" w:rsidRDefault="005D5650">
      <w:r>
        <w:separator/>
      </w:r>
    </w:p>
  </w:footnote>
  <w:footnote w:type="continuationSeparator" w:id="0">
    <w:p w14:paraId="077C930E" w14:textId="77777777" w:rsidR="005D5650" w:rsidRDefault="005D5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C405AB" w:rsidRDefault="00C405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1"/>
        <w:szCs w:val="22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6"/>
  </w:num>
  <w:num w:numId="6">
    <w:abstractNumId w:val="24"/>
  </w:num>
  <w:num w:numId="7">
    <w:abstractNumId w:val="29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21"/>
  </w:num>
  <w:num w:numId="16">
    <w:abstractNumId w:val="31"/>
  </w:num>
  <w:num w:numId="17">
    <w:abstractNumId w:val="11"/>
  </w:num>
  <w:num w:numId="18">
    <w:abstractNumId w:val="13"/>
  </w:num>
  <w:num w:numId="19">
    <w:abstractNumId w:val="7"/>
  </w:num>
  <w:num w:numId="20">
    <w:abstractNumId w:val="33"/>
  </w:num>
  <w:num w:numId="21">
    <w:abstractNumId w:val="18"/>
  </w:num>
  <w:num w:numId="22">
    <w:abstractNumId w:val="32"/>
  </w:num>
  <w:num w:numId="23">
    <w:abstractNumId w:val="12"/>
  </w:num>
  <w:num w:numId="24">
    <w:abstractNumId w:val="22"/>
  </w:num>
  <w:num w:numId="25">
    <w:abstractNumId w:val="34"/>
  </w:num>
  <w:num w:numId="26">
    <w:abstractNumId w:val="3"/>
  </w:num>
  <w:num w:numId="27">
    <w:abstractNumId w:val="10"/>
  </w:num>
  <w:num w:numId="28">
    <w:abstractNumId w:val="30"/>
  </w:num>
  <w:num w:numId="29">
    <w:abstractNumId w:val="5"/>
  </w:num>
  <w:num w:numId="30">
    <w:abstractNumId w:val="6"/>
  </w:num>
  <w:num w:numId="31">
    <w:abstractNumId w:val="27"/>
  </w:num>
  <w:num w:numId="32">
    <w:abstractNumId w:val="9"/>
  </w:num>
  <w:num w:numId="33">
    <w:abstractNumId w:val="23"/>
  </w:num>
  <w:num w:numId="34">
    <w:abstractNumId w:val="14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7A9F"/>
    <w:rsid w:val="00052A07"/>
    <w:rsid w:val="000534E3"/>
    <w:rsid w:val="0005606A"/>
    <w:rsid w:val="00057117"/>
    <w:rsid w:val="000616E7"/>
    <w:rsid w:val="0006487E"/>
    <w:rsid w:val="00065E1A"/>
    <w:rsid w:val="00076617"/>
    <w:rsid w:val="00077E5F"/>
    <w:rsid w:val="0008036A"/>
    <w:rsid w:val="00081AE6"/>
    <w:rsid w:val="0008305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57E81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6173"/>
    <w:rsid w:val="001A6CBA"/>
    <w:rsid w:val="001B0D97"/>
    <w:rsid w:val="001B5A5D"/>
    <w:rsid w:val="001C0423"/>
    <w:rsid w:val="001C1CE5"/>
    <w:rsid w:val="001C3D2A"/>
    <w:rsid w:val="001C70A1"/>
    <w:rsid w:val="001D51BA"/>
    <w:rsid w:val="001D5298"/>
    <w:rsid w:val="001D53E7"/>
    <w:rsid w:val="001D6342"/>
    <w:rsid w:val="001D6CFA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272D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8C6"/>
    <w:rsid w:val="00346DB5"/>
    <w:rsid w:val="003477B1"/>
    <w:rsid w:val="00357380"/>
    <w:rsid w:val="003602D9"/>
    <w:rsid w:val="003604CE"/>
    <w:rsid w:val="003623B1"/>
    <w:rsid w:val="00370E47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D5650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0C2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37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98E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2EB"/>
    <w:rsid w:val="00B41888"/>
    <w:rsid w:val="00B43958"/>
    <w:rsid w:val="00B45A52"/>
    <w:rsid w:val="00B46175"/>
    <w:rsid w:val="00B509B4"/>
    <w:rsid w:val="00B548B7"/>
    <w:rsid w:val="00B61DD3"/>
    <w:rsid w:val="00B664C7"/>
    <w:rsid w:val="00B67CFD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682C"/>
    <w:rsid w:val="00C279B5"/>
    <w:rsid w:val="00C27C45"/>
    <w:rsid w:val="00C3719D"/>
    <w:rsid w:val="00C37CB2"/>
    <w:rsid w:val="00C405AB"/>
    <w:rsid w:val="00C417E1"/>
    <w:rsid w:val="00C464AA"/>
    <w:rsid w:val="00C473A5"/>
    <w:rsid w:val="00C54995"/>
    <w:rsid w:val="00C54D41"/>
    <w:rsid w:val="00C60783"/>
    <w:rsid w:val="00C6277B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77318"/>
    <w:rsid w:val="00C81568"/>
    <w:rsid w:val="00C873A7"/>
    <w:rsid w:val="00C87BEE"/>
    <w:rsid w:val="00C9027A"/>
    <w:rsid w:val="00C9068E"/>
    <w:rsid w:val="00C93814"/>
    <w:rsid w:val="00C93C4B"/>
    <w:rsid w:val="00C944AB"/>
    <w:rsid w:val="00C95B40"/>
    <w:rsid w:val="00CA03EB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6F7D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0165"/>
    <w:rsid w:val="00D0349B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B6F43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0871"/>
    <w:rsid w:val="00E029C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F67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E7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BD"/>
    <w:rsid w:val="00F804BE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761F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C010-858F-429C-85C7-A2482098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2763</TotalTime>
  <Pages>4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8021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18</cp:revision>
  <cp:lastPrinted>2008-01-31T07:09:00Z</cp:lastPrinted>
  <dcterms:created xsi:type="dcterms:W3CDTF">2018-07-23T14:22:00Z</dcterms:created>
  <dcterms:modified xsi:type="dcterms:W3CDTF">2018-09-28T07:46:00Z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