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61C7FE03" w:rsidR="00EB10CB" w:rsidRPr="00FC7BBB" w:rsidRDefault="000D7D1B" w:rsidP="00581FED">
      <w:pPr>
        <w:tabs>
          <w:tab w:val="right" w:pos="9360"/>
        </w:tabs>
        <w:spacing w:after="0"/>
        <w:jc w:val="both"/>
        <w:rPr>
          <w:rFonts w:ascii="Arial" w:hAnsi="Arial" w:cs="Arial"/>
          <w:b/>
          <w:i/>
          <w:sz w:val="24"/>
          <w:lang w:eastAsia="zh-CN"/>
        </w:rPr>
      </w:pPr>
      <w:bookmarkStart w:id="0" w:name="OLE_LINK6"/>
      <w:bookmarkStart w:id="1" w:name="OLE_LINK7"/>
      <w:r w:rsidRPr="0052548E">
        <w:rPr>
          <w:rFonts w:ascii="Arial" w:hAnsi="Arial" w:cs="Arial"/>
          <w:b/>
          <w:bCs/>
          <w:sz w:val="28"/>
        </w:rPr>
        <w:t>3GPP TSG RAN WG1 Meeting</w:t>
      </w:r>
      <w:r>
        <w:rPr>
          <w:rFonts w:ascii="Arial" w:hAnsi="Arial" w:cs="Arial"/>
          <w:b/>
          <w:bCs/>
          <w:sz w:val="28"/>
        </w:rPr>
        <w:t xml:space="preserve"> #94bis</w:t>
      </w:r>
      <w:r w:rsidR="00EB10CB" w:rsidRPr="00FC7BBB">
        <w:rPr>
          <w:rFonts w:ascii="Arial" w:hAnsi="Arial" w:cs="Arial"/>
          <w:b/>
          <w:sz w:val="24"/>
        </w:rPr>
        <w:tab/>
      </w:r>
      <w:r w:rsidR="0015121D">
        <w:rPr>
          <w:rFonts w:ascii="Arial" w:hAnsi="Arial" w:cs="Arial"/>
          <w:b/>
          <w:sz w:val="24"/>
        </w:rPr>
        <w:t xml:space="preserve">     </w:t>
      </w:r>
      <w:r w:rsidR="00EB10CB" w:rsidRPr="00FC7BBB">
        <w:rPr>
          <w:rFonts w:ascii="Arial" w:hAnsi="Arial" w:cs="Arial"/>
          <w:b/>
          <w:sz w:val="24"/>
        </w:rPr>
        <w:t xml:space="preserve">     </w:t>
      </w:r>
      <w:r w:rsidR="00D92C38">
        <w:rPr>
          <w:rFonts w:ascii="Arial" w:hAnsi="Arial" w:cs="Arial"/>
          <w:b/>
          <w:sz w:val="24"/>
        </w:rPr>
        <w:t xml:space="preserve">    </w:t>
      </w:r>
      <w:r w:rsidR="00CE7A0A">
        <w:rPr>
          <w:rFonts w:ascii="Arial" w:hAnsi="Arial" w:cs="Arial"/>
          <w:b/>
          <w:sz w:val="24"/>
        </w:rPr>
        <w:t>R</w:t>
      </w:r>
      <w:r>
        <w:rPr>
          <w:rFonts w:ascii="Arial" w:hAnsi="Arial" w:cs="Arial"/>
          <w:b/>
          <w:sz w:val="24"/>
        </w:rPr>
        <w:t>1</w:t>
      </w:r>
      <w:r w:rsidR="00CE7A0A">
        <w:rPr>
          <w:rFonts w:ascii="Arial" w:hAnsi="Arial" w:cs="Arial"/>
          <w:b/>
          <w:sz w:val="24"/>
        </w:rPr>
        <w:t>-18</w:t>
      </w:r>
      <w:r>
        <w:rPr>
          <w:rFonts w:ascii="Arial" w:hAnsi="Arial" w:cs="Arial"/>
          <w:b/>
          <w:sz w:val="24"/>
        </w:rPr>
        <w:t>10758</w:t>
      </w:r>
    </w:p>
    <w:p w14:paraId="6355231E" w14:textId="77777777" w:rsidR="000D7D1B" w:rsidRPr="009513AC" w:rsidRDefault="000D7D1B" w:rsidP="000D7D1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7043D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14:paraId="57BEC38B" w14:textId="77777777" w:rsidR="00581FED" w:rsidRPr="00FC7BBB" w:rsidRDefault="00581FED" w:rsidP="00581FED">
      <w:pPr>
        <w:spacing w:after="0"/>
        <w:rPr>
          <w:rFonts w:ascii="Arial" w:hAnsi="Arial" w:cs="Arial"/>
          <w:b/>
          <w:sz w:val="24"/>
        </w:rPr>
      </w:pPr>
    </w:p>
    <w:p w14:paraId="4C6092AC" w14:textId="0E384C33"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0D7D1B">
        <w:rPr>
          <w:rFonts w:ascii="Arial" w:hAnsi="Arial"/>
          <w:b/>
          <w:sz w:val="24"/>
        </w:rPr>
        <w:t>7</w:t>
      </w:r>
      <w:r w:rsidR="00CE7A0A">
        <w:rPr>
          <w:rFonts w:ascii="Arial" w:hAnsi="Arial"/>
          <w:b/>
          <w:sz w:val="24"/>
        </w:rPr>
        <w:t>.</w:t>
      </w:r>
      <w:r w:rsidR="000D7D1B">
        <w:rPr>
          <w:rFonts w:ascii="Arial" w:hAnsi="Arial"/>
          <w:b/>
          <w:sz w:val="24"/>
        </w:rPr>
        <w:t>1.7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66CE49AA"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0D7D1B" w:rsidRPr="000D7D1B">
        <w:rPr>
          <w:rFonts w:ascii="Arial" w:hAnsi="Arial"/>
          <w:b/>
          <w:sz w:val="24"/>
        </w:rPr>
        <w:t>Rel-15 NR UE feature list</w:t>
      </w:r>
    </w:p>
    <w:p w14:paraId="752CCA5F" w14:textId="2688715D"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w:t>
      </w:r>
      <w:r w:rsidR="000D7D1B">
        <w:rPr>
          <w:rFonts w:ascii="Arial" w:hAnsi="Arial"/>
          <w:b/>
          <w:sz w:val="24"/>
        </w:rPr>
        <w:t>/Decision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3FA3C315" w:rsidR="00BA5B0F" w:rsidRDefault="000D7D1B" w:rsidP="00EF2D8F">
      <w:pPr>
        <w:pStyle w:val="LGTdoc"/>
        <w:spacing w:before="20" w:afterLines="0" w:line="240" w:lineRule="auto"/>
        <w:rPr>
          <w:sz w:val="20"/>
          <w:szCs w:val="20"/>
          <w:lang w:val="en-US"/>
        </w:rPr>
      </w:pPr>
      <w:r>
        <w:rPr>
          <w:sz w:val="20"/>
          <w:szCs w:val="20"/>
          <w:lang w:val="en-US"/>
        </w:rPr>
        <w:t>Based on latest update from RAN#81 [1], this contribution provides our views on Rel-15 NR UE feature list</w:t>
      </w:r>
      <w:r w:rsidR="00CE6E7B">
        <w:rPr>
          <w:sz w:val="20"/>
          <w:szCs w:val="20"/>
          <w:lang w:val="en-US"/>
        </w:rPr>
        <w:t>.</w:t>
      </w:r>
      <w:r w:rsidR="007706B4">
        <w:rPr>
          <w:sz w:val="20"/>
          <w:szCs w:val="20"/>
          <w:lang w:val="en-US"/>
        </w:rPr>
        <w:t xml:space="preserve"> </w:t>
      </w:r>
    </w:p>
    <w:p w14:paraId="2DF36FE8" w14:textId="29B3BC39" w:rsidR="00CE6E7B" w:rsidRPr="00FC7BBB" w:rsidRDefault="007C2374"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w:t>
      </w:r>
      <w:r w:rsidR="00540817">
        <w:rPr>
          <w:rFonts w:ascii="Arial" w:hAnsi="Arial" w:cs="Arial"/>
          <w:lang w:val="en-US"/>
        </w:rPr>
        <w:t>iscussions</w:t>
      </w:r>
      <w:r w:rsidR="00CE6E7B" w:rsidRPr="00FC7BBB">
        <w:rPr>
          <w:rFonts w:ascii="Arial" w:hAnsi="Arial" w:cs="Arial"/>
          <w:lang w:val="en-US"/>
        </w:rPr>
        <w:t xml:space="preserve"> </w:t>
      </w:r>
    </w:p>
    <w:p w14:paraId="1D420069" w14:textId="77777777" w:rsidR="00B27D47" w:rsidRDefault="00B27D47" w:rsidP="00CE6E7B">
      <w:pPr>
        <w:pStyle w:val="LGTdoc"/>
        <w:spacing w:before="20" w:afterLines="0" w:line="240" w:lineRule="auto"/>
        <w:rPr>
          <w:sz w:val="20"/>
          <w:lang w:val="en-US"/>
        </w:rPr>
      </w:pPr>
    </w:p>
    <w:p w14:paraId="0886A5E1" w14:textId="4A87D17F" w:rsidR="000D5A82" w:rsidRPr="000D5A82" w:rsidRDefault="000D5A82" w:rsidP="00CE6E7B">
      <w:pPr>
        <w:pStyle w:val="LGTdoc"/>
        <w:spacing w:before="20" w:afterLines="0" w:line="240" w:lineRule="auto"/>
        <w:rPr>
          <w:b/>
          <w:i/>
          <w:sz w:val="20"/>
          <w:u w:val="single"/>
          <w:lang w:val="en-US"/>
        </w:rPr>
      </w:pPr>
      <w:r w:rsidRPr="000D5A82">
        <w:rPr>
          <w:b/>
          <w:sz w:val="20"/>
          <w:u w:val="single"/>
          <w:lang w:val="en-US"/>
        </w:rPr>
        <w:t xml:space="preserve">0-12: Non-contiguous UL PRB CP-OFDM per CC: </w:t>
      </w:r>
      <w:r w:rsidRPr="000D5A82">
        <w:rPr>
          <w:b/>
          <w:i/>
          <w:sz w:val="20"/>
          <w:u w:val="single"/>
          <w:lang w:val="en-US"/>
        </w:rPr>
        <w:t>Remove this feature group while capturing RAN4 agreements [10] in</w:t>
      </w:r>
      <w:r w:rsidR="00EF0BF2">
        <w:rPr>
          <w:b/>
          <w:i/>
          <w:sz w:val="20"/>
          <w:u w:val="single"/>
          <w:lang w:val="en-US"/>
        </w:rPr>
        <w:t xml:space="preserve"> Section 6.1.2 of</w:t>
      </w:r>
      <w:r w:rsidRPr="000D5A82">
        <w:rPr>
          <w:b/>
          <w:i/>
          <w:sz w:val="20"/>
          <w:u w:val="single"/>
          <w:lang w:val="en-US"/>
        </w:rPr>
        <w:t xml:space="preserve"> TS38.214</w:t>
      </w:r>
    </w:p>
    <w:p w14:paraId="30966CB3" w14:textId="77777777" w:rsidR="000D5A82" w:rsidRDefault="000D5A82" w:rsidP="00CE6E7B">
      <w:pPr>
        <w:pStyle w:val="LGTdoc"/>
        <w:spacing w:before="20" w:afterLines="0" w:line="240" w:lineRule="auto"/>
        <w:rPr>
          <w:sz w:val="20"/>
          <w:lang w:val="en-US"/>
        </w:rPr>
      </w:pPr>
    </w:p>
    <w:p w14:paraId="1FCAC088" w14:textId="7C782C71" w:rsidR="000D5A82" w:rsidRDefault="000D5A82" w:rsidP="00CE6E7B">
      <w:pPr>
        <w:pStyle w:val="LGTdoc"/>
        <w:spacing w:before="20" w:afterLines="0" w:line="240" w:lineRule="auto"/>
        <w:rPr>
          <w:sz w:val="20"/>
          <w:lang w:val="en-US"/>
        </w:rPr>
      </w:pPr>
      <w:r>
        <w:rPr>
          <w:sz w:val="20"/>
          <w:lang w:val="en-US"/>
        </w:rPr>
        <w:t>In [10], RAN4 requested to remove FG 0-12:</w:t>
      </w:r>
    </w:p>
    <w:p w14:paraId="051E74EC" w14:textId="77777777" w:rsidR="000D5A82" w:rsidRDefault="000D5A82" w:rsidP="00CE6E7B">
      <w:pPr>
        <w:pStyle w:val="LGTdoc"/>
        <w:spacing w:before="20" w:afterLines="0" w:line="240" w:lineRule="auto"/>
        <w:rPr>
          <w:sz w:val="20"/>
          <w:lang w:val="en-US"/>
        </w:rPr>
      </w:pPr>
    </w:p>
    <w:p w14:paraId="4A62B489" w14:textId="77777777" w:rsidR="000D5A82" w:rsidRDefault="000D5A82" w:rsidP="000D5A82">
      <w:pPr>
        <w:numPr>
          <w:ilvl w:val="1"/>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eastAsia="ja-JP"/>
        </w:rPr>
        <w:t>0-12</w:t>
      </w:r>
      <w:r>
        <w:rPr>
          <w:rFonts w:ascii="Arial" w:eastAsia="MS Mincho" w:hAnsi="Arial" w:cs="Arial"/>
          <w:lang w:eastAsia="ja-JP"/>
        </w:rPr>
        <w:tab/>
        <w:t>Non-contiguous UL PRB CP-OFDM per CC</w:t>
      </w:r>
    </w:p>
    <w:p w14:paraId="47B4C65C" w14:textId="77777777" w:rsidR="000D5A82" w:rsidRDefault="000D5A82" w:rsidP="000D5A82">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 xml:space="preserve">For FR1 UL CP-OFDM, only “almost contiguous allocation” defined in TS38.101-1 is allowed in Rel.15 as non-contiguous allocation (per CC). </w:t>
      </w:r>
    </w:p>
    <w:p w14:paraId="7D2A820C" w14:textId="77777777" w:rsidR="000D5A82" w:rsidRDefault="000D5A82" w:rsidP="000D5A82">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For FR2 UL CP-OFDM, non-contiguous allocation is not allowed in Rel.15 (per CC).</w:t>
      </w:r>
    </w:p>
    <w:p w14:paraId="62CC0343" w14:textId="77777777" w:rsidR="000D5A82" w:rsidRDefault="000D5A82" w:rsidP="000D5A82">
      <w:pPr>
        <w:numPr>
          <w:ilvl w:val="2"/>
          <w:numId w:val="23"/>
        </w:numPr>
        <w:overflowPunct/>
        <w:autoSpaceDE/>
        <w:autoSpaceDN/>
        <w:adjustRightInd/>
        <w:spacing w:after="0"/>
        <w:jc w:val="both"/>
        <w:textAlignment w:val="auto"/>
        <w:rPr>
          <w:rFonts w:ascii="Arial" w:eastAsia="MS Mincho" w:hAnsi="Arial" w:cs="Arial"/>
          <w:lang w:val="en-US" w:eastAsia="ja-JP"/>
        </w:rPr>
      </w:pPr>
      <w:r>
        <w:rPr>
          <w:rFonts w:ascii="Arial" w:eastAsia="MS Mincho" w:hAnsi="Arial" w:cs="Arial"/>
          <w:lang w:val="en-US" w:eastAsia="ja-JP"/>
        </w:rPr>
        <w:t>It is up to RAN1 how to capture the corresponding agreements on Non-contiguous UL PRB CP-OFDM applicability in RAN1 specifications.</w:t>
      </w:r>
    </w:p>
    <w:p w14:paraId="294DD96C" w14:textId="77777777" w:rsidR="000D5A82" w:rsidRDefault="000D5A82" w:rsidP="00CE6E7B">
      <w:pPr>
        <w:pStyle w:val="LGTdoc"/>
        <w:spacing w:before="20" w:afterLines="0" w:line="240" w:lineRule="auto"/>
        <w:rPr>
          <w:sz w:val="20"/>
          <w:lang w:val="en-US"/>
        </w:rPr>
      </w:pPr>
    </w:p>
    <w:p w14:paraId="47A619C0" w14:textId="277C0C52" w:rsidR="000D5A82" w:rsidRDefault="00FB5A29" w:rsidP="00CE6E7B">
      <w:pPr>
        <w:pStyle w:val="LGTdoc"/>
        <w:spacing w:before="20" w:afterLines="0" w:line="240" w:lineRule="auto"/>
        <w:rPr>
          <w:sz w:val="20"/>
          <w:lang w:val="en-US"/>
        </w:rPr>
      </w:pPr>
      <w:r>
        <w:rPr>
          <w:sz w:val="20"/>
          <w:lang w:val="en-US"/>
        </w:rPr>
        <w:t>If we just remove the FG 0-12, it means the feature is mandatory without capability signaling. Thus, without being clarified in the spec to reflect RAN4 agreement, the deletion of the feature doesn’t make sense.</w:t>
      </w:r>
    </w:p>
    <w:p w14:paraId="0DDE62AC" w14:textId="7F1BE19A" w:rsidR="00FB5A29" w:rsidRDefault="00FB5A29" w:rsidP="00CE6E7B">
      <w:pPr>
        <w:pStyle w:val="LGTdoc"/>
        <w:spacing w:before="20" w:afterLines="0" w:line="240" w:lineRule="auto"/>
        <w:rPr>
          <w:sz w:val="20"/>
          <w:lang w:val="en-US"/>
        </w:rPr>
      </w:pPr>
      <w:r>
        <w:rPr>
          <w:sz w:val="20"/>
          <w:lang w:val="en-US"/>
        </w:rPr>
        <w:t>Thus, while removing the FG 0-12, we proposed to capture the following in</w:t>
      </w:r>
      <w:r w:rsidR="00EF0BF2">
        <w:rPr>
          <w:sz w:val="20"/>
          <w:lang w:val="en-US"/>
        </w:rPr>
        <w:t xml:space="preserve"> Section 6.1.2. of</w:t>
      </w:r>
      <w:r>
        <w:rPr>
          <w:sz w:val="20"/>
          <w:lang w:val="en-US"/>
        </w:rPr>
        <w:t xml:space="preserve"> TS38.214:</w:t>
      </w:r>
    </w:p>
    <w:p w14:paraId="488C32FF" w14:textId="77777777" w:rsidR="00FB5A29" w:rsidRDefault="00FB5A29"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FB5A29" w14:paraId="2218C3F5" w14:textId="77777777" w:rsidTr="00FB5A29">
        <w:tc>
          <w:tcPr>
            <w:tcW w:w="9962" w:type="dxa"/>
          </w:tcPr>
          <w:p w14:paraId="16CA2A66" w14:textId="677C20ED" w:rsidR="00FB5A29" w:rsidRPr="00EF0BF2" w:rsidRDefault="00132798" w:rsidP="005764B1">
            <w:pPr>
              <w:pStyle w:val="LGTdoc"/>
              <w:spacing w:before="20" w:afterLines="0" w:line="240" w:lineRule="auto"/>
              <w:rPr>
                <w:color w:val="FF0000"/>
                <w:sz w:val="20"/>
                <w:lang w:val="en-US"/>
              </w:rPr>
            </w:pPr>
            <w:r>
              <w:rPr>
                <w:color w:val="FF0000"/>
                <w:sz w:val="20"/>
                <w:lang w:val="en-US"/>
              </w:rPr>
              <w:t>In</w:t>
            </w:r>
            <w:r w:rsidR="00FB5A29" w:rsidRPr="00EF0BF2">
              <w:rPr>
                <w:color w:val="FF0000"/>
                <w:sz w:val="20"/>
                <w:lang w:val="en-US"/>
              </w:rPr>
              <w:t xml:space="preserve"> </w:t>
            </w:r>
            <w:r w:rsidR="005764B1" w:rsidRPr="00EF0BF2">
              <w:rPr>
                <w:color w:val="FF0000"/>
                <w:sz w:val="20"/>
                <w:lang w:val="en-US"/>
              </w:rPr>
              <w:t>frequency range 1, only ‘almost contiguous allocation’ defined in TS38.101-1 is allowed as n</w:t>
            </w:r>
            <w:r>
              <w:rPr>
                <w:color w:val="FF0000"/>
                <w:sz w:val="20"/>
                <w:lang w:val="en-US"/>
              </w:rPr>
              <w:t>on-contiguous allocation per CC for UL RB allocation for CP-OFDM.</w:t>
            </w:r>
          </w:p>
          <w:p w14:paraId="164006CA" w14:textId="77777777" w:rsidR="005764B1" w:rsidRPr="00EF0BF2" w:rsidRDefault="005764B1" w:rsidP="005764B1">
            <w:pPr>
              <w:pStyle w:val="LGTdoc"/>
              <w:spacing w:before="20" w:afterLines="0" w:line="240" w:lineRule="auto"/>
              <w:rPr>
                <w:color w:val="FF0000"/>
                <w:sz w:val="20"/>
                <w:lang w:val="en-US"/>
              </w:rPr>
            </w:pPr>
          </w:p>
          <w:p w14:paraId="35F8BA88" w14:textId="38FC2559" w:rsidR="005764B1" w:rsidRDefault="00132798" w:rsidP="00132798">
            <w:pPr>
              <w:pStyle w:val="LGTdoc"/>
              <w:spacing w:before="20" w:afterLines="0" w:line="240" w:lineRule="auto"/>
              <w:rPr>
                <w:sz w:val="20"/>
                <w:lang w:val="en-US"/>
              </w:rPr>
            </w:pPr>
            <w:r>
              <w:rPr>
                <w:color w:val="FF0000"/>
                <w:sz w:val="20"/>
                <w:lang w:val="en-US"/>
              </w:rPr>
              <w:t>In</w:t>
            </w:r>
            <w:r w:rsidR="005764B1" w:rsidRPr="00EF0BF2">
              <w:rPr>
                <w:color w:val="FF0000"/>
                <w:sz w:val="20"/>
                <w:lang w:val="en-US"/>
              </w:rPr>
              <w:t xml:space="preserve"> frequency range 2, </w:t>
            </w:r>
            <w:r>
              <w:rPr>
                <w:color w:val="FF0000"/>
                <w:sz w:val="20"/>
                <w:lang w:val="en-US"/>
              </w:rPr>
              <w:t>non-contiguous allocation per CC for UL RB allocation for CP-OFDM is not supported.</w:t>
            </w:r>
          </w:p>
        </w:tc>
      </w:tr>
    </w:tbl>
    <w:p w14:paraId="458D2951" w14:textId="77777777" w:rsidR="00FB5A29" w:rsidRDefault="00FB5A29" w:rsidP="00CE6E7B">
      <w:pPr>
        <w:pStyle w:val="LGTdoc"/>
        <w:spacing w:before="20" w:afterLines="0" w:line="240" w:lineRule="auto"/>
        <w:rPr>
          <w:sz w:val="20"/>
          <w:lang w:val="en-US"/>
        </w:rPr>
      </w:pPr>
    </w:p>
    <w:p w14:paraId="4A36B09E" w14:textId="292AEC5F" w:rsidR="000D5A82" w:rsidRDefault="005764B1" w:rsidP="00CE6E7B">
      <w:pPr>
        <w:pStyle w:val="LGTdoc"/>
        <w:spacing w:before="20" w:afterLines="0" w:line="240" w:lineRule="auto"/>
        <w:rPr>
          <w:sz w:val="20"/>
          <w:lang w:val="en-US"/>
        </w:rPr>
      </w:pPr>
      <w:r>
        <w:rPr>
          <w:sz w:val="20"/>
          <w:lang w:val="en-US"/>
        </w:rPr>
        <w:t>A UE feature group for non-contiguous RA is not needed in RAN1 UE feature list since it has been already reflected in RAN4 UE feature list.</w:t>
      </w:r>
    </w:p>
    <w:p w14:paraId="12B79DBC" w14:textId="77777777" w:rsidR="005764B1" w:rsidRDefault="005764B1" w:rsidP="00CE6E7B">
      <w:pPr>
        <w:pStyle w:val="LGTdoc"/>
        <w:spacing w:before="20" w:afterLines="0" w:line="240" w:lineRule="auto"/>
        <w:rPr>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87"/>
        <w:gridCol w:w="831"/>
        <w:gridCol w:w="1117"/>
        <w:gridCol w:w="841"/>
        <w:gridCol w:w="749"/>
        <w:gridCol w:w="921"/>
        <w:gridCol w:w="376"/>
        <w:gridCol w:w="383"/>
        <w:gridCol w:w="298"/>
        <w:gridCol w:w="62"/>
        <w:gridCol w:w="1185"/>
        <w:gridCol w:w="430"/>
        <w:gridCol w:w="1304"/>
        <w:gridCol w:w="1278"/>
      </w:tblGrid>
      <w:tr w:rsidR="005764B1" w:rsidRPr="00DF21B8" w14:paraId="775D8745" w14:textId="77777777" w:rsidTr="00CC0121">
        <w:trPr>
          <w:trHeight w:val="622"/>
          <w:jc w:val="center"/>
        </w:trPr>
        <w:tc>
          <w:tcPr>
            <w:tcW w:w="0" w:type="auto"/>
            <w:shd w:val="clear" w:color="auto" w:fill="auto"/>
            <w:vAlign w:val="center"/>
          </w:tcPr>
          <w:p w14:paraId="3D0B015F" w14:textId="77777777" w:rsidR="005764B1" w:rsidRPr="00DF21B8" w:rsidRDefault="005764B1" w:rsidP="00CC0121">
            <w:pPr>
              <w:snapToGrid w:val="0"/>
              <w:spacing w:after="0"/>
              <w:rPr>
                <w:rFonts w:ascii="Arial" w:eastAsia="MS PGothic" w:hAnsi="Arial" w:cs="Arial"/>
                <w:strike/>
                <w:color w:val="000000"/>
                <w:sz w:val="14"/>
                <w:szCs w:val="16"/>
              </w:rPr>
            </w:pPr>
            <w:r w:rsidRPr="00DF21B8">
              <w:rPr>
                <w:rFonts w:ascii="Arial" w:eastAsia="MS PGothic" w:hAnsi="Arial" w:cs="Arial" w:hint="eastAsia"/>
                <w:color w:val="000000"/>
                <w:sz w:val="14"/>
                <w:szCs w:val="16"/>
              </w:rPr>
              <w:t>2</w:t>
            </w:r>
            <w:r w:rsidRPr="00DF21B8">
              <w:rPr>
                <w:rFonts w:ascii="Arial" w:eastAsia="MS PGothic" w:hAnsi="Arial" w:cs="Arial"/>
                <w:color w:val="000000"/>
                <w:sz w:val="14"/>
                <w:szCs w:val="16"/>
              </w:rPr>
              <w:t>-7</w:t>
            </w:r>
          </w:p>
        </w:tc>
        <w:tc>
          <w:tcPr>
            <w:tcW w:w="0" w:type="auto"/>
            <w:shd w:val="clear" w:color="auto" w:fill="auto"/>
            <w:vAlign w:val="center"/>
          </w:tcPr>
          <w:p w14:paraId="6A407D3D" w14:textId="77777777" w:rsidR="005764B1" w:rsidRPr="00DF21B8" w:rsidRDefault="005764B1" w:rsidP="00CC0121">
            <w:pPr>
              <w:snapToGrid w:val="0"/>
              <w:spacing w:after="0"/>
              <w:rPr>
                <w:rFonts w:ascii="Arial" w:eastAsia="MS PGothic" w:hAnsi="Arial" w:cs="Arial"/>
                <w:strike/>
                <w:color w:val="000000"/>
                <w:sz w:val="14"/>
                <w:szCs w:val="16"/>
                <w:lang w:val="fr-FR"/>
              </w:rPr>
            </w:pPr>
            <w:r w:rsidRPr="00DF21B8">
              <w:rPr>
                <w:rFonts w:ascii="Arial" w:eastAsia="MS PGothic" w:hAnsi="Arial" w:cs="Arial"/>
                <w:color w:val="000000"/>
                <w:sz w:val="14"/>
                <w:szCs w:val="16"/>
                <w:lang w:val="fr-FR"/>
              </w:rPr>
              <w:t>Almost contiguous UL CP-OFDM</w:t>
            </w:r>
          </w:p>
        </w:tc>
        <w:tc>
          <w:tcPr>
            <w:tcW w:w="0" w:type="auto"/>
            <w:shd w:val="clear" w:color="auto" w:fill="auto"/>
            <w:vAlign w:val="center"/>
          </w:tcPr>
          <w:p w14:paraId="4711844C"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bCs/>
                <w:color w:val="000000"/>
                <w:sz w:val="14"/>
                <w:szCs w:val="16"/>
              </w:rPr>
              <w:t>1) Support of almost contiguous UL CP-OFDM transmissions</w:t>
            </w:r>
          </w:p>
        </w:tc>
        <w:tc>
          <w:tcPr>
            <w:tcW w:w="841" w:type="dxa"/>
            <w:shd w:val="clear" w:color="auto" w:fill="auto"/>
          </w:tcPr>
          <w:p w14:paraId="060D2A1C" w14:textId="77777777" w:rsidR="005764B1" w:rsidRPr="00DF21B8" w:rsidRDefault="005764B1" w:rsidP="00CC0121">
            <w:pPr>
              <w:snapToGrid w:val="0"/>
              <w:spacing w:after="0"/>
              <w:rPr>
                <w:rFonts w:ascii="Arial" w:eastAsia="MS PGothic" w:hAnsi="Arial" w:cs="Arial"/>
                <w:color w:val="000000"/>
                <w:sz w:val="14"/>
                <w:szCs w:val="16"/>
              </w:rPr>
            </w:pPr>
          </w:p>
        </w:tc>
        <w:tc>
          <w:tcPr>
            <w:tcW w:w="749" w:type="dxa"/>
            <w:shd w:val="clear" w:color="auto" w:fill="auto"/>
            <w:vAlign w:val="center"/>
          </w:tcPr>
          <w:p w14:paraId="42152720" w14:textId="77777777" w:rsidR="005764B1" w:rsidRPr="00DF21B8" w:rsidRDefault="005764B1" w:rsidP="00CC0121">
            <w:pPr>
              <w:snapToGrid w:val="0"/>
              <w:spacing w:after="0"/>
              <w:rPr>
                <w:rFonts w:ascii="Arial" w:eastAsia="MS PGothic" w:hAnsi="Arial" w:cs="Arial"/>
                <w:color w:val="000000"/>
                <w:sz w:val="14"/>
                <w:szCs w:val="16"/>
              </w:rPr>
            </w:pPr>
          </w:p>
        </w:tc>
        <w:tc>
          <w:tcPr>
            <w:tcW w:w="0" w:type="auto"/>
            <w:shd w:val="clear" w:color="auto" w:fill="auto"/>
            <w:vAlign w:val="center"/>
          </w:tcPr>
          <w:p w14:paraId="408ABDE2"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hint="eastAsia"/>
                <w:color w:val="000000"/>
                <w:sz w:val="14"/>
                <w:szCs w:val="16"/>
              </w:rPr>
              <w:t>U</w:t>
            </w:r>
            <w:r w:rsidRPr="00DF21B8">
              <w:rPr>
                <w:rFonts w:ascii="Arial" w:eastAsia="MS PGothic" w:hAnsi="Arial" w:cs="Arial"/>
                <w:color w:val="000000"/>
                <w:sz w:val="14"/>
                <w:szCs w:val="16"/>
              </w:rPr>
              <w:t>E does not support almost contiguous UL CP-OFDM</w:t>
            </w:r>
          </w:p>
        </w:tc>
        <w:tc>
          <w:tcPr>
            <w:tcW w:w="0" w:type="auto"/>
            <w:shd w:val="clear" w:color="auto" w:fill="auto"/>
            <w:vAlign w:val="center"/>
          </w:tcPr>
          <w:p w14:paraId="25A356FA"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hint="eastAsia"/>
                <w:color w:val="000000"/>
                <w:sz w:val="14"/>
                <w:szCs w:val="16"/>
              </w:rPr>
              <w:t>T</w:t>
            </w:r>
            <w:r w:rsidRPr="00DF21B8">
              <w:rPr>
                <w:rFonts w:ascii="Arial" w:eastAsia="MS PGothic" w:hAnsi="Arial" w:cs="Arial"/>
                <w:color w:val="000000"/>
                <w:sz w:val="14"/>
                <w:szCs w:val="16"/>
              </w:rPr>
              <w:t>ype 4</w:t>
            </w:r>
          </w:p>
        </w:tc>
        <w:tc>
          <w:tcPr>
            <w:tcW w:w="0" w:type="auto"/>
            <w:shd w:val="clear" w:color="auto" w:fill="auto"/>
            <w:vAlign w:val="center"/>
          </w:tcPr>
          <w:p w14:paraId="064C806D"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hint="eastAsia"/>
                <w:color w:val="000000"/>
                <w:sz w:val="14"/>
                <w:szCs w:val="16"/>
              </w:rPr>
              <w:t>N</w:t>
            </w:r>
            <w:r w:rsidRPr="00DF21B8">
              <w:rPr>
                <w:rFonts w:ascii="Arial" w:eastAsia="MS PGothic" w:hAnsi="Arial" w:cs="Arial"/>
                <w:color w:val="000000"/>
                <w:sz w:val="14"/>
                <w:szCs w:val="16"/>
              </w:rPr>
              <w:t>o need</w:t>
            </w:r>
          </w:p>
        </w:tc>
        <w:tc>
          <w:tcPr>
            <w:tcW w:w="0" w:type="auto"/>
            <w:shd w:val="clear" w:color="auto" w:fill="auto"/>
            <w:noWrap/>
            <w:vAlign w:val="center"/>
          </w:tcPr>
          <w:p w14:paraId="3FE793A3"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hint="eastAsia"/>
                <w:color w:val="000000"/>
                <w:sz w:val="14"/>
                <w:szCs w:val="16"/>
              </w:rPr>
              <w:t>Y</w:t>
            </w:r>
            <w:r w:rsidRPr="00DF21B8">
              <w:rPr>
                <w:rFonts w:ascii="Arial" w:eastAsia="MS PGothic" w:hAnsi="Arial" w:cs="Arial"/>
                <w:color w:val="000000"/>
                <w:sz w:val="14"/>
                <w:szCs w:val="16"/>
              </w:rPr>
              <w:t>es</w:t>
            </w:r>
          </w:p>
        </w:tc>
        <w:tc>
          <w:tcPr>
            <w:tcW w:w="0" w:type="auto"/>
            <w:shd w:val="clear" w:color="auto" w:fill="auto"/>
            <w:vAlign w:val="center"/>
          </w:tcPr>
          <w:p w14:paraId="3217BD57" w14:textId="77777777" w:rsidR="005764B1" w:rsidRPr="00DF21B8" w:rsidRDefault="005764B1" w:rsidP="00CC0121">
            <w:pPr>
              <w:snapToGrid w:val="0"/>
              <w:spacing w:after="0"/>
              <w:rPr>
                <w:rFonts w:ascii="Arial" w:eastAsia="MS PGothic" w:hAnsi="Arial" w:cs="Arial"/>
                <w:color w:val="000000"/>
                <w:sz w:val="14"/>
                <w:szCs w:val="16"/>
              </w:rPr>
            </w:pPr>
          </w:p>
        </w:tc>
        <w:tc>
          <w:tcPr>
            <w:tcW w:w="0" w:type="auto"/>
            <w:shd w:val="clear" w:color="auto" w:fill="auto"/>
            <w:vAlign w:val="center"/>
          </w:tcPr>
          <w:p w14:paraId="53C78660"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color w:val="000000"/>
                <w:sz w:val="14"/>
                <w:szCs w:val="16"/>
              </w:rPr>
              <w:t xml:space="preserve">RAN4 </w:t>
            </w:r>
            <w:r>
              <w:rPr>
                <w:rFonts w:ascii="Arial" w:eastAsia="MS PGothic" w:hAnsi="Arial" w:cs="Arial"/>
                <w:color w:val="000000"/>
                <w:sz w:val="14"/>
                <w:szCs w:val="16"/>
              </w:rPr>
              <w:t xml:space="preserve">had defined </w:t>
            </w:r>
            <w:r w:rsidRPr="00DF21B8">
              <w:rPr>
                <w:rFonts w:ascii="Arial" w:eastAsia="MS PGothic" w:hAnsi="Arial" w:cs="Arial"/>
                <w:color w:val="000000"/>
                <w:sz w:val="14"/>
                <w:szCs w:val="16"/>
              </w:rPr>
              <w:t xml:space="preserve">the requirements for “Almost contiguous UL CP-OFDM” in Rel-15. </w:t>
            </w:r>
          </w:p>
          <w:p w14:paraId="287AED90" w14:textId="77777777" w:rsidR="005764B1" w:rsidRPr="00DF21B8" w:rsidRDefault="005764B1" w:rsidP="00CC0121">
            <w:pPr>
              <w:snapToGrid w:val="0"/>
              <w:spacing w:after="0"/>
              <w:rPr>
                <w:rFonts w:ascii="Arial" w:eastAsia="MS PGothic" w:hAnsi="Arial" w:cs="Arial"/>
                <w:strike/>
                <w:color w:val="000000"/>
                <w:sz w:val="14"/>
                <w:szCs w:val="16"/>
              </w:rPr>
            </w:pPr>
          </w:p>
        </w:tc>
        <w:tc>
          <w:tcPr>
            <w:tcW w:w="0" w:type="auto"/>
            <w:shd w:val="clear" w:color="auto" w:fill="auto"/>
            <w:vAlign w:val="center"/>
          </w:tcPr>
          <w:p w14:paraId="0EF87B3E" w14:textId="77777777" w:rsidR="005764B1" w:rsidRPr="00DF21B8" w:rsidRDefault="005764B1" w:rsidP="00CC0121">
            <w:pPr>
              <w:snapToGrid w:val="0"/>
              <w:spacing w:after="0"/>
              <w:rPr>
                <w:rFonts w:ascii="Arial" w:eastAsia="MS PGothic" w:hAnsi="Arial" w:cs="Arial"/>
                <w:color w:val="000000"/>
                <w:sz w:val="14"/>
                <w:szCs w:val="16"/>
              </w:rPr>
            </w:pPr>
            <w:r w:rsidRPr="00DF21B8">
              <w:rPr>
                <w:rFonts w:ascii="Arial" w:eastAsia="MS PGothic" w:hAnsi="Arial" w:cs="Arial"/>
                <w:color w:val="000000"/>
                <w:sz w:val="14"/>
                <w:szCs w:val="16"/>
              </w:rPr>
              <w:t>RAN4</w:t>
            </w:r>
          </w:p>
        </w:tc>
        <w:tc>
          <w:tcPr>
            <w:tcW w:w="1304" w:type="dxa"/>
            <w:shd w:val="clear" w:color="auto" w:fill="auto"/>
            <w:vAlign w:val="center"/>
          </w:tcPr>
          <w:p w14:paraId="6D9CA966" w14:textId="77777777" w:rsidR="005764B1" w:rsidRPr="00DF21B8" w:rsidRDefault="005764B1" w:rsidP="00CC0121">
            <w:pPr>
              <w:snapToGrid w:val="0"/>
              <w:spacing w:after="0"/>
              <w:rPr>
                <w:rFonts w:ascii="Arial" w:eastAsia="MS PGothic" w:hAnsi="Arial" w:cs="Arial"/>
                <w:color w:val="000000"/>
                <w:sz w:val="14"/>
                <w:szCs w:val="16"/>
                <w:lang w:eastAsia="ja-JP"/>
              </w:rPr>
            </w:pPr>
            <w:r>
              <w:rPr>
                <w:rFonts w:ascii="Arial" w:eastAsia="MS PGothic" w:hAnsi="Arial" w:cs="Arial" w:hint="eastAsia"/>
                <w:color w:val="000000"/>
                <w:sz w:val="14"/>
                <w:szCs w:val="16"/>
                <w:lang w:eastAsia="ja-JP"/>
              </w:rPr>
              <w:t>O</w:t>
            </w:r>
            <w:r>
              <w:rPr>
                <w:rFonts w:ascii="Arial" w:eastAsia="MS PGothic" w:hAnsi="Arial" w:cs="Arial"/>
                <w:color w:val="000000"/>
                <w:sz w:val="14"/>
                <w:szCs w:val="16"/>
                <w:lang w:eastAsia="ja-JP"/>
              </w:rPr>
              <w:t>ptional</w:t>
            </w:r>
          </w:p>
        </w:tc>
        <w:tc>
          <w:tcPr>
            <w:tcW w:w="1278" w:type="dxa"/>
            <w:shd w:val="clear" w:color="auto" w:fill="auto"/>
            <w:noWrap/>
            <w:vAlign w:val="center"/>
          </w:tcPr>
          <w:p w14:paraId="2E1BB0E2" w14:textId="77777777" w:rsidR="005764B1" w:rsidRPr="00DF21B8" w:rsidRDefault="005764B1" w:rsidP="00CC0121">
            <w:pPr>
              <w:snapToGrid w:val="0"/>
              <w:spacing w:after="0"/>
              <w:rPr>
                <w:rFonts w:ascii="Arial" w:eastAsia="MS PGothic" w:hAnsi="Arial" w:cs="Arial"/>
                <w:color w:val="000000"/>
                <w:sz w:val="14"/>
                <w:szCs w:val="16"/>
                <w:lang w:eastAsia="ja-JP"/>
              </w:rPr>
            </w:pPr>
            <w:r>
              <w:rPr>
                <w:rFonts w:ascii="Arial" w:eastAsia="MS PGothic" w:hAnsi="Arial" w:cs="Arial" w:hint="eastAsia"/>
                <w:color w:val="000000"/>
                <w:sz w:val="14"/>
                <w:szCs w:val="16"/>
                <w:lang w:eastAsia="ja-JP"/>
              </w:rPr>
              <w:t>Optional</w:t>
            </w:r>
          </w:p>
        </w:tc>
      </w:tr>
    </w:tbl>
    <w:p w14:paraId="61600E21" w14:textId="77777777" w:rsidR="005764B1" w:rsidRDefault="005764B1" w:rsidP="00CE6E7B">
      <w:pPr>
        <w:pStyle w:val="LGTdoc"/>
        <w:spacing w:before="20" w:afterLines="0" w:line="240" w:lineRule="auto"/>
        <w:rPr>
          <w:sz w:val="20"/>
          <w:lang w:val="en-US"/>
        </w:rPr>
      </w:pPr>
    </w:p>
    <w:p w14:paraId="4048E37E" w14:textId="77777777" w:rsidR="000D5A82" w:rsidRDefault="000D5A82"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xml:space="preserve">: </w:t>
      </w:r>
      <w:r w:rsidR="00FF615F" w:rsidRPr="007E3962">
        <w:rPr>
          <w:b/>
          <w:i/>
          <w:sz w:val="20"/>
          <w:u w:val="single"/>
          <w:lang w:val="en-US"/>
        </w:rPr>
        <w:t>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5646DFD3" w:rsidR="00F239A9" w:rsidRDefault="00F01ABF" w:rsidP="00CE6E7B">
      <w:pPr>
        <w:pStyle w:val="LGTdoc"/>
        <w:spacing w:before="20" w:afterLines="0" w:line="240" w:lineRule="auto"/>
        <w:rPr>
          <w:sz w:val="20"/>
          <w:lang w:val="en-US"/>
        </w:rPr>
      </w:pPr>
      <w:r>
        <w:rPr>
          <w:sz w:val="20"/>
          <w:lang w:val="en-US"/>
        </w:rPr>
        <w:lastRenderedPageBreak/>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 xml:space="preserve">not essential and the benefits are </w:t>
      </w:r>
      <w:r w:rsidR="00FB37C9">
        <w:rPr>
          <w:sz w:val="20"/>
          <w:lang w:val="en-US"/>
        </w:rPr>
        <w:t xml:space="preserve">trivial and it can be used only </w:t>
      </w:r>
      <w:r w:rsidR="00FB11B6">
        <w:rPr>
          <w:sz w:val="20"/>
          <w:lang w:val="en-US"/>
        </w:rPr>
        <w:t xml:space="preserve">for the limited </w:t>
      </w:r>
      <w:r w:rsidR="00CC1233">
        <w:rPr>
          <w:sz w:val="20"/>
          <w:lang w:val="en-US"/>
        </w:rPr>
        <w:t xml:space="preserve">use </w:t>
      </w:r>
      <w:r w:rsidR="00FB11B6">
        <w:rPr>
          <w:sz w:val="20"/>
          <w:lang w:val="en-US"/>
        </w:rPr>
        <w:t xml:space="preserve">cases (e.g. both SSB and CSI-RS for </w:t>
      </w:r>
      <w:bookmarkStart w:id="4" w:name="_GoBack"/>
      <w:bookmarkEnd w:id="4"/>
      <w:r w:rsidR="00FB11B6">
        <w:rPr>
          <w:sz w:val="20"/>
          <w:lang w:val="en-US"/>
        </w:rPr>
        <w:t>RLM exist within the active BWP)</w:t>
      </w:r>
      <w:r w:rsidR="00EA38C1">
        <w:rPr>
          <w:sz w:val="20"/>
          <w:lang w:val="en-US"/>
        </w:rPr>
        <w:t xml:space="preserve"> - rather</w:t>
      </w:r>
      <w:r>
        <w:rPr>
          <w:sz w:val="20"/>
          <w:lang w:val="en-US"/>
        </w:rPr>
        <w:t xml:space="preserve"> it causes UE complexity quite a bit</w:t>
      </w:r>
      <w:r w:rsidR="001B764A">
        <w:rPr>
          <w:sz w:val="20"/>
          <w:lang w:val="en-US"/>
        </w:rPr>
        <w:t xml:space="preserve"> </w:t>
      </w:r>
      <w:r w:rsidR="00CC1233">
        <w:rPr>
          <w:sz w:val="20"/>
          <w:lang w:val="en-US"/>
        </w:rPr>
        <w:t xml:space="preserve">to handle both </w:t>
      </w:r>
      <w:r w:rsidR="001B764A">
        <w:rPr>
          <w:sz w:val="20"/>
          <w:lang w:val="en-US"/>
        </w:rPr>
        <w:t>and can increase UE power consumption, when configured</w:t>
      </w:r>
      <w:r>
        <w:rPr>
          <w:sz w:val="20"/>
          <w:lang w:val="en-US"/>
        </w:rPr>
        <w:t xml:space="preserve">. Thus, </w:t>
      </w:r>
      <w:r w:rsidR="00A13FC1">
        <w:rPr>
          <w:sz w:val="20"/>
          <w:lang w:val="en-US"/>
        </w:rPr>
        <w:t xml:space="preserve">FG </w:t>
      </w:r>
      <w:r>
        <w:rPr>
          <w:sz w:val="20"/>
          <w:lang w:val="en-US"/>
        </w:rPr>
        <w:t xml:space="preserve">1-8 </w:t>
      </w:r>
      <w:r w:rsidR="00FB37C9">
        <w:rPr>
          <w:sz w:val="20"/>
          <w:lang w:val="en-US"/>
        </w:rPr>
        <w:t xml:space="preserve">should be </w:t>
      </w:r>
      <w:r>
        <w:rPr>
          <w:sz w:val="20"/>
          <w:lang w:val="en-US"/>
        </w:rPr>
        <w:t>optional with capability signaling.</w:t>
      </w:r>
    </w:p>
    <w:p w14:paraId="0A853634" w14:textId="77777777" w:rsidR="004E72B8" w:rsidRDefault="004E72B8" w:rsidP="00CE6E7B">
      <w:pPr>
        <w:pStyle w:val="LGTdoc"/>
        <w:spacing w:before="20" w:afterLines="0" w:line="240" w:lineRule="auto"/>
        <w:rPr>
          <w:sz w:val="20"/>
          <w:lang w:val="en-US"/>
        </w:rPr>
      </w:pPr>
    </w:p>
    <w:p w14:paraId="337D31A6" w14:textId="29EA9295" w:rsidR="004E72B8" w:rsidRPr="004E72B8" w:rsidRDefault="004E72B8" w:rsidP="00CE6E7B">
      <w:pPr>
        <w:pStyle w:val="LGTdoc"/>
        <w:spacing w:before="20" w:afterLines="0" w:line="240" w:lineRule="auto"/>
        <w:rPr>
          <w:b/>
          <w:sz w:val="20"/>
          <w:u w:val="single"/>
          <w:lang w:val="en-US"/>
        </w:rPr>
      </w:pPr>
      <w:r w:rsidRPr="004E72B8">
        <w:rPr>
          <w:b/>
          <w:sz w:val="20"/>
          <w:u w:val="single"/>
          <w:lang w:val="en-US"/>
        </w:rPr>
        <w:t>1-13 (New): Additional usage of PBCH DM RS for SSB RRM: Optional without capability signaling</w:t>
      </w:r>
    </w:p>
    <w:p w14:paraId="27061FB1" w14:textId="77777777" w:rsidR="004E72B8" w:rsidRDefault="004E72B8" w:rsidP="00CE6E7B">
      <w:pPr>
        <w:pStyle w:val="LGTdoc"/>
        <w:spacing w:before="20" w:afterLines="0" w:line="240" w:lineRule="auto"/>
        <w:rPr>
          <w:sz w:val="20"/>
          <w:lang w:val="en-US"/>
        </w:rPr>
      </w:pPr>
    </w:p>
    <w:p w14:paraId="511E05DB" w14:textId="16AEFC2B" w:rsidR="006C661A" w:rsidRDefault="006C661A" w:rsidP="00CE6E7B">
      <w:pPr>
        <w:pStyle w:val="LGTdoc"/>
        <w:spacing w:before="20" w:afterLines="0" w:line="240" w:lineRule="auto"/>
        <w:rPr>
          <w:sz w:val="20"/>
          <w:lang w:val="en-US"/>
        </w:rPr>
      </w:pPr>
      <w:r>
        <w:rPr>
          <w:sz w:val="20"/>
          <w:lang w:val="en-US"/>
        </w:rPr>
        <w:t>In TS38.215:</w:t>
      </w:r>
    </w:p>
    <w:p w14:paraId="1D06531B" w14:textId="77777777" w:rsidR="006C661A" w:rsidRDefault="006C661A"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6C661A" w14:paraId="532CDFD9" w14:textId="77777777" w:rsidTr="006C661A">
        <w:tc>
          <w:tcPr>
            <w:tcW w:w="9962" w:type="dxa"/>
          </w:tcPr>
          <w:p w14:paraId="47737893" w14:textId="77777777" w:rsidR="006C661A" w:rsidRDefault="006C661A" w:rsidP="006C661A">
            <w:pPr>
              <w:pStyle w:val="Heading3"/>
              <w:outlineLvl w:val="2"/>
              <w:rPr>
                <w:rFonts w:eastAsia="Times New Roman"/>
              </w:rPr>
            </w:pPr>
            <w:bookmarkStart w:id="5" w:name="_Toc516774867"/>
            <w:r>
              <w:rPr>
                <w:rFonts w:eastAsia="Times New Roman"/>
              </w:rPr>
              <w:t>5.1.1</w:t>
            </w:r>
            <w:r>
              <w:rPr>
                <w:rFonts w:eastAsia="Times New Roman"/>
              </w:rPr>
              <w:tab/>
              <w:t>SS reference signal received power (SS-RSRP)</w:t>
            </w:r>
            <w:bookmarkEnd w:id="5"/>
          </w:p>
          <w:p w14:paraId="33E57126" w14:textId="77777777" w:rsidR="006C661A" w:rsidRDefault="006C661A" w:rsidP="006C661A">
            <w:pPr>
              <w:pStyle w:val="TAL"/>
              <w:rPr>
                <w:rFonts w:eastAsia="Times New Roman"/>
              </w:rPr>
            </w:pPr>
            <w:r>
              <w:t>SS reference signal received power (SS -RSRP) is defined as the linear average over the power contributions (in [W]) of the resource elements that carry secondary synchronization signals (SS). The measurement time resource(s) for SS-RSRP are confined within SS/PBCH Block Measurement Time Configuration (SMTC) window duration. If SS-RSRP is used for L1-RSRP as configured by reporting configurations as defined in 3GPP TS 38.214 [6], the measurement time resources(s) restriction by SMTC window duration is not applicable.</w:t>
            </w:r>
          </w:p>
          <w:p w14:paraId="04329F2B" w14:textId="77777777" w:rsidR="006C661A" w:rsidRDefault="006C661A" w:rsidP="006C661A">
            <w:pPr>
              <w:pStyle w:val="TAL"/>
              <w:rPr>
                <w:rFonts w:cs="Arial"/>
              </w:rPr>
            </w:pPr>
          </w:p>
          <w:p w14:paraId="2510D85D" w14:textId="77777777" w:rsidR="006C661A" w:rsidRDefault="006C661A" w:rsidP="006C661A">
            <w:pPr>
              <w:pStyle w:val="TAL"/>
              <w:rPr>
                <w:b/>
                <w:color w:val="FF0000"/>
              </w:rPr>
            </w:pPr>
            <w:r>
              <w:rPr>
                <w:b/>
                <w:color w:val="FF0000"/>
              </w:rPr>
              <w:t xml:space="preserve">For SS-RSRP determination demodulation reference signals for physical broadcast channel (PBCH) and, if indicated by higher layers, CSI reference signals in addition to secondary synchronization signals may be used. </w:t>
            </w:r>
            <w:r>
              <w:t xml:space="preserve">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3GPP TS 38.213 [5]. </w:t>
            </w:r>
            <w:r>
              <w:rPr>
                <w:b/>
                <w:color w:val="FF0000"/>
              </w:rPr>
              <w:t>If SS-RSRP is not used for L1-RSRP, the additional use of CSI reference signals for SS-RSRP determination is not applicable.</w:t>
            </w:r>
          </w:p>
          <w:p w14:paraId="4C1EC308" w14:textId="77777777" w:rsidR="006C661A" w:rsidRPr="006C661A" w:rsidRDefault="006C661A" w:rsidP="00CE6E7B">
            <w:pPr>
              <w:pStyle w:val="LGTdoc"/>
              <w:spacing w:before="20" w:afterLines="0" w:line="240" w:lineRule="auto"/>
              <w:rPr>
                <w:sz w:val="20"/>
              </w:rPr>
            </w:pPr>
          </w:p>
        </w:tc>
      </w:tr>
    </w:tbl>
    <w:p w14:paraId="520CAA6D" w14:textId="77777777" w:rsidR="006C661A" w:rsidRDefault="006C661A" w:rsidP="00CE6E7B">
      <w:pPr>
        <w:pStyle w:val="LGTdoc"/>
        <w:spacing w:before="20" w:afterLines="0" w:line="240" w:lineRule="auto"/>
        <w:rPr>
          <w:sz w:val="20"/>
          <w:lang w:val="en-US"/>
        </w:rPr>
      </w:pPr>
    </w:p>
    <w:p w14:paraId="353184C1" w14:textId="551D328D" w:rsidR="006C661A" w:rsidRPr="006C661A" w:rsidRDefault="006C661A" w:rsidP="006C661A">
      <w:pPr>
        <w:rPr>
          <w:rFonts w:eastAsia="Batang"/>
          <w:kern w:val="2"/>
          <w:szCs w:val="24"/>
          <w:lang w:eastAsia="ko-KR"/>
        </w:rPr>
      </w:pPr>
      <w:r w:rsidRPr="006C661A">
        <w:rPr>
          <w:rFonts w:eastAsia="Batang"/>
          <w:kern w:val="2"/>
          <w:szCs w:val="24"/>
          <w:lang w:eastAsia="ko-KR"/>
        </w:rPr>
        <w:t>RRM measurements based on SS/PBCH block are all based on SSS. However, it was agreed that DMRS of PBCH may be utilized by the UE to aid with the measurements. Furthermore, the antenna port transmitting the DMRS of PBCH was set to be the same as antenna port transmitting SSS. The use of DMRS of PBCH is aid with measurements and enhance accuracy and should not impact basic functionality of RRM measurements and is up to UE implementation on whether or not to utilize such RSs. Therefore, this should be defined as optional feature without any capability signaling.</w:t>
      </w:r>
      <w:r w:rsidR="00036CBD">
        <w:rPr>
          <w:rFonts w:eastAsia="Batang"/>
          <w:kern w:val="2"/>
          <w:szCs w:val="24"/>
          <w:lang w:eastAsia="ko-KR"/>
        </w:rPr>
        <w:t xml:space="preserve"> </w:t>
      </w:r>
      <w:r w:rsidR="00A11A35">
        <w:rPr>
          <w:rFonts w:eastAsia="Batang"/>
          <w:kern w:val="2"/>
          <w:szCs w:val="24"/>
          <w:lang w:eastAsia="ko-KR"/>
        </w:rPr>
        <w:t xml:space="preserve">The network doesn’t need to know whether or not UE use PBCH DM RS since the requirements in RAN4 will be based on SSB onlyl. </w:t>
      </w:r>
      <w:r w:rsidR="00036CBD">
        <w:rPr>
          <w:rFonts w:eastAsia="Batang"/>
          <w:kern w:val="2"/>
          <w:szCs w:val="24"/>
          <w:lang w:eastAsia="ko-KR"/>
        </w:rPr>
        <w:t xml:space="preserve">This won’t impact on RRC spec </w:t>
      </w:r>
      <w:r w:rsidR="00595ED3">
        <w:rPr>
          <w:rFonts w:eastAsia="Batang"/>
          <w:kern w:val="2"/>
          <w:szCs w:val="24"/>
          <w:lang w:eastAsia="ko-KR"/>
        </w:rPr>
        <w:t xml:space="preserve">but it can be described in TS38.306 as optional feature </w:t>
      </w:r>
      <w:r w:rsidR="00595ED3" w:rsidRPr="00595ED3">
        <w:rPr>
          <w:rFonts w:eastAsia="Batang"/>
          <w:b/>
          <w:kern w:val="2"/>
          <w:szCs w:val="24"/>
          <w:u w:val="single"/>
          <w:lang w:eastAsia="ko-KR"/>
        </w:rPr>
        <w:t>without capability signaling</w:t>
      </w:r>
      <w:r w:rsidR="00595ED3">
        <w:rPr>
          <w:rFonts w:eastAsia="Batang"/>
          <w:kern w:val="2"/>
          <w:szCs w:val="24"/>
          <w:lang w:eastAsia="ko-KR"/>
        </w:rPr>
        <w:t>.</w:t>
      </w:r>
    </w:p>
    <w:p w14:paraId="30FAA0AB" w14:textId="77777777" w:rsidR="004E72B8" w:rsidRPr="006C661A" w:rsidRDefault="004E72B8" w:rsidP="00CE6E7B">
      <w:pPr>
        <w:pStyle w:val="LGTdoc"/>
        <w:spacing w:before="20" w:afterLines="0" w:line="240" w:lineRule="auto"/>
        <w:rPr>
          <w:sz w:val="20"/>
        </w:rPr>
      </w:pPr>
    </w:p>
    <w:p w14:paraId="0C8FCEA1" w14:textId="77777777" w:rsidR="00D60FE1" w:rsidRDefault="00D60FE1" w:rsidP="00CE6E7B">
      <w:pPr>
        <w:pStyle w:val="LGTdoc"/>
        <w:spacing w:before="20" w:afterLines="0" w:line="240" w:lineRule="auto"/>
        <w:rPr>
          <w:sz w:val="20"/>
        </w:rPr>
      </w:pPr>
    </w:p>
    <w:p w14:paraId="143F3177" w14:textId="3D20E5EA" w:rsidR="005B62C2" w:rsidRPr="005B62C2" w:rsidRDefault="005B62C2" w:rsidP="00CE6E7B">
      <w:pPr>
        <w:pStyle w:val="LGTdoc"/>
        <w:spacing w:before="20" w:afterLines="0" w:line="240" w:lineRule="auto"/>
        <w:rPr>
          <w:b/>
          <w:i/>
          <w:sz w:val="20"/>
          <w:u w:val="single"/>
        </w:rPr>
      </w:pPr>
      <w:r w:rsidRPr="005B62C2">
        <w:rPr>
          <w:b/>
          <w:sz w:val="20"/>
          <w:u w:val="single"/>
        </w:rPr>
        <w:t xml:space="preserve">2-4: TCI states for PDSCH: </w:t>
      </w:r>
      <w:r w:rsidRPr="005B62C2">
        <w:rPr>
          <w:b/>
          <w:i/>
          <w:sz w:val="20"/>
          <w:u w:val="single"/>
        </w:rPr>
        <w:t>For component 2, UE is mandated to signal 4 and 64 for FR1 and FR2, respectively; Other values are optional</w:t>
      </w:r>
    </w:p>
    <w:p w14:paraId="63C992EC" w14:textId="77777777" w:rsidR="005B62C2" w:rsidRDefault="005B62C2" w:rsidP="00CE6E7B">
      <w:pPr>
        <w:pStyle w:val="LGTdoc"/>
        <w:spacing w:before="20" w:afterLines="0" w:line="240" w:lineRule="auto"/>
        <w:rPr>
          <w:sz w:val="20"/>
        </w:rPr>
      </w:pPr>
    </w:p>
    <w:p w14:paraId="322121B1" w14:textId="55C51D35" w:rsidR="005B62C2" w:rsidRDefault="005B62C2" w:rsidP="00CE6E7B">
      <w:pPr>
        <w:pStyle w:val="LGTdoc"/>
        <w:spacing w:before="20" w:afterLines="0" w:line="240" w:lineRule="auto"/>
        <w:rPr>
          <w:sz w:val="20"/>
        </w:rPr>
      </w:pPr>
      <w:r>
        <w:rPr>
          <w:sz w:val="20"/>
        </w:rPr>
        <w:t xml:space="preserve">The component 2 is still open which values are mandated to be supported by UE. </w:t>
      </w:r>
    </w:p>
    <w:p w14:paraId="3FF32166" w14:textId="77777777" w:rsidR="005B62C2" w:rsidRDefault="005B62C2" w:rsidP="00CE6E7B">
      <w:pPr>
        <w:pStyle w:val="LGTdoc"/>
        <w:spacing w:before="20" w:afterLines="0" w:line="240" w:lineRule="auto"/>
        <w:rPr>
          <w:sz w:val="20"/>
        </w:rPr>
      </w:pPr>
    </w:p>
    <w:p w14:paraId="72AA68E8" w14:textId="77777777" w:rsidR="005B62C2" w:rsidRPr="00CA4C8A" w:rsidRDefault="005B62C2" w:rsidP="005B62C2">
      <w:pPr>
        <w:rPr>
          <w:rFonts w:asciiTheme="majorHAnsi" w:eastAsia="Times New Roman" w:hAnsiTheme="majorHAnsi" w:cstheme="majorHAnsi"/>
        </w:rPr>
      </w:pPr>
      <w:r w:rsidRPr="00CA4C8A">
        <w:rPr>
          <w:rFonts w:asciiTheme="majorHAnsi" w:eastAsia="Times New Roman" w:hAnsiTheme="majorHAnsi" w:cstheme="majorHAnsi"/>
        </w:rPr>
        <w:t>Component-1: Candidate value set: {1, 2, 4, 8 }</w:t>
      </w:r>
    </w:p>
    <w:p w14:paraId="0E879062" w14:textId="77777777" w:rsidR="005B62C2" w:rsidRPr="00CA4C8A" w:rsidRDefault="005B62C2" w:rsidP="005B62C2">
      <w:pPr>
        <w:rPr>
          <w:rFonts w:asciiTheme="majorHAnsi" w:eastAsia="Times New Roman" w:hAnsiTheme="majorHAnsi" w:cstheme="majorHAnsi"/>
        </w:rPr>
      </w:pPr>
      <w:r w:rsidRPr="00CA4C8A">
        <w:rPr>
          <w:rFonts w:asciiTheme="majorHAnsi" w:eastAsia="Times New Roman" w:hAnsiTheme="majorHAnsi" w:cstheme="majorHAnsi"/>
        </w:rPr>
        <w:t>Component-2: candidate value set: {4, 8, 16, 32, 64</w:t>
      </w:r>
      <w:r>
        <w:rPr>
          <w:rFonts w:asciiTheme="majorHAnsi" w:eastAsia="Times New Roman" w:hAnsiTheme="majorHAnsi" w:cstheme="majorHAnsi"/>
        </w:rPr>
        <w:t>, 128</w:t>
      </w:r>
      <w:r w:rsidRPr="00CA4C8A">
        <w:rPr>
          <w:rFonts w:asciiTheme="majorHAnsi" w:eastAsia="Times New Roman" w:hAnsiTheme="majorHAnsi" w:cstheme="majorHAnsi"/>
        </w:rPr>
        <w:t>}</w:t>
      </w:r>
    </w:p>
    <w:p w14:paraId="6D550B96" w14:textId="01BABC13" w:rsidR="005B62C2" w:rsidRDefault="005B62C2" w:rsidP="005B62C2">
      <w:pPr>
        <w:pStyle w:val="LGTdoc"/>
        <w:spacing w:before="20" w:afterLines="0" w:line="240" w:lineRule="auto"/>
        <w:rPr>
          <w:sz w:val="20"/>
        </w:rPr>
      </w:pPr>
      <w:r>
        <w:rPr>
          <w:rFonts w:asciiTheme="majorHAnsi" w:eastAsia="Times New Roman" w:hAnsiTheme="majorHAnsi" w:cstheme="majorHAnsi"/>
          <w:sz w:val="20"/>
          <w:szCs w:val="20"/>
        </w:rPr>
        <w:t xml:space="preserve">UE is mandated to signal </w:t>
      </w:r>
      <w:r w:rsidRPr="0069616C">
        <w:rPr>
          <w:rFonts w:asciiTheme="majorHAnsi" w:eastAsia="Times New Roman" w:hAnsiTheme="majorHAnsi" w:cstheme="majorHAnsi"/>
          <w:sz w:val="20"/>
          <w:szCs w:val="20"/>
          <w:highlight w:val="yellow"/>
        </w:rPr>
        <w:t>[64</w:t>
      </w:r>
      <w:r>
        <w:rPr>
          <w:rFonts w:asciiTheme="majorHAnsi" w:eastAsia="Times New Roman" w:hAnsiTheme="majorHAnsi" w:cstheme="majorHAnsi"/>
          <w:sz w:val="20"/>
          <w:szCs w:val="20"/>
          <w:highlight w:val="yellow"/>
        </w:rPr>
        <w:t>, 128]</w:t>
      </w:r>
      <w:r w:rsidRPr="0069616C">
        <w:rPr>
          <w:rFonts w:asciiTheme="majorHAnsi" w:eastAsia="Times New Roman" w:hAnsiTheme="majorHAnsi" w:cstheme="majorHAnsi"/>
          <w:sz w:val="20"/>
          <w:szCs w:val="20"/>
          <w:highlight w:val="yellow"/>
        </w:rPr>
        <w:t xml:space="preserve"> for FR2 and </w:t>
      </w:r>
      <w:r>
        <w:rPr>
          <w:rFonts w:asciiTheme="majorHAnsi" w:eastAsia="Times New Roman" w:hAnsiTheme="majorHAnsi" w:cstheme="majorHAnsi"/>
          <w:sz w:val="20"/>
          <w:szCs w:val="20"/>
          <w:highlight w:val="yellow"/>
        </w:rPr>
        <w:t>FFS</w:t>
      </w:r>
      <w:r w:rsidRPr="0069616C">
        <w:rPr>
          <w:rFonts w:asciiTheme="majorHAnsi" w:eastAsia="Times New Roman" w:hAnsiTheme="majorHAnsi" w:cstheme="majorHAnsi"/>
          <w:sz w:val="20"/>
          <w:szCs w:val="20"/>
          <w:highlight w:val="yellow"/>
        </w:rPr>
        <w:t xml:space="preserve"> </w:t>
      </w:r>
      <w:r>
        <w:rPr>
          <w:rFonts w:asciiTheme="majorHAnsi" w:eastAsia="Times New Roman" w:hAnsiTheme="majorHAnsi" w:cstheme="majorHAnsi"/>
          <w:sz w:val="20"/>
          <w:szCs w:val="20"/>
          <w:highlight w:val="yellow"/>
        </w:rPr>
        <w:t xml:space="preserve">the values </w:t>
      </w:r>
      <w:r w:rsidRPr="0069616C">
        <w:rPr>
          <w:rFonts w:asciiTheme="majorHAnsi" w:eastAsia="Times New Roman" w:hAnsiTheme="majorHAnsi" w:cstheme="majorHAnsi"/>
          <w:sz w:val="20"/>
          <w:szCs w:val="20"/>
          <w:highlight w:val="yellow"/>
        </w:rPr>
        <w:t>for FR1</w:t>
      </w:r>
    </w:p>
    <w:p w14:paraId="57596896" w14:textId="77777777" w:rsidR="005B62C2" w:rsidRDefault="005B62C2" w:rsidP="00CE6E7B">
      <w:pPr>
        <w:pStyle w:val="LGTdoc"/>
        <w:spacing w:before="20" w:afterLines="0" w:line="240" w:lineRule="auto"/>
        <w:rPr>
          <w:sz w:val="20"/>
        </w:rPr>
      </w:pPr>
    </w:p>
    <w:p w14:paraId="7F10EE53" w14:textId="77777777" w:rsidR="002B6BF2" w:rsidRPr="002B6BF2" w:rsidRDefault="002B6BF2" w:rsidP="002B6BF2">
      <w:pPr>
        <w:pStyle w:val="LGTdoc"/>
        <w:spacing w:before="20" w:afterLines="0" w:line="240" w:lineRule="auto"/>
        <w:rPr>
          <w:sz w:val="20"/>
        </w:rPr>
      </w:pPr>
      <w:r w:rsidRPr="002B6BF2">
        <w:rPr>
          <w:sz w:val="20"/>
        </w:rPr>
        <w:t>For FR2, the value 128 was introduced recently and it is agreed that 128 is optional. Therefore, as per the previous agreement below, it is proposed that UE is mandated to signal 64 rather than 128 for FR2.</w:t>
      </w:r>
    </w:p>
    <w:p w14:paraId="4793E754" w14:textId="77777777" w:rsidR="002B6BF2" w:rsidRDefault="002B6BF2" w:rsidP="002B6BF2">
      <w:pPr>
        <w:pStyle w:val="LGTdoc"/>
        <w:spacing w:before="20" w:afterLines="0" w:line="240" w:lineRule="auto"/>
        <w:rPr>
          <w:sz w:val="20"/>
        </w:rPr>
      </w:pPr>
      <w:r w:rsidRPr="002B6BF2">
        <w:rPr>
          <w:sz w:val="20"/>
        </w:rPr>
        <w:t>For FR1, the use case is not very crystal clear particularly considering that the main applied scenario may be CoMP operation to support multiple TCI state. Thus, the minimum value 4 would be mandated to be supported by UE in FR1.</w:t>
      </w:r>
    </w:p>
    <w:p w14:paraId="101E610D" w14:textId="77777777" w:rsidR="002B6BF2" w:rsidRDefault="002B6BF2" w:rsidP="002B6BF2">
      <w:pPr>
        <w:pStyle w:val="LGTdoc"/>
        <w:spacing w:before="20" w:afterLines="0" w:line="240" w:lineRule="auto"/>
        <w:rPr>
          <w:sz w:val="20"/>
        </w:rPr>
      </w:pPr>
    </w:p>
    <w:p w14:paraId="787DF9E6" w14:textId="77777777" w:rsidR="002B6BF2" w:rsidRPr="001772B2" w:rsidRDefault="002B6BF2" w:rsidP="002B6BF2">
      <w:pPr>
        <w:pStyle w:val="BodyText"/>
        <w:spacing w:after="0"/>
        <w:rPr>
          <w:b/>
          <w:szCs w:val="20"/>
          <w:highlight w:val="green"/>
        </w:rPr>
      </w:pPr>
      <w:r w:rsidRPr="001772B2">
        <w:rPr>
          <w:b/>
          <w:szCs w:val="20"/>
          <w:highlight w:val="green"/>
        </w:rPr>
        <w:t>Agreement</w:t>
      </w:r>
    </w:p>
    <w:p w14:paraId="13E8E604" w14:textId="77777777" w:rsidR="002B6BF2" w:rsidRPr="001772B2" w:rsidRDefault="002B6BF2" w:rsidP="002B6BF2">
      <w:r w:rsidRPr="001772B2">
        <w:t>Increase the maximum number of configurable TCI states to 128 per CC</w:t>
      </w:r>
    </w:p>
    <w:p w14:paraId="68CCEBDC" w14:textId="77777777" w:rsidR="002B6BF2" w:rsidRPr="001772B2" w:rsidRDefault="002B6BF2" w:rsidP="002B6BF2">
      <w:pPr>
        <w:numPr>
          <w:ilvl w:val="0"/>
          <w:numId w:val="24"/>
        </w:numPr>
        <w:overflowPunct/>
        <w:autoSpaceDE/>
        <w:autoSpaceDN/>
        <w:adjustRightInd/>
        <w:spacing w:after="0"/>
        <w:textAlignment w:val="auto"/>
        <w:rPr>
          <w:lang w:eastAsia="x-none"/>
        </w:rPr>
      </w:pPr>
      <w:r w:rsidRPr="001772B2">
        <w:rPr>
          <w:lang w:eastAsia="x-none"/>
        </w:rPr>
        <w:t>Requires change to RAN2 specifications</w:t>
      </w:r>
    </w:p>
    <w:p w14:paraId="188150E8" w14:textId="77777777" w:rsidR="002B6BF2" w:rsidRPr="001772B2" w:rsidRDefault="002B6BF2" w:rsidP="002B6BF2">
      <w:pPr>
        <w:numPr>
          <w:ilvl w:val="0"/>
          <w:numId w:val="24"/>
        </w:numPr>
        <w:overflowPunct/>
        <w:autoSpaceDE/>
        <w:autoSpaceDN/>
        <w:adjustRightInd/>
        <w:spacing w:after="0"/>
        <w:textAlignment w:val="auto"/>
        <w:rPr>
          <w:lang w:eastAsia="x-none"/>
        </w:rPr>
      </w:pPr>
      <w:r w:rsidRPr="001772B2">
        <w:rPr>
          <w:lang w:eastAsia="x-none"/>
        </w:rPr>
        <w:t>Support of up to 128 is UE optional</w:t>
      </w:r>
    </w:p>
    <w:p w14:paraId="3409A308" w14:textId="77777777" w:rsidR="002B6BF2" w:rsidRPr="001772B2" w:rsidRDefault="002B6BF2" w:rsidP="002B6BF2">
      <w:pPr>
        <w:rPr>
          <w:lang w:eastAsia="x-none"/>
        </w:rPr>
      </w:pPr>
      <w:r w:rsidRPr="001772B2">
        <w:rPr>
          <w:lang w:eastAsia="x-none"/>
        </w:rPr>
        <w:t xml:space="preserve">Send an LS to RAN2 </w:t>
      </w:r>
      <w:r w:rsidRPr="008C67AB">
        <w:rPr>
          <w:lang w:eastAsia="x-none"/>
        </w:rPr>
        <w:sym w:font="Wingdings" w:char="F0E0"/>
      </w:r>
      <w:r>
        <w:rPr>
          <w:lang w:eastAsia="x-none"/>
        </w:rPr>
        <w:t xml:space="preserve"> </w:t>
      </w:r>
      <w:r w:rsidRPr="001772B2">
        <w:rPr>
          <w:lang w:eastAsia="x-none"/>
        </w:rPr>
        <w:t xml:space="preserve">LS is endorsed in </w:t>
      </w:r>
      <w:r w:rsidRPr="00530BF4">
        <w:rPr>
          <w:b/>
          <w:highlight w:val="green"/>
          <w:lang w:eastAsia="x-none"/>
        </w:rPr>
        <w:t>R1-1809888</w:t>
      </w:r>
    </w:p>
    <w:p w14:paraId="056FF14B" w14:textId="3A7DD56C" w:rsidR="005B62C2" w:rsidRDefault="005B62C2" w:rsidP="00CE6E7B">
      <w:pPr>
        <w:pStyle w:val="LGTdoc"/>
        <w:spacing w:before="20" w:afterLines="0" w:line="240" w:lineRule="auto"/>
        <w:rPr>
          <w:sz w:val="20"/>
        </w:rPr>
      </w:pPr>
    </w:p>
    <w:p w14:paraId="0D8AD2B7" w14:textId="315FB558" w:rsidR="002B6BF2" w:rsidRDefault="002B6BF2" w:rsidP="002B6BF2">
      <w:pPr>
        <w:pStyle w:val="LGTdoc"/>
        <w:spacing w:before="20" w:after="120"/>
        <w:rPr>
          <w:b/>
          <w:sz w:val="20"/>
          <w:u w:val="single"/>
        </w:rPr>
      </w:pPr>
      <w:r>
        <w:rPr>
          <w:b/>
          <w:sz w:val="20"/>
          <w:u w:val="single"/>
        </w:rPr>
        <w:t>2-6a/2-8/2-9: 1+2, 2</w:t>
      </w:r>
      <w:r w:rsidRPr="00EA51CD">
        <w:rPr>
          <w:b/>
          <w:sz w:val="20"/>
          <w:u w:val="single"/>
        </w:rPr>
        <w:t>+2</w:t>
      </w:r>
      <w:r>
        <w:rPr>
          <w:b/>
          <w:sz w:val="20"/>
          <w:u w:val="single"/>
        </w:rPr>
        <w:t xml:space="preserve"> and </w:t>
      </w:r>
      <w:r w:rsidRPr="00EA51CD">
        <w:rPr>
          <w:b/>
          <w:sz w:val="20"/>
          <w:u w:val="single"/>
        </w:rPr>
        <w:t>1+3 DMRS symbols</w:t>
      </w:r>
      <w:r>
        <w:rPr>
          <w:b/>
          <w:sz w:val="20"/>
          <w:u w:val="single"/>
        </w:rPr>
        <w:t xml:space="preserve"> for </w:t>
      </w:r>
      <w:r w:rsidRPr="00EA51CD">
        <w:rPr>
          <w:b/>
          <w:sz w:val="20"/>
          <w:u w:val="single"/>
        </w:rPr>
        <w:t>downlink</w:t>
      </w:r>
      <w:r>
        <w:rPr>
          <w:b/>
          <w:sz w:val="20"/>
          <w:u w:val="single"/>
        </w:rPr>
        <w:t>: Change Type 4 to Type 3</w:t>
      </w:r>
    </w:p>
    <w:p w14:paraId="21C26BFB" w14:textId="77777777" w:rsidR="002B6BF2" w:rsidRDefault="002B6BF2" w:rsidP="002B6BF2">
      <w:pPr>
        <w:pStyle w:val="LGTdoc"/>
        <w:spacing w:before="20" w:afterLines="0" w:line="240" w:lineRule="auto"/>
        <w:rPr>
          <w:sz w:val="20"/>
          <w:lang w:val="en-US"/>
        </w:rPr>
      </w:pPr>
      <w:r w:rsidRPr="00EA51CD">
        <w:rPr>
          <w:sz w:val="20"/>
          <w:lang w:val="en-US"/>
        </w:rPr>
        <w:t>DM-RS configuration</w:t>
      </w:r>
      <w:r>
        <w:rPr>
          <w:sz w:val="20"/>
          <w:lang w:val="en-US"/>
        </w:rPr>
        <w:t>s</w:t>
      </w:r>
      <w:r w:rsidRPr="00EA51CD">
        <w:rPr>
          <w:sz w:val="20"/>
          <w:lang w:val="en-US"/>
        </w:rPr>
        <w:t xml:space="preserve"> with large number of DM-RS symbols</w:t>
      </w:r>
      <w:r>
        <w:rPr>
          <w:sz w:val="20"/>
          <w:lang w:val="en-US"/>
        </w:rPr>
        <w:t xml:space="preserve"> (1+2 with more than one port, 1+3 or 4+4)</w:t>
      </w:r>
      <w:r w:rsidRPr="00EA51CD">
        <w:rPr>
          <w:sz w:val="20"/>
          <w:lang w:val="en-US"/>
        </w:rPr>
        <w:t xml:space="preserve"> is associated with significantly </w:t>
      </w:r>
      <w:r>
        <w:rPr>
          <w:sz w:val="20"/>
          <w:lang w:val="en-US"/>
        </w:rPr>
        <w:t>higher</w:t>
      </w:r>
      <w:r w:rsidRPr="00EA51CD">
        <w:rPr>
          <w:sz w:val="20"/>
          <w:lang w:val="en-US"/>
        </w:rPr>
        <w:t xml:space="preserve"> computational load </w:t>
      </w:r>
      <w:r>
        <w:rPr>
          <w:sz w:val="20"/>
          <w:lang w:val="en-US"/>
        </w:rPr>
        <w:t>at the UE due to use of the larger MMSE filters for channel estimation. The computation load becomes especially high in the CA scenarios with large number of CCs and large number of supported DL MIMO layers due to extensive channel estimations. It is therefore, proposed to allow UE more flexibility to indicate support of the FG 2-6a, 2-8 and 2-9 using Type 3 instead of the existing Type 4</w:t>
      </w:r>
      <w:r w:rsidRPr="005E564A">
        <w:rPr>
          <w:sz w:val="20"/>
          <w:lang w:val="en-US"/>
        </w:rPr>
        <w:t xml:space="preserve"> </w:t>
      </w:r>
      <w:r>
        <w:rPr>
          <w:sz w:val="20"/>
          <w:lang w:val="en-US"/>
        </w:rPr>
        <w:t xml:space="preserve">signalling. </w:t>
      </w:r>
    </w:p>
    <w:p w14:paraId="388E8E76" w14:textId="77777777" w:rsidR="005B62C2" w:rsidRPr="002B6BF2" w:rsidRDefault="005B62C2" w:rsidP="00CE6E7B">
      <w:pPr>
        <w:pStyle w:val="LGTdoc"/>
        <w:spacing w:before="20" w:afterLines="0" w:line="240" w:lineRule="auto"/>
        <w:rPr>
          <w:sz w:val="20"/>
          <w:lang w:val="en-US"/>
        </w:rPr>
      </w:pPr>
    </w:p>
    <w:p w14:paraId="4FFC0A53" w14:textId="77777777" w:rsidR="005B62C2" w:rsidRDefault="005B62C2" w:rsidP="00CE6E7B">
      <w:pPr>
        <w:pStyle w:val="LGTdoc"/>
        <w:spacing w:before="20" w:afterLines="0" w:line="240" w:lineRule="auto"/>
        <w:rPr>
          <w:sz w:val="20"/>
        </w:rPr>
      </w:pPr>
    </w:p>
    <w:p w14:paraId="141760EC" w14:textId="136D73D6" w:rsidR="002B137C" w:rsidRPr="002B137C" w:rsidRDefault="002B137C" w:rsidP="00CE6E7B">
      <w:pPr>
        <w:pStyle w:val="LGTdoc"/>
        <w:spacing w:before="20" w:afterLines="0" w:line="240" w:lineRule="auto"/>
        <w:rPr>
          <w:b/>
          <w:sz w:val="20"/>
          <w:u w:val="single"/>
        </w:rPr>
      </w:pPr>
      <w:r w:rsidRPr="002B137C">
        <w:rPr>
          <w:b/>
          <w:sz w:val="20"/>
          <w:u w:val="single"/>
        </w:rPr>
        <w:t xml:space="preserve">2-15: non-codebook based PUSCH transmission: </w:t>
      </w:r>
      <w:r w:rsidRPr="002B137C">
        <w:rPr>
          <w:b/>
          <w:i/>
          <w:sz w:val="20"/>
          <w:u w:val="single"/>
        </w:rPr>
        <w:t>Optional with capability signalling</w:t>
      </w:r>
    </w:p>
    <w:p w14:paraId="3B5153BE" w14:textId="77777777" w:rsidR="002B137C" w:rsidRDefault="002B137C" w:rsidP="00CE6E7B">
      <w:pPr>
        <w:pStyle w:val="LGTdoc"/>
        <w:spacing w:before="20" w:afterLines="0" w:line="240" w:lineRule="auto"/>
        <w:rPr>
          <w:sz w:val="20"/>
        </w:rPr>
      </w:pPr>
    </w:p>
    <w:p w14:paraId="1843FAF9" w14:textId="41ED4862" w:rsidR="002B6BF2" w:rsidRDefault="002B6BF2" w:rsidP="002B6BF2">
      <w:pPr>
        <w:pStyle w:val="LGTdoc"/>
        <w:spacing w:before="20" w:afterLines="0" w:line="240" w:lineRule="auto"/>
        <w:rPr>
          <w:sz w:val="20"/>
        </w:rPr>
      </w:pPr>
      <w:r w:rsidRPr="002B6BF2">
        <w:rPr>
          <w:sz w:val="20"/>
        </w:rPr>
        <w:t>In NR, frequency selective UL precoding is not supported. Thus, the benefit of non-codebook based PUSCH transmission is not clear over codebook based PUSCH transmission. Further compared to codebook based transmission, non-codebook based transmission requires gNB to trigger SRS transmission, which is with a N2+42 symbols scheduling offset. The overhead and latency for non-codebook based transmission is larger than codebook based transmission. There is no performance benefit for non-codebook based transmission. In this sense, we propose FG 2-15 as optional with capability signalling.</w:t>
      </w:r>
    </w:p>
    <w:p w14:paraId="3A066243" w14:textId="77777777" w:rsidR="002B137C" w:rsidRPr="00E916A7" w:rsidRDefault="002B137C" w:rsidP="00CE6E7B">
      <w:pPr>
        <w:pStyle w:val="LGTdoc"/>
        <w:spacing w:before="20" w:afterLines="0" w:line="240" w:lineRule="auto"/>
        <w:rPr>
          <w:sz w:val="20"/>
        </w:rPr>
      </w:pPr>
    </w:p>
    <w:p w14:paraId="3D8B4CD8" w14:textId="77777777" w:rsidR="00456797" w:rsidRDefault="00456797" w:rsidP="00CE6E7B">
      <w:pPr>
        <w:pStyle w:val="LGTdoc"/>
        <w:spacing w:before="20" w:afterLines="0" w:line="240" w:lineRule="auto"/>
        <w:rPr>
          <w:sz w:val="20"/>
          <w:lang w:val="en-US"/>
        </w:rPr>
      </w:pPr>
    </w:p>
    <w:p w14:paraId="51B232AA" w14:textId="02429641" w:rsidR="007D4703" w:rsidRPr="007E3962" w:rsidRDefault="007D4703" w:rsidP="007E3962">
      <w:pPr>
        <w:pStyle w:val="LGTdoc"/>
        <w:spacing w:before="20" w:afterLines="0" w:line="240" w:lineRule="auto"/>
        <w:rPr>
          <w:b/>
          <w:sz w:val="20"/>
          <w:u w:val="single"/>
          <w:lang w:val="en-US"/>
        </w:rPr>
      </w:pPr>
      <w:r w:rsidRPr="007E3962">
        <w:rPr>
          <w:b/>
          <w:sz w:val="20"/>
          <w:u w:val="single"/>
          <w:lang w:val="en-US"/>
        </w:rPr>
        <w:t>2-20: Beam correspondence</w:t>
      </w:r>
      <w:r w:rsidR="007E3962" w:rsidRPr="007E3962">
        <w:rPr>
          <w:b/>
          <w:sz w:val="20"/>
          <w:u w:val="single"/>
          <w:lang w:val="en-US"/>
        </w:rPr>
        <w:t xml:space="preserve">: </w:t>
      </w:r>
      <w:r w:rsidR="007E3962" w:rsidRPr="007E3962">
        <w:rPr>
          <w:b/>
          <w:i/>
          <w:sz w:val="20"/>
          <w:u w:val="single"/>
          <w:lang w:val="en-US"/>
        </w:rPr>
        <w:t>Decision to be deferred until RAN4 completes its work and responsible WG to be moved from RAN1 to RAN4. No support of beam correspondence in FR1 for Rel-15</w:t>
      </w:r>
    </w:p>
    <w:p w14:paraId="68077C90" w14:textId="77777777" w:rsidR="007E3962" w:rsidRDefault="007E3962" w:rsidP="007D4703">
      <w:pPr>
        <w:pStyle w:val="LGTdoc"/>
        <w:spacing w:before="20" w:afterLines="0" w:line="240" w:lineRule="auto"/>
        <w:rPr>
          <w:sz w:val="20"/>
          <w:lang w:val="en-US"/>
        </w:rPr>
      </w:pPr>
    </w:p>
    <w:p w14:paraId="5047EABE" w14:textId="16287996" w:rsidR="007D4703" w:rsidRDefault="007D4703" w:rsidP="007D4703">
      <w:pPr>
        <w:pStyle w:val="LGTdoc"/>
        <w:spacing w:before="20" w:afterLines="0" w:line="240" w:lineRule="auto"/>
        <w:rPr>
          <w:sz w:val="20"/>
          <w:lang w:val="en-US"/>
        </w:rPr>
      </w:pPr>
      <w:r w:rsidRPr="00E916A7">
        <w:rPr>
          <w:sz w:val="20"/>
          <w:lang w:val="en-US"/>
        </w:rPr>
        <w:t>It has been common understanding in RAN1 that beam correspondence i</w:t>
      </w:r>
      <w:r w:rsidR="007E3962">
        <w:rPr>
          <w:sz w:val="20"/>
          <w:lang w:val="en-US"/>
        </w:rPr>
        <w:t xml:space="preserve">s being discussed for FR2 only, </w:t>
      </w:r>
      <w:r w:rsidR="00372521">
        <w:rPr>
          <w:sz w:val="20"/>
          <w:lang w:val="en-US"/>
        </w:rPr>
        <w:t>and the feasibility or scenario was not discussed for FR1. T</w:t>
      </w:r>
      <w:r w:rsidR="007E3962">
        <w:rPr>
          <w:sz w:val="20"/>
          <w:lang w:val="en-US"/>
        </w:rPr>
        <w:t xml:space="preserve">hus </w:t>
      </w:r>
      <w:r w:rsidRPr="00E916A7">
        <w:rPr>
          <w:sz w:val="20"/>
          <w:lang w:val="en-US"/>
        </w:rPr>
        <w:t>it needs to be clarified that beam correspondence is not applied for FR1.</w:t>
      </w:r>
    </w:p>
    <w:p w14:paraId="005AAD77" w14:textId="14472F05" w:rsidR="007E3962" w:rsidRPr="00E916A7" w:rsidRDefault="007E3962" w:rsidP="007D4703">
      <w:pPr>
        <w:pStyle w:val="LGTdoc"/>
        <w:spacing w:before="20" w:afterLines="0" w:line="240" w:lineRule="auto"/>
        <w:rPr>
          <w:sz w:val="20"/>
          <w:lang w:val="en-US"/>
        </w:rPr>
      </w:pPr>
      <w:r>
        <w:rPr>
          <w:sz w:val="20"/>
          <w:lang w:val="en-US"/>
        </w:rPr>
        <w:t>As for beam correspondence in FR2, given that RAN4 is still working its definition and requirements</w:t>
      </w:r>
      <w:r w:rsidR="00B60606">
        <w:rPr>
          <w:sz w:val="20"/>
          <w:lang w:val="en-US"/>
        </w:rPr>
        <w:t xml:space="preserve"> including multi-band scenarios</w:t>
      </w:r>
      <w:r>
        <w:rPr>
          <w:sz w:val="20"/>
          <w:lang w:val="en-US"/>
        </w:rPr>
        <w:t xml:space="preserve">, we need to understand what they are before deciding mandatory/optional. </w:t>
      </w:r>
      <w:r w:rsidR="00006C7B">
        <w:rPr>
          <w:sz w:val="20"/>
          <w:lang w:val="en-US"/>
        </w:rPr>
        <w:t xml:space="preserve">Depending on RAN4 work, it may imply implementation feasibility. </w:t>
      </w:r>
      <w:r>
        <w:rPr>
          <w:sz w:val="20"/>
          <w:lang w:val="en-US"/>
        </w:rPr>
        <w:t>Thus, we suggest the capability decision for beam correspondence in FR2 to be done after RAN4 completes its work and move the responsible WG from RAN1 to RAN4.</w:t>
      </w:r>
    </w:p>
    <w:p w14:paraId="04E82270" w14:textId="77777777" w:rsidR="009419E2" w:rsidRDefault="009419E2" w:rsidP="007D4703">
      <w:pPr>
        <w:pStyle w:val="LGTdoc"/>
        <w:spacing w:before="20" w:afterLines="0" w:line="240" w:lineRule="auto"/>
        <w:rPr>
          <w:rFonts w:ascii="Arial" w:eastAsia="MS PGothic" w:hAnsi="Arial" w:cs="Arial"/>
          <w:kern w:val="0"/>
          <w:sz w:val="18"/>
          <w:szCs w:val="18"/>
        </w:rPr>
      </w:pPr>
    </w:p>
    <w:p w14:paraId="182D8BC5" w14:textId="2C54D628" w:rsidR="00554671" w:rsidRPr="002B6BF2" w:rsidRDefault="00554671" w:rsidP="00554671">
      <w:pPr>
        <w:pStyle w:val="LGTdoc"/>
        <w:spacing w:before="20" w:afterLines="0" w:line="240" w:lineRule="auto"/>
        <w:rPr>
          <w:b/>
          <w:sz w:val="20"/>
          <w:u w:val="single"/>
          <w:lang w:val="en-US"/>
        </w:rPr>
      </w:pPr>
      <w:r w:rsidRPr="002B6BF2">
        <w:rPr>
          <w:b/>
          <w:sz w:val="20"/>
          <w:u w:val="single"/>
          <w:lang w:val="en-US"/>
        </w:rPr>
        <w:t xml:space="preserve">2-34: NZP-CSI-RS based interference measurement: </w:t>
      </w:r>
      <w:r w:rsidRPr="002B6BF2">
        <w:rPr>
          <w:b/>
          <w:i/>
          <w:sz w:val="20"/>
          <w:u w:val="single"/>
          <w:lang w:val="en-US"/>
        </w:rPr>
        <w:t>Optional with capability signaling</w:t>
      </w:r>
    </w:p>
    <w:p w14:paraId="5FA2E702" w14:textId="77777777" w:rsidR="00554671" w:rsidRPr="002B6BF2" w:rsidRDefault="00554671" w:rsidP="007D4703">
      <w:pPr>
        <w:pStyle w:val="LGTdoc"/>
        <w:spacing w:before="20" w:afterLines="0" w:line="240" w:lineRule="auto"/>
        <w:rPr>
          <w:rFonts w:ascii="Arial" w:eastAsia="MS PGothic" w:hAnsi="Arial" w:cs="Arial"/>
          <w:kern w:val="0"/>
          <w:sz w:val="18"/>
          <w:szCs w:val="18"/>
          <w:lang w:val="en-US"/>
        </w:rPr>
      </w:pPr>
    </w:p>
    <w:p w14:paraId="07851970" w14:textId="462CE6FA" w:rsidR="00554671" w:rsidRDefault="00433479" w:rsidP="007D4703">
      <w:pPr>
        <w:pStyle w:val="LGTdoc"/>
        <w:spacing w:before="20" w:afterLines="0" w:line="240" w:lineRule="auto"/>
        <w:rPr>
          <w:sz w:val="20"/>
          <w:lang w:val="en-US"/>
        </w:rPr>
      </w:pPr>
      <w:r w:rsidRPr="00433479">
        <w:rPr>
          <w:sz w:val="20"/>
          <w:lang w:val="en-US"/>
        </w:rPr>
        <w:t>This is not an essential feature in addition to ZP-CSI-RS based interference measurement. So, it is proposed to support this feature as optional with capability signaling.</w:t>
      </w:r>
    </w:p>
    <w:p w14:paraId="43A5EA6C" w14:textId="77777777" w:rsidR="00433479" w:rsidRDefault="00433479" w:rsidP="007D4703">
      <w:pPr>
        <w:pStyle w:val="LGTdoc"/>
        <w:spacing w:before="20" w:afterLines="0" w:line="240" w:lineRule="auto"/>
        <w:rPr>
          <w:rFonts w:ascii="Arial" w:eastAsia="MS PGothic" w:hAnsi="Arial" w:cs="Arial"/>
          <w:kern w:val="0"/>
          <w:sz w:val="18"/>
          <w:szCs w:val="18"/>
        </w:rPr>
      </w:pPr>
    </w:p>
    <w:p w14:paraId="1E5F0357" w14:textId="3C97BCF1" w:rsidR="00CA51E9" w:rsidRPr="0025292F" w:rsidRDefault="00A143C6" w:rsidP="00CE6E7B">
      <w:pPr>
        <w:pStyle w:val="LGTdoc"/>
        <w:spacing w:before="20" w:afterLines="0" w:line="240" w:lineRule="auto"/>
        <w:rPr>
          <w:b/>
          <w:sz w:val="20"/>
          <w:u w:val="single"/>
          <w:lang w:val="en-US"/>
        </w:rPr>
      </w:pPr>
      <w:r w:rsidRPr="0025292F">
        <w:rPr>
          <w:b/>
          <w:sz w:val="20"/>
          <w:u w:val="single"/>
          <w:lang w:val="en-US"/>
        </w:rPr>
        <w:t>2-36: Type I single panel codebook</w:t>
      </w:r>
      <w:r w:rsidR="0040525A" w:rsidRPr="0025292F">
        <w:rPr>
          <w:b/>
          <w:sz w:val="20"/>
          <w:u w:val="single"/>
          <w:lang w:val="en-US"/>
        </w:rPr>
        <w:t xml:space="preserve">: </w:t>
      </w:r>
      <w:r w:rsidR="0040525A" w:rsidRPr="005703E4">
        <w:rPr>
          <w:b/>
          <w:i/>
          <w:sz w:val="20"/>
          <w:u w:val="single"/>
          <w:lang w:val="en-US"/>
        </w:rPr>
        <w:t>Mode-1 Mandatory, Mode-2 Optional</w:t>
      </w:r>
    </w:p>
    <w:p w14:paraId="361CA475" w14:textId="77777777" w:rsidR="00A143C6" w:rsidRPr="0025292F"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rsidRPr="0025292F" w14:paraId="50A6524B" w14:textId="77777777" w:rsidTr="00A143C6">
        <w:tc>
          <w:tcPr>
            <w:tcW w:w="9962" w:type="dxa"/>
          </w:tcPr>
          <w:p w14:paraId="5197C099" w14:textId="3363EC0B" w:rsidR="008A1575" w:rsidRPr="0025292F" w:rsidRDefault="008A1575" w:rsidP="00A143C6">
            <w:pPr>
              <w:pStyle w:val="LGTdoc"/>
              <w:spacing w:before="20" w:after="120"/>
              <w:rPr>
                <w:sz w:val="20"/>
                <w:u w:val="single"/>
                <w:lang w:val="en-US"/>
              </w:rPr>
            </w:pPr>
            <w:r w:rsidRPr="0025292F">
              <w:rPr>
                <w:sz w:val="20"/>
                <w:u w:val="single"/>
                <w:lang w:val="en-US"/>
              </w:rPr>
              <w:t>Components</w:t>
            </w:r>
          </w:p>
          <w:p w14:paraId="13BC0847" w14:textId="45C49EB9" w:rsidR="00A143C6" w:rsidRPr="0025292F" w:rsidRDefault="00A143C6" w:rsidP="00A143C6">
            <w:pPr>
              <w:pStyle w:val="LGTdoc"/>
              <w:spacing w:before="20" w:after="120"/>
              <w:rPr>
                <w:sz w:val="20"/>
                <w:lang w:val="en-US"/>
              </w:rPr>
            </w:pPr>
            <w:r w:rsidRPr="0025292F">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Pr="0025292F" w:rsidRDefault="00A143C6" w:rsidP="00A143C6">
            <w:pPr>
              <w:pStyle w:val="LGTdoc"/>
              <w:spacing w:before="20" w:afterLines="0" w:line="240" w:lineRule="auto"/>
              <w:rPr>
                <w:sz w:val="20"/>
                <w:lang w:val="en-US"/>
              </w:rPr>
            </w:pPr>
            <w:r w:rsidRPr="0025292F">
              <w:rPr>
                <w:sz w:val="20"/>
                <w:lang w:val="en-US"/>
              </w:rPr>
              <w:t>2. Supported Codebook Mode(s)</w:t>
            </w:r>
          </w:p>
        </w:tc>
      </w:tr>
    </w:tbl>
    <w:p w14:paraId="70F8BF34" w14:textId="77777777" w:rsidR="00A143C6" w:rsidRPr="0025292F" w:rsidRDefault="00A143C6" w:rsidP="00CE6E7B">
      <w:pPr>
        <w:pStyle w:val="LGTdoc"/>
        <w:spacing w:before="20" w:afterLines="0" w:line="240" w:lineRule="auto"/>
        <w:rPr>
          <w:sz w:val="20"/>
          <w:lang w:val="en-US"/>
        </w:rPr>
      </w:pPr>
    </w:p>
    <w:p w14:paraId="03DDEAE2" w14:textId="283C0CFC" w:rsidR="00A143C6" w:rsidRDefault="00433479" w:rsidP="00CE6E7B">
      <w:pPr>
        <w:pStyle w:val="LGTdoc"/>
        <w:spacing w:before="20" w:afterLines="0" w:line="240" w:lineRule="auto"/>
        <w:rPr>
          <w:sz w:val="20"/>
          <w:lang w:val="en-US"/>
        </w:rPr>
      </w:pPr>
      <w:r w:rsidRPr="0025292F">
        <w:rPr>
          <w:sz w:val="20"/>
          <w:lang w:val="en-US"/>
        </w:rPr>
        <w:t>Component-2 candidate values: Mode-1 as mandatory Mode-2 as optional. No significant difference in the performance</w:t>
      </w:r>
      <w:r>
        <w:rPr>
          <w:sz w:val="20"/>
          <w:lang w:val="en-US"/>
        </w:rPr>
        <w:t xml:space="preserve"> was observed, but the overhead of Mode-1 codebook is less than that of Mode-2</w:t>
      </w:r>
      <w:r w:rsidRPr="0025292F">
        <w:rPr>
          <w:sz w:val="20"/>
          <w:lang w:val="en-US"/>
        </w:rPr>
        <w:t>. The performance results are provided in [2]</w:t>
      </w:r>
      <w:r>
        <w:rPr>
          <w:sz w:val="20"/>
          <w:lang w:val="en-US"/>
        </w:rPr>
        <w:t>.</w:t>
      </w:r>
    </w:p>
    <w:p w14:paraId="57E8AC7A" w14:textId="77777777" w:rsidR="001C2753" w:rsidRDefault="001C2753" w:rsidP="00CE6E7B">
      <w:pPr>
        <w:pStyle w:val="LGTdoc"/>
        <w:spacing w:before="20" w:afterLines="0" w:line="240" w:lineRule="auto"/>
        <w:rPr>
          <w:sz w:val="20"/>
          <w:lang w:val="en-US"/>
        </w:rPr>
      </w:pPr>
    </w:p>
    <w:p w14:paraId="7388936D" w14:textId="3D143C85" w:rsidR="00A143C6" w:rsidRPr="00E341D2" w:rsidRDefault="00E341D2" w:rsidP="00CE6E7B">
      <w:pPr>
        <w:pStyle w:val="LGTdoc"/>
        <w:spacing w:before="20" w:afterLines="0" w:line="240" w:lineRule="auto"/>
        <w:rPr>
          <w:b/>
          <w:i/>
          <w:sz w:val="20"/>
          <w:u w:val="single"/>
          <w:lang w:val="en-US"/>
        </w:rPr>
      </w:pPr>
      <w:r w:rsidRPr="00E341D2">
        <w:rPr>
          <w:b/>
          <w:sz w:val="20"/>
          <w:u w:val="single"/>
          <w:lang w:val="en-US"/>
        </w:rPr>
        <w:t xml:space="preserve">2-38: CSI report without PMI: </w:t>
      </w:r>
      <w:r w:rsidRPr="00E341D2">
        <w:rPr>
          <w:b/>
          <w:i/>
          <w:sz w:val="20"/>
          <w:u w:val="single"/>
          <w:lang w:val="en-US"/>
        </w:rPr>
        <w:t>Optional with capability signaling</w:t>
      </w:r>
    </w:p>
    <w:p w14:paraId="29C19C3A" w14:textId="77777777" w:rsidR="001C2753" w:rsidRDefault="001C2753" w:rsidP="00CE6E7B">
      <w:pPr>
        <w:pStyle w:val="LGTdoc"/>
        <w:spacing w:before="20" w:afterLines="0" w:line="240" w:lineRule="auto"/>
        <w:rPr>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5"/>
        <w:gridCol w:w="1173"/>
        <w:gridCol w:w="1309"/>
        <w:gridCol w:w="522"/>
        <w:gridCol w:w="426"/>
        <w:gridCol w:w="942"/>
        <w:gridCol w:w="546"/>
        <w:gridCol w:w="572"/>
        <w:gridCol w:w="572"/>
        <w:gridCol w:w="468"/>
        <w:gridCol w:w="729"/>
        <w:gridCol w:w="530"/>
        <w:gridCol w:w="869"/>
        <w:gridCol w:w="839"/>
      </w:tblGrid>
      <w:tr w:rsidR="000D4AC1" w:rsidRPr="00CA4C8A" w14:paraId="692EA0BE" w14:textId="77777777" w:rsidTr="00CC0121">
        <w:trPr>
          <w:trHeight w:val="525"/>
        </w:trPr>
        <w:tc>
          <w:tcPr>
            <w:tcW w:w="217" w:type="pct"/>
            <w:shd w:val="clear" w:color="auto" w:fill="auto"/>
            <w:vAlign w:val="center"/>
          </w:tcPr>
          <w:p w14:paraId="23831CFC"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lastRenderedPageBreak/>
              <w:t>2-38</w:t>
            </w:r>
          </w:p>
        </w:tc>
        <w:tc>
          <w:tcPr>
            <w:tcW w:w="547" w:type="pct"/>
            <w:shd w:val="clear" w:color="auto" w:fill="auto"/>
            <w:vAlign w:val="center"/>
          </w:tcPr>
          <w:p w14:paraId="77FBBDFE"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CSI report without PMI</w:t>
            </w:r>
          </w:p>
        </w:tc>
        <w:tc>
          <w:tcPr>
            <w:tcW w:w="612" w:type="pct"/>
            <w:shd w:val="clear" w:color="auto" w:fill="auto"/>
            <w:vAlign w:val="center"/>
          </w:tcPr>
          <w:p w14:paraId="0FB4C04C"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Support CSI report without PMI</w:t>
            </w:r>
          </w:p>
        </w:tc>
        <w:tc>
          <w:tcPr>
            <w:tcW w:w="244" w:type="pct"/>
            <w:shd w:val="clear" w:color="auto" w:fill="auto"/>
            <w:vAlign w:val="center"/>
          </w:tcPr>
          <w:p w14:paraId="2441E360"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2-35</w:t>
            </w:r>
          </w:p>
        </w:tc>
        <w:tc>
          <w:tcPr>
            <w:tcW w:w="199" w:type="pct"/>
            <w:shd w:val="clear" w:color="auto" w:fill="auto"/>
            <w:vAlign w:val="center"/>
          </w:tcPr>
          <w:p w14:paraId="0EBCA375" w14:textId="77777777" w:rsidR="000D4AC1" w:rsidRPr="003C74A1" w:rsidRDefault="000D4AC1" w:rsidP="00CC0121">
            <w:pPr>
              <w:snapToGrid w:val="0"/>
              <w:rPr>
                <w:rFonts w:asciiTheme="majorHAnsi" w:eastAsia="MS PGothic" w:hAnsiTheme="majorHAnsi" w:cstheme="majorHAnsi"/>
              </w:rPr>
            </w:pPr>
            <w:r w:rsidRPr="003C74A1">
              <w:rPr>
                <w:rFonts w:asciiTheme="majorHAnsi" w:eastAsia="MS PGothic" w:hAnsiTheme="majorHAnsi" w:cstheme="majorHAnsi"/>
              </w:rPr>
              <w:t>Yes</w:t>
            </w:r>
          </w:p>
        </w:tc>
        <w:tc>
          <w:tcPr>
            <w:tcW w:w="440" w:type="pct"/>
            <w:shd w:val="clear" w:color="auto" w:fill="auto"/>
            <w:vAlign w:val="center"/>
          </w:tcPr>
          <w:p w14:paraId="75D78137" w14:textId="77777777" w:rsidR="000D4AC1" w:rsidRPr="003C74A1" w:rsidRDefault="000D4AC1" w:rsidP="00CC0121">
            <w:pPr>
              <w:snapToGrid w:val="0"/>
              <w:rPr>
                <w:rFonts w:asciiTheme="majorHAnsi" w:eastAsia="MS PGothic" w:hAnsiTheme="majorHAnsi" w:cstheme="majorHAnsi"/>
              </w:rPr>
            </w:pPr>
            <w:r w:rsidRPr="003C74A1">
              <w:rPr>
                <w:rFonts w:asciiTheme="majorHAnsi" w:eastAsia="MS PGothic" w:hAnsiTheme="majorHAnsi" w:cstheme="majorHAnsi"/>
              </w:rPr>
              <w:t>CSI report without PMI is not supported</w:t>
            </w:r>
          </w:p>
        </w:tc>
        <w:tc>
          <w:tcPr>
            <w:tcW w:w="255" w:type="pct"/>
            <w:shd w:val="clear" w:color="auto" w:fill="auto"/>
            <w:vAlign w:val="center"/>
          </w:tcPr>
          <w:p w14:paraId="67850048" w14:textId="77777777" w:rsidR="000D4AC1" w:rsidRPr="003C74A1" w:rsidRDefault="000D4AC1" w:rsidP="00CC0121">
            <w:pPr>
              <w:rPr>
                <w:rFonts w:asciiTheme="majorHAnsi" w:eastAsia="Times New Roman" w:hAnsiTheme="majorHAnsi" w:cstheme="majorHAnsi"/>
              </w:rPr>
            </w:pPr>
            <w:r w:rsidRPr="003C74A1">
              <w:rPr>
                <w:rFonts w:asciiTheme="majorHAnsi" w:eastAsia="Times New Roman" w:hAnsiTheme="majorHAnsi" w:cstheme="majorHAnsi"/>
              </w:rPr>
              <w:t>Type 4</w:t>
            </w:r>
          </w:p>
        </w:tc>
        <w:tc>
          <w:tcPr>
            <w:tcW w:w="267" w:type="pct"/>
            <w:shd w:val="clear" w:color="auto" w:fill="auto"/>
            <w:vAlign w:val="center"/>
          </w:tcPr>
          <w:p w14:paraId="7468BA2C" w14:textId="77777777" w:rsidR="000D4AC1" w:rsidRPr="003C74A1" w:rsidRDefault="000D4AC1" w:rsidP="00CC0121">
            <w:pPr>
              <w:snapToGrid w:val="0"/>
              <w:jc w:val="center"/>
              <w:rPr>
                <w:rFonts w:asciiTheme="majorHAnsi" w:eastAsia="MS PGothic" w:hAnsiTheme="majorHAnsi" w:cstheme="majorHAnsi"/>
              </w:rPr>
            </w:pPr>
            <w:r w:rsidRPr="0005191C">
              <w:rPr>
                <w:rFonts w:asciiTheme="majorHAnsi" w:eastAsia="MS PGothic" w:hAnsiTheme="majorHAnsi" w:cstheme="majorHAnsi"/>
              </w:rPr>
              <w:t>No need</w:t>
            </w:r>
          </w:p>
        </w:tc>
        <w:tc>
          <w:tcPr>
            <w:tcW w:w="267" w:type="pct"/>
            <w:shd w:val="clear" w:color="auto" w:fill="auto"/>
            <w:vAlign w:val="center"/>
          </w:tcPr>
          <w:p w14:paraId="70BB1907" w14:textId="77777777" w:rsidR="000D4AC1" w:rsidRPr="003C74A1" w:rsidRDefault="000D4AC1" w:rsidP="00CC0121">
            <w:pPr>
              <w:snapToGrid w:val="0"/>
              <w:jc w:val="center"/>
              <w:rPr>
                <w:rFonts w:asciiTheme="majorHAnsi" w:eastAsia="Malgun Gothic" w:hAnsiTheme="majorHAnsi" w:cstheme="majorHAnsi"/>
              </w:rPr>
            </w:pPr>
            <w:r w:rsidRPr="003C74A1">
              <w:rPr>
                <w:rFonts w:asciiTheme="majorHAnsi" w:eastAsia="Malgun Gothic" w:hAnsiTheme="majorHAnsi" w:cstheme="majorHAnsi"/>
              </w:rPr>
              <w:t>Yes</w:t>
            </w:r>
          </w:p>
        </w:tc>
        <w:tc>
          <w:tcPr>
            <w:tcW w:w="219" w:type="pct"/>
            <w:shd w:val="clear" w:color="auto" w:fill="auto"/>
            <w:vAlign w:val="center"/>
          </w:tcPr>
          <w:p w14:paraId="54BC02E0" w14:textId="77777777" w:rsidR="000D4AC1" w:rsidRPr="00CA4C8A" w:rsidRDefault="000D4AC1" w:rsidP="00CC0121">
            <w:pPr>
              <w:snapToGrid w:val="0"/>
              <w:rPr>
                <w:rFonts w:asciiTheme="majorHAnsi" w:eastAsia="Malgun Gothic" w:hAnsiTheme="majorHAnsi" w:cstheme="majorHAnsi"/>
              </w:rPr>
            </w:pPr>
          </w:p>
        </w:tc>
        <w:tc>
          <w:tcPr>
            <w:tcW w:w="341" w:type="pct"/>
            <w:shd w:val="clear" w:color="auto" w:fill="auto"/>
            <w:vAlign w:val="center"/>
          </w:tcPr>
          <w:p w14:paraId="4BC7236A" w14:textId="77777777" w:rsidR="000D4AC1" w:rsidRPr="0069616C" w:rsidRDefault="000D4AC1" w:rsidP="00CC0121">
            <w:pPr>
              <w:snapToGrid w:val="0"/>
              <w:rPr>
                <w:rFonts w:asciiTheme="majorHAnsi" w:hAnsiTheme="majorHAnsi" w:cstheme="majorHAnsi"/>
              </w:rPr>
            </w:pPr>
            <w:r w:rsidRPr="0069616C">
              <w:rPr>
                <w:rFonts w:asciiTheme="majorHAnsi" w:hAnsiTheme="majorHAnsi" w:cstheme="majorHAnsi"/>
                <w:highlight w:val="yellow"/>
              </w:rPr>
              <w:t>RAN1 to clarify whether it depends on SRS Tx switch</w:t>
            </w:r>
          </w:p>
        </w:tc>
        <w:tc>
          <w:tcPr>
            <w:tcW w:w="248" w:type="pct"/>
            <w:shd w:val="clear" w:color="auto" w:fill="auto"/>
            <w:vAlign w:val="center"/>
          </w:tcPr>
          <w:p w14:paraId="31A683C2" w14:textId="77777777" w:rsidR="000D4AC1" w:rsidRPr="00CA4C8A" w:rsidRDefault="000D4AC1" w:rsidP="00CC0121">
            <w:pPr>
              <w:snapToGrid w:val="0"/>
              <w:rPr>
                <w:rFonts w:asciiTheme="majorHAnsi" w:eastAsia="MS PGothic" w:hAnsiTheme="majorHAnsi" w:cstheme="majorHAnsi"/>
              </w:rPr>
            </w:pPr>
          </w:p>
        </w:tc>
        <w:tc>
          <w:tcPr>
            <w:tcW w:w="406" w:type="pct"/>
            <w:shd w:val="clear" w:color="auto" w:fill="auto"/>
            <w:vAlign w:val="center"/>
          </w:tcPr>
          <w:p w14:paraId="5C1972AE" w14:textId="77777777" w:rsidR="000D4AC1" w:rsidRPr="009A5D34" w:rsidRDefault="000D4AC1" w:rsidP="00CC0121">
            <w:pPr>
              <w:rPr>
                <w:rFonts w:asciiTheme="majorHAnsi" w:eastAsia="Times New Roman" w:hAnsiTheme="majorHAnsi" w:cstheme="majorHAnsi"/>
              </w:rPr>
            </w:pPr>
          </w:p>
        </w:tc>
        <w:tc>
          <w:tcPr>
            <w:tcW w:w="392" w:type="pct"/>
          </w:tcPr>
          <w:p w14:paraId="575168CF" w14:textId="77777777" w:rsidR="000D4AC1" w:rsidRPr="00CA4C8A" w:rsidRDefault="000D4AC1" w:rsidP="00CC0121">
            <w:pPr>
              <w:snapToGrid w:val="0"/>
              <w:rPr>
                <w:rFonts w:asciiTheme="majorHAnsi" w:eastAsia="MS PGothic" w:hAnsiTheme="majorHAnsi" w:cstheme="majorHAnsi"/>
              </w:rPr>
            </w:pPr>
            <w:r>
              <w:rPr>
                <w:rFonts w:asciiTheme="majorHAnsi" w:eastAsia="MS PGothic" w:hAnsiTheme="majorHAnsi" w:cstheme="majorHAnsi"/>
                <w:highlight w:val="yellow"/>
              </w:rPr>
              <w:t>[Mandatory/</w:t>
            </w:r>
            <w:r w:rsidRPr="0069616C">
              <w:rPr>
                <w:rFonts w:asciiTheme="majorHAnsi" w:eastAsia="MS PGothic" w:hAnsiTheme="majorHAnsi" w:cstheme="majorHAnsi"/>
                <w:highlight w:val="yellow"/>
              </w:rPr>
              <w:t>Optional</w:t>
            </w:r>
            <w:r>
              <w:rPr>
                <w:rFonts w:asciiTheme="majorHAnsi" w:eastAsia="MS PGothic" w:hAnsiTheme="majorHAnsi" w:cstheme="majorHAnsi"/>
                <w:highlight w:val="yellow"/>
              </w:rPr>
              <w:t>]</w:t>
            </w:r>
            <w:r w:rsidRPr="0069616C">
              <w:rPr>
                <w:rFonts w:asciiTheme="majorHAnsi" w:eastAsia="MS PGothic" w:hAnsiTheme="majorHAnsi" w:cstheme="majorHAnsi"/>
                <w:highlight w:val="yellow"/>
              </w:rPr>
              <w:t xml:space="preserve"> </w:t>
            </w:r>
            <w:r w:rsidRPr="00733F32">
              <w:rPr>
                <w:rFonts w:asciiTheme="majorHAnsi" w:eastAsia="MS PGothic" w:hAnsiTheme="majorHAnsi" w:cstheme="majorHAnsi"/>
              </w:rPr>
              <w:t>with capability signaling</w:t>
            </w:r>
            <w:r w:rsidRPr="0069616C">
              <w:rPr>
                <w:rFonts w:asciiTheme="majorHAnsi" w:eastAsia="MS PGothic" w:hAnsiTheme="majorHAnsi" w:cstheme="majorHAnsi"/>
              </w:rPr>
              <w:t xml:space="preserve"> </w:t>
            </w:r>
          </w:p>
        </w:tc>
      </w:tr>
    </w:tbl>
    <w:p w14:paraId="0793B4E2" w14:textId="77777777" w:rsidR="000D4AC1" w:rsidRDefault="000D4AC1" w:rsidP="00CE6E7B">
      <w:pPr>
        <w:pStyle w:val="LGTdoc"/>
        <w:spacing w:before="20" w:afterLines="0" w:line="240" w:lineRule="auto"/>
        <w:rPr>
          <w:sz w:val="20"/>
        </w:rPr>
      </w:pPr>
    </w:p>
    <w:p w14:paraId="3CD9872B" w14:textId="17CC78A2" w:rsidR="000D4AC1" w:rsidRDefault="000D4AC1" w:rsidP="00CE6E7B">
      <w:pPr>
        <w:pStyle w:val="LGTdoc"/>
        <w:spacing w:before="20" w:afterLines="0" w:line="240" w:lineRule="auto"/>
        <w:rPr>
          <w:sz w:val="20"/>
        </w:rPr>
      </w:pPr>
      <w:r>
        <w:rPr>
          <w:sz w:val="20"/>
        </w:rPr>
        <w:t xml:space="preserve">This feature is mainly for reciprocity based precoding in TDD system. The same purpose can be achieved by CSI feedback with PMI possibly with some recalculation of effective SINR at gNB side from CQI and PMI assuming certain precoder acquired from SRS. </w:t>
      </w:r>
      <w:r w:rsidR="002D709A">
        <w:rPr>
          <w:sz w:val="20"/>
        </w:rPr>
        <w:t xml:space="preserve">Therefore, it is proposed this feature optional with capability </w:t>
      </w:r>
      <w:r w:rsidR="00433479">
        <w:rPr>
          <w:sz w:val="20"/>
        </w:rPr>
        <w:t>signalling</w:t>
      </w:r>
      <w:r w:rsidR="002D709A">
        <w:rPr>
          <w:sz w:val="20"/>
        </w:rPr>
        <w:t>.</w:t>
      </w:r>
    </w:p>
    <w:p w14:paraId="2B248321" w14:textId="77777777" w:rsidR="002D709A" w:rsidRPr="000D4AC1" w:rsidRDefault="002D709A" w:rsidP="00CE6E7B">
      <w:pPr>
        <w:pStyle w:val="LGTdoc"/>
        <w:spacing w:before="20" w:afterLines="0" w:line="240" w:lineRule="auto"/>
        <w:rPr>
          <w:sz w:val="20"/>
        </w:rPr>
      </w:pPr>
    </w:p>
    <w:p w14:paraId="0393254E" w14:textId="77777777" w:rsidR="001C2753" w:rsidRDefault="001C2753"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xml:space="preserve">: </w:t>
      </w:r>
      <w:r w:rsidRPr="001A54B6">
        <w:rPr>
          <w:b/>
          <w:i/>
          <w:sz w:val="20"/>
          <w:u w:val="single"/>
        </w:rPr>
        <w:t>Optional with capability signaling</w:t>
      </w:r>
    </w:p>
    <w:p w14:paraId="3C4EBC1A" w14:textId="415DE798"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r w:rsidR="005D5743">
        <w:rPr>
          <w:b/>
          <w:sz w:val="20"/>
          <w:u w:val="single"/>
        </w:rPr>
        <w:t xml:space="preserve"> (agreed as optional with capability signalling in RAN#80)</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xml:space="preserve">: </w:t>
      </w:r>
      <w:r w:rsidRPr="001A54B6">
        <w:rPr>
          <w:b/>
          <w:i/>
          <w:sz w:val="20"/>
          <w:u w:val="single"/>
        </w:rPr>
        <w:t>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3F809354" w:rsidR="00881ED2" w:rsidRDefault="00881ED2" w:rsidP="00CE6E7B">
      <w:pPr>
        <w:pStyle w:val="LGTdoc"/>
        <w:spacing w:before="20" w:afterLines="0" w:line="240" w:lineRule="auto"/>
        <w:rPr>
          <w:sz w:val="20"/>
          <w:lang w:val="en-US"/>
        </w:rPr>
      </w:pPr>
      <w:r>
        <w:rPr>
          <w:sz w:val="20"/>
          <w:lang w:val="en-US"/>
        </w:rPr>
        <w:t>As discussed in [</w:t>
      </w:r>
      <w:r w:rsidR="00927993">
        <w:rPr>
          <w:sz w:val="20"/>
          <w:lang w:val="en-US"/>
        </w:rPr>
        <w:t>3</w:t>
      </w:r>
      <w:r>
        <w:rPr>
          <w:sz w:val="20"/>
          <w:lang w:val="en-US"/>
        </w:rPr>
        <w:t xml:space="preserve">],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7C377075" w14:textId="77777777" w:rsidR="00E916A7" w:rsidRDefault="00E916A7" w:rsidP="00D560BE">
      <w:pPr>
        <w:pStyle w:val="LGTdoc"/>
        <w:spacing w:before="20" w:afterLines="0" w:line="240" w:lineRule="auto"/>
        <w:rPr>
          <w:sz w:val="20"/>
          <w:lang w:val="en-US"/>
        </w:rPr>
      </w:pPr>
    </w:p>
    <w:p w14:paraId="09C4B698" w14:textId="77777777" w:rsidR="004E72B8" w:rsidRDefault="004E72B8" w:rsidP="00D560BE">
      <w:pPr>
        <w:pStyle w:val="LGTdoc"/>
        <w:spacing w:before="20" w:afterLines="0" w:line="240" w:lineRule="auto"/>
        <w:rPr>
          <w:sz w:val="20"/>
          <w:lang w:val="en-US"/>
        </w:rPr>
      </w:pPr>
    </w:p>
    <w:p w14:paraId="2C224D6D" w14:textId="375C63CB" w:rsidR="005F4050" w:rsidRPr="005F4050" w:rsidRDefault="005F4050" w:rsidP="00D560BE">
      <w:pPr>
        <w:pStyle w:val="LGTdoc"/>
        <w:spacing w:before="20" w:afterLines="0" w:line="240" w:lineRule="auto"/>
        <w:rPr>
          <w:b/>
          <w:sz w:val="20"/>
          <w:u w:val="single"/>
          <w:lang w:val="en-US"/>
        </w:rPr>
      </w:pPr>
      <w:r w:rsidRPr="005F4050">
        <w:rPr>
          <w:b/>
          <w:sz w:val="20"/>
          <w:u w:val="single"/>
          <w:lang w:val="en-US"/>
        </w:rPr>
        <w:t xml:space="preserve">2-55: SRS Tx switch: </w:t>
      </w:r>
      <w:r w:rsidRPr="005F2FF8">
        <w:rPr>
          <w:b/>
          <w:i/>
          <w:sz w:val="20"/>
          <w:u w:val="single"/>
          <w:lang w:val="en-US"/>
        </w:rPr>
        <w:t>Optional with capability signaling</w:t>
      </w:r>
    </w:p>
    <w:p w14:paraId="6E6D34B7" w14:textId="77777777" w:rsidR="005F4050" w:rsidRDefault="005F4050" w:rsidP="00D560BE">
      <w:pPr>
        <w:pStyle w:val="LGTdoc"/>
        <w:spacing w:before="20" w:afterLines="0" w:line="240" w:lineRule="auto"/>
        <w:rPr>
          <w:sz w:val="20"/>
          <w:lang w:val="en-US"/>
        </w:rPr>
      </w:pPr>
    </w:p>
    <w:p w14:paraId="6FE09749" w14:textId="2B258ABD" w:rsidR="00FE73EC" w:rsidRDefault="00433479" w:rsidP="00D560BE">
      <w:pPr>
        <w:pStyle w:val="LGTdoc"/>
        <w:spacing w:before="20" w:afterLines="0" w:line="240" w:lineRule="auto"/>
        <w:rPr>
          <w:sz w:val="20"/>
          <w:lang w:val="en-US"/>
        </w:rPr>
      </w:pPr>
      <w:r w:rsidRPr="00433479">
        <w:rPr>
          <w:sz w:val="20"/>
          <w:lang w:val="en-US"/>
        </w:rPr>
        <w:t>This feature has an implication that a subset of Rx antenna needs to be used for Tx to ensure reciprocity. This effectively precludes the possibility that UE has a degree of freedom to have separate Tx and Rx in implementation. In addition, support of UE antenna switching in hardware may also imply additional implementation loss that may lead to performance degradation in DL and UL.</w:t>
      </w:r>
    </w:p>
    <w:p w14:paraId="5A483DCA" w14:textId="77777777" w:rsidR="00433479" w:rsidRPr="002B6BF2" w:rsidRDefault="00433479" w:rsidP="00D560BE">
      <w:pPr>
        <w:pStyle w:val="LGTdoc"/>
        <w:spacing w:before="20" w:afterLines="0" w:line="240" w:lineRule="auto"/>
        <w:rPr>
          <w:sz w:val="20"/>
          <w:lang w:val="en-US"/>
        </w:rPr>
      </w:pPr>
    </w:p>
    <w:p w14:paraId="5FFA3550" w14:textId="4B42450C" w:rsidR="00FE73EC" w:rsidRPr="002B6BF2" w:rsidRDefault="00FE73EC" w:rsidP="00D560BE">
      <w:pPr>
        <w:pStyle w:val="LGTdoc"/>
        <w:spacing w:before="20" w:afterLines="0" w:line="240" w:lineRule="auto"/>
        <w:rPr>
          <w:sz w:val="20"/>
          <w:lang w:val="en-US"/>
        </w:rPr>
      </w:pPr>
      <w:r w:rsidRPr="002B6BF2">
        <w:rPr>
          <w:sz w:val="20"/>
          <w:lang w:val="en-US"/>
        </w:rPr>
        <w:t xml:space="preserve">Also, having this feature mandatory could result in significant restriction in UE implementation particularly in conjunction with CA/DC (including EN-DC). If this feature is forced to be implemented as mandatory, there might have a significant RF architecture since it may not be supported in some band combinations which can cause interruption time for other NR/LTE carriers. </w:t>
      </w:r>
    </w:p>
    <w:p w14:paraId="485FBD0B" w14:textId="77777777" w:rsidR="00FE73EC" w:rsidRPr="002B6BF2" w:rsidRDefault="00FE73EC" w:rsidP="00D560BE">
      <w:pPr>
        <w:pStyle w:val="LGTdoc"/>
        <w:spacing w:before="20" w:afterLines="0" w:line="240" w:lineRule="auto"/>
        <w:rPr>
          <w:sz w:val="20"/>
          <w:lang w:val="en-US"/>
        </w:rPr>
      </w:pPr>
    </w:p>
    <w:p w14:paraId="1BE4271D" w14:textId="71CD14E6" w:rsidR="00FE73EC" w:rsidRPr="002B6BF2" w:rsidRDefault="00FE73EC" w:rsidP="00D560BE">
      <w:pPr>
        <w:pStyle w:val="LGTdoc"/>
        <w:spacing w:before="20" w:afterLines="0" w:line="240" w:lineRule="auto"/>
        <w:rPr>
          <w:sz w:val="20"/>
          <w:lang w:val="en-US"/>
        </w:rPr>
      </w:pPr>
      <w:r w:rsidRPr="002B6BF2">
        <w:rPr>
          <w:sz w:val="20"/>
          <w:lang w:val="en-US"/>
        </w:rPr>
        <w:t xml:space="preserve">Finally, given that this feature may be beneficial mainly for MU-MIMO, it is not clear whether MU-MIMO is a targeted scenario for early NR deployment in Rel-15. </w:t>
      </w:r>
    </w:p>
    <w:p w14:paraId="51E3E906" w14:textId="77777777" w:rsidR="00FE73EC" w:rsidRPr="002B6BF2" w:rsidRDefault="00FE73EC" w:rsidP="00D560BE">
      <w:pPr>
        <w:pStyle w:val="LGTdoc"/>
        <w:spacing w:before="20" w:afterLines="0" w:line="240" w:lineRule="auto"/>
        <w:rPr>
          <w:sz w:val="20"/>
          <w:lang w:val="en-US"/>
        </w:rPr>
      </w:pPr>
    </w:p>
    <w:p w14:paraId="2F6F6E89" w14:textId="2BDB8CD3" w:rsidR="00FE73EC" w:rsidRDefault="00FE73EC" w:rsidP="00D560BE">
      <w:pPr>
        <w:pStyle w:val="LGTdoc"/>
        <w:spacing w:before="20" w:afterLines="0" w:line="240" w:lineRule="auto"/>
        <w:rPr>
          <w:sz w:val="20"/>
          <w:lang w:val="en-US"/>
        </w:rPr>
      </w:pPr>
      <w:r w:rsidRPr="002B6BF2">
        <w:rPr>
          <w:sz w:val="20"/>
          <w:lang w:val="en-US"/>
        </w:rPr>
        <w:t>In those sense, we propose SRS Tx switching optional with capability signaling.</w:t>
      </w:r>
    </w:p>
    <w:p w14:paraId="1CDC1CA0" w14:textId="77777777" w:rsidR="00FE73EC" w:rsidRDefault="00FE73EC" w:rsidP="00D560BE">
      <w:pPr>
        <w:pStyle w:val="LGTdoc"/>
        <w:spacing w:before="20" w:afterLines="0" w:line="240" w:lineRule="auto"/>
        <w:rPr>
          <w:sz w:val="20"/>
          <w:lang w:val="en-US"/>
        </w:rPr>
      </w:pPr>
    </w:p>
    <w:p w14:paraId="6BB06E14" w14:textId="77777777" w:rsidR="00FE73EC" w:rsidRDefault="00FE73EC" w:rsidP="00D560BE">
      <w:pPr>
        <w:pStyle w:val="LGTdoc"/>
        <w:spacing w:before="20" w:afterLines="0" w:line="240" w:lineRule="auto"/>
        <w:rPr>
          <w:sz w:val="20"/>
          <w:lang w:val="en-US"/>
        </w:rPr>
      </w:pPr>
    </w:p>
    <w:p w14:paraId="6E5520F2" w14:textId="3A17B4FB" w:rsidR="005F2FF8" w:rsidRPr="002B6BF2" w:rsidRDefault="005F2FF8" w:rsidP="00D560BE">
      <w:pPr>
        <w:pStyle w:val="LGTdoc"/>
        <w:spacing w:before="20" w:afterLines="0" w:line="240" w:lineRule="auto"/>
        <w:rPr>
          <w:b/>
          <w:sz w:val="20"/>
          <w:u w:val="single"/>
          <w:lang w:val="en-US"/>
        </w:rPr>
      </w:pPr>
      <w:r w:rsidRPr="002B6BF2">
        <w:rPr>
          <w:b/>
          <w:sz w:val="20"/>
          <w:u w:val="single"/>
          <w:lang w:val="en-US"/>
        </w:rPr>
        <w:t xml:space="preserve">2-56: SRS carrier switch: </w:t>
      </w:r>
      <w:r w:rsidRPr="002B6BF2">
        <w:rPr>
          <w:b/>
          <w:i/>
          <w:sz w:val="20"/>
          <w:u w:val="single"/>
          <w:lang w:val="en-US"/>
        </w:rPr>
        <w:t>Optional with capability signaling. Change type from type 1 to type 3</w:t>
      </w:r>
    </w:p>
    <w:p w14:paraId="267ACF62" w14:textId="77777777" w:rsidR="00DE5129" w:rsidRPr="002B6BF2" w:rsidRDefault="00DE5129" w:rsidP="00EB10CB">
      <w:pPr>
        <w:pStyle w:val="LGTdoc1"/>
        <w:spacing w:beforeLines="0" w:after="0" w:afterAutospacing="0"/>
        <w:rPr>
          <w:rFonts w:ascii="Arial" w:hAnsi="Arial" w:cs="Arial"/>
          <w:lang w:val="en-US"/>
        </w:rPr>
      </w:pPr>
    </w:p>
    <w:p w14:paraId="3A86C7D7" w14:textId="0E6125F3" w:rsidR="005F2FF8" w:rsidRPr="005F2FF8" w:rsidRDefault="00D66132" w:rsidP="005F2FF8">
      <w:pPr>
        <w:pStyle w:val="LGTdoc"/>
        <w:spacing w:before="20" w:afterLines="0" w:line="240" w:lineRule="auto"/>
        <w:rPr>
          <w:sz w:val="20"/>
          <w:lang w:val="en-US"/>
        </w:rPr>
      </w:pPr>
      <w:r w:rsidRPr="002B6BF2">
        <w:rPr>
          <w:sz w:val="20"/>
          <w:lang w:val="en-US"/>
        </w:rPr>
        <w:t xml:space="preserve">There is RF implementation implication to support SRS carrier switching depending on the supported band combinations for CA and DC. It may cause interruption time depending on RF architecture. Also, the supportability of this feature will be </w:t>
      </w:r>
      <w:r w:rsidRPr="002B6BF2">
        <w:rPr>
          <w:sz w:val="20"/>
          <w:lang w:val="en-US"/>
        </w:rPr>
        <w:lastRenderedPageBreak/>
        <w:t>dependent on the exact band combination and thus it is proposed optional with capability signaling and to change the type from type 1 to type 3.</w:t>
      </w:r>
    </w:p>
    <w:p w14:paraId="5FAD67F5" w14:textId="77777777" w:rsidR="005F2FF8" w:rsidRDefault="005F2FF8" w:rsidP="00EB10CB">
      <w:pPr>
        <w:pStyle w:val="LGTdoc1"/>
        <w:spacing w:beforeLines="0" w:after="0" w:afterAutospacing="0"/>
        <w:rPr>
          <w:rFonts w:ascii="Arial" w:hAnsi="Arial" w:cs="Arial"/>
          <w:lang w:val="en-US"/>
        </w:rPr>
      </w:pPr>
    </w:p>
    <w:p w14:paraId="40D98B89" w14:textId="7E5282CE" w:rsidR="002B6BF2" w:rsidRPr="002B6BF2" w:rsidRDefault="002B6BF2" w:rsidP="002B6BF2">
      <w:pPr>
        <w:pStyle w:val="LGTdoc"/>
        <w:spacing w:before="20" w:afterLines="0" w:line="240" w:lineRule="auto"/>
        <w:rPr>
          <w:b/>
          <w:i/>
          <w:sz w:val="20"/>
          <w:u w:val="single"/>
          <w:lang w:val="en-US"/>
        </w:rPr>
      </w:pPr>
      <w:r w:rsidRPr="002B6BF2">
        <w:rPr>
          <w:b/>
          <w:sz w:val="20"/>
          <w:u w:val="single"/>
          <w:lang w:val="en-US"/>
        </w:rPr>
        <w:t>2-62</w:t>
      </w:r>
      <w:r>
        <w:rPr>
          <w:b/>
          <w:sz w:val="20"/>
          <w:u w:val="single"/>
          <w:lang w:val="en-US"/>
        </w:rPr>
        <w:t xml:space="preserve"> (</w:t>
      </w:r>
      <w:r w:rsidRPr="002B6BF2">
        <w:rPr>
          <w:b/>
          <w:sz w:val="20"/>
          <w:u w:val="single"/>
          <w:lang w:val="en-US"/>
        </w:rPr>
        <w:t>New feature group</w:t>
      </w:r>
      <w:r>
        <w:rPr>
          <w:b/>
          <w:sz w:val="20"/>
          <w:u w:val="single"/>
          <w:lang w:val="en-US"/>
        </w:rPr>
        <w:t>)</w:t>
      </w:r>
      <w:r w:rsidRPr="002B6BF2">
        <w:rPr>
          <w:b/>
          <w:sz w:val="20"/>
          <w:u w:val="single"/>
          <w:lang w:val="en-US"/>
        </w:rPr>
        <w:t>: The maximum number of SSB/CSI-RS for BM that are associated with active TCI and active spatial relation info</w:t>
      </w:r>
      <w:r>
        <w:rPr>
          <w:b/>
          <w:sz w:val="20"/>
          <w:u w:val="single"/>
          <w:lang w:val="en-US"/>
        </w:rPr>
        <w:t xml:space="preserve">: </w:t>
      </w:r>
      <w:r>
        <w:rPr>
          <w:b/>
          <w:i/>
          <w:sz w:val="20"/>
          <w:u w:val="single"/>
          <w:lang w:val="en-US"/>
        </w:rPr>
        <w:t>Optional with capability signaling (Only value ‘1’ is mandatory; if this field is absent, ‘1’ is default)</w:t>
      </w:r>
    </w:p>
    <w:p w14:paraId="74CACE79" w14:textId="77777777" w:rsidR="002B6BF2" w:rsidRDefault="002B6BF2" w:rsidP="002B6BF2">
      <w:pPr>
        <w:pStyle w:val="LGTdoc"/>
        <w:spacing w:before="20" w:afterLines="0" w:line="240" w:lineRule="auto"/>
        <w:rPr>
          <w:sz w:val="20"/>
          <w:lang w:val="en-US"/>
        </w:rPr>
      </w:pPr>
    </w:p>
    <w:p w14:paraId="235FFD1B" w14:textId="77777777" w:rsidR="002B6BF2" w:rsidRDefault="002B6BF2" w:rsidP="002B6BF2">
      <w:pPr>
        <w:pStyle w:val="LGTdoc"/>
        <w:spacing w:before="20" w:afterLines="0" w:line="240" w:lineRule="auto"/>
        <w:rPr>
          <w:sz w:val="20"/>
          <w:lang w:val="en-US"/>
        </w:rPr>
      </w:pPr>
      <w:r>
        <w:rPr>
          <w:sz w:val="20"/>
          <w:lang w:val="en-US"/>
        </w:rPr>
        <w:t>In current FG list there is no UE capability that can limit the total number of SSB/CSI-RS for BM that can be used in the active spatial relation info and active TCI states. It is, therefore, proposed to introduce new FG that can limit the corresponding configuration.</w:t>
      </w:r>
    </w:p>
    <w:p w14:paraId="347DC61B" w14:textId="77777777" w:rsidR="002B6BF2" w:rsidRDefault="002B6BF2" w:rsidP="002B6BF2">
      <w:pPr>
        <w:pStyle w:val="LGTdoc"/>
        <w:spacing w:before="20" w:afterLines="0" w:line="240" w:lineRule="auto"/>
        <w:rPr>
          <w:sz w:val="20"/>
          <w:lang w:val="en-US"/>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91"/>
        <w:gridCol w:w="1015"/>
        <w:gridCol w:w="1260"/>
        <w:gridCol w:w="542"/>
        <w:gridCol w:w="590"/>
        <w:gridCol w:w="220"/>
        <w:gridCol w:w="879"/>
        <w:gridCol w:w="509"/>
        <w:gridCol w:w="532"/>
        <w:gridCol w:w="532"/>
        <w:gridCol w:w="435"/>
        <w:gridCol w:w="265"/>
        <w:gridCol w:w="720"/>
        <w:gridCol w:w="1704"/>
      </w:tblGrid>
      <w:tr w:rsidR="002B6BF2" w:rsidRPr="00535BF2" w14:paraId="242EF117" w14:textId="77777777" w:rsidTr="002B6BF2">
        <w:trPr>
          <w:trHeight w:val="525"/>
        </w:trPr>
        <w:tc>
          <w:tcPr>
            <w:tcW w:w="349" w:type="pct"/>
            <w:shd w:val="clear" w:color="auto" w:fill="auto"/>
          </w:tcPr>
          <w:p w14:paraId="5825D6B8" w14:textId="4AB0FEEC" w:rsidR="002B6BF2" w:rsidRPr="00535BF2" w:rsidRDefault="002B6BF2" w:rsidP="002B6BF2">
            <w:pPr>
              <w:snapToGrid w:val="0"/>
              <w:rPr>
                <w:rFonts w:asciiTheme="majorHAnsi" w:eastAsia="MS PGothic" w:hAnsiTheme="majorHAnsi" w:cstheme="majorHAnsi"/>
              </w:rPr>
            </w:pPr>
            <w:r w:rsidRPr="00B21D4D">
              <w:rPr>
                <w:rFonts w:ascii="Arial" w:eastAsia="Times New Roman" w:hAnsi="Arial" w:cs="Arial"/>
                <w:sz w:val="18"/>
                <w:szCs w:val="18"/>
                <w:highlight w:val="cyan"/>
              </w:rPr>
              <w:t>2-62</w:t>
            </w:r>
          </w:p>
        </w:tc>
        <w:tc>
          <w:tcPr>
            <w:tcW w:w="513" w:type="pct"/>
            <w:shd w:val="clear" w:color="auto" w:fill="auto"/>
          </w:tcPr>
          <w:p w14:paraId="3EAB33AD" w14:textId="7670C085" w:rsidR="002B6BF2" w:rsidRPr="00535BF2" w:rsidRDefault="002B6BF2" w:rsidP="002B6BF2">
            <w:pPr>
              <w:rPr>
                <w:rFonts w:ascii="Arial" w:eastAsia="Times New Roman" w:hAnsi="Arial" w:cs="Arial"/>
                <w:sz w:val="18"/>
                <w:szCs w:val="18"/>
              </w:rPr>
            </w:pPr>
            <w:r w:rsidRPr="00B21D4D">
              <w:rPr>
                <w:rFonts w:ascii="Arial" w:eastAsia="Times New Roman" w:hAnsi="Arial" w:cs="Arial"/>
                <w:sz w:val="18"/>
                <w:szCs w:val="18"/>
                <w:highlight w:val="cyan"/>
              </w:rPr>
              <w:t xml:space="preserve">Number of SSB/CSI-RS for BM in the active TCI and spatial relation info </w:t>
            </w:r>
          </w:p>
        </w:tc>
        <w:tc>
          <w:tcPr>
            <w:tcW w:w="637" w:type="pct"/>
            <w:shd w:val="clear" w:color="auto" w:fill="auto"/>
          </w:tcPr>
          <w:p w14:paraId="48EA3DBA" w14:textId="53F760E8" w:rsidR="002B6BF2" w:rsidRPr="00535BF2" w:rsidRDefault="002B6BF2" w:rsidP="002B6BF2">
            <w:pPr>
              <w:rPr>
                <w:rFonts w:ascii="Arial" w:eastAsia="Times New Roman" w:hAnsi="Arial" w:cs="Arial"/>
                <w:sz w:val="18"/>
                <w:szCs w:val="18"/>
              </w:rPr>
            </w:pPr>
            <w:r w:rsidRPr="00B21D4D">
              <w:rPr>
                <w:rFonts w:ascii="Arial" w:eastAsia="Times New Roman" w:hAnsi="Arial" w:cs="Arial"/>
                <w:sz w:val="18"/>
                <w:szCs w:val="18"/>
                <w:highlight w:val="cyan"/>
              </w:rPr>
              <w:t>The maximum number of supported unique SSB/CSI-RS for BM in the active TCI and spatial relation info per CC</w:t>
            </w:r>
          </w:p>
        </w:tc>
        <w:tc>
          <w:tcPr>
            <w:tcW w:w="274" w:type="pct"/>
            <w:shd w:val="clear" w:color="auto" w:fill="auto"/>
          </w:tcPr>
          <w:p w14:paraId="36E0615A" w14:textId="544D896F" w:rsidR="002B6BF2" w:rsidRPr="00535BF2" w:rsidRDefault="002B6BF2" w:rsidP="002B6BF2">
            <w:pPr>
              <w:rPr>
                <w:rFonts w:ascii="Arial" w:eastAsia="Times New Roman" w:hAnsi="Arial" w:cs="Arial"/>
                <w:sz w:val="18"/>
                <w:szCs w:val="18"/>
              </w:rPr>
            </w:pPr>
            <w:r w:rsidRPr="00B21D4D">
              <w:rPr>
                <w:rFonts w:ascii="Arial" w:eastAsia="MS PGothic" w:hAnsi="Arial" w:cs="Arial"/>
                <w:sz w:val="18"/>
                <w:szCs w:val="18"/>
                <w:highlight w:val="cyan"/>
              </w:rPr>
              <w:t>2-4, 2-59</w:t>
            </w:r>
          </w:p>
        </w:tc>
        <w:tc>
          <w:tcPr>
            <w:tcW w:w="298" w:type="pct"/>
            <w:shd w:val="clear" w:color="auto" w:fill="auto"/>
          </w:tcPr>
          <w:p w14:paraId="590384D9" w14:textId="3D9E4968" w:rsidR="002B6BF2" w:rsidRPr="00535BF2" w:rsidRDefault="002B6BF2" w:rsidP="002B6BF2">
            <w:pPr>
              <w:rPr>
                <w:rFonts w:ascii="Arial" w:eastAsia="Times New Roman" w:hAnsi="Arial" w:cs="Arial"/>
                <w:sz w:val="18"/>
                <w:szCs w:val="18"/>
              </w:rPr>
            </w:pPr>
            <w:r w:rsidRPr="00B21D4D">
              <w:rPr>
                <w:rFonts w:ascii="Arial" w:eastAsia="MS PGothic" w:hAnsi="Arial" w:cs="Arial"/>
                <w:sz w:val="18"/>
                <w:szCs w:val="18"/>
                <w:highlight w:val="cyan"/>
              </w:rPr>
              <w:t>Yes</w:t>
            </w:r>
          </w:p>
        </w:tc>
        <w:tc>
          <w:tcPr>
            <w:tcW w:w="111" w:type="pct"/>
            <w:shd w:val="clear" w:color="auto" w:fill="auto"/>
          </w:tcPr>
          <w:p w14:paraId="770C59C9" w14:textId="77777777" w:rsidR="002B6BF2" w:rsidRPr="00535BF2" w:rsidRDefault="002B6BF2" w:rsidP="002B6BF2">
            <w:pPr>
              <w:snapToGrid w:val="0"/>
              <w:rPr>
                <w:rFonts w:ascii="Arial" w:eastAsia="MS PGothic" w:hAnsi="Arial" w:cs="Arial"/>
                <w:sz w:val="18"/>
                <w:szCs w:val="18"/>
              </w:rPr>
            </w:pPr>
          </w:p>
        </w:tc>
        <w:tc>
          <w:tcPr>
            <w:tcW w:w="444" w:type="pct"/>
            <w:shd w:val="clear" w:color="auto" w:fill="auto"/>
          </w:tcPr>
          <w:p w14:paraId="2FDD75DF" w14:textId="7C72EBB3" w:rsidR="002B6BF2" w:rsidRPr="00535BF2" w:rsidRDefault="002B6BF2" w:rsidP="002B6BF2">
            <w:pPr>
              <w:snapToGrid w:val="0"/>
              <w:rPr>
                <w:rFonts w:ascii="Arial" w:eastAsia="MS PGothic" w:hAnsi="Arial" w:cs="Arial"/>
                <w:sz w:val="18"/>
                <w:szCs w:val="18"/>
              </w:rPr>
            </w:pPr>
            <w:r w:rsidRPr="00B21D4D">
              <w:rPr>
                <w:rFonts w:ascii="Arial" w:eastAsia="MS PGothic" w:hAnsi="Arial" w:cs="Arial"/>
                <w:sz w:val="18"/>
                <w:szCs w:val="18"/>
                <w:highlight w:val="cyan"/>
              </w:rPr>
              <w:t>Type 1</w:t>
            </w:r>
          </w:p>
        </w:tc>
        <w:tc>
          <w:tcPr>
            <w:tcW w:w="257" w:type="pct"/>
            <w:shd w:val="clear" w:color="auto" w:fill="auto"/>
          </w:tcPr>
          <w:p w14:paraId="5DFFBD9B" w14:textId="4595C7CD" w:rsidR="002B6BF2" w:rsidRPr="00535BF2" w:rsidRDefault="002B6BF2" w:rsidP="002B6BF2">
            <w:pPr>
              <w:rPr>
                <w:rFonts w:ascii="Arial" w:eastAsia="Times New Roman" w:hAnsi="Arial" w:cs="Arial"/>
                <w:sz w:val="18"/>
                <w:szCs w:val="18"/>
              </w:rPr>
            </w:pPr>
            <w:r w:rsidRPr="00B21D4D">
              <w:rPr>
                <w:rFonts w:ascii="Arial" w:eastAsia="MS PGothic" w:hAnsi="Arial" w:cs="Arial"/>
                <w:sz w:val="18"/>
                <w:szCs w:val="18"/>
                <w:highlight w:val="cyan"/>
              </w:rPr>
              <w:t>N.A.</w:t>
            </w:r>
          </w:p>
        </w:tc>
        <w:tc>
          <w:tcPr>
            <w:tcW w:w="269" w:type="pct"/>
            <w:shd w:val="clear" w:color="auto" w:fill="auto"/>
          </w:tcPr>
          <w:p w14:paraId="3719DC18" w14:textId="1E1ED273" w:rsidR="002B6BF2" w:rsidRPr="00535BF2" w:rsidRDefault="002B6BF2" w:rsidP="002B6BF2">
            <w:pPr>
              <w:snapToGrid w:val="0"/>
              <w:jc w:val="center"/>
              <w:rPr>
                <w:rFonts w:ascii="Arial" w:eastAsia="MS PGothic" w:hAnsi="Arial" w:cs="Arial"/>
                <w:sz w:val="18"/>
                <w:szCs w:val="18"/>
              </w:rPr>
            </w:pPr>
          </w:p>
        </w:tc>
        <w:tc>
          <w:tcPr>
            <w:tcW w:w="269" w:type="pct"/>
            <w:shd w:val="clear" w:color="auto" w:fill="auto"/>
          </w:tcPr>
          <w:p w14:paraId="761D5710" w14:textId="1F7C4A7D" w:rsidR="002B6BF2" w:rsidRPr="00535BF2" w:rsidRDefault="002B6BF2" w:rsidP="002B6BF2">
            <w:pPr>
              <w:snapToGrid w:val="0"/>
              <w:jc w:val="center"/>
              <w:rPr>
                <w:rFonts w:ascii="Arial" w:eastAsia="MS PGothic" w:hAnsi="Arial" w:cs="Arial"/>
                <w:sz w:val="18"/>
                <w:szCs w:val="18"/>
              </w:rPr>
            </w:pPr>
          </w:p>
        </w:tc>
        <w:tc>
          <w:tcPr>
            <w:tcW w:w="220" w:type="pct"/>
            <w:shd w:val="clear" w:color="auto" w:fill="auto"/>
          </w:tcPr>
          <w:p w14:paraId="5EA1F28D" w14:textId="77777777" w:rsidR="002B6BF2" w:rsidRPr="00535BF2" w:rsidRDefault="002B6BF2" w:rsidP="002B6BF2">
            <w:pPr>
              <w:snapToGrid w:val="0"/>
              <w:rPr>
                <w:rFonts w:asciiTheme="majorHAnsi" w:eastAsia="Malgun Gothic" w:hAnsiTheme="majorHAnsi" w:cstheme="majorHAnsi"/>
              </w:rPr>
            </w:pPr>
          </w:p>
        </w:tc>
        <w:tc>
          <w:tcPr>
            <w:tcW w:w="134" w:type="pct"/>
            <w:shd w:val="clear" w:color="auto" w:fill="auto"/>
          </w:tcPr>
          <w:p w14:paraId="70B337DB" w14:textId="77777777" w:rsidR="002B6BF2" w:rsidRPr="00535BF2" w:rsidRDefault="002B6BF2" w:rsidP="002B6BF2">
            <w:pPr>
              <w:snapToGrid w:val="0"/>
              <w:rPr>
                <w:rFonts w:ascii="Arial" w:eastAsia="Times New Roman" w:hAnsi="Arial" w:cs="Arial"/>
                <w:sz w:val="18"/>
                <w:szCs w:val="18"/>
              </w:rPr>
            </w:pPr>
          </w:p>
        </w:tc>
        <w:tc>
          <w:tcPr>
            <w:tcW w:w="364" w:type="pct"/>
            <w:shd w:val="clear" w:color="auto" w:fill="auto"/>
          </w:tcPr>
          <w:p w14:paraId="7E426689" w14:textId="77777777" w:rsidR="002B6BF2" w:rsidRPr="00B21D4D" w:rsidRDefault="002B6BF2" w:rsidP="002B6BF2">
            <w:pPr>
              <w:rPr>
                <w:rFonts w:ascii="Arial" w:eastAsia="Times New Roman" w:hAnsi="Arial" w:cs="Arial"/>
                <w:sz w:val="18"/>
                <w:szCs w:val="18"/>
                <w:highlight w:val="cyan"/>
              </w:rPr>
            </w:pPr>
            <w:r w:rsidRPr="00B21D4D">
              <w:rPr>
                <w:rFonts w:ascii="Arial" w:eastAsia="Times New Roman" w:hAnsi="Arial" w:cs="Arial"/>
                <w:sz w:val="18"/>
                <w:szCs w:val="18"/>
                <w:highlight w:val="cyan"/>
              </w:rPr>
              <w:t>Candidate value set: {1, 2, 4, 8, 14}</w:t>
            </w:r>
          </w:p>
          <w:p w14:paraId="2672BD54" w14:textId="77777777" w:rsidR="002B6BF2" w:rsidRPr="00535BF2" w:rsidRDefault="002B6BF2" w:rsidP="002B6BF2">
            <w:pPr>
              <w:snapToGrid w:val="0"/>
              <w:rPr>
                <w:rFonts w:asciiTheme="majorHAnsi" w:eastAsia="MS PGothic" w:hAnsiTheme="majorHAnsi" w:cstheme="majorHAnsi"/>
              </w:rPr>
            </w:pPr>
          </w:p>
        </w:tc>
        <w:tc>
          <w:tcPr>
            <w:tcW w:w="863" w:type="pct"/>
            <w:shd w:val="clear" w:color="auto" w:fill="auto"/>
          </w:tcPr>
          <w:p w14:paraId="1EF9F360" w14:textId="37AC629A" w:rsidR="002B6BF2" w:rsidRPr="00535BF2" w:rsidRDefault="002B6BF2" w:rsidP="002B6BF2">
            <w:pPr>
              <w:rPr>
                <w:rFonts w:ascii="Arial" w:eastAsia="Times New Roman" w:hAnsi="Arial" w:cs="Arial"/>
                <w:sz w:val="18"/>
                <w:szCs w:val="18"/>
              </w:rPr>
            </w:pPr>
            <w:r w:rsidRPr="00B21D4D">
              <w:rPr>
                <w:rFonts w:ascii="Arial" w:eastAsia="Times New Roman" w:hAnsi="Arial" w:cs="Arial"/>
                <w:sz w:val="18"/>
                <w:szCs w:val="18"/>
                <w:highlight w:val="cyan"/>
              </w:rPr>
              <w:t>Optional with capability signaling (Only value ‘1’ is mandatory; if this field is absent, ‘1’ is default</w:t>
            </w:r>
          </w:p>
        </w:tc>
      </w:tr>
    </w:tbl>
    <w:p w14:paraId="227516B3" w14:textId="77777777" w:rsidR="002B6BF2" w:rsidRDefault="002B6BF2" w:rsidP="00EB10CB">
      <w:pPr>
        <w:pStyle w:val="LGTdoc1"/>
        <w:spacing w:beforeLines="0" w:after="0" w:afterAutospacing="0"/>
        <w:rPr>
          <w:rFonts w:ascii="Arial" w:hAnsi="Arial" w:cs="Arial"/>
          <w:lang w:val="en-US"/>
        </w:rPr>
      </w:pPr>
    </w:p>
    <w:p w14:paraId="00F48D33" w14:textId="77777777" w:rsidR="002B6BF2" w:rsidRDefault="002B6BF2" w:rsidP="00EB10CB">
      <w:pPr>
        <w:pStyle w:val="LGTdoc1"/>
        <w:spacing w:beforeLines="0" w:after="0" w:afterAutospacing="0"/>
        <w:rPr>
          <w:rFonts w:ascii="Arial" w:hAnsi="Arial" w:cs="Arial"/>
          <w:lang w:val="en-US"/>
        </w:rPr>
      </w:pPr>
    </w:p>
    <w:p w14:paraId="342C1627" w14:textId="01561226" w:rsidR="00AF5EEE" w:rsidRPr="00AF5EEE" w:rsidRDefault="00AF5EEE" w:rsidP="00AF5EEE">
      <w:pPr>
        <w:pStyle w:val="LGTdoc"/>
        <w:spacing w:before="20" w:afterLines="0" w:line="240" w:lineRule="auto"/>
        <w:rPr>
          <w:b/>
          <w:sz w:val="20"/>
          <w:u w:val="single"/>
        </w:rPr>
      </w:pPr>
      <w:r w:rsidRPr="00AF5EEE">
        <w:rPr>
          <w:b/>
          <w:sz w:val="20"/>
          <w:u w:val="single"/>
          <w:lang w:val="en-US"/>
        </w:rPr>
        <w:t>4-24: PUCCH-spatialrelationinfo indication by a MAC CE per PUCCH resource</w:t>
      </w:r>
      <w:r>
        <w:rPr>
          <w:b/>
          <w:sz w:val="20"/>
          <w:u w:val="single"/>
          <w:lang w:val="en-US"/>
        </w:rPr>
        <w:t>: remove this FG and merged to 2-59</w:t>
      </w:r>
    </w:p>
    <w:p w14:paraId="1A5A9F00" w14:textId="77777777" w:rsidR="00AF5EEE" w:rsidRDefault="00AF5EEE" w:rsidP="00EB10CB">
      <w:pPr>
        <w:pStyle w:val="LGTdoc1"/>
        <w:spacing w:beforeLines="0" w:after="0" w:afterAutospacing="0"/>
        <w:rPr>
          <w:rFonts w:ascii="Arial" w:hAnsi="Arial" w:cs="Arial"/>
          <w:lang w:val="en-US"/>
        </w:rPr>
      </w:pPr>
    </w:p>
    <w:p w14:paraId="33B2663A" w14:textId="77777777" w:rsidR="002B6BF2" w:rsidRPr="00AF5EEE" w:rsidRDefault="002B6BF2" w:rsidP="002B6BF2">
      <w:pPr>
        <w:pStyle w:val="LGTdoc1"/>
        <w:spacing w:beforeLines="0" w:after="0" w:afterAutospacing="0"/>
        <w:rPr>
          <w:b w:val="0"/>
          <w:sz w:val="20"/>
          <w:lang w:val="en-US"/>
        </w:rPr>
      </w:pPr>
      <w:r>
        <w:rPr>
          <w:b w:val="0"/>
          <w:sz w:val="20"/>
          <w:lang w:val="en-US"/>
        </w:rPr>
        <w:t>In FG 2-59 it is defined that a UE should support at least 4 configured spatial relation info for PUCCH and SRS. When more than 1 spatial relation info is configured for PUCCH, gNB would use MAC CE to down-select one for a PUCCH resource. So this implies UE should support 4-24. Therefore FG 4-24 can be removed and merged to 2-59.</w:t>
      </w:r>
    </w:p>
    <w:p w14:paraId="5E087F5B" w14:textId="77777777" w:rsidR="002B6BF2" w:rsidRDefault="002B6BF2" w:rsidP="002B6BF2">
      <w:pPr>
        <w:pStyle w:val="LGTdoc1"/>
        <w:spacing w:beforeLines="0" w:after="0" w:afterAutospacing="0"/>
        <w:rPr>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571"/>
        <w:gridCol w:w="3960"/>
        <w:gridCol w:w="4431"/>
      </w:tblGrid>
      <w:tr w:rsidR="002B6BF2" w:rsidRPr="00535BF2" w14:paraId="62C381C3" w14:textId="77777777" w:rsidTr="00B21D4D">
        <w:trPr>
          <w:trHeight w:val="525"/>
        </w:trPr>
        <w:tc>
          <w:tcPr>
            <w:tcW w:w="217" w:type="pct"/>
            <w:shd w:val="clear" w:color="auto" w:fill="auto"/>
            <w:vAlign w:val="center"/>
          </w:tcPr>
          <w:p w14:paraId="070AC06C" w14:textId="77777777" w:rsidR="002B6BF2" w:rsidRPr="00535BF2" w:rsidRDefault="002B6BF2" w:rsidP="00B21D4D">
            <w:pPr>
              <w:rPr>
                <w:rFonts w:asciiTheme="majorHAnsi" w:eastAsia="Times New Roman" w:hAnsiTheme="majorHAnsi" w:cstheme="majorHAnsi"/>
              </w:rPr>
            </w:pPr>
            <w:r w:rsidRPr="00535BF2">
              <w:rPr>
                <w:rFonts w:ascii="Arial" w:eastAsia="Times New Roman" w:hAnsi="Arial" w:cs="Arial"/>
                <w:sz w:val="18"/>
                <w:szCs w:val="18"/>
              </w:rPr>
              <w:t>2-</w:t>
            </w:r>
            <w:r>
              <w:rPr>
                <w:rFonts w:ascii="Arial" w:eastAsia="Times New Roman" w:hAnsi="Arial" w:cs="Arial"/>
                <w:sz w:val="18"/>
                <w:szCs w:val="18"/>
              </w:rPr>
              <w:t>59</w:t>
            </w:r>
          </w:p>
        </w:tc>
        <w:tc>
          <w:tcPr>
            <w:tcW w:w="547" w:type="pct"/>
            <w:shd w:val="clear" w:color="auto" w:fill="auto"/>
            <w:vAlign w:val="center"/>
          </w:tcPr>
          <w:p w14:paraId="42849419" w14:textId="77777777" w:rsidR="002B6BF2" w:rsidRPr="00535BF2" w:rsidRDefault="002B6BF2" w:rsidP="00B21D4D">
            <w:pPr>
              <w:rPr>
                <w:rFonts w:asciiTheme="majorHAnsi" w:eastAsia="Times New Roman" w:hAnsiTheme="majorHAnsi" w:cstheme="majorHAnsi"/>
              </w:rPr>
            </w:pPr>
            <w:r w:rsidRPr="00535BF2">
              <w:rPr>
                <w:rFonts w:ascii="Arial" w:eastAsia="Times New Roman" w:hAnsi="Arial" w:cs="Arial"/>
                <w:sz w:val="18"/>
                <w:szCs w:val="18"/>
              </w:rPr>
              <w:t>Configured spatial relations</w:t>
            </w:r>
          </w:p>
        </w:tc>
        <w:tc>
          <w:tcPr>
            <w:tcW w:w="612" w:type="pct"/>
            <w:shd w:val="clear" w:color="auto" w:fill="auto"/>
            <w:vAlign w:val="center"/>
          </w:tcPr>
          <w:p w14:paraId="73326B01" w14:textId="77777777" w:rsidR="002B6BF2" w:rsidRDefault="002B6BF2" w:rsidP="00B21D4D">
            <w:pPr>
              <w:rPr>
                <w:rFonts w:ascii="Arial" w:eastAsia="Times New Roman" w:hAnsi="Arial" w:cs="Arial"/>
                <w:sz w:val="18"/>
                <w:szCs w:val="18"/>
              </w:rPr>
            </w:pPr>
            <w:r w:rsidRPr="00535BF2">
              <w:rPr>
                <w:rFonts w:ascii="Arial" w:eastAsia="Times New Roman" w:hAnsi="Arial" w:cs="Arial"/>
                <w:sz w:val="18"/>
                <w:szCs w:val="18"/>
              </w:rPr>
              <w:t>Maximum number of configured spatial relations per CC for PUCCH and SRS</w:t>
            </w:r>
          </w:p>
          <w:p w14:paraId="70400317" w14:textId="77777777" w:rsidR="002B6BF2" w:rsidRPr="00B21D4D" w:rsidRDefault="002B6BF2" w:rsidP="00B21D4D">
            <w:pPr>
              <w:rPr>
                <w:rFonts w:asciiTheme="majorHAnsi" w:eastAsia="Times New Roman" w:hAnsiTheme="majorHAnsi" w:cstheme="majorHAnsi"/>
                <w:b/>
              </w:rPr>
            </w:pPr>
            <w:r w:rsidRPr="00B21D4D">
              <w:rPr>
                <w:rFonts w:ascii="Arial" w:eastAsia="Times New Roman" w:hAnsi="Arial" w:cs="Arial"/>
                <w:b/>
                <w:color w:val="FF0000"/>
                <w:sz w:val="18"/>
                <w:szCs w:val="18"/>
              </w:rPr>
              <w:t>Note: MAC CE based PUCCH spatial relation info indication should be applied when more than 1 spatial relation info are configured.</w:t>
            </w:r>
          </w:p>
        </w:tc>
      </w:tr>
    </w:tbl>
    <w:p w14:paraId="7103D7F0" w14:textId="77777777" w:rsidR="00AF5EEE" w:rsidRPr="002B6BF2" w:rsidRDefault="00AF5EEE" w:rsidP="00EB10CB">
      <w:pPr>
        <w:pStyle w:val="LGTdoc1"/>
        <w:spacing w:beforeLines="0" w:after="0" w:afterAutospacing="0"/>
        <w:rPr>
          <w:sz w:val="20"/>
        </w:rPr>
      </w:pPr>
    </w:p>
    <w:p w14:paraId="48032EF1" w14:textId="77777777" w:rsidR="00AB3ED9" w:rsidRDefault="00AB3ED9" w:rsidP="00EB10CB">
      <w:pPr>
        <w:pStyle w:val="LGTdoc1"/>
        <w:spacing w:beforeLines="0" w:after="0" w:afterAutospacing="0"/>
        <w:rPr>
          <w:sz w:val="20"/>
          <w:lang w:val="en-US"/>
        </w:rPr>
      </w:pPr>
    </w:p>
    <w:p w14:paraId="5053C374" w14:textId="23C7C3B5" w:rsidR="00B86F3D" w:rsidRPr="00B86F3D" w:rsidRDefault="00B86F3D" w:rsidP="00EB10CB">
      <w:pPr>
        <w:pStyle w:val="LGTdoc1"/>
        <w:spacing w:beforeLines="0" w:after="0" w:afterAutospacing="0"/>
        <w:rPr>
          <w:sz w:val="20"/>
          <w:u w:val="single"/>
          <w:lang w:val="en-US"/>
        </w:rPr>
      </w:pPr>
      <w:r w:rsidRPr="00B86F3D">
        <w:rPr>
          <w:sz w:val="20"/>
          <w:u w:val="single"/>
          <w:lang w:val="en-US"/>
        </w:rPr>
        <w:t>6-10a: Cross carrier scheduling for different numerologies</w:t>
      </w:r>
      <w:r>
        <w:rPr>
          <w:sz w:val="20"/>
          <w:u w:val="single"/>
          <w:lang w:val="en-US"/>
        </w:rPr>
        <w:t xml:space="preserve">: </w:t>
      </w:r>
      <w:r w:rsidRPr="00B86F3D">
        <w:rPr>
          <w:i/>
          <w:sz w:val="20"/>
          <w:u w:val="single"/>
          <w:lang w:val="en-US"/>
        </w:rPr>
        <w:t>Make a note this FG is not supported in Rel-15</w:t>
      </w:r>
      <w:r>
        <w:rPr>
          <w:sz w:val="20"/>
          <w:u w:val="single"/>
          <w:lang w:val="en-US"/>
        </w:rPr>
        <w:t>.</w:t>
      </w:r>
    </w:p>
    <w:p w14:paraId="2C78C3F1" w14:textId="77777777" w:rsidR="00AF5EEE" w:rsidRDefault="00AF5EEE" w:rsidP="00EB10CB">
      <w:pPr>
        <w:pStyle w:val="LGTdoc1"/>
        <w:spacing w:beforeLines="0" w:after="0" w:afterAutospacing="0"/>
        <w:rPr>
          <w:rFonts w:ascii="Arial" w:hAnsi="Arial" w:cs="Arial"/>
          <w:lang w:val="en-US"/>
        </w:rPr>
      </w:pPr>
    </w:p>
    <w:p w14:paraId="54E277EB" w14:textId="02E039B1" w:rsidR="00BB0312" w:rsidRDefault="00BB0312" w:rsidP="00EB10CB">
      <w:pPr>
        <w:pStyle w:val="LGTdoc1"/>
        <w:spacing w:beforeLines="0" w:after="0" w:afterAutospacing="0"/>
        <w:rPr>
          <w:b w:val="0"/>
          <w:sz w:val="20"/>
          <w:lang w:val="en-US"/>
        </w:rPr>
      </w:pPr>
      <w:r>
        <w:rPr>
          <w:b w:val="0"/>
          <w:sz w:val="20"/>
          <w:lang w:val="en-US"/>
        </w:rPr>
        <w:t>In RAN#81 [11], the following was agreed:</w:t>
      </w:r>
    </w:p>
    <w:p w14:paraId="6A100016" w14:textId="77777777" w:rsidR="00BB0312" w:rsidRDefault="00BB0312" w:rsidP="00EB10CB">
      <w:pPr>
        <w:pStyle w:val="LGTdoc1"/>
        <w:spacing w:beforeLines="0" w:after="0" w:afterAutospacing="0"/>
        <w:rPr>
          <w:b w:val="0"/>
          <w:sz w:val="20"/>
          <w:lang w:val="en-US"/>
        </w:rPr>
      </w:pPr>
    </w:p>
    <w:tbl>
      <w:tblPr>
        <w:tblStyle w:val="TableGrid"/>
        <w:tblW w:w="0" w:type="auto"/>
        <w:tblLook w:val="04A0" w:firstRow="1" w:lastRow="0" w:firstColumn="1" w:lastColumn="0" w:noHBand="0" w:noVBand="1"/>
      </w:tblPr>
      <w:tblGrid>
        <w:gridCol w:w="9962"/>
      </w:tblGrid>
      <w:tr w:rsidR="00BB0312" w14:paraId="4746481B" w14:textId="77777777" w:rsidTr="00BB0312">
        <w:tc>
          <w:tcPr>
            <w:tcW w:w="9962" w:type="dxa"/>
          </w:tcPr>
          <w:p w14:paraId="6E491609" w14:textId="77777777" w:rsidR="00BB0312" w:rsidRPr="00BB0312" w:rsidRDefault="00BB0312" w:rsidP="00BB0312">
            <w:pPr>
              <w:pStyle w:val="LGTdoc1"/>
              <w:numPr>
                <w:ilvl w:val="0"/>
                <w:numId w:val="25"/>
              </w:numPr>
              <w:spacing w:beforeLines="0" w:before="0" w:after="0" w:afterAutospacing="0"/>
              <w:rPr>
                <w:b w:val="0"/>
                <w:sz w:val="20"/>
                <w:lang w:val="en-US"/>
              </w:rPr>
            </w:pPr>
            <w:r w:rsidRPr="00BB0312">
              <w:rPr>
                <w:b w:val="0"/>
                <w:sz w:val="20"/>
                <w:lang w:val="en-US"/>
              </w:rPr>
              <w:t xml:space="preserve">Cross-carrier scheduling with different numerologies is postponed to Rel-16. </w:t>
            </w:r>
          </w:p>
          <w:p w14:paraId="04DF5C7F" w14:textId="77777777" w:rsidR="00BB0312" w:rsidRPr="00BB0312" w:rsidRDefault="00BB0312" w:rsidP="00BB0312">
            <w:pPr>
              <w:pStyle w:val="LGTdoc1"/>
              <w:numPr>
                <w:ilvl w:val="1"/>
                <w:numId w:val="25"/>
              </w:numPr>
              <w:spacing w:beforeLines="0" w:before="0" w:after="0" w:afterAutospacing="0"/>
              <w:rPr>
                <w:b w:val="0"/>
                <w:sz w:val="20"/>
                <w:lang w:val="en-US"/>
              </w:rPr>
            </w:pPr>
            <w:r w:rsidRPr="00BB0312">
              <w:rPr>
                <w:b w:val="0"/>
                <w:sz w:val="20"/>
                <w:lang w:val="en-US"/>
              </w:rPr>
              <w:t xml:space="preserve">Already-agreed functionality for cross-carrier scheduling with different numerologies will not be removed from the Rel-15 specs, but will have a note added that the behaviour does not apply in this release. </w:t>
            </w:r>
          </w:p>
          <w:p w14:paraId="07EC261E" w14:textId="77777777" w:rsidR="00BB0312" w:rsidRPr="00BB0312" w:rsidRDefault="00BB0312" w:rsidP="00BB0312">
            <w:pPr>
              <w:pStyle w:val="LGTdoc1"/>
              <w:numPr>
                <w:ilvl w:val="0"/>
                <w:numId w:val="25"/>
              </w:numPr>
              <w:spacing w:beforeLines="0" w:before="0" w:after="0" w:afterAutospacing="0"/>
              <w:rPr>
                <w:b w:val="0"/>
                <w:sz w:val="20"/>
                <w:lang w:val="en-US"/>
              </w:rPr>
            </w:pPr>
            <w:r w:rsidRPr="00BB0312">
              <w:rPr>
                <w:b w:val="0"/>
                <w:sz w:val="20"/>
                <w:lang w:val="en-US"/>
              </w:rPr>
              <w:t>Note that this does not affect SUL or BWP switching, which remain in Rel-15.</w:t>
            </w:r>
          </w:p>
          <w:p w14:paraId="097F064C" w14:textId="77777777" w:rsidR="00BB0312" w:rsidRPr="00BB0312" w:rsidRDefault="00BB0312" w:rsidP="00BB0312">
            <w:pPr>
              <w:pStyle w:val="LGTdoc1"/>
              <w:spacing w:beforeLines="0" w:before="0" w:after="0" w:afterAutospacing="0"/>
              <w:rPr>
                <w:b w:val="0"/>
                <w:sz w:val="20"/>
                <w:lang w:val="en-US"/>
              </w:rPr>
            </w:pPr>
          </w:p>
          <w:p w14:paraId="69214A54" w14:textId="77777777" w:rsidR="00BB0312" w:rsidRPr="00BB0312" w:rsidRDefault="00BB0312" w:rsidP="00BB0312">
            <w:pPr>
              <w:pStyle w:val="LGTdoc1"/>
              <w:numPr>
                <w:ilvl w:val="0"/>
                <w:numId w:val="25"/>
              </w:numPr>
              <w:spacing w:beforeLines="0" w:before="0" w:after="0" w:afterAutospacing="0"/>
              <w:rPr>
                <w:b w:val="0"/>
                <w:sz w:val="20"/>
                <w:lang w:val="en-US"/>
              </w:rPr>
            </w:pPr>
            <w:r w:rsidRPr="00BB0312">
              <w:rPr>
                <w:b w:val="0"/>
                <w:sz w:val="20"/>
                <w:lang w:val="en-US"/>
              </w:rPr>
              <w:t>Work will be completed under “DC and CA enhancements” WI</w:t>
            </w:r>
          </w:p>
          <w:p w14:paraId="3D2D659D" w14:textId="77777777" w:rsidR="00BB0312" w:rsidRPr="00BB0312" w:rsidRDefault="00BB0312" w:rsidP="00BB0312">
            <w:pPr>
              <w:pStyle w:val="LGTdoc1"/>
              <w:numPr>
                <w:ilvl w:val="1"/>
                <w:numId w:val="25"/>
              </w:numPr>
              <w:spacing w:beforeLines="0" w:before="0" w:after="0" w:afterAutospacing="0"/>
              <w:rPr>
                <w:b w:val="0"/>
                <w:sz w:val="20"/>
                <w:lang w:val="en-US"/>
              </w:rPr>
            </w:pPr>
            <w:r w:rsidRPr="00BB0312">
              <w:rPr>
                <w:b w:val="0"/>
                <w:sz w:val="20"/>
                <w:lang w:val="en-US"/>
              </w:rPr>
              <w:t>WID to be updated accordingly</w:t>
            </w:r>
          </w:p>
          <w:p w14:paraId="119FFD7F" w14:textId="77777777" w:rsidR="00BB0312" w:rsidRPr="00B86F3D" w:rsidRDefault="00BB0312" w:rsidP="00BB0312">
            <w:pPr>
              <w:pStyle w:val="LGTdoc1"/>
              <w:numPr>
                <w:ilvl w:val="1"/>
                <w:numId w:val="25"/>
              </w:numPr>
              <w:spacing w:beforeLines="0" w:after="0" w:afterAutospacing="0"/>
              <w:rPr>
                <w:b w:val="0"/>
                <w:sz w:val="20"/>
                <w:lang w:val="en-US"/>
              </w:rPr>
            </w:pPr>
            <w:r w:rsidRPr="00BB0312">
              <w:rPr>
                <w:b w:val="0"/>
                <w:sz w:val="20"/>
                <w:lang w:val="en-US"/>
              </w:rPr>
              <w:t>Completion targeting June 2019 (RAN#84)</w:t>
            </w:r>
          </w:p>
          <w:p w14:paraId="38203962" w14:textId="77777777" w:rsidR="00BB0312" w:rsidRDefault="00BB0312" w:rsidP="00EB10CB">
            <w:pPr>
              <w:pStyle w:val="LGTdoc1"/>
              <w:spacing w:beforeLines="0" w:after="0" w:afterAutospacing="0"/>
              <w:rPr>
                <w:b w:val="0"/>
                <w:sz w:val="20"/>
                <w:lang w:val="en-US"/>
              </w:rPr>
            </w:pPr>
          </w:p>
        </w:tc>
      </w:tr>
    </w:tbl>
    <w:p w14:paraId="615C715E" w14:textId="49930F14" w:rsidR="00BB0312" w:rsidRDefault="00BB0312" w:rsidP="00EB10CB">
      <w:pPr>
        <w:pStyle w:val="LGTdoc1"/>
        <w:spacing w:beforeLines="0" w:after="0" w:afterAutospacing="0"/>
        <w:rPr>
          <w:b w:val="0"/>
          <w:sz w:val="20"/>
          <w:lang w:val="en-US"/>
        </w:rPr>
      </w:pPr>
      <w:r>
        <w:rPr>
          <w:b w:val="0"/>
          <w:sz w:val="20"/>
          <w:lang w:val="en-US"/>
        </w:rPr>
        <w:lastRenderedPageBreak/>
        <w:t>Accordingly, we proposed the following clarification for FG 6-10a.</w:t>
      </w:r>
    </w:p>
    <w:p w14:paraId="5360F490" w14:textId="77777777" w:rsidR="00BB0312" w:rsidRDefault="00BB0312" w:rsidP="00EB10CB">
      <w:pPr>
        <w:pStyle w:val="LGTdoc1"/>
        <w:spacing w:beforeLines="0" w:after="0" w:afterAutospacing="0"/>
        <w:rPr>
          <w:b w:val="0"/>
          <w:sz w:val="20"/>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5"/>
        <w:gridCol w:w="1173"/>
        <w:gridCol w:w="1309"/>
        <w:gridCol w:w="522"/>
        <w:gridCol w:w="426"/>
        <w:gridCol w:w="942"/>
        <w:gridCol w:w="546"/>
        <w:gridCol w:w="572"/>
        <w:gridCol w:w="572"/>
        <w:gridCol w:w="468"/>
        <w:gridCol w:w="729"/>
        <w:gridCol w:w="530"/>
        <w:gridCol w:w="869"/>
        <w:gridCol w:w="839"/>
      </w:tblGrid>
      <w:tr w:rsidR="00BB0312" w:rsidRPr="00A2545F" w14:paraId="4B3DD5E1" w14:textId="77777777" w:rsidTr="00E749BB">
        <w:trPr>
          <w:trHeight w:val="510"/>
        </w:trPr>
        <w:tc>
          <w:tcPr>
            <w:tcW w:w="217" w:type="pct"/>
            <w:shd w:val="clear" w:color="auto" w:fill="auto"/>
          </w:tcPr>
          <w:p w14:paraId="2757F314"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6-10a</w:t>
            </w:r>
          </w:p>
        </w:tc>
        <w:tc>
          <w:tcPr>
            <w:tcW w:w="547" w:type="pct"/>
            <w:shd w:val="clear" w:color="auto" w:fill="auto"/>
            <w:vAlign w:val="center"/>
          </w:tcPr>
          <w:p w14:paraId="74150487"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Cross carrier scheduling for different numerologies</w:t>
            </w:r>
          </w:p>
        </w:tc>
        <w:tc>
          <w:tcPr>
            <w:tcW w:w="612" w:type="pct"/>
            <w:shd w:val="clear" w:color="auto" w:fill="auto"/>
            <w:vAlign w:val="center"/>
          </w:tcPr>
          <w:p w14:paraId="655BAD12"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1) Cross carrier scheduling for the different numerologies with CIF</w:t>
            </w:r>
          </w:p>
        </w:tc>
        <w:tc>
          <w:tcPr>
            <w:tcW w:w="244" w:type="pct"/>
            <w:shd w:val="clear" w:color="auto" w:fill="auto"/>
          </w:tcPr>
          <w:p w14:paraId="090B7976"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6-10</w:t>
            </w:r>
          </w:p>
        </w:tc>
        <w:tc>
          <w:tcPr>
            <w:tcW w:w="199" w:type="pct"/>
            <w:shd w:val="clear" w:color="auto" w:fill="auto"/>
            <w:vAlign w:val="center"/>
          </w:tcPr>
          <w:p w14:paraId="183F6941"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Yes</w:t>
            </w:r>
          </w:p>
        </w:tc>
        <w:tc>
          <w:tcPr>
            <w:tcW w:w="440" w:type="pct"/>
            <w:shd w:val="clear" w:color="auto" w:fill="auto"/>
            <w:vAlign w:val="center"/>
          </w:tcPr>
          <w:p w14:paraId="53B59DBB" w14:textId="77777777" w:rsidR="00BB0312" w:rsidRPr="00CB5EA7" w:rsidRDefault="00BB0312" w:rsidP="00E749BB">
            <w:pPr>
              <w:snapToGrid w:val="0"/>
              <w:rPr>
                <w:rFonts w:ascii="Arial" w:eastAsia="MS PGothic" w:hAnsi="Arial" w:cs="Arial"/>
                <w:sz w:val="18"/>
                <w:szCs w:val="18"/>
              </w:rPr>
            </w:pPr>
          </w:p>
        </w:tc>
        <w:tc>
          <w:tcPr>
            <w:tcW w:w="255" w:type="pct"/>
            <w:shd w:val="clear" w:color="auto" w:fill="auto"/>
            <w:vAlign w:val="center"/>
          </w:tcPr>
          <w:p w14:paraId="7970F4D5" w14:textId="77777777" w:rsidR="00BB0312" w:rsidRPr="00703E46" w:rsidRDefault="00BB0312" w:rsidP="00E749BB">
            <w:pPr>
              <w:snapToGrid w:val="0"/>
              <w:rPr>
                <w:rFonts w:ascii="Arial" w:eastAsia="MS PGothic" w:hAnsi="Arial" w:cs="Arial"/>
                <w:sz w:val="18"/>
                <w:szCs w:val="18"/>
              </w:rPr>
            </w:pPr>
            <w:r w:rsidRPr="00703E46">
              <w:rPr>
                <w:rFonts w:ascii="Arial" w:eastAsia="MS PGothic" w:hAnsi="Arial" w:cs="Arial"/>
                <w:sz w:val="18"/>
                <w:szCs w:val="18"/>
              </w:rPr>
              <w:t>Type 3,</w:t>
            </w:r>
          </w:p>
          <w:p w14:paraId="7D6D90C7" w14:textId="77777777" w:rsidR="00BB0312" w:rsidRPr="00D664CD" w:rsidRDefault="00BB0312" w:rsidP="00E749BB">
            <w:pPr>
              <w:snapToGrid w:val="0"/>
              <w:rPr>
                <w:rFonts w:ascii="Arial" w:eastAsia="MS PGothic" w:hAnsi="Arial" w:cs="Arial"/>
                <w:sz w:val="18"/>
                <w:szCs w:val="18"/>
                <w:highlight w:val="yellow"/>
              </w:rPr>
            </w:pPr>
            <w:r w:rsidRPr="00703E46">
              <w:rPr>
                <w:rFonts w:ascii="Malgun Gothic" w:hAnsi="Malgun Gothic" w:cs="MS PGothic"/>
                <w:sz w:val="18"/>
                <w:szCs w:val="18"/>
              </w:rPr>
              <w:t>or SCS combination dependent</w:t>
            </w:r>
          </w:p>
        </w:tc>
        <w:tc>
          <w:tcPr>
            <w:tcW w:w="267" w:type="pct"/>
            <w:shd w:val="clear" w:color="auto" w:fill="auto"/>
            <w:vAlign w:val="center"/>
          </w:tcPr>
          <w:p w14:paraId="6F5816CE"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N.A.</w:t>
            </w:r>
          </w:p>
        </w:tc>
        <w:tc>
          <w:tcPr>
            <w:tcW w:w="267" w:type="pct"/>
            <w:shd w:val="clear" w:color="auto" w:fill="auto"/>
            <w:vAlign w:val="center"/>
          </w:tcPr>
          <w:p w14:paraId="216FC80F" w14:textId="77777777" w:rsidR="00BB0312" w:rsidRPr="00CB5EA7" w:rsidRDefault="00BB0312" w:rsidP="00E749BB">
            <w:pPr>
              <w:snapToGrid w:val="0"/>
              <w:rPr>
                <w:rFonts w:ascii="Arial" w:eastAsia="MS PGothic" w:hAnsi="Arial" w:cs="Arial"/>
                <w:sz w:val="18"/>
                <w:szCs w:val="18"/>
              </w:rPr>
            </w:pPr>
            <w:r w:rsidRPr="00CB5EA7">
              <w:rPr>
                <w:rFonts w:ascii="Arial" w:eastAsia="MS PGothic" w:hAnsi="Arial" w:cs="Arial"/>
                <w:sz w:val="18"/>
                <w:szCs w:val="18"/>
              </w:rPr>
              <w:t>N.A.</w:t>
            </w:r>
          </w:p>
        </w:tc>
        <w:tc>
          <w:tcPr>
            <w:tcW w:w="219" w:type="pct"/>
            <w:shd w:val="clear" w:color="auto" w:fill="auto"/>
            <w:vAlign w:val="center"/>
          </w:tcPr>
          <w:p w14:paraId="585ABE97" w14:textId="77777777" w:rsidR="00BB0312" w:rsidRPr="00CB5EA7" w:rsidRDefault="00BB0312" w:rsidP="00E749BB">
            <w:pPr>
              <w:snapToGrid w:val="0"/>
              <w:rPr>
                <w:rFonts w:ascii="Malgun Gothic" w:eastAsia="Malgun Gothic" w:hAnsi="Malgun Gothic" w:cs="MS PGothic"/>
                <w:sz w:val="18"/>
                <w:szCs w:val="18"/>
              </w:rPr>
            </w:pPr>
          </w:p>
        </w:tc>
        <w:tc>
          <w:tcPr>
            <w:tcW w:w="341" w:type="pct"/>
            <w:shd w:val="clear" w:color="auto" w:fill="auto"/>
            <w:vAlign w:val="center"/>
          </w:tcPr>
          <w:p w14:paraId="2C4E8A36" w14:textId="77777777" w:rsidR="00BB0312" w:rsidRPr="00E749BB" w:rsidRDefault="00BB0312" w:rsidP="00E749BB">
            <w:pPr>
              <w:snapToGrid w:val="0"/>
              <w:rPr>
                <w:rFonts w:ascii="Malgun Gothic" w:hAnsi="Malgun Gothic" w:cs="MS PGothic"/>
                <w:sz w:val="18"/>
                <w:szCs w:val="18"/>
                <w:highlight w:val="cyan"/>
              </w:rPr>
            </w:pPr>
            <w:r>
              <w:rPr>
                <w:rFonts w:ascii="Malgun Gothic" w:hAnsi="Malgun Gothic" w:cs="MS PGothic"/>
                <w:sz w:val="18"/>
                <w:szCs w:val="18"/>
                <w:highlight w:val="cyan"/>
              </w:rPr>
              <w:t xml:space="preserve">Intel: </w:t>
            </w:r>
            <w:r w:rsidRPr="00E749BB">
              <w:rPr>
                <w:rFonts w:ascii="Malgun Gothic" w:hAnsi="Malgun Gothic" w:cs="MS PGothic"/>
                <w:sz w:val="18"/>
                <w:szCs w:val="18"/>
                <w:highlight w:val="cyan"/>
              </w:rPr>
              <w:t>This FG is not supported in Rel-15.</w:t>
            </w:r>
          </w:p>
        </w:tc>
        <w:tc>
          <w:tcPr>
            <w:tcW w:w="248" w:type="pct"/>
            <w:shd w:val="clear" w:color="auto" w:fill="auto"/>
            <w:vAlign w:val="center"/>
          </w:tcPr>
          <w:p w14:paraId="5C190DE9" w14:textId="77777777" w:rsidR="00BB0312" w:rsidRPr="00A2545F" w:rsidRDefault="00BB0312" w:rsidP="00E749BB">
            <w:pPr>
              <w:snapToGrid w:val="0"/>
              <w:rPr>
                <w:rFonts w:ascii="Arial" w:eastAsia="MS PGothic" w:hAnsi="Arial" w:cs="Arial"/>
                <w:sz w:val="18"/>
                <w:szCs w:val="18"/>
              </w:rPr>
            </w:pPr>
          </w:p>
        </w:tc>
        <w:tc>
          <w:tcPr>
            <w:tcW w:w="406" w:type="pct"/>
            <w:shd w:val="clear" w:color="000000" w:fill="BFBFBF"/>
            <w:vAlign w:val="center"/>
          </w:tcPr>
          <w:p w14:paraId="48378ABF" w14:textId="77777777" w:rsidR="00BB0312" w:rsidRDefault="00BB0312" w:rsidP="00E749BB">
            <w:pPr>
              <w:snapToGrid w:val="0"/>
              <w:rPr>
                <w:rFonts w:ascii="Arial" w:eastAsia="MS PGothic" w:hAnsi="Arial" w:cs="Arial"/>
                <w:sz w:val="18"/>
                <w:szCs w:val="18"/>
              </w:rPr>
            </w:pPr>
          </w:p>
        </w:tc>
        <w:tc>
          <w:tcPr>
            <w:tcW w:w="392" w:type="pct"/>
            <w:shd w:val="clear" w:color="auto" w:fill="auto"/>
          </w:tcPr>
          <w:p w14:paraId="15D298D5" w14:textId="77777777" w:rsidR="00BB0312" w:rsidRPr="00A2545F" w:rsidRDefault="00BB0312" w:rsidP="00E749BB">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r>
    </w:tbl>
    <w:p w14:paraId="7AD70E99" w14:textId="77777777" w:rsidR="00BB0312" w:rsidRDefault="00BB0312" w:rsidP="00EB10CB">
      <w:pPr>
        <w:pStyle w:val="LGTdoc1"/>
        <w:spacing w:beforeLines="0" w:after="0" w:afterAutospacing="0"/>
        <w:rPr>
          <w:b w:val="0"/>
          <w:sz w:val="20"/>
          <w:lang w:val="en-US"/>
        </w:rPr>
      </w:pPr>
    </w:p>
    <w:p w14:paraId="32760D8C" w14:textId="77777777" w:rsidR="00BB0312" w:rsidRDefault="00BB0312" w:rsidP="00EB10CB">
      <w:pPr>
        <w:pStyle w:val="LGTdoc1"/>
        <w:spacing w:beforeLines="0" w:after="0" w:afterAutospacing="0"/>
        <w:rPr>
          <w:b w:val="0"/>
          <w:sz w:val="20"/>
          <w:lang w:val="en-US"/>
        </w:rPr>
      </w:pPr>
    </w:p>
    <w:p w14:paraId="7688333C" w14:textId="77777777" w:rsidR="00B86F3D" w:rsidRDefault="00B86F3D" w:rsidP="00EB10CB">
      <w:pPr>
        <w:pStyle w:val="LGTdoc1"/>
        <w:spacing w:beforeLines="0" w:after="0" w:afterAutospacing="0"/>
        <w:rPr>
          <w:rFonts w:ascii="Arial" w:hAnsi="Arial" w:cs="Arial"/>
          <w:lang w:val="en-US"/>
        </w:rPr>
      </w:pPr>
    </w:p>
    <w:p w14:paraId="46B32342" w14:textId="77777777" w:rsidR="00BB0312" w:rsidRPr="00FC7BBB" w:rsidRDefault="00BB0312"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5EB1CAB6" w:rsidR="006266E5" w:rsidRDefault="00970EC2" w:rsidP="00DB4FD0">
      <w:pPr>
        <w:pStyle w:val="LGTdoc"/>
        <w:spacing w:before="120" w:after="120"/>
        <w:ind w:left="300" w:hangingChars="150" w:hanging="300"/>
        <w:jc w:val="left"/>
        <w:rPr>
          <w:sz w:val="20"/>
        </w:rPr>
      </w:pPr>
      <w:r w:rsidRPr="00FC7BBB">
        <w:rPr>
          <w:sz w:val="20"/>
        </w:rPr>
        <w:t xml:space="preserve">[1] </w:t>
      </w:r>
      <w:r w:rsidR="000D7D1B" w:rsidRPr="000D7D1B">
        <w:rPr>
          <w:sz w:val="20"/>
        </w:rPr>
        <w:t>RP-182143</w:t>
      </w:r>
      <w:r w:rsidR="00CE6E7B">
        <w:rPr>
          <w:sz w:val="20"/>
        </w:rPr>
        <w:t xml:space="preserve">, </w:t>
      </w:r>
      <w:r w:rsidR="000D7D1B" w:rsidRPr="000D7D1B">
        <w:rPr>
          <w:sz w:val="20"/>
        </w:rPr>
        <w:t>LS on RAN1 NR UE feature list</w:t>
      </w:r>
      <w:r w:rsidR="00CE6E7B">
        <w:rPr>
          <w:sz w:val="20"/>
        </w:rPr>
        <w:t>, RAN</w:t>
      </w:r>
    </w:p>
    <w:p w14:paraId="1B236576" w14:textId="65A061E6" w:rsidR="00A143C6" w:rsidRDefault="00A143C6" w:rsidP="00CE6E7B">
      <w:pPr>
        <w:pStyle w:val="LGTdoc"/>
        <w:spacing w:before="120" w:after="120"/>
        <w:ind w:left="300" w:hangingChars="150" w:hanging="300"/>
        <w:jc w:val="left"/>
        <w:rPr>
          <w:sz w:val="20"/>
          <w:lang w:val="en-US"/>
        </w:rPr>
      </w:pPr>
      <w:r>
        <w:rPr>
          <w:sz w:val="20"/>
        </w:rPr>
        <w:t>[</w:t>
      </w:r>
      <w:r w:rsidR="00927993">
        <w:rPr>
          <w:sz w:val="20"/>
        </w:rPr>
        <w:t>2</w:t>
      </w:r>
      <w:r>
        <w:rPr>
          <w:sz w:val="20"/>
        </w:rPr>
        <w:t xml:space="preserve">]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4D89AFB" w:rsidR="00881ED2" w:rsidRDefault="00881ED2" w:rsidP="00CE6E7B">
      <w:pPr>
        <w:pStyle w:val="LGTdoc"/>
        <w:spacing w:before="120" w:after="120"/>
        <w:ind w:left="300" w:hangingChars="150" w:hanging="300"/>
        <w:jc w:val="left"/>
        <w:rPr>
          <w:sz w:val="20"/>
          <w:lang w:val="en-US"/>
        </w:rPr>
      </w:pPr>
      <w:r>
        <w:rPr>
          <w:sz w:val="20"/>
          <w:lang w:val="en-US"/>
        </w:rPr>
        <w:t>[</w:t>
      </w:r>
      <w:r w:rsidR="00463E26">
        <w:rPr>
          <w:sz w:val="20"/>
          <w:lang w:val="en-US"/>
        </w:rPr>
        <w:t>3</w:t>
      </w:r>
      <w:r>
        <w:rPr>
          <w:sz w:val="20"/>
          <w:lang w:val="en-US"/>
        </w:rPr>
        <w:t xml:space="preserve">]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1397B4F5" w14:textId="114DBC18" w:rsidR="00463E26" w:rsidRDefault="00463E26" w:rsidP="00CE6E7B">
      <w:pPr>
        <w:pStyle w:val="LGTdoc"/>
        <w:spacing w:before="120" w:after="120"/>
        <w:ind w:left="300" w:hangingChars="150" w:hanging="300"/>
        <w:jc w:val="left"/>
        <w:rPr>
          <w:sz w:val="20"/>
          <w:lang w:val="en-US"/>
        </w:rPr>
      </w:pPr>
      <w:r>
        <w:rPr>
          <w:sz w:val="20"/>
          <w:lang w:val="en-US"/>
        </w:rPr>
        <w:t xml:space="preserve">[4] RP-172844, </w:t>
      </w:r>
      <w:r w:rsidRPr="00463E26">
        <w:rPr>
          <w:sz w:val="20"/>
          <w:lang w:val="en-US"/>
        </w:rPr>
        <w:t>NR workload management</w:t>
      </w:r>
      <w:r>
        <w:rPr>
          <w:sz w:val="20"/>
          <w:lang w:val="en-US"/>
        </w:rPr>
        <w:t>, RAN Chairman</w:t>
      </w:r>
    </w:p>
    <w:p w14:paraId="4824C5F0" w14:textId="6AF21520" w:rsidR="0031400B" w:rsidRDefault="002B274D" w:rsidP="00CE6E7B">
      <w:pPr>
        <w:pStyle w:val="LGTdoc"/>
        <w:spacing w:before="120" w:after="120"/>
        <w:ind w:left="300" w:hangingChars="150" w:hanging="300"/>
        <w:jc w:val="left"/>
        <w:rPr>
          <w:sz w:val="20"/>
          <w:lang w:val="en-US"/>
        </w:rPr>
      </w:pPr>
      <w:r>
        <w:rPr>
          <w:sz w:val="20"/>
          <w:lang w:val="en-US"/>
        </w:rPr>
        <w:t xml:space="preserve">[5] R4-1803564, </w:t>
      </w:r>
      <w:r w:rsidRPr="002B274D">
        <w:rPr>
          <w:sz w:val="20"/>
          <w:lang w:val="en-US"/>
        </w:rPr>
        <w:t>LS on UE feature list</w:t>
      </w:r>
      <w:r>
        <w:rPr>
          <w:sz w:val="20"/>
          <w:lang w:val="en-US"/>
        </w:rPr>
        <w:t>, RAN4</w:t>
      </w:r>
    </w:p>
    <w:p w14:paraId="79131A5C" w14:textId="47014F56" w:rsidR="00B27D47" w:rsidRPr="00AA17B5" w:rsidRDefault="00B27D47" w:rsidP="00CE6E7B">
      <w:pPr>
        <w:pStyle w:val="LGTdoc"/>
        <w:spacing w:before="120" w:after="120"/>
        <w:ind w:left="300" w:hangingChars="150" w:hanging="300"/>
        <w:jc w:val="left"/>
        <w:rPr>
          <w:sz w:val="20"/>
          <w:lang w:val="en-US"/>
        </w:rPr>
      </w:pPr>
      <w:r>
        <w:rPr>
          <w:sz w:val="20"/>
          <w:lang w:val="en-US"/>
        </w:rPr>
        <w:t xml:space="preserve">[6] </w:t>
      </w:r>
      <w:r w:rsidRPr="00AA17B5">
        <w:rPr>
          <w:sz w:val="20"/>
          <w:lang w:val="en-US"/>
        </w:rPr>
        <w:t>R1-1808003, LS on the feasibility of 1 symbol GP for 60KHz in FR1 and 120KHz in FR2, RAN4</w:t>
      </w:r>
    </w:p>
    <w:p w14:paraId="19188B53" w14:textId="70617355" w:rsidR="00B27D47" w:rsidRDefault="00B27D47" w:rsidP="00CE6E7B">
      <w:pPr>
        <w:pStyle w:val="LGTdoc"/>
        <w:spacing w:before="120" w:after="120"/>
        <w:ind w:left="300" w:hangingChars="150" w:hanging="300"/>
        <w:jc w:val="left"/>
        <w:rPr>
          <w:sz w:val="20"/>
          <w:lang w:val="en-US"/>
        </w:rPr>
      </w:pPr>
      <w:r w:rsidRPr="00AA17B5">
        <w:rPr>
          <w:sz w:val="20"/>
          <w:lang w:val="en-US"/>
        </w:rPr>
        <w:t xml:space="preserve">[7] </w:t>
      </w:r>
      <w:r w:rsidR="00AA17B5" w:rsidRPr="008447BC">
        <w:rPr>
          <w:sz w:val="20"/>
          <w:szCs w:val="20"/>
        </w:rPr>
        <w:t xml:space="preserve">R1-1808674, </w:t>
      </w:r>
      <w:r w:rsidR="00AA17B5">
        <w:rPr>
          <w:sz w:val="20"/>
          <w:szCs w:val="20"/>
        </w:rPr>
        <w:t>“</w:t>
      </w:r>
      <w:r w:rsidR="00AA17B5" w:rsidRPr="008447BC">
        <w:rPr>
          <w:sz w:val="20"/>
          <w:szCs w:val="20"/>
        </w:rPr>
        <w:t>NR scheduling and HARQ procedures</w:t>
      </w:r>
      <w:r w:rsidR="00AA17B5">
        <w:rPr>
          <w:sz w:val="20"/>
          <w:szCs w:val="20"/>
        </w:rPr>
        <w:t xml:space="preserve">,” </w:t>
      </w:r>
      <w:r w:rsidR="00AA17B5" w:rsidRPr="008447BC">
        <w:rPr>
          <w:sz w:val="20"/>
          <w:szCs w:val="20"/>
        </w:rPr>
        <w:t>Intel Corporation</w:t>
      </w:r>
      <w:r w:rsidR="00AA17B5">
        <w:rPr>
          <w:sz w:val="20"/>
          <w:szCs w:val="20"/>
        </w:rPr>
        <w:t>, RAN1 #93, Gothenburg, Sweden, Aug. 2018</w:t>
      </w:r>
    </w:p>
    <w:p w14:paraId="03725310" w14:textId="77777777" w:rsidR="00D11B00" w:rsidRDefault="00BB53CC" w:rsidP="0031400B">
      <w:pPr>
        <w:pStyle w:val="LGTdoc"/>
        <w:spacing w:before="120" w:after="120"/>
        <w:ind w:left="300" w:hangingChars="150" w:hanging="300"/>
        <w:jc w:val="left"/>
        <w:rPr>
          <w:sz w:val="20"/>
          <w:lang w:val="en-US"/>
        </w:rPr>
      </w:pPr>
      <w:r>
        <w:rPr>
          <w:sz w:val="20"/>
          <w:lang w:val="en-US"/>
        </w:rPr>
        <w:t xml:space="preserve">[8] </w:t>
      </w:r>
      <w:r w:rsidRPr="00BB53CC">
        <w:rPr>
          <w:sz w:val="20"/>
          <w:lang w:val="en-US"/>
        </w:rPr>
        <w:t>RP-181483</w:t>
      </w:r>
      <w:r>
        <w:rPr>
          <w:sz w:val="20"/>
          <w:lang w:val="en-US"/>
        </w:rPr>
        <w:t xml:space="preserve">, </w:t>
      </w:r>
      <w:r w:rsidRPr="00BB53CC">
        <w:rPr>
          <w:sz w:val="20"/>
          <w:lang w:val="en-US"/>
        </w:rPr>
        <w:t>RAN1 NR UE feature list</w:t>
      </w:r>
      <w:r>
        <w:rPr>
          <w:sz w:val="20"/>
          <w:lang w:val="en-US"/>
        </w:rPr>
        <w:t>, NTT DOCOMO</w:t>
      </w:r>
    </w:p>
    <w:p w14:paraId="01A8ED30" w14:textId="0A933118" w:rsidR="00257ED5" w:rsidRDefault="00257ED5" w:rsidP="0031400B">
      <w:pPr>
        <w:pStyle w:val="LGTdoc"/>
        <w:spacing w:before="120" w:after="120"/>
        <w:ind w:left="300" w:hangingChars="150" w:hanging="300"/>
        <w:jc w:val="left"/>
        <w:rPr>
          <w:sz w:val="20"/>
          <w:lang w:val="en-US"/>
        </w:rPr>
      </w:pPr>
      <w:r>
        <w:rPr>
          <w:sz w:val="20"/>
          <w:lang w:val="en-US"/>
        </w:rPr>
        <w:t xml:space="preserve">[9] </w:t>
      </w:r>
      <w:r w:rsidRPr="00257ED5">
        <w:rPr>
          <w:sz w:val="20"/>
          <w:lang w:val="en-US"/>
        </w:rPr>
        <w:t>R1-1808171</w:t>
      </w:r>
      <w:r>
        <w:rPr>
          <w:sz w:val="20"/>
          <w:lang w:val="en-US"/>
        </w:rPr>
        <w:t xml:space="preserve">, </w:t>
      </w:r>
      <w:r w:rsidRPr="00257ED5">
        <w:rPr>
          <w:sz w:val="20"/>
          <w:lang w:val="en-US"/>
        </w:rPr>
        <w:t>Reply LS on Bandwidth configuration for initial BWP</w:t>
      </w:r>
      <w:r>
        <w:rPr>
          <w:sz w:val="20"/>
          <w:lang w:val="en-US"/>
        </w:rPr>
        <w:t>, RAN2</w:t>
      </w:r>
    </w:p>
    <w:p w14:paraId="17874A83" w14:textId="5C07FCA5" w:rsidR="00D259F3" w:rsidRDefault="00D259F3" w:rsidP="0031400B">
      <w:pPr>
        <w:pStyle w:val="LGTdoc"/>
        <w:spacing w:before="120" w:after="120"/>
        <w:ind w:left="300" w:hangingChars="150" w:hanging="300"/>
        <w:jc w:val="left"/>
        <w:rPr>
          <w:sz w:val="20"/>
          <w:lang w:val="en-US"/>
        </w:rPr>
      </w:pPr>
      <w:r>
        <w:rPr>
          <w:sz w:val="20"/>
          <w:lang w:val="en-US"/>
        </w:rPr>
        <w:t xml:space="preserve">[10] </w:t>
      </w:r>
      <w:r w:rsidRPr="00D259F3">
        <w:rPr>
          <w:sz w:val="20"/>
          <w:lang w:val="en-US"/>
        </w:rPr>
        <w:t>R1-1810063</w:t>
      </w:r>
      <w:r>
        <w:rPr>
          <w:sz w:val="20"/>
          <w:lang w:val="en-US"/>
        </w:rPr>
        <w:t xml:space="preserve">, </w:t>
      </w:r>
      <w:r w:rsidRPr="00D259F3">
        <w:rPr>
          <w:sz w:val="20"/>
          <w:lang w:val="en-US"/>
        </w:rPr>
        <w:t>LS on UE feature list for NR</w:t>
      </w:r>
      <w:r>
        <w:rPr>
          <w:sz w:val="20"/>
          <w:lang w:val="en-US"/>
        </w:rPr>
        <w:t>, RAN4</w:t>
      </w:r>
    </w:p>
    <w:p w14:paraId="0AC59008" w14:textId="6C054300" w:rsidR="00BB0312" w:rsidRPr="00E916A7" w:rsidRDefault="00BB0312" w:rsidP="0031400B">
      <w:pPr>
        <w:pStyle w:val="LGTdoc"/>
        <w:spacing w:before="120" w:after="120"/>
        <w:ind w:left="300" w:hangingChars="150" w:hanging="300"/>
        <w:jc w:val="left"/>
        <w:rPr>
          <w:sz w:val="20"/>
          <w:lang w:val="en-US"/>
        </w:rPr>
      </w:pPr>
      <w:r>
        <w:rPr>
          <w:sz w:val="20"/>
          <w:lang w:val="en-US"/>
        </w:rPr>
        <w:t xml:space="preserve">[11] </w:t>
      </w:r>
      <w:r w:rsidRPr="00BB0312">
        <w:rPr>
          <w:sz w:val="20"/>
          <w:lang w:val="en-US"/>
        </w:rPr>
        <w:t>RP-182014</w:t>
      </w:r>
      <w:r>
        <w:rPr>
          <w:sz w:val="20"/>
          <w:lang w:val="en-US"/>
        </w:rPr>
        <w:t xml:space="preserve">, </w:t>
      </w:r>
      <w:r w:rsidRPr="00BB0312">
        <w:rPr>
          <w:sz w:val="20"/>
          <w:lang w:val="en-US"/>
        </w:rPr>
        <w:t>Way Forward for Cross-Carrier Scheduling with Different Numerologies</w:t>
      </w:r>
      <w:r>
        <w:rPr>
          <w:sz w:val="20"/>
          <w:lang w:val="en-US"/>
        </w:rPr>
        <w:t>, Nokia</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C70BF7" w14:textId="77777777" w:rsidR="00C8753B" w:rsidRDefault="00C8753B">
      <w:r>
        <w:separator/>
      </w:r>
    </w:p>
  </w:endnote>
  <w:endnote w:type="continuationSeparator" w:id="0">
    <w:p w14:paraId="458EA90F" w14:textId="77777777" w:rsidR="00C8753B" w:rsidRDefault="00C8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463E26" w:rsidRDefault="00463E2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463E26" w:rsidRDefault="00463E2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463E26" w:rsidRDefault="00463E2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923B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923B4">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59EC2B" w14:textId="77777777" w:rsidR="00C8753B" w:rsidRDefault="00C8753B">
      <w:r>
        <w:separator/>
      </w:r>
    </w:p>
  </w:footnote>
  <w:footnote w:type="continuationSeparator" w:id="0">
    <w:p w14:paraId="3747B783" w14:textId="77777777" w:rsidR="00C8753B" w:rsidRDefault="00C875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463E26" w:rsidRDefault="00463E2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9549C1"/>
    <w:multiLevelType w:val="hybridMultilevel"/>
    <w:tmpl w:val="91C2566A"/>
    <w:lvl w:ilvl="0" w:tplc="1422C56A">
      <w:start w:val="2"/>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BF2F08"/>
    <w:multiLevelType w:val="hybridMultilevel"/>
    <w:tmpl w:val="00925E1E"/>
    <w:lvl w:ilvl="0" w:tplc="20B65F82">
      <w:start w:val="1"/>
      <w:numFmt w:val="bullet"/>
      <w:lvlText w:val="•"/>
      <w:lvlJc w:val="left"/>
      <w:pPr>
        <w:tabs>
          <w:tab w:val="num" w:pos="360"/>
        </w:tabs>
        <w:ind w:left="360" w:hanging="360"/>
      </w:pPr>
      <w:rPr>
        <w:rFonts w:ascii="Arial" w:hAnsi="Arial" w:hint="default"/>
      </w:rPr>
    </w:lvl>
    <w:lvl w:ilvl="1" w:tplc="923C77A4">
      <w:start w:val="50"/>
      <w:numFmt w:val="bullet"/>
      <w:lvlText w:val="•"/>
      <w:lvlJc w:val="left"/>
      <w:pPr>
        <w:tabs>
          <w:tab w:val="num" w:pos="1080"/>
        </w:tabs>
        <w:ind w:left="1080" w:hanging="360"/>
      </w:pPr>
      <w:rPr>
        <w:rFonts w:ascii="Arial" w:hAnsi="Arial" w:hint="default"/>
      </w:rPr>
    </w:lvl>
    <w:lvl w:ilvl="2" w:tplc="3C5027D2">
      <w:start w:val="1"/>
      <w:numFmt w:val="bullet"/>
      <w:lvlText w:val="•"/>
      <w:lvlJc w:val="left"/>
      <w:pPr>
        <w:tabs>
          <w:tab w:val="num" w:pos="1800"/>
        </w:tabs>
        <w:ind w:left="1800" w:hanging="360"/>
      </w:pPr>
      <w:rPr>
        <w:rFonts w:ascii="Arial" w:hAnsi="Arial" w:hint="default"/>
      </w:rPr>
    </w:lvl>
    <w:lvl w:ilvl="3" w:tplc="0090E940" w:tentative="1">
      <w:start w:val="1"/>
      <w:numFmt w:val="bullet"/>
      <w:lvlText w:val="•"/>
      <w:lvlJc w:val="left"/>
      <w:pPr>
        <w:tabs>
          <w:tab w:val="num" w:pos="2520"/>
        </w:tabs>
        <w:ind w:left="2520" w:hanging="360"/>
      </w:pPr>
      <w:rPr>
        <w:rFonts w:ascii="Arial" w:hAnsi="Arial" w:hint="default"/>
      </w:rPr>
    </w:lvl>
    <w:lvl w:ilvl="4" w:tplc="CAD872BE" w:tentative="1">
      <w:start w:val="1"/>
      <w:numFmt w:val="bullet"/>
      <w:lvlText w:val="•"/>
      <w:lvlJc w:val="left"/>
      <w:pPr>
        <w:tabs>
          <w:tab w:val="num" w:pos="3240"/>
        </w:tabs>
        <w:ind w:left="3240" w:hanging="360"/>
      </w:pPr>
      <w:rPr>
        <w:rFonts w:ascii="Arial" w:hAnsi="Arial" w:hint="default"/>
      </w:rPr>
    </w:lvl>
    <w:lvl w:ilvl="5" w:tplc="4B207BAE" w:tentative="1">
      <w:start w:val="1"/>
      <w:numFmt w:val="bullet"/>
      <w:lvlText w:val="•"/>
      <w:lvlJc w:val="left"/>
      <w:pPr>
        <w:tabs>
          <w:tab w:val="num" w:pos="3960"/>
        </w:tabs>
        <w:ind w:left="3960" w:hanging="360"/>
      </w:pPr>
      <w:rPr>
        <w:rFonts w:ascii="Arial" w:hAnsi="Arial" w:hint="default"/>
      </w:rPr>
    </w:lvl>
    <w:lvl w:ilvl="6" w:tplc="350A3AB6" w:tentative="1">
      <w:start w:val="1"/>
      <w:numFmt w:val="bullet"/>
      <w:lvlText w:val="•"/>
      <w:lvlJc w:val="left"/>
      <w:pPr>
        <w:tabs>
          <w:tab w:val="num" w:pos="4680"/>
        </w:tabs>
        <w:ind w:left="4680" w:hanging="360"/>
      </w:pPr>
      <w:rPr>
        <w:rFonts w:ascii="Arial" w:hAnsi="Arial" w:hint="default"/>
      </w:rPr>
    </w:lvl>
    <w:lvl w:ilvl="7" w:tplc="B82E6876" w:tentative="1">
      <w:start w:val="1"/>
      <w:numFmt w:val="bullet"/>
      <w:lvlText w:val="•"/>
      <w:lvlJc w:val="left"/>
      <w:pPr>
        <w:tabs>
          <w:tab w:val="num" w:pos="5400"/>
        </w:tabs>
        <w:ind w:left="5400" w:hanging="360"/>
      </w:pPr>
      <w:rPr>
        <w:rFonts w:ascii="Arial" w:hAnsi="Arial" w:hint="default"/>
      </w:rPr>
    </w:lvl>
    <w:lvl w:ilvl="8" w:tplc="FB3E297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974C33"/>
    <w:multiLevelType w:val="hybridMultilevel"/>
    <w:tmpl w:val="1ACEA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2"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F97D40"/>
    <w:multiLevelType w:val="hybridMultilevel"/>
    <w:tmpl w:val="6526E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21"/>
  </w:num>
  <w:num w:numId="3">
    <w:abstractNumId w:val="17"/>
  </w:num>
  <w:num w:numId="4">
    <w:abstractNumId w:val="22"/>
  </w:num>
  <w:num w:numId="5">
    <w:abstractNumId w:val="10"/>
  </w:num>
  <w:num w:numId="6">
    <w:abstractNumId w:val="14"/>
  </w:num>
  <w:num w:numId="7">
    <w:abstractNumId w:val="9"/>
  </w:num>
  <w:num w:numId="8">
    <w:abstractNumId w:val="3"/>
  </w:num>
  <w:num w:numId="9">
    <w:abstractNumId w:val="5"/>
  </w:num>
  <w:num w:numId="10">
    <w:abstractNumId w:val="13"/>
  </w:num>
  <w:num w:numId="11">
    <w:abstractNumId w:val="2"/>
  </w:num>
  <w:num w:numId="12">
    <w:abstractNumId w:val="1"/>
  </w:num>
  <w:num w:numId="13">
    <w:abstractNumId w:val="6"/>
  </w:num>
  <w:num w:numId="14">
    <w:abstractNumId w:val="20"/>
  </w:num>
  <w:num w:numId="15">
    <w:abstractNumId w:val="25"/>
  </w:num>
  <w:num w:numId="16">
    <w:abstractNumId w:val="16"/>
  </w:num>
  <w:num w:numId="17">
    <w:abstractNumId w:val="8"/>
  </w:num>
  <w:num w:numId="18">
    <w:abstractNumId w:val="19"/>
  </w:num>
  <w:num w:numId="19">
    <w:abstractNumId w:val="4"/>
  </w:num>
  <w:num w:numId="20">
    <w:abstractNumId w:val="24"/>
  </w:num>
  <w:num w:numId="21">
    <w:abstractNumId w:val="15"/>
  </w:num>
  <w:num w:numId="22">
    <w:abstractNumId w:val="7"/>
  </w:num>
  <w:num w:numId="23">
    <w:abstractNumId w:val="23"/>
  </w:num>
  <w:num w:numId="24">
    <w:abstractNumId w:val="11"/>
  </w:num>
  <w:num w:numId="25">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6C7B"/>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4FFF"/>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33"/>
    <w:rsid w:val="00025AFC"/>
    <w:rsid w:val="000266AE"/>
    <w:rsid w:val="00026905"/>
    <w:rsid w:val="00026977"/>
    <w:rsid w:val="00026AF7"/>
    <w:rsid w:val="00026EF9"/>
    <w:rsid w:val="00027333"/>
    <w:rsid w:val="00027345"/>
    <w:rsid w:val="0002790C"/>
    <w:rsid w:val="000300FE"/>
    <w:rsid w:val="00030308"/>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CBD"/>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BD8"/>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234"/>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C0A"/>
    <w:rsid w:val="000D0F9A"/>
    <w:rsid w:val="000D148D"/>
    <w:rsid w:val="000D14EB"/>
    <w:rsid w:val="000D1610"/>
    <w:rsid w:val="000D1737"/>
    <w:rsid w:val="000D18A9"/>
    <w:rsid w:val="000D1B28"/>
    <w:rsid w:val="000D206C"/>
    <w:rsid w:val="000D21E2"/>
    <w:rsid w:val="000D23C1"/>
    <w:rsid w:val="000D2A02"/>
    <w:rsid w:val="000D2AE0"/>
    <w:rsid w:val="000D2EA5"/>
    <w:rsid w:val="000D35D4"/>
    <w:rsid w:val="000D362A"/>
    <w:rsid w:val="000D37FA"/>
    <w:rsid w:val="000D3A6C"/>
    <w:rsid w:val="000D3BA7"/>
    <w:rsid w:val="000D4324"/>
    <w:rsid w:val="000D46EE"/>
    <w:rsid w:val="000D49CF"/>
    <w:rsid w:val="000D4ABD"/>
    <w:rsid w:val="000D4AC1"/>
    <w:rsid w:val="000D4BEB"/>
    <w:rsid w:val="000D4DE6"/>
    <w:rsid w:val="000D4DFF"/>
    <w:rsid w:val="000D55EA"/>
    <w:rsid w:val="000D5711"/>
    <w:rsid w:val="000D59D6"/>
    <w:rsid w:val="000D5A82"/>
    <w:rsid w:val="000D5AB0"/>
    <w:rsid w:val="000D5AD1"/>
    <w:rsid w:val="000D5C0C"/>
    <w:rsid w:val="000D5E4D"/>
    <w:rsid w:val="000D697E"/>
    <w:rsid w:val="000D6E96"/>
    <w:rsid w:val="000D7268"/>
    <w:rsid w:val="000D75CC"/>
    <w:rsid w:val="000D7783"/>
    <w:rsid w:val="000D7C7C"/>
    <w:rsid w:val="000D7D1B"/>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9A9"/>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0A6B"/>
    <w:rsid w:val="00131172"/>
    <w:rsid w:val="00131683"/>
    <w:rsid w:val="00131AC6"/>
    <w:rsid w:val="001321CE"/>
    <w:rsid w:val="001322B0"/>
    <w:rsid w:val="001324AE"/>
    <w:rsid w:val="00132767"/>
    <w:rsid w:val="00132798"/>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21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3B4"/>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B6"/>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A7EF4"/>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B764A"/>
    <w:rsid w:val="001C002C"/>
    <w:rsid w:val="001C0085"/>
    <w:rsid w:val="001C04E1"/>
    <w:rsid w:val="001C063F"/>
    <w:rsid w:val="001C080B"/>
    <w:rsid w:val="001C0883"/>
    <w:rsid w:val="001C16A9"/>
    <w:rsid w:val="001C1E53"/>
    <w:rsid w:val="001C211D"/>
    <w:rsid w:val="001C2753"/>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1F21"/>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292F"/>
    <w:rsid w:val="002530CC"/>
    <w:rsid w:val="002530D6"/>
    <w:rsid w:val="002530D9"/>
    <w:rsid w:val="0025325D"/>
    <w:rsid w:val="002533FF"/>
    <w:rsid w:val="00253400"/>
    <w:rsid w:val="002537F5"/>
    <w:rsid w:val="00253A89"/>
    <w:rsid w:val="00253D64"/>
    <w:rsid w:val="00255BAE"/>
    <w:rsid w:val="00255C71"/>
    <w:rsid w:val="00256086"/>
    <w:rsid w:val="00256F02"/>
    <w:rsid w:val="002571C8"/>
    <w:rsid w:val="002571DD"/>
    <w:rsid w:val="002572F1"/>
    <w:rsid w:val="00257A62"/>
    <w:rsid w:val="00257ED5"/>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327"/>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137C"/>
    <w:rsid w:val="002B21D6"/>
    <w:rsid w:val="002B2331"/>
    <w:rsid w:val="002B274D"/>
    <w:rsid w:val="002B2C92"/>
    <w:rsid w:val="002B2F85"/>
    <w:rsid w:val="002B3081"/>
    <w:rsid w:val="002B318B"/>
    <w:rsid w:val="002B32BC"/>
    <w:rsid w:val="002B340B"/>
    <w:rsid w:val="002B34AE"/>
    <w:rsid w:val="002B3D90"/>
    <w:rsid w:val="002B3DB9"/>
    <w:rsid w:val="002B42D1"/>
    <w:rsid w:val="002B4C39"/>
    <w:rsid w:val="002B5976"/>
    <w:rsid w:val="002B6397"/>
    <w:rsid w:val="002B64FE"/>
    <w:rsid w:val="002B651D"/>
    <w:rsid w:val="002B6890"/>
    <w:rsid w:val="002B694E"/>
    <w:rsid w:val="002B6BF2"/>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330"/>
    <w:rsid w:val="002D68C3"/>
    <w:rsid w:val="002D6C69"/>
    <w:rsid w:val="002D709A"/>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00B"/>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9EE"/>
    <w:rsid w:val="00341CDF"/>
    <w:rsid w:val="0034243C"/>
    <w:rsid w:val="0034246D"/>
    <w:rsid w:val="003426DE"/>
    <w:rsid w:val="0034305B"/>
    <w:rsid w:val="003430CE"/>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092D"/>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1F36"/>
    <w:rsid w:val="0036262C"/>
    <w:rsid w:val="00362C5A"/>
    <w:rsid w:val="00363CE1"/>
    <w:rsid w:val="00364A63"/>
    <w:rsid w:val="0036692E"/>
    <w:rsid w:val="00367D2F"/>
    <w:rsid w:val="003700A7"/>
    <w:rsid w:val="00370285"/>
    <w:rsid w:val="003704EE"/>
    <w:rsid w:val="0037080A"/>
    <w:rsid w:val="00370880"/>
    <w:rsid w:val="00370ECC"/>
    <w:rsid w:val="00370EFD"/>
    <w:rsid w:val="00371137"/>
    <w:rsid w:val="00371766"/>
    <w:rsid w:val="00371831"/>
    <w:rsid w:val="003719F5"/>
    <w:rsid w:val="00372029"/>
    <w:rsid w:val="003724A1"/>
    <w:rsid w:val="00372521"/>
    <w:rsid w:val="003725EB"/>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1D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76D"/>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5612"/>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0D4C"/>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5D04"/>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7DE"/>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159"/>
    <w:rsid w:val="00433479"/>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BCC"/>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97"/>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3E26"/>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650"/>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2B8"/>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DB2"/>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0F13"/>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2EFE"/>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25D"/>
    <w:rsid w:val="0055233E"/>
    <w:rsid w:val="00552569"/>
    <w:rsid w:val="005526F2"/>
    <w:rsid w:val="00552FF4"/>
    <w:rsid w:val="0055410A"/>
    <w:rsid w:val="00554671"/>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3E4"/>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0C"/>
    <w:rsid w:val="00575E27"/>
    <w:rsid w:val="00575EC1"/>
    <w:rsid w:val="005764B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A39"/>
    <w:rsid w:val="00595E99"/>
    <w:rsid w:val="00595ED3"/>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824"/>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2C2"/>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43"/>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274"/>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2FF8"/>
    <w:rsid w:val="005F327D"/>
    <w:rsid w:val="005F369B"/>
    <w:rsid w:val="005F3F7F"/>
    <w:rsid w:val="005F4050"/>
    <w:rsid w:val="005F40E5"/>
    <w:rsid w:val="005F410E"/>
    <w:rsid w:val="005F42C9"/>
    <w:rsid w:val="005F46D9"/>
    <w:rsid w:val="005F4950"/>
    <w:rsid w:val="005F4E06"/>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79"/>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6D87"/>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2D1"/>
    <w:rsid w:val="00693CA1"/>
    <w:rsid w:val="006943ED"/>
    <w:rsid w:val="0069447C"/>
    <w:rsid w:val="006949AD"/>
    <w:rsid w:val="006958EA"/>
    <w:rsid w:val="00695AA8"/>
    <w:rsid w:val="00695E95"/>
    <w:rsid w:val="00696244"/>
    <w:rsid w:val="006969D6"/>
    <w:rsid w:val="0069703E"/>
    <w:rsid w:val="0069755C"/>
    <w:rsid w:val="006979DC"/>
    <w:rsid w:val="00697C2C"/>
    <w:rsid w:val="006A01E2"/>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61A"/>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9AD"/>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C65"/>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95F"/>
    <w:rsid w:val="00722B72"/>
    <w:rsid w:val="00723701"/>
    <w:rsid w:val="00723EC3"/>
    <w:rsid w:val="00724426"/>
    <w:rsid w:val="00725068"/>
    <w:rsid w:val="007254B1"/>
    <w:rsid w:val="0072560E"/>
    <w:rsid w:val="00725CB6"/>
    <w:rsid w:val="00725D75"/>
    <w:rsid w:val="0072602E"/>
    <w:rsid w:val="00726281"/>
    <w:rsid w:val="0072665F"/>
    <w:rsid w:val="00727003"/>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3E8E"/>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6B4"/>
    <w:rsid w:val="00770CEE"/>
    <w:rsid w:val="007717C2"/>
    <w:rsid w:val="007721AD"/>
    <w:rsid w:val="007726F2"/>
    <w:rsid w:val="007726FD"/>
    <w:rsid w:val="00772D15"/>
    <w:rsid w:val="00772DAA"/>
    <w:rsid w:val="00772DC3"/>
    <w:rsid w:val="007733C4"/>
    <w:rsid w:val="0077432A"/>
    <w:rsid w:val="007743A1"/>
    <w:rsid w:val="007744EF"/>
    <w:rsid w:val="007748AB"/>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7DA"/>
    <w:rsid w:val="00791A57"/>
    <w:rsid w:val="00791ADE"/>
    <w:rsid w:val="00791BEA"/>
    <w:rsid w:val="00791ED9"/>
    <w:rsid w:val="007926B7"/>
    <w:rsid w:val="00792CE2"/>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37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70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3962"/>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23A"/>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A1D"/>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37B05"/>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3BAB"/>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5DD3"/>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3E70"/>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27993"/>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9E2"/>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527"/>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0D73"/>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35"/>
    <w:rsid w:val="00A11ACA"/>
    <w:rsid w:val="00A11B10"/>
    <w:rsid w:val="00A11E0F"/>
    <w:rsid w:val="00A121EA"/>
    <w:rsid w:val="00A12206"/>
    <w:rsid w:val="00A12301"/>
    <w:rsid w:val="00A1260C"/>
    <w:rsid w:val="00A128BA"/>
    <w:rsid w:val="00A12A73"/>
    <w:rsid w:val="00A12A88"/>
    <w:rsid w:val="00A12BEE"/>
    <w:rsid w:val="00A12DEE"/>
    <w:rsid w:val="00A12EE8"/>
    <w:rsid w:val="00A131A4"/>
    <w:rsid w:val="00A13511"/>
    <w:rsid w:val="00A13715"/>
    <w:rsid w:val="00A13CF1"/>
    <w:rsid w:val="00A13FC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11"/>
    <w:rsid w:val="00A24150"/>
    <w:rsid w:val="00A2470A"/>
    <w:rsid w:val="00A2481C"/>
    <w:rsid w:val="00A24CCF"/>
    <w:rsid w:val="00A25A28"/>
    <w:rsid w:val="00A261E4"/>
    <w:rsid w:val="00A26883"/>
    <w:rsid w:val="00A26D60"/>
    <w:rsid w:val="00A26EE0"/>
    <w:rsid w:val="00A27C60"/>
    <w:rsid w:val="00A30300"/>
    <w:rsid w:val="00A3072C"/>
    <w:rsid w:val="00A30BAE"/>
    <w:rsid w:val="00A31093"/>
    <w:rsid w:val="00A313D0"/>
    <w:rsid w:val="00A314A9"/>
    <w:rsid w:val="00A31591"/>
    <w:rsid w:val="00A3170C"/>
    <w:rsid w:val="00A31736"/>
    <w:rsid w:val="00A31C37"/>
    <w:rsid w:val="00A31E88"/>
    <w:rsid w:val="00A321EE"/>
    <w:rsid w:val="00A325C2"/>
    <w:rsid w:val="00A325CC"/>
    <w:rsid w:val="00A3261B"/>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CC5"/>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30F"/>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7B5"/>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99"/>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D9F"/>
    <w:rsid w:val="00AB3E16"/>
    <w:rsid w:val="00AB3E3E"/>
    <w:rsid w:val="00AB3ED9"/>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EEE"/>
    <w:rsid w:val="00AF5F78"/>
    <w:rsid w:val="00AF63A9"/>
    <w:rsid w:val="00AF6591"/>
    <w:rsid w:val="00AF66F1"/>
    <w:rsid w:val="00AF67C9"/>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182"/>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6D34"/>
    <w:rsid w:val="00B2757B"/>
    <w:rsid w:val="00B27D47"/>
    <w:rsid w:val="00B27D54"/>
    <w:rsid w:val="00B305BC"/>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346"/>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606"/>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BFB"/>
    <w:rsid w:val="00B83DF6"/>
    <w:rsid w:val="00B8408E"/>
    <w:rsid w:val="00B84BE8"/>
    <w:rsid w:val="00B85516"/>
    <w:rsid w:val="00B85E03"/>
    <w:rsid w:val="00B85F67"/>
    <w:rsid w:val="00B85FF9"/>
    <w:rsid w:val="00B86557"/>
    <w:rsid w:val="00B86734"/>
    <w:rsid w:val="00B8692C"/>
    <w:rsid w:val="00B86BDC"/>
    <w:rsid w:val="00B86F3D"/>
    <w:rsid w:val="00B874FB"/>
    <w:rsid w:val="00B8769E"/>
    <w:rsid w:val="00B87C95"/>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214"/>
    <w:rsid w:val="00BB0312"/>
    <w:rsid w:val="00BB0528"/>
    <w:rsid w:val="00BB070E"/>
    <w:rsid w:val="00BB0B3E"/>
    <w:rsid w:val="00BB0D58"/>
    <w:rsid w:val="00BB0D75"/>
    <w:rsid w:val="00BB1966"/>
    <w:rsid w:val="00BB1B24"/>
    <w:rsid w:val="00BB1C4F"/>
    <w:rsid w:val="00BB1D50"/>
    <w:rsid w:val="00BB1DA2"/>
    <w:rsid w:val="00BB225D"/>
    <w:rsid w:val="00BB3355"/>
    <w:rsid w:val="00BB365A"/>
    <w:rsid w:val="00BB3B44"/>
    <w:rsid w:val="00BB3F4C"/>
    <w:rsid w:val="00BB3F8F"/>
    <w:rsid w:val="00BB424D"/>
    <w:rsid w:val="00BB4892"/>
    <w:rsid w:val="00BB4A42"/>
    <w:rsid w:val="00BB5321"/>
    <w:rsid w:val="00BB53CC"/>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E49"/>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12F5"/>
    <w:rsid w:val="00C42130"/>
    <w:rsid w:val="00C42784"/>
    <w:rsid w:val="00C429E1"/>
    <w:rsid w:val="00C42C49"/>
    <w:rsid w:val="00C439F0"/>
    <w:rsid w:val="00C43AF6"/>
    <w:rsid w:val="00C43CE7"/>
    <w:rsid w:val="00C44189"/>
    <w:rsid w:val="00C4464F"/>
    <w:rsid w:val="00C447FB"/>
    <w:rsid w:val="00C44ADA"/>
    <w:rsid w:val="00C450B9"/>
    <w:rsid w:val="00C45658"/>
    <w:rsid w:val="00C45A9C"/>
    <w:rsid w:val="00C45B07"/>
    <w:rsid w:val="00C463BB"/>
    <w:rsid w:val="00C46978"/>
    <w:rsid w:val="00C46B53"/>
    <w:rsid w:val="00C46FC8"/>
    <w:rsid w:val="00C470AA"/>
    <w:rsid w:val="00C47AE8"/>
    <w:rsid w:val="00C47D53"/>
    <w:rsid w:val="00C508B7"/>
    <w:rsid w:val="00C50ECE"/>
    <w:rsid w:val="00C51D11"/>
    <w:rsid w:val="00C51FA2"/>
    <w:rsid w:val="00C51FA7"/>
    <w:rsid w:val="00C5257E"/>
    <w:rsid w:val="00C531B4"/>
    <w:rsid w:val="00C532F9"/>
    <w:rsid w:val="00C53E22"/>
    <w:rsid w:val="00C5411D"/>
    <w:rsid w:val="00C5464D"/>
    <w:rsid w:val="00C54C62"/>
    <w:rsid w:val="00C55ADC"/>
    <w:rsid w:val="00C5638E"/>
    <w:rsid w:val="00C5665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53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844"/>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233"/>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0E3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E7A0A"/>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B00"/>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59F3"/>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02"/>
    <w:rsid w:val="00D344C9"/>
    <w:rsid w:val="00D34F88"/>
    <w:rsid w:val="00D353FF"/>
    <w:rsid w:val="00D3609F"/>
    <w:rsid w:val="00D3610A"/>
    <w:rsid w:val="00D36241"/>
    <w:rsid w:val="00D3646C"/>
    <w:rsid w:val="00D3668C"/>
    <w:rsid w:val="00D369EA"/>
    <w:rsid w:val="00D36C8E"/>
    <w:rsid w:val="00D36D7A"/>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143"/>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0FE1"/>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132"/>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62D"/>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3F77"/>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243"/>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29"/>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2DEE"/>
    <w:rsid w:val="00E1321F"/>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1D2"/>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10"/>
    <w:rsid w:val="00E61DAC"/>
    <w:rsid w:val="00E624DA"/>
    <w:rsid w:val="00E629F9"/>
    <w:rsid w:val="00E62AF2"/>
    <w:rsid w:val="00E630F7"/>
    <w:rsid w:val="00E6412A"/>
    <w:rsid w:val="00E64286"/>
    <w:rsid w:val="00E64763"/>
    <w:rsid w:val="00E656DC"/>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77FB2"/>
    <w:rsid w:val="00E8016D"/>
    <w:rsid w:val="00E80B75"/>
    <w:rsid w:val="00E810EC"/>
    <w:rsid w:val="00E8117B"/>
    <w:rsid w:val="00E81490"/>
    <w:rsid w:val="00E81F9F"/>
    <w:rsid w:val="00E81FFC"/>
    <w:rsid w:val="00E826C8"/>
    <w:rsid w:val="00E828DA"/>
    <w:rsid w:val="00E83280"/>
    <w:rsid w:val="00E832C4"/>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6A7"/>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454"/>
    <w:rsid w:val="00E94762"/>
    <w:rsid w:val="00E94CE0"/>
    <w:rsid w:val="00E95401"/>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090"/>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74"/>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04B"/>
    <w:rsid w:val="00ED4EC0"/>
    <w:rsid w:val="00ED5122"/>
    <w:rsid w:val="00ED54F7"/>
    <w:rsid w:val="00ED58F2"/>
    <w:rsid w:val="00ED5FFD"/>
    <w:rsid w:val="00EE08BC"/>
    <w:rsid w:val="00EE09EA"/>
    <w:rsid w:val="00EE0A49"/>
    <w:rsid w:val="00EE0D48"/>
    <w:rsid w:val="00EE0E09"/>
    <w:rsid w:val="00EE10D7"/>
    <w:rsid w:val="00EE12DA"/>
    <w:rsid w:val="00EE15CA"/>
    <w:rsid w:val="00EE15E0"/>
    <w:rsid w:val="00EE17F4"/>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BF2"/>
    <w:rsid w:val="00EF0E50"/>
    <w:rsid w:val="00EF118F"/>
    <w:rsid w:val="00EF1BCB"/>
    <w:rsid w:val="00EF1DDB"/>
    <w:rsid w:val="00EF20FD"/>
    <w:rsid w:val="00EF24E0"/>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763"/>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2BD"/>
    <w:rsid w:val="00F73CD4"/>
    <w:rsid w:val="00F73D87"/>
    <w:rsid w:val="00F73F43"/>
    <w:rsid w:val="00F74609"/>
    <w:rsid w:val="00F74664"/>
    <w:rsid w:val="00F74689"/>
    <w:rsid w:val="00F74791"/>
    <w:rsid w:val="00F74A7A"/>
    <w:rsid w:val="00F7540D"/>
    <w:rsid w:val="00F75487"/>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1B6"/>
    <w:rsid w:val="00FB15D5"/>
    <w:rsid w:val="00FB1694"/>
    <w:rsid w:val="00FB18E8"/>
    <w:rsid w:val="00FB19D8"/>
    <w:rsid w:val="00FB1F1D"/>
    <w:rsid w:val="00FB22E5"/>
    <w:rsid w:val="00FB2864"/>
    <w:rsid w:val="00FB2F94"/>
    <w:rsid w:val="00FB37C9"/>
    <w:rsid w:val="00FB3CD6"/>
    <w:rsid w:val="00FB4065"/>
    <w:rsid w:val="00FB4760"/>
    <w:rsid w:val="00FB47B5"/>
    <w:rsid w:val="00FB52FD"/>
    <w:rsid w:val="00FB5482"/>
    <w:rsid w:val="00FB57A7"/>
    <w:rsid w:val="00FB5A29"/>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1D7"/>
    <w:rsid w:val="00FE627C"/>
    <w:rsid w:val="00FE6DEC"/>
    <w:rsid w:val="00FE6E09"/>
    <w:rsid w:val="00FE73EC"/>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3B"/>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 w:type="character" w:customStyle="1" w:styleId="TACChar">
    <w:name w:val="TAC Char"/>
    <w:basedOn w:val="DefaultParagraphFont"/>
    <w:link w:val="TAC"/>
    <w:locked/>
    <w:rsid w:val="0037080A"/>
    <w:rPr>
      <w:rFonts w:ascii="Arial" w:hAnsi="Arial"/>
      <w:sz w:val="18"/>
      <w:lang w:val="en-GB" w:eastAsia="en-US"/>
    </w:rPr>
  </w:style>
  <w:style w:type="character" w:customStyle="1" w:styleId="TALChar">
    <w:name w:val="TAL Char"/>
    <w:link w:val="TAL"/>
    <w:locked/>
    <w:rsid w:val="006C6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834451">
      <w:bodyDiv w:val="1"/>
      <w:marLeft w:val="0"/>
      <w:marRight w:val="0"/>
      <w:marTop w:val="0"/>
      <w:marBottom w:val="0"/>
      <w:divBdr>
        <w:top w:val="none" w:sz="0" w:space="0" w:color="auto"/>
        <w:left w:val="none" w:sz="0" w:space="0" w:color="auto"/>
        <w:bottom w:val="none" w:sz="0" w:space="0" w:color="auto"/>
        <w:right w:val="none" w:sz="0" w:space="0" w:color="auto"/>
      </w:divBdr>
    </w:div>
    <w:div w:id="150757706">
      <w:bodyDiv w:val="1"/>
      <w:marLeft w:val="0"/>
      <w:marRight w:val="0"/>
      <w:marTop w:val="0"/>
      <w:marBottom w:val="0"/>
      <w:divBdr>
        <w:top w:val="none" w:sz="0" w:space="0" w:color="auto"/>
        <w:left w:val="none" w:sz="0" w:space="0" w:color="auto"/>
        <w:bottom w:val="none" w:sz="0" w:space="0" w:color="auto"/>
        <w:right w:val="none" w:sz="0" w:space="0" w:color="auto"/>
      </w:divBdr>
      <w:divsChild>
        <w:div w:id="1583760171">
          <w:marLeft w:val="360"/>
          <w:marRight w:val="0"/>
          <w:marTop w:val="200"/>
          <w:marBottom w:val="0"/>
          <w:divBdr>
            <w:top w:val="none" w:sz="0" w:space="0" w:color="auto"/>
            <w:left w:val="none" w:sz="0" w:space="0" w:color="auto"/>
            <w:bottom w:val="none" w:sz="0" w:space="0" w:color="auto"/>
            <w:right w:val="none" w:sz="0" w:space="0" w:color="auto"/>
          </w:divBdr>
        </w:div>
        <w:div w:id="771124138">
          <w:marLeft w:val="1080"/>
          <w:marRight w:val="0"/>
          <w:marTop w:val="100"/>
          <w:marBottom w:val="0"/>
          <w:divBdr>
            <w:top w:val="none" w:sz="0" w:space="0" w:color="auto"/>
            <w:left w:val="none" w:sz="0" w:space="0" w:color="auto"/>
            <w:bottom w:val="none" w:sz="0" w:space="0" w:color="auto"/>
            <w:right w:val="none" w:sz="0" w:space="0" w:color="auto"/>
          </w:divBdr>
        </w:div>
        <w:div w:id="83232904">
          <w:marLeft w:val="1080"/>
          <w:marRight w:val="0"/>
          <w:marTop w:val="100"/>
          <w:marBottom w:val="0"/>
          <w:divBdr>
            <w:top w:val="none" w:sz="0" w:space="0" w:color="auto"/>
            <w:left w:val="none" w:sz="0" w:space="0" w:color="auto"/>
            <w:bottom w:val="none" w:sz="0" w:space="0" w:color="auto"/>
            <w:right w:val="none" w:sz="0" w:space="0" w:color="auto"/>
          </w:divBdr>
        </w:div>
        <w:div w:id="729303662">
          <w:marLeft w:val="360"/>
          <w:marRight w:val="0"/>
          <w:marTop w:val="200"/>
          <w:marBottom w:val="0"/>
          <w:divBdr>
            <w:top w:val="none" w:sz="0" w:space="0" w:color="auto"/>
            <w:left w:val="none" w:sz="0" w:space="0" w:color="auto"/>
            <w:bottom w:val="none" w:sz="0" w:space="0" w:color="auto"/>
            <w:right w:val="none" w:sz="0" w:space="0" w:color="auto"/>
          </w:divBdr>
        </w:div>
        <w:div w:id="52314223">
          <w:marLeft w:val="1080"/>
          <w:marRight w:val="0"/>
          <w:marTop w:val="100"/>
          <w:marBottom w:val="0"/>
          <w:divBdr>
            <w:top w:val="none" w:sz="0" w:space="0" w:color="auto"/>
            <w:left w:val="none" w:sz="0" w:space="0" w:color="auto"/>
            <w:bottom w:val="none" w:sz="0" w:space="0" w:color="auto"/>
            <w:right w:val="none" w:sz="0" w:space="0" w:color="auto"/>
          </w:divBdr>
        </w:div>
        <w:div w:id="1036807793">
          <w:marLeft w:val="1080"/>
          <w:marRight w:val="0"/>
          <w:marTop w:val="100"/>
          <w:marBottom w:val="0"/>
          <w:divBdr>
            <w:top w:val="none" w:sz="0" w:space="0" w:color="auto"/>
            <w:left w:val="none" w:sz="0" w:space="0" w:color="auto"/>
            <w:bottom w:val="none" w:sz="0" w:space="0" w:color="auto"/>
            <w:right w:val="none" w:sz="0" w:space="0" w:color="auto"/>
          </w:divBdr>
        </w:div>
        <w:div w:id="109055353">
          <w:marLeft w:val="360"/>
          <w:marRight w:val="0"/>
          <w:marTop w:val="200"/>
          <w:marBottom w:val="0"/>
          <w:divBdr>
            <w:top w:val="none" w:sz="0" w:space="0" w:color="auto"/>
            <w:left w:val="none" w:sz="0" w:space="0" w:color="auto"/>
            <w:bottom w:val="none" w:sz="0" w:space="0" w:color="auto"/>
            <w:right w:val="none" w:sz="0" w:space="0" w:color="auto"/>
          </w:divBdr>
        </w:div>
        <w:div w:id="1909222296">
          <w:marLeft w:val="1080"/>
          <w:marRight w:val="0"/>
          <w:marTop w:val="100"/>
          <w:marBottom w:val="0"/>
          <w:divBdr>
            <w:top w:val="none" w:sz="0" w:space="0" w:color="auto"/>
            <w:left w:val="none" w:sz="0" w:space="0" w:color="auto"/>
            <w:bottom w:val="none" w:sz="0" w:space="0" w:color="auto"/>
            <w:right w:val="none" w:sz="0" w:space="0" w:color="auto"/>
          </w:divBdr>
        </w:div>
        <w:div w:id="896672508">
          <w:marLeft w:val="1080"/>
          <w:marRight w:val="0"/>
          <w:marTop w:val="100"/>
          <w:marBottom w:val="0"/>
          <w:divBdr>
            <w:top w:val="none" w:sz="0" w:space="0" w:color="auto"/>
            <w:left w:val="none" w:sz="0" w:space="0" w:color="auto"/>
            <w:bottom w:val="none" w:sz="0" w:space="0" w:color="auto"/>
            <w:right w:val="none" w:sz="0" w:space="0" w:color="auto"/>
          </w:divBdr>
        </w:div>
        <w:div w:id="261183079">
          <w:marLeft w:val="360"/>
          <w:marRight w:val="0"/>
          <w:marTop w:val="200"/>
          <w:marBottom w:val="0"/>
          <w:divBdr>
            <w:top w:val="none" w:sz="0" w:space="0" w:color="auto"/>
            <w:left w:val="none" w:sz="0" w:space="0" w:color="auto"/>
            <w:bottom w:val="none" w:sz="0" w:space="0" w:color="auto"/>
            <w:right w:val="none" w:sz="0" w:space="0" w:color="auto"/>
          </w:divBdr>
        </w:div>
        <w:div w:id="367612527">
          <w:marLeft w:val="108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274900">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48439987">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95418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78325313">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28272035">
      <w:bodyDiv w:val="1"/>
      <w:marLeft w:val="0"/>
      <w:marRight w:val="0"/>
      <w:marTop w:val="0"/>
      <w:marBottom w:val="0"/>
      <w:divBdr>
        <w:top w:val="none" w:sz="0" w:space="0" w:color="auto"/>
        <w:left w:val="none" w:sz="0" w:space="0" w:color="auto"/>
        <w:bottom w:val="none" w:sz="0" w:space="0" w:color="auto"/>
        <w:right w:val="none" w:sz="0" w:space="0" w:color="auto"/>
      </w:divBdr>
      <w:divsChild>
        <w:div w:id="1352147952">
          <w:marLeft w:val="360"/>
          <w:marRight w:val="0"/>
          <w:marTop w:val="200"/>
          <w:marBottom w:val="0"/>
          <w:divBdr>
            <w:top w:val="none" w:sz="0" w:space="0" w:color="auto"/>
            <w:left w:val="none" w:sz="0" w:space="0" w:color="auto"/>
            <w:bottom w:val="none" w:sz="0" w:space="0" w:color="auto"/>
            <w:right w:val="none" w:sz="0" w:space="0" w:color="auto"/>
          </w:divBdr>
        </w:div>
      </w:divsChild>
    </w:div>
    <w:div w:id="980159951">
      <w:bodyDiv w:val="1"/>
      <w:marLeft w:val="0"/>
      <w:marRight w:val="0"/>
      <w:marTop w:val="0"/>
      <w:marBottom w:val="0"/>
      <w:divBdr>
        <w:top w:val="none" w:sz="0" w:space="0" w:color="auto"/>
        <w:left w:val="none" w:sz="0" w:space="0" w:color="auto"/>
        <w:bottom w:val="none" w:sz="0" w:space="0" w:color="auto"/>
        <w:right w:val="none" w:sz="0" w:space="0" w:color="auto"/>
      </w:divBdr>
    </w:div>
    <w:div w:id="98212520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64815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729140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7788107">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27607259">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1412920">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1018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486810">
      <w:bodyDiv w:val="1"/>
      <w:marLeft w:val="0"/>
      <w:marRight w:val="0"/>
      <w:marTop w:val="0"/>
      <w:marBottom w:val="0"/>
      <w:divBdr>
        <w:top w:val="none" w:sz="0" w:space="0" w:color="auto"/>
        <w:left w:val="none" w:sz="0" w:space="0" w:color="auto"/>
        <w:bottom w:val="none" w:sz="0" w:space="0" w:color="auto"/>
        <w:right w:val="none" w:sz="0" w:space="0" w:color="auto"/>
      </w:divBdr>
      <w:divsChild>
        <w:div w:id="1710492489">
          <w:marLeft w:val="360"/>
          <w:marRight w:val="0"/>
          <w:marTop w:val="200"/>
          <w:marBottom w:val="0"/>
          <w:divBdr>
            <w:top w:val="none" w:sz="0" w:space="0" w:color="auto"/>
            <w:left w:val="none" w:sz="0" w:space="0" w:color="auto"/>
            <w:bottom w:val="none" w:sz="0" w:space="0" w:color="auto"/>
            <w:right w:val="none" w:sz="0" w:space="0" w:color="auto"/>
          </w:divBdr>
        </w:div>
        <w:div w:id="865142362">
          <w:marLeft w:val="1080"/>
          <w:marRight w:val="0"/>
          <w:marTop w:val="100"/>
          <w:marBottom w:val="0"/>
          <w:divBdr>
            <w:top w:val="none" w:sz="0" w:space="0" w:color="auto"/>
            <w:left w:val="none" w:sz="0" w:space="0" w:color="auto"/>
            <w:bottom w:val="none" w:sz="0" w:space="0" w:color="auto"/>
            <w:right w:val="none" w:sz="0" w:space="0" w:color="auto"/>
          </w:divBdr>
        </w:div>
        <w:div w:id="1731152619">
          <w:marLeft w:val="360"/>
          <w:marRight w:val="0"/>
          <w:marTop w:val="200"/>
          <w:marBottom w:val="0"/>
          <w:divBdr>
            <w:top w:val="none" w:sz="0" w:space="0" w:color="auto"/>
            <w:left w:val="none" w:sz="0" w:space="0" w:color="auto"/>
            <w:bottom w:val="none" w:sz="0" w:space="0" w:color="auto"/>
            <w:right w:val="none" w:sz="0" w:space="0" w:color="auto"/>
          </w:divBdr>
        </w:div>
        <w:div w:id="1822767617">
          <w:marLeft w:val="360"/>
          <w:marRight w:val="0"/>
          <w:marTop w:val="200"/>
          <w:marBottom w:val="0"/>
          <w:divBdr>
            <w:top w:val="none" w:sz="0" w:space="0" w:color="auto"/>
            <w:left w:val="none" w:sz="0" w:space="0" w:color="auto"/>
            <w:bottom w:val="none" w:sz="0" w:space="0" w:color="auto"/>
            <w:right w:val="none" w:sz="0" w:space="0" w:color="auto"/>
          </w:divBdr>
        </w:div>
        <w:div w:id="1222013960">
          <w:marLeft w:val="1080"/>
          <w:marRight w:val="0"/>
          <w:marTop w:val="10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956340">
      <w:bodyDiv w:val="1"/>
      <w:marLeft w:val="0"/>
      <w:marRight w:val="0"/>
      <w:marTop w:val="0"/>
      <w:marBottom w:val="0"/>
      <w:divBdr>
        <w:top w:val="none" w:sz="0" w:space="0" w:color="auto"/>
        <w:left w:val="none" w:sz="0" w:space="0" w:color="auto"/>
        <w:bottom w:val="none" w:sz="0" w:space="0" w:color="auto"/>
        <w:right w:val="none" w:sz="0" w:space="0" w:color="auto"/>
      </w:divBdr>
    </w:div>
    <w:div w:id="211963528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4.xml><?xml version="1.0" encoding="utf-8"?>
<ds:datastoreItem xmlns:ds="http://schemas.openxmlformats.org/officeDocument/2006/customXml" ds:itemID="{8A0B460C-E07B-46B6-9AFD-916D43BC16E8}">
  <ds:schemaRefs>
    <ds:schemaRef ds:uri="http://schemas.openxmlformats.org/officeDocument/2006/bibliography"/>
  </ds:schemaRefs>
</ds:datastoreItem>
</file>

<file path=customXml/itemProps5.xml><?xml version="1.0" encoding="utf-8"?>
<ds:datastoreItem xmlns:ds="http://schemas.openxmlformats.org/officeDocument/2006/customXml" ds:itemID="{A64667A7-6CCE-4A91-BEC3-3292D4A6FA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2464</Words>
  <Characters>12816</Characters>
  <Application>Microsoft Office Word</Application>
  <DocSecurity>0</DocSecurity>
  <Lines>441</Lines>
  <Paragraphs>169</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15111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 CTPClassification=CTP_NT</cp:keywords>
  <cp:lastModifiedBy>Intel3</cp:lastModifiedBy>
  <cp:revision>2</cp:revision>
  <cp:lastPrinted>2016-05-14T03:13:00Z</cp:lastPrinted>
  <dcterms:created xsi:type="dcterms:W3CDTF">2018-09-29T05:33:00Z</dcterms:created>
  <dcterms:modified xsi:type="dcterms:W3CDTF">2018-09-29T05:33:00Z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f0c5798f-1884-4013-b315-fa94837802bb</vt:lpwstr>
  </property>
  <property fmtid="{D5CDD505-2E9C-101B-9397-08002B2CF9AE}" pid="4" name="CTP_TimeStamp">
    <vt:lpwstr>2018-09-29 01:01:43Z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0x01010058DDEB47312E4967BFC1576B96E8C3D40039B5EFFB71B84E46BCEF74BDDA92E4BD</vt:lpwstr>
  </property>
  <property fmtid="{D5CDD505-2E9C-101B-9397-08002B2CF9AE}" pid="9" name="CTPClassification">
    <vt:lpwstr>CTP_NT</vt:lpwstr>
  </property>
</Properties>
</file>