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291BCCEF" w:rsidR="0051221F" w:rsidRPr="00E106C5" w:rsidRDefault="00F53F50" w:rsidP="0051221F">
      <w:pPr>
        <w:tabs>
          <w:tab w:val="center" w:pos="4536"/>
          <w:tab w:val="right" w:pos="9356"/>
          <w:tab w:val="right" w:pos="9639"/>
        </w:tabs>
        <w:spacing w:after="0"/>
        <w:rPr>
          <w:rFonts w:ascii="Arial" w:hAnsi="Arial" w:cs="Arial"/>
          <w:b/>
          <w:bCs/>
          <w:sz w:val="24"/>
        </w:rPr>
      </w:pPr>
      <w:r>
        <w:rPr>
          <w:rFonts w:ascii="Arial" w:hAnsi="Arial" w:cs="Arial"/>
          <w:b/>
          <w:bCs/>
          <w:sz w:val="24"/>
        </w:rPr>
        <w:t>3GPP TSG RAN WG1 Meeting #9</w:t>
      </w:r>
      <w:r w:rsidR="00F26D56">
        <w:rPr>
          <w:rFonts w:ascii="Arial" w:hAnsi="Arial" w:cs="Arial"/>
          <w:b/>
          <w:bCs/>
          <w:sz w:val="24"/>
        </w:rPr>
        <w:t>4</w:t>
      </w:r>
      <w:r w:rsidR="00C20E53">
        <w:rPr>
          <w:rFonts w:ascii="Arial" w:hAnsi="Arial" w:cs="Arial"/>
          <w:b/>
          <w:bCs/>
          <w:sz w:val="24"/>
        </w:rPr>
        <w:t>bis</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A24C26">
        <w:rPr>
          <w:rFonts w:ascii="Arial" w:hAnsi="Arial" w:cs="Arial"/>
          <w:b/>
          <w:bCs/>
          <w:sz w:val="24"/>
        </w:rPr>
        <w:t>180</w:t>
      </w:r>
      <w:r w:rsidR="0003692A">
        <w:rPr>
          <w:rFonts w:ascii="Arial" w:hAnsi="Arial" w:cs="Arial"/>
          <w:b/>
          <w:bCs/>
          <w:sz w:val="24"/>
        </w:rPr>
        <w:t>10616</w:t>
      </w:r>
    </w:p>
    <w:p w14:paraId="4E847B5D" w14:textId="0B6EAB87" w:rsidR="006B10EA" w:rsidRDefault="00C20E53" w:rsidP="00CA26CE">
      <w:pPr>
        <w:pStyle w:val="Header"/>
        <w:rPr>
          <w:rFonts w:eastAsia="MS Mincho" w:cs="Arial"/>
          <w:bCs/>
          <w:sz w:val="24"/>
          <w:szCs w:val="24"/>
          <w:lang w:eastAsia="ja-JP"/>
        </w:rPr>
      </w:pPr>
      <w:r>
        <w:rPr>
          <w:rFonts w:cs="Arial"/>
          <w:bCs/>
          <w:sz w:val="24"/>
          <w:szCs w:val="24"/>
        </w:rPr>
        <w:t>Chengdu</w:t>
      </w:r>
      <w:r w:rsidR="00C52FA3">
        <w:rPr>
          <w:rFonts w:cs="Arial"/>
          <w:bCs/>
          <w:sz w:val="24"/>
          <w:szCs w:val="24"/>
        </w:rPr>
        <w:t>,</w:t>
      </w:r>
      <w:r>
        <w:rPr>
          <w:rFonts w:cs="Arial"/>
          <w:bCs/>
          <w:sz w:val="24"/>
          <w:szCs w:val="24"/>
        </w:rPr>
        <w:t xml:space="preserve"> P.R. China, October 8 – 12,</w:t>
      </w:r>
      <w:r w:rsidR="00C52FA3">
        <w:rPr>
          <w:rFonts w:cs="Arial"/>
          <w:bCs/>
          <w:sz w:val="24"/>
          <w:szCs w:val="24"/>
        </w:rPr>
        <w:t xml:space="preserve"> 2</w:t>
      </w:r>
      <w:r w:rsidR="00C52FA3" w:rsidRPr="00CA1F91">
        <w:rPr>
          <w:rFonts w:cs="Arial"/>
          <w:bCs/>
          <w:sz w:val="24"/>
          <w:szCs w:val="24"/>
        </w:rPr>
        <w:t>01</w:t>
      </w:r>
      <w:r w:rsidR="00C52FA3">
        <w:rPr>
          <w:rFonts w:eastAsia="MS Mincho" w:cs="Arial"/>
          <w:bCs/>
          <w:sz w:val="24"/>
          <w:szCs w:val="24"/>
          <w:lang w:eastAsia="ja-JP"/>
        </w:rPr>
        <w:t>8</w:t>
      </w:r>
    </w:p>
    <w:p w14:paraId="15A689C5" w14:textId="77777777" w:rsidR="00C52FA3" w:rsidRPr="005725E1" w:rsidRDefault="00C52FA3" w:rsidP="00CA26CE">
      <w:pPr>
        <w:pStyle w:val="Header"/>
        <w:rPr>
          <w:bCs/>
          <w:noProof w:val="0"/>
          <w:sz w:val="24"/>
          <w:lang w:eastAsia="ja-JP"/>
        </w:rPr>
      </w:pPr>
    </w:p>
    <w:p w14:paraId="08AC4AD5" w14:textId="7CA23180"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F26D56">
        <w:rPr>
          <w:rFonts w:eastAsia="SimSun" w:cs="Arial"/>
          <w:b/>
          <w:bCs/>
          <w:sz w:val="24"/>
        </w:rPr>
        <w:t>2.2</w:t>
      </w:r>
      <w:r w:rsidR="006B10EA">
        <w:rPr>
          <w:rFonts w:eastAsia="SimSun" w:cs="Arial"/>
          <w:b/>
          <w:bCs/>
          <w:sz w:val="24"/>
        </w:rPr>
        <w:t>.4</w:t>
      </w:r>
      <w:r w:rsidR="00F53F50">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17EAB7C"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C20E53">
        <w:rPr>
          <w:rFonts w:ascii="Arial" w:hAnsi="Arial" w:cs="Arial"/>
          <w:b/>
          <w:bCs/>
          <w:sz w:val="24"/>
        </w:rPr>
        <w:t xml:space="preserve">On </w:t>
      </w:r>
      <w:r w:rsidR="00F53F50">
        <w:rPr>
          <w:rFonts w:ascii="Arial" w:hAnsi="Arial" w:cs="Arial"/>
          <w:b/>
          <w:bCs/>
          <w:sz w:val="24"/>
        </w:rPr>
        <w:t>HARQ</w:t>
      </w:r>
      <w:r w:rsidR="00F26D56">
        <w:rPr>
          <w:rFonts w:ascii="Arial" w:hAnsi="Arial" w:cs="Arial"/>
          <w:b/>
          <w:bCs/>
          <w:sz w:val="24"/>
        </w:rPr>
        <w:t xml:space="preserve"> </w:t>
      </w:r>
      <w:r w:rsidR="00C20E53">
        <w:rPr>
          <w:rFonts w:ascii="Arial" w:hAnsi="Arial" w:cs="Arial"/>
          <w:b/>
          <w:bCs/>
          <w:sz w:val="24"/>
        </w:rPr>
        <w:t>enhancements for</w:t>
      </w:r>
      <w:r w:rsidR="006B10EA" w:rsidRPr="006B10EA">
        <w:rPr>
          <w:rFonts w:ascii="Arial" w:hAnsi="Arial" w:cs="Arial"/>
          <w:b/>
          <w:bCs/>
          <w:sz w:val="24"/>
        </w:rPr>
        <w:t xml:space="preserve">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62C2B8EF" w14:textId="1D909B10" w:rsidR="00EF58AE" w:rsidRDefault="1CEFF1BD" w:rsidP="00F53F50">
      <w:pPr>
        <w:spacing w:after="120"/>
        <w:jc w:val="both"/>
        <w:rPr>
          <w:rFonts w:eastAsia="Times New Roman"/>
          <w:szCs w:val="24"/>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p</w:t>
      </w:r>
      <w:r w:rsidR="00A23069" w:rsidRPr="00A23069">
        <w:rPr>
          <w:rFonts w:eastAsia="Times New Roman"/>
          <w:szCs w:val="24"/>
          <w:lang w:val="en-US" w:eastAsia="fi-FI"/>
        </w:rPr>
        <w:t xml:space="preserve">otential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 xml:space="preserve">os. </w:t>
      </w:r>
      <w:r w:rsidR="00F26D56">
        <w:rPr>
          <w:rFonts w:eastAsia="Times New Roman"/>
          <w:szCs w:val="24"/>
          <w:lang w:val="en-US" w:eastAsia="fi-FI"/>
        </w:rPr>
        <w:t xml:space="preserve">Good progress was achieved </w:t>
      </w:r>
      <w:r w:rsidR="00135400">
        <w:rPr>
          <w:rFonts w:eastAsia="Times New Roman"/>
          <w:szCs w:val="24"/>
          <w:lang w:val="en-US" w:eastAsia="fi-FI"/>
        </w:rPr>
        <w:t xml:space="preserve">in </w:t>
      </w:r>
      <w:r w:rsidR="00F26D56">
        <w:rPr>
          <w:rFonts w:eastAsia="Times New Roman"/>
          <w:szCs w:val="24"/>
          <w:lang w:val="en-US" w:eastAsia="fi-FI"/>
        </w:rPr>
        <w:t>RAN1#93 [3]</w:t>
      </w:r>
      <w:r w:rsidR="007D3746">
        <w:rPr>
          <w:rFonts w:eastAsia="Times New Roman"/>
          <w:szCs w:val="24"/>
          <w:lang w:val="en-US" w:eastAsia="fi-FI"/>
        </w:rPr>
        <w:t xml:space="preserve"> and RAN1#94 [4]</w:t>
      </w:r>
      <w:r w:rsidR="00F26D56">
        <w:rPr>
          <w:rFonts w:eastAsia="Times New Roman"/>
          <w:szCs w:val="24"/>
          <w:lang w:val="en-US" w:eastAsia="fi-FI"/>
        </w:rPr>
        <w:t xml:space="preserve"> with following agreements: </w:t>
      </w:r>
    </w:p>
    <w:p w14:paraId="160ECF18" w14:textId="5AD55A3C" w:rsidR="00F26D56" w:rsidRPr="005725E1" w:rsidRDefault="00F26D56" w:rsidP="005725E1">
      <w:pPr>
        <w:pStyle w:val="paragraph"/>
        <w:spacing w:before="120"/>
        <w:rPr>
          <w:sz w:val="20"/>
        </w:rPr>
      </w:pPr>
      <w:r w:rsidRPr="005725E1">
        <w:rPr>
          <w:sz w:val="20"/>
          <w:lang w:val="en-GB"/>
        </w:rPr>
        <w:t>Agreement:</w:t>
      </w:r>
      <w:r w:rsidR="007E50DA">
        <w:rPr>
          <w:sz w:val="20"/>
          <w:lang w:val="en-GB"/>
        </w:rPr>
        <w:t xml:space="preserve"> [3]</w:t>
      </w:r>
    </w:p>
    <w:p w14:paraId="512B7F6B" w14:textId="77777777" w:rsidR="00F26D56" w:rsidRPr="005725E1" w:rsidRDefault="00F26D56" w:rsidP="00F26D56">
      <w:pPr>
        <w:pStyle w:val="paragraph"/>
        <w:numPr>
          <w:ilvl w:val="0"/>
          <w:numId w:val="42"/>
        </w:numPr>
        <w:rPr>
          <w:i/>
          <w:sz w:val="20"/>
          <w:lang w:val="en-GB"/>
        </w:rPr>
      </w:pPr>
      <w:r w:rsidRPr="005725E1">
        <w:rPr>
          <w:i/>
          <w:sz w:val="20"/>
          <w:lang w:val="en-GB"/>
        </w:rPr>
        <w:t>Transmission of HARQ A/N for the corresponding data in the same shared COT is identified as beneficial</w:t>
      </w:r>
    </w:p>
    <w:p w14:paraId="0CC41274" w14:textId="77777777" w:rsidR="00F26D56" w:rsidRPr="005725E1" w:rsidRDefault="00F26D56" w:rsidP="00F26D56">
      <w:pPr>
        <w:pStyle w:val="paragraph"/>
        <w:numPr>
          <w:ilvl w:val="1"/>
          <w:numId w:val="42"/>
        </w:numPr>
        <w:rPr>
          <w:i/>
          <w:sz w:val="20"/>
          <w:lang w:val="en-GB"/>
        </w:rPr>
      </w:pPr>
      <w:r w:rsidRPr="005725E1">
        <w:rPr>
          <w:i/>
          <w:sz w:val="20"/>
          <w:lang w:val="en-GB"/>
        </w:rPr>
        <w:t>Strive to support transmitting all HARQ A/N for the corresponding data in the same shared COT, if possible, considering the current NR UE processing time required</w:t>
      </w:r>
    </w:p>
    <w:p w14:paraId="590492CD" w14:textId="77777777" w:rsidR="00F26D56" w:rsidRPr="005725E1" w:rsidRDefault="00F26D56" w:rsidP="00F26D56">
      <w:pPr>
        <w:pStyle w:val="paragraph"/>
        <w:numPr>
          <w:ilvl w:val="2"/>
          <w:numId w:val="42"/>
        </w:numPr>
        <w:rPr>
          <w:i/>
          <w:sz w:val="20"/>
          <w:lang w:val="en-GB"/>
        </w:rPr>
      </w:pPr>
      <w:r w:rsidRPr="005725E1">
        <w:rPr>
          <w:i/>
          <w:sz w:val="20"/>
          <w:lang w:val="en-GB"/>
        </w:rPr>
        <w:t>Mechanisms to support this need to be identified</w:t>
      </w:r>
    </w:p>
    <w:p w14:paraId="1F80B830" w14:textId="77777777" w:rsidR="00F26D56" w:rsidRPr="005725E1" w:rsidRDefault="00F26D56" w:rsidP="00F26D56">
      <w:pPr>
        <w:pStyle w:val="paragraph"/>
        <w:numPr>
          <w:ilvl w:val="1"/>
          <w:numId w:val="42"/>
        </w:numPr>
        <w:rPr>
          <w:i/>
          <w:sz w:val="20"/>
          <w:lang w:val="en-GB"/>
        </w:rPr>
      </w:pPr>
      <w:r w:rsidRPr="005725E1">
        <w:rPr>
          <w:i/>
          <w:sz w:val="20"/>
          <w:lang w:val="en-GB"/>
        </w:rPr>
        <w:t>It is understood in some cases, the HARQ A/N has to be transmitted in a separate COT from the one the corresponding data was transmitted</w:t>
      </w:r>
    </w:p>
    <w:p w14:paraId="1A0C5174" w14:textId="6680AEA8" w:rsidR="00F26D56" w:rsidRPr="005725E1" w:rsidRDefault="00F26D56">
      <w:pPr>
        <w:pStyle w:val="paragraph"/>
        <w:numPr>
          <w:ilvl w:val="2"/>
          <w:numId w:val="42"/>
        </w:numPr>
        <w:rPr>
          <w:i/>
          <w:sz w:val="20"/>
          <w:lang w:val="en-GB"/>
        </w:rPr>
      </w:pPr>
      <w:r w:rsidRPr="005725E1">
        <w:rPr>
          <w:i/>
          <w:sz w:val="20"/>
          <w:lang w:val="en-GB"/>
        </w:rPr>
        <w:t>Mechanisms to support this need to be identified</w:t>
      </w:r>
    </w:p>
    <w:p w14:paraId="73383703" w14:textId="45F3903B" w:rsidR="00F26D56" w:rsidRPr="005725E1" w:rsidRDefault="00F26D56" w:rsidP="005725E1">
      <w:pPr>
        <w:pStyle w:val="paragraph"/>
        <w:spacing w:before="120"/>
        <w:rPr>
          <w:sz w:val="20"/>
        </w:rPr>
      </w:pPr>
      <w:r w:rsidRPr="005725E1">
        <w:rPr>
          <w:sz w:val="20"/>
          <w:lang w:val="en-GB"/>
        </w:rPr>
        <w:t>Agreement:</w:t>
      </w:r>
      <w:r w:rsidR="007E50DA" w:rsidRPr="005725E1">
        <w:rPr>
          <w:sz w:val="20"/>
          <w:lang w:val="en-GB"/>
        </w:rPr>
        <w:t xml:space="preserve"> [3]</w:t>
      </w:r>
    </w:p>
    <w:p w14:paraId="4EA35497" w14:textId="77777777" w:rsidR="00F26D56" w:rsidRPr="005725E1" w:rsidRDefault="00F26D56" w:rsidP="00F26D56">
      <w:pPr>
        <w:pStyle w:val="paragraph"/>
        <w:numPr>
          <w:ilvl w:val="0"/>
          <w:numId w:val="43"/>
        </w:numPr>
        <w:rPr>
          <w:i/>
          <w:sz w:val="20"/>
          <w:lang w:val="en-GB"/>
        </w:rPr>
      </w:pPr>
      <w:r w:rsidRPr="005725E1">
        <w:rPr>
          <w:i/>
          <w:sz w:val="20"/>
          <w:lang w:val="en-GB"/>
        </w:rPr>
        <w:t>Techniques to handle reduced HARQ A/N transmission opportunities for a given HARQ process due to LBT failure are identified as beneficial</w:t>
      </w:r>
    </w:p>
    <w:p w14:paraId="6AF11146" w14:textId="77777777" w:rsidR="00F26D56" w:rsidRPr="005725E1" w:rsidRDefault="00F26D56" w:rsidP="00F26D56">
      <w:pPr>
        <w:pStyle w:val="paragraph"/>
        <w:numPr>
          <w:ilvl w:val="1"/>
          <w:numId w:val="43"/>
        </w:numPr>
        <w:rPr>
          <w:i/>
          <w:sz w:val="20"/>
          <w:lang w:val="en-GB"/>
        </w:rPr>
      </w:pPr>
      <w:r w:rsidRPr="005725E1">
        <w:rPr>
          <w:i/>
          <w:sz w:val="20"/>
          <w:lang w:val="en-GB"/>
        </w:rPr>
        <w:t>Potential techniques include mechanisms to provide multiple and/or supplemental time and/or frequency domain transmission opportunities</w:t>
      </w:r>
    </w:p>
    <w:p w14:paraId="3D30A443" w14:textId="2BF0F882" w:rsidR="00F26D56" w:rsidRPr="005725E1" w:rsidRDefault="00F26D56" w:rsidP="005725E1">
      <w:pPr>
        <w:pStyle w:val="paragraph"/>
        <w:spacing w:before="120"/>
        <w:rPr>
          <w:sz w:val="20"/>
        </w:rPr>
      </w:pPr>
      <w:r w:rsidRPr="005725E1">
        <w:rPr>
          <w:sz w:val="20"/>
          <w:lang w:val="en-GB"/>
        </w:rPr>
        <w:t>Agreement:</w:t>
      </w:r>
      <w:r w:rsidR="007E50DA" w:rsidRPr="005725E1">
        <w:rPr>
          <w:sz w:val="20"/>
          <w:lang w:val="en-GB"/>
        </w:rPr>
        <w:t xml:space="preserve"> [3]</w:t>
      </w:r>
    </w:p>
    <w:p w14:paraId="0E1A85AB" w14:textId="77777777" w:rsidR="00F26D56" w:rsidRPr="005725E1" w:rsidRDefault="00F26D56" w:rsidP="00F26D56">
      <w:pPr>
        <w:pStyle w:val="paragraph"/>
        <w:numPr>
          <w:ilvl w:val="0"/>
          <w:numId w:val="44"/>
        </w:numPr>
        <w:rPr>
          <w:i/>
          <w:sz w:val="20"/>
          <w:lang w:val="en-GB"/>
        </w:rPr>
      </w:pPr>
      <w:r w:rsidRPr="005725E1">
        <w:rPr>
          <w:i/>
          <w:sz w:val="20"/>
          <w:lang w:val="en-GB"/>
        </w:rPr>
        <w:t>NR-U uses NR HARQ feedback mechanisms as baseline, and enhancements can be identified</w:t>
      </w:r>
    </w:p>
    <w:p w14:paraId="2A86B71B" w14:textId="77777777" w:rsidR="00F26D56" w:rsidRPr="005725E1" w:rsidRDefault="00F26D56" w:rsidP="00F26D56">
      <w:pPr>
        <w:pStyle w:val="paragraph"/>
        <w:numPr>
          <w:ilvl w:val="0"/>
          <w:numId w:val="44"/>
        </w:numPr>
        <w:rPr>
          <w:i/>
          <w:sz w:val="20"/>
          <w:lang w:val="en-GB"/>
        </w:rPr>
      </w:pPr>
      <w:r w:rsidRPr="005725E1">
        <w:rPr>
          <w:i/>
          <w:sz w:val="20"/>
          <w:lang w:val="en-GB"/>
        </w:rPr>
        <w:t>When UL HARQ feedback is transmitted on unlicensed band, NR-U considers mechanisms to support flexible triggering and multiplexing of HARQ feedback for one or more DL HARQ processes</w:t>
      </w:r>
    </w:p>
    <w:p w14:paraId="0D2B5350" w14:textId="567A5B3B" w:rsidR="00F26D56" w:rsidRPr="005725E1" w:rsidRDefault="00F26D56" w:rsidP="00C20E53">
      <w:pPr>
        <w:pStyle w:val="paragraph"/>
        <w:spacing w:before="120"/>
        <w:rPr>
          <w:sz w:val="20"/>
        </w:rPr>
      </w:pPr>
      <w:r w:rsidRPr="005725E1">
        <w:rPr>
          <w:sz w:val="20"/>
          <w:lang w:val="en-GB"/>
        </w:rPr>
        <w:t> Agreement:</w:t>
      </w:r>
      <w:r w:rsidR="007E50DA" w:rsidRPr="005725E1">
        <w:rPr>
          <w:sz w:val="20"/>
          <w:lang w:val="en-GB"/>
        </w:rPr>
        <w:t xml:space="preserve"> [3]</w:t>
      </w:r>
    </w:p>
    <w:p w14:paraId="5227E8FF" w14:textId="77777777" w:rsidR="00F26D56" w:rsidRPr="005725E1" w:rsidRDefault="00F26D56" w:rsidP="00F26D56">
      <w:pPr>
        <w:pStyle w:val="paragraph"/>
        <w:numPr>
          <w:ilvl w:val="0"/>
          <w:numId w:val="45"/>
        </w:numPr>
        <w:rPr>
          <w:i/>
          <w:sz w:val="20"/>
          <w:lang w:val="en-GB"/>
        </w:rPr>
      </w:pPr>
      <w:r w:rsidRPr="005725E1">
        <w:rPr>
          <w:i/>
          <w:sz w:val="20"/>
          <w:lang w:val="en-GB"/>
        </w:rPr>
        <w:t xml:space="preserve">Scheduling multiple TTIs for PUSCH each using a separate UL grant in the same PDCCH monitoring occasion is identified as beneficial </w:t>
      </w:r>
    </w:p>
    <w:p w14:paraId="4FFC8541" w14:textId="1EAB7750" w:rsidR="00F26D56" w:rsidRPr="00C20E53" w:rsidRDefault="00F26D56" w:rsidP="005725E1">
      <w:pPr>
        <w:pStyle w:val="paragraph"/>
        <w:numPr>
          <w:ilvl w:val="0"/>
          <w:numId w:val="45"/>
        </w:numPr>
        <w:rPr>
          <w:i/>
          <w:lang w:val="en-GB"/>
        </w:rPr>
      </w:pPr>
      <w:r w:rsidRPr="005725E1">
        <w:rPr>
          <w:i/>
          <w:sz w:val="20"/>
          <w:lang w:val="en-GB"/>
        </w:rPr>
        <w:t>Scheduling multiple TTIs for PUSCH using a single UL grant is identified as beneficial and should be supported in NR-U</w:t>
      </w:r>
    </w:p>
    <w:p w14:paraId="577E4641" w14:textId="537D7966" w:rsidR="007D3746" w:rsidRPr="0003692A" w:rsidRDefault="007D3746" w:rsidP="0003692A">
      <w:pPr>
        <w:spacing w:before="120" w:after="0"/>
        <w:rPr>
          <w:lang w:val="en-US" w:eastAsia="x-none"/>
        </w:rPr>
      </w:pPr>
      <w:r w:rsidRPr="00C20E53">
        <w:rPr>
          <w:lang w:val="en-US" w:eastAsia="x-none"/>
        </w:rPr>
        <w:t>Agreement</w:t>
      </w:r>
      <w:r>
        <w:rPr>
          <w:lang w:val="en-US" w:eastAsia="x-none"/>
        </w:rPr>
        <w:t xml:space="preserve"> [4]</w:t>
      </w:r>
      <w:r w:rsidR="0003692A">
        <w:rPr>
          <w:lang w:val="en-US" w:eastAsia="x-none"/>
        </w:rPr>
        <w:t>:</w:t>
      </w:r>
      <w:r w:rsidRPr="004108E1">
        <w:rPr>
          <w:rFonts w:hint="eastAsia"/>
          <w:lang w:val="en-US" w:eastAsia="x-none"/>
        </w:rPr>
        <w:t xml:space="preserve"> </w:t>
      </w:r>
      <w:r w:rsidRPr="007D3746">
        <w:rPr>
          <w:i/>
          <w:lang w:val="en-US" w:eastAsia="x-none"/>
        </w:rPr>
        <w:t>NR-U should support both:</w:t>
      </w:r>
    </w:p>
    <w:p w14:paraId="225A1E7B" w14:textId="77777777" w:rsidR="007D3746" w:rsidRPr="007D3746" w:rsidRDefault="007D3746" w:rsidP="007D3746">
      <w:pPr>
        <w:numPr>
          <w:ilvl w:val="1"/>
          <w:numId w:val="48"/>
        </w:numPr>
        <w:overflowPunct/>
        <w:autoSpaceDE/>
        <w:autoSpaceDN/>
        <w:adjustRightInd/>
        <w:spacing w:after="0"/>
        <w:textAlignment w:val="auto"/>
        <w:rPr>
          <w:i/>
          <w:lang w:val="en-US" w:eastAsia="x-none"/>
        </w:rPr>
      </w:pPr>
      <w:bookmarkStart w:id="0" w:name="OLE_LINK20"/>
      <w:r w:rsidRPr="007D3746">
        <w:rPr>
          <w:i/>
          <w:lang w:val="en-US" w:eastAsia="x-none"/>
        </w:rPr>
        <w:t>HARQ feedback corresponding to some or all the PDSCHs of a channel occupancy can be reported in the same channel occupancy</w:t>
      </w:r>
      <w:bookmarkEnd w:id="0"/>
    </w:p>
    <w:p w14:paraId="7650199D" w14:textId="77777777" w:rsidR="007D3746" w:rsidRPr="007D3746" w:rsidRDefault="007D3746" w:rsidP="007D3746">
      <w:pPr>
        <w:numPr>
          <w:ilvl w:val="2"/>
          <w:numId w:val="48"/>
        </w:numPr>
        <w:overflowPunct/>
        <w:autoSpaceDE/>
        <w:autoSpaceDN/>
        <w:adjustRightInd/>
        <w:spacing w:after="0"/>
        <w:ind w:left="1985" w:hanging="284"/>
        <w:textAlignment w:val="auto"/>
        <w:rPr>
          <w:i/>
          <w:lang w:val="en-US" w:eastAsia="x-none"/>
        </w:rPr>
      </w:pPr>
      <w:r w:rsidRPr="007D3746">
        <w:rPr>
          <w:bCs/>
          <w:i/>
          <w:lang w:val="en-US" w:eastAsia="x-none"/>
        </w:rPr>
        <w:t>It is found beneficial to extend the PDSCH-to-HARQ-timing to support indicating timings up to the end of the longest COT allowed by regulations, one or more of the following would be needed:</w:t>
      </w:r>
    </w:p>
    <w:p w14:paraId="79F3A06E" w14:textId="77777777" w:rsidR="007D3746" w:rsidRPr="007D3746" w:rsidRDefault="007D3746" w:rsidP="007D3746">
      <w:pPr>
        <w:numPr>
          <w:ilvl w:val="3"/>
          <w:numId w:val="48"/>
        </w:numPr>
        <w:overflowPunct/>
        <w:autoSpaceDE/>
        <w:autoSpaceDN/>
        <w:adjustRightInd/>
        <w:spacing w:after="0"/>
        <w:ind w:left="2495" w:hanging="284"/>
        <w:textAlignment w:val="auto"/>
        <w:rPr>
          <w:i/>
          <w:lang w:val="en-US" w:eastAsia="x-none"/>
        </w:rPr>
      </w:pPr>
      <w:r w:rsidRPr="007D3746">
        <w:rPr>
          <w:bCs/>
          <w:i/>
          <w:lang w:val="en-US" w:eastAsia="x-none"/>
        </w:rPr>
        <w:t>Allow values larger than 15 by RRC signaling (FFS the largest value needed)</w:t>
      </w:r>
    </w:p>
    <w:p w14:paraId="125E9AAB" w14:textId="77777777" w:rsidR="007D3746" w:rsidRPr="007D3746" w:rsidRDefault="007D3746" w:rsidP="007D3746">
      <w:pPr>
        <w:numPr>
          <w:ilvl w:val="4"/>
          <w:numId w:val="48"/>
        </w:numPr>
        <w:overflowPunct/>
        <w:autoSpaceDE/>
        <w:autoSpaceDN/>
        <w:adjustRightInd/>
        <w:spacing w:after="0"/>
        <w:ind w:left="2779" w:hanging="284"/>
        <w:textAlignment w:val="auto"/>
        <w:rPr>
          <w:i/>
          <w:lang w:val="en-US" w:eastAsia="x-none"/>
        </w:rPr>
      </w:pPr>
      <w:r w:rsidRPr="007D3746">
        <w:rPr>
          <w:bCs/>
          <w:i/>
          <w:lang w:val="en-US" w:eastAsia="x-none"/>
        </w:rPr>
        <w:t>Note: in some cases this may point outside of the COT</w:t>
      </w:r>
    </w:p>
    <w:p w14:paraId="52604B97" w14:textId="77777777" w:rsidR="007D3746" w:rsidRPr="007D3746" w:rsidRDefault="007D3746" w:rsidP="007D3746">
      <w:pPr>
        <w:numPr>
          <w:ilvl w:val="3"/>
          <w:numId w:val="48"/>
        </w:numPr>
        <w:overflowPunct/>
        <w:autoSpaceDE/>
        <w:autoSpaceDN/>
        <w:adjustRightInd/>
        <w:spacing w:after="0"/>
        <w:ind w:left="2495" w:hanging="284"/>
        <w:textAlignment w:val="auto"/>
        <w:rPr>
          <w:i/>
          <w:lang w:val="en-US" w:eastAsia="x-none"/>
        </w:rPr>
      </w:pPr>
      <w:r w:rsidRPr="007D3746">
        <w:rPr>
          <w:bCs/>
          <w:i/>
          <w:lang w:val="en-US" w:eastAsia="x-none"/>
        </w:rPr>
        <w:t>Allow more bits for the PDSCH-to-HARQ-timing-indicator</w:t>
      </w:r>
    </w:p>
    <w:p w14:paraId="5340C5E8" w14:textId="77777777" w:rsidR="007D3746" w:rsidRPr="007D3746" w:rsidRDefault="007D3746" w:rsidP="007D3746">
      <w:pPr>
        <w:numPr>
          <w:ilvl w:val="1"/>
          <w:numId w:val="48"/>
        </w:numPr>
        <w:overflowPunct/>
        <w:autoSpaceDE/>
        <w:autoSpaceDN/>
        <w:adjustRightInd/>
        <w:spacing w:after="0"/>
        <w:textAlignment w:val="auto"/>
        <w:rPr>
          <w:i/>
          <w:lang w:val="en-US" w:eastAsia="x-none"/>
        </w:rPr>
      </w:pPr>
      <w:r w:rsidRPr="007D3746">
        <w:rPr>
          <w:i/>
          <w:lang w:val="en-US" w:eastAsia="x-none"/>
        </w:rPr>
        <w:t>HARQ feedback corresponding to PDSCHs of a channel occupancy can be reported outside of that channel occupancy. These possible candidate solutions can be considered:</w:t>
      </w:r>
    </w:p>
    <w:p w14:paraId="76F53E41" w14:textId="77777777" w:rsidR="007D3746" w:rsidRPr="007D3746" w:rsidRDefault="007D3746" w:rsidP="007D3746">
      <w:pPr>
        <w:numPr>
          <w:ilvl w:val="2"/>
          <w:numId w:val="48"/>
        </w:numPr>
        <w:overflowPunct/>
        <w:autoSpaceDE/>
        <w:autoSpaceDN/>
        <w:adjustRightInd/>
        <w:spacing w:after="0"/>
        <w:ind w:left="1985" w:hanging="284"/>
        <w:textAlignment w:val="auto"/>
        <w:rPr>
          <w:i/>
          <w:lang w:val="en-US" w:eastAsia="x-none"/>
        </w:rPr>
      </w:pPr>
      <w:r w:rsidRPr="007D3746">
        <w:rPr>
          <w:i/>
          <w:lang w:val="en-US" w:eastAsia="x-none"/>
        </w:rPr>
        <w:t>Alt1: gNB requests/triggers feedback for PDSCH from earlier COT(s)</w:t>
      </w:r>
    </w:p>
    <w:p w14:paraId="39622FCF" w14:textId="77777777" w:rsidR="007D3746" w:rsidRPr="007D3746" w:rsidRDefault="007D3746" w:rsidP="007D3746">
      <w:pPr>
        <w:numPr>
          <w:ilvl w:val="2"/>
          <w:numId w:val="48"/>
        </w:numPr>
        <w:overflowPunct/>
        <w:autoSpaceDE/>
        <w:autoSpaceDN/>
        <w:adjustRightInd/>
        <w:spacing w:after="0"/>
        <w:ind w:left="1985" w:hanging="284"/>
        <w:textAlignment w:val="auto"/>
        <w:rPr>
          <w:i/>
          <w:lang w:val="en-US" w:eastAsia="x-none"/>
        </w:rPr>
      </w:pPr>
      <w:r w:rsidRPr="007D3746">
        <w:rPr>
          <w:i/>
          <w:lang w:val="en-US" w:eastAsia="x-none"/>
        </w:rPr>
        <w:t>Alt2: UE is configured to report HARQ feedback for PDSCH from earlier COT(s) without an explicit request/trigger</w:t>
      </w:r>
    </w:p>
    <w:p w14:paraId="06D0FD22" w14:textId="77777777" w:rsidR="007D3746" w:rsidRPr="007D3746" w:rsidRDefault="007D3746" w:rsidP="007D3746">
      <w:pPr>
        <w:numPr>
          <w:ilvl w:val="2"/>
          <w:numId w:val="48"/>
        </w:numPr>
        <w:overflowPunct/>
        <w:autoSpaceDE/>
        <w:autoSpaceDN/>
        <w:adjustRightInd/>
        <w:spacing w:after="0"/>
        <w:ind w:left="1985" w:hanging="284"/>
        <w:textAlignment w:val="auto"/>
        <w:rPr>
          <w:i/>
          <w:lang w:val="en-US" w:eastAsia="x-none"/>
        </w:rPr>
      </w:pPr>
      <w:r w:rsidRPr="007D3746">
        <w:rPr>
          <w:i/>
          <w:lang w:val="en-US" w:eastAsia="x-none"/>
        </w:rPr>
        <w:t xml:space="preserve">Alt3: by </w:t>
      </w:r>
      <w:r w:rsidRPr="007D3746">
        <w:rPr>
          <w:bCs/>
          <w:i/>
          <w:lang w:val="en-US" w:eastAsia="x-none"/>
        </w:rPr>
        <w:t>PDSCH-to-HARQ-timing-indicator in the DCI scheduling the PDSCH</w:t>
      </w:r>
    </w:p>
    <w:p w14:paraId="1A8BA82B" w14:textId="77777777" w:rsidR="007D3746" w:rsidRPr="007D3746" w:rsidRDefault="007D3746" w:rsidP="007D3746">
      <w:pPr>
        <w:numPr>
          <w:ilvl w:val="2"/>
          <w:numId w:val="48"/>
        </w:numPr>
        <w:overflowPunct/>
        <w:autoSpaceDE/>
        <w:autoSpaceDN/>
        <w:adjustRightInd/>
        <w:spacing w:after="0"/>
        <w:ind w:left="1985" w:hanging="284"/>
        <w:textAlignment w:val="auto"/>
        <w:rPr>
          <w:i/>
          <w:lang w:val="en-US" w:eastAsia="x-none"/>
        </w:rPr>
      </w:pPr>
      <w:r w:rsidRPr="007D3746">
        <w:rPr>
          <w:bCs/>
          <w:i/>
          <w:lang w:val="en-US" w:eastAsia="x-none"/>
        </w:rPr>
        <w:t>Note: the alternatives above are at least applicable for the case where there is no HARQ feedback expected in the same channel occupancy as the PDSCH</w:t>
      </w:r>
    </w:p>
    <w:p w14:paraId="330CF32F" w14:textId="7ABF308A" w:rsidR="00C20E53" w:rsidRPr="007D3746" w:rsidRDefault="007D3746" w:rsidP="007D3746">
      <w:pPr>
        <w:numPr>
          <w:ilvl w:val="2"/>
          <w:numId w:val="48"/>
        </w:numPr>
        <w:overflowPunct/>
        <w:autoSpaceDE/>
        <w:autoSpaceDN/>
        <w:adjustRightInd/>
        <w:spacing w:after="0"/>
        <w:ind w:left="1985" w:hanging="284"/>
        <w:textAlignment w:val="auto"/>
        <w:rPr>
          <w:i/>
          <w:lang w:val="en-US" w:eastAsia="x-none"/>
        </w:rPr>
      </w:pPr>
      <w:r w:rsidRPr="007D3746">
        <w:rPr>
          <w:bCs/>
          <w:i/>
          <w:lang w:val="en-US" w:eastAsia="x-none"/>
        </w:rPr>
        <w:t>Study the impact of the above candidate solutions on the HARQ codebook</w:t>
      </w:r>
    </w:p>
    <w:p w14:paraId="7ADED6DD" w14:textId="193BA5AF" w:rsidR="007F171F" w:rsidRPr="007F171F" w:rsidRDefault="0099103B" w:rsidP="006B54C1">
      <w:pPr>
        <w:pStyle w:val="Heading1"/>
      </w:pPr>
      <w:r>
        <w:rPr>
          <w:color w:val="000000"/>
        </w:rPr>
        <w:lastRenderedPageBreak/>
        <w:t xml:space="preserve">2. </w:t>
      </w:r>
      <w:r w:rsidR="007F171F">
        <w:t>UL scheduling</w:t>
      </w:r>
    </w:p>
    <w:p w14:paraId="229D9E1A" w14:textId="77777777" w:rsidR="007F171F" w:rsidRDefault="007F171F" w:rsidP="0003692A">
      <w:pPr>
        <w:spacing w:after="120"/>
        <w:jc w:val="both"/>
      </w:pPr>
      <w:r>
        <w:t xml:space="preserve">NR unlicensed can be expected to be deployed on small cells due to limitations on the total transmission power as well as on the allowed EIRP. In a small cell, frequently there may be only few UEs active at a time. This means that variations on the DL / UL traffic ratio can be expected to be large to the extent that occasionally a cell may serve effectively only UL traffic or only DL traffic. </w:t>
      </w:r>
    </w:p>
    <w:p w14:paraId="5CA71458" w14:textId="204FE95E" w:rsidR="00DF3159" w:rsidRDefault="007F171F" w:rsidP="0003692A">
      <w:pPr>
        <w:widowControl w:val="0"/>
        <w:overflowPunct/>
        <w:autoSpaceDE/>
        <w:autoSpaceDN/>
        <w:adjustRightInd/>
        <w:spacing w:after="120"/>
        <w:jc w:val="both"/>
        <w:textAlignment w:val="auto"/>
        <w:rPr>
          <w:lang w:val="en-US"/>
        </w:rPr>
      </w:pPr>
      <w:r>
        <w:t>In RAN1#92bis [2], it was agreed to s</w:t>
      </w:r>
      <w:r>
        <w:rPr>
          <w:lang w:val="en-US"/>
        </w:rPr>
        <w:t>tudy the support for</w:t>
      </w:r>
      <w:r w:rsidRPr="0001199A">
        <w:rPr>
          <w:lang w:val="en-US"/>
        </w:rPr>
        <w:t xml:space="preserve"> more than on</w:t>
      </w:r>
      <w:r w:rsidR="00BB7DDF">
        <w:rPr>
          <w:lang w:val="en-US"/>
        </w:rPr>
        <w:t>e switching point</w:t>
      </w:r>
      <w:r w:rsidR="004165AB">
        <w:rPr>
          <w:lang w:val="en-US"/>
        </w:rPr>
        <w:t xml:space="preserve"> within a COT. Efficient support for COT</w:t>
      </w:r>
      <w:r w:rsidR="004035FF">
        <w:rPr>
          <w:lang w:val="en-US"/>
        </w:rPr>
        <w:t xml:space="preserve"> with a single switching point needs also to be investigated. Single sw</w:t>
      </w:r>
      <w:r w:rsidR="004165AB">
        <w:rPr>
          <w:lang w:val="en-US"/>
        </w:rPr>
        <w:t>itching point per COT</w:t>
      </w:r>
      <w:r w:rsidR="004035FF">
        <w:rPr>
          <w:lang w:val="en-US"/>
        </w:rPr>
        <w:t xml:space="preserve"> together with only</w:t>
      </w:r>
      <w:r w:rsidR="008D700C">
        <w:rPr>
          <w:lang w:val="en-US"/>
        </w:rPr>
        <w:t xml:space="preserve"> few scheduled UEs can lead to </w:t>
      </w:r>
      <w:r w:rsidR="004165AB">
        <w:rPr>
          <w:lang w:val="en-US"/>
        </w:rPr>
        <w:t>COT</w:t>
      </w:r>
      <w:r w:rsidR="008D700C">
        <w:rPr>
          <w:lang w:val="en-US"/>
        </w:rPr>
        <w:t xml:space="preserve"> with short DL portion and long contiguous UL portion with each UE scheduled with multiple PUSCHs in the consecutive slots. </w:t>
      </w:r>
      <w:r w:rsidR="00530873">
        <w:rPr>
          <w:lang w:val="en-US"/>
        </w:rPr>
        <w:t>To facilitate for example such situations, it was agreed on RAN1#93 that s</w:t>
      </w:r>
      <w:r w:rsidR="00530873" w:rsidRPr="00530873">
        <w:rPr>
          <w:lang w:val="en-US"/>
        </w:rPr>
        <w:t>cheduling multiple TTIs for PUSCH</w:t>
      </w:r>
      <w:r w:rsidR="00530873">
        <w:rPr>
          <w:lang w:val="en-US"/>
        </w:rPr>
        <w:t xml:space="preserve"> in a single PDCCH monitoring occasion, either by using multiple </w:t>
      </w:r>
      <w:r w:rsidR="00530873" w:rsidRPr="00530873">
        <w:rPr>
          <w:lang w:val="en-US"/>
        </w:rPr>
        <w:t>separate UL grant</w:t>
      </w:r>
      <w:r w:rsidR="00530873">
        <w:rPr>
          <w:lang w:val="en-US"/>
        </w:rPr>
        <w:t>s or with single multi-slot UL grant</w:t>
      </w:r>
      <w:r w:rsidR="00530873" w:rsidRPr="00530873">
        <w:rPr>
          <w:lang w:val="en-US"/>
        </w:rPr>
        <w:t xml:space="preserve"> </w:t>
      </w:r>
      <w:r w:rsidR="00530873">
        <w:rPr>
          <w:lang w:val="en-US"/>
        </w:rPr>
        <w:t>i</w:t>
      </w:r>
      <w:r w:rsidR="00530873" w:rsidRPr="00530873">
        <w:rPr>
          <w:lang w:val="en-US"/>
        </w:rPr>
        <w:t>s beneficial</w:t>
      </w:r>
      <w:r w:rsidR="00530873">
        <w:rPr>
          <w:lang w:val="en-US"/>
        </w:rPr>
        <w:t>, and at least multi-slot UL grant should be supported in NR-U.</w:t>
      </w:r>
      <w:r w:rsidR="001C0C87">
        <w:rPr>
          <w:lang w:val="en-US"/>
        </w:rPr>
        <w:t xml:space="preserve"> </w:t>
      </w:r>
    </w:p>
    <w:p w14:paraId="1507229E" w14:textId="6AF3031E" w:rsidR="00DF3159" w:rsidRDefault="00DF3159" w:rsidP="0003692A">
      <w:pPr>
        <w:spacing w:after="120"/>
        <w:jc w:val="both"/>
      </w:pPr>
      <w:r>
        <w:rPr>
          <w:lang w:val="en-US"/>
        </w:rPr>
        <w:t>For multi-slot scheduling, mini-slot type grant may also be supported in NR-U to enable flexible starting points and thus increase channel access probability for UE. In such case, to schedule multiple slots with mini-slot type grant will be clearly beneficial due to improved medium access probability. However, it would increase the number of required HARQ processes as well as data fragmenting. Furthermore, to increase transmission capability of UE with larger bandwidth, a UL BWP for a UE may</w:t>
      </w:r>
      <w:r w:rsidR="00996798">
        <w:rPr>
          <w:lang w:val="en-US"/>
        </w:rPr>
        <w:t xml:space="preserve"> span over multiple sub-bands</w:t>
      </w:r>
      <w:r>
        <w:rPr>
          <w:lang w:val="en-US"/>
        </w:rPr>
        <w:t>. When accessing large bandwidth of e.g. 160 MHz (i.e. 8 sub-bands), having HARQ process per sub-band will also result in a large number of HARQ processes. In this case, the number of required HARQ process will increase as the number of scheduled slots, the number of mini-slots per slot o</w:t>
      </w:r>
      <w:r w:rsidR="00996798">
        <w:rPr>
          <w:lang w:val="en-US"/>
        </w:rPr>
        <w:t>r/and the number of sub-bands</w:t>
      </w:r>
      <w:r>
        <w:rPr>
          <w:lang w:val="en-US"/>
        </w:rPr>
        <w:t>, which will greatly exceed the maximal number of HARQ processes (i.e. up to 16 HARQ processes) in NR Rel-15. In general, increasing the number of HARQ processes has difficult software and hardware implementation implications. On the other hand,</w:t>
      </w:r>
      <w:r w:rsidR="00996798">
        <w:rPr>
          <w:lang w:val="en-US"/>
        </w:rPr>
        <w:t xml:space="preserve"> it would be beneficial to schedule</w:t>
      </w:r>
      <w:r>
        <w:rPr>
          <w:lang w:val="en-US"/>
        </w:rPr>
        <w:t xml:space="preserve"> one TB over</w:t>
      </w:r>
      <w:r w:rsidR="00996798">
        <w:rPr>
          <w:lang w:val="en-US"/>
        </w:rPr>
        <w:t xml:space="preserve"> the sub-bands available </w:t>
      </w:r>
      <w:r>
        <w:rPr>
          <w:lang w:val="en-US"/>
        </w:rPr>
        <w:t xml:space="preserve">based on </w:t>
      </w:r>
      <w:r w:rsidR="00996798">
        <w:rPr>
          <w:lang w:val="en-US"/>
        </w:rPr>
        <w:t xml:space="preserve">the outcome of LBT, but </w:t>
      </w:r>
      <w:r>
        <w:rPr>
          <w:lang w:val="en-US"/>
        </w:rPr>
        <w:t xml:space="preserve">it will be a big challenge for UE to prepare data </w:t>
      </w:r>
      <w:r w:rsidR="00996798">
        <w:rPr>
          <w:lang w:val="en-US"/>
        </w:rPr>
        <w:t xml:space="preserve">right </w:t>
      </w:r>
      <w:r>
        <w:rPr>
          <w:lang w:val="en-US"/>
        </w:rPr>
        <w:t xml:space="preserve">after LBT due to long preparation time </w:t>
      </w:r>
      <w:r w:rsidR="00996798">
        <w:rPr>
          <w:lang w:val="en-US"/>
        </w:rPr>
        <w:t xml:space="preserve">including e.g. </w:t>
      </w:r>
      <w:r>
        <w:rPr>
          <w:lang w:val="en-US"/>
        </w:rPr>
        <w:t xml:space="preserve">getting data from high layer, TBS </w:t>
      </w:r>
      <w:r w:rsidR="00996798">
        <w:rPr>
          <w:lang w:val="en-US"/>
        </w:rPr>
        <w:t>determination, channel coding, modulation, I</w:t>
      </w:r>
      <w:r>
        <w:rPr>
          <w:lang w:val="en-US"/>
        </w:rPr>
        <w:t>FFT, digital fi</w:t>
      </w:r>
      <w:r w:rsidR="00996798">
        <w:rPr>
          <w:lang w:val="en-US"/>
        </w:rPr>
        <w:t>ltering or/and RF retuning</w:t>
      </w:r>
      <w:r>
        <w:rPr>
          <w:lang w:val="en-US"/>
        </w:rPr>
        <w:t>.</w:t>
      </w:r>
    </w:p>
    <w:p w14:paraId="04DCD815" w14:textId="00A6F6F8" w:rsidR="00DF3159" w:rsidRDefault="00DF3159" w:rsidP="00DF3159">
      <w:pPr>
        <w:jc w:val="both"/>
        <w:rPr>
          <w:lang w:val="en-US"/>
        </w:rPr>
      </w:pPr>
      <w:r>
        <w:rPr>
          <w:lang w:val="en-US"/>
        </w:rPr>
        <w:t xml:space="preserve">Therefore, further enhancement </w:t>
      </w:r>
      <w:r w:rsidR="00D535E6">
        <w:rPr>
          <w:lang w:val="en-US"/>
        </w:rPr>
        <w:t xml:space="preserve">for multi-slot PUSCH </w:t>
      </w:r>
      <w:r>
        <w:rPr>
          <w:lang w:val="en-US"/>
        </w:rPr>
        <w:t xml:space="preserve">shall be addressed in NR-U SI to cope with the above challenges </w:t>
      </w:r>
      <w:r w:rsidR="00D535E6">
        <w:rPr>
          <w:lang w:val="en-US"/>
        </w:rPr>
        <w:t>while achieving</w:t>
      </w:r>
      <w:r>
        <w:rPr>
          <w:lang w:val="en-US"/>
        </w:rPr>
        <w:t xml:space="preserve"> the benefits of the BWP &amp; flexible starting points. Further, when investigating multi-slot PUSCH scheduling with diff</w:t>
      </w:r>
      <w:r w:rsidR="00D535E6">
        <w:rPr>
          <w:lang w:val="en-US"/>
        </w:rPr>
        <w:t xml:space="preserve">erent TB in each slot, also </w:t>
      </w:r>
      <w:r>
        <w:rPr>
          <w:lang w:val="en-US"/>
        </w:rPr>
        <w:t>the PUSCH timing indication needs to be considered</w:t>
      </w:r>
      <w:r w:rsidR="00D535E6">
        <w:rPr>
          <w:lang w:val="en-US"/>
        </w:rPr>
        <w:t>.</w:t>
      </w:r>
    </w:p>
    <w:p w14:paraId="541CACFB" w14:textId="4E898E7A" w:rsidR="00530873" w:rsidRPr="006B54C1" w:rsidRDefault="00DF3159" w:rsidP="006B54C1">
      <w:pPr>
        <w:spacing w:after="240"/>
        <w:jc w:val="both"/>
        <w:rPr>
          <w:b/>
          <w:bCs/>
          <w:i/>
          <w:iCs/>
          <w:lang w:val="en-US" w:eastAsia="x-none"/>
        </w:rPr>
      </w:pPr>
      <w:r>
        <w:rPr>
          <w:b/>
          <w:bCs/>
          <w:i/>
          <w:iCs/>
          <w:lang w:val="en-US" w:eastAsia="x-none"/>
        </w:rPr>
        <w:t xml:space="preserve">Proposal </w:t>
      </w:r>
      <w:r w:rsidR="009166C7">
        <w:rPr>
          <w:b/>
          <w:bCs/>
          <w:i/>
          <w:iCs/>
          <w:lang w:val="en-US" w:eastAsia="x-none"/>
        </w:rPr>
        <w:t>1</w:t>
      </w:r>
      <w:r>
        <w:rPr>
          <w:b/>
          <w:bCs/>
          <w:i/>
          <w:iCs/>
          <w:lang w:val="en-US" w:eastAsia="x-none"/>
        </w:rPr>
        <w:t>: Further enhancement shall be addressed in NR-U SI for support of BWP and flexible starting points</w:t>
      </w:r>
      <w:r w:rsidR="00D535E6">
        <w:rPr>
          <w:b/>
          <w:bCs/>
          <w:i/>
          <w:iCs/>
          <w:lang w:val="en-US" w:eastAsia="x-none"/>
        </w:rPr>
        <w:t xml:space="preserve"> with acceptable number of HARQ proce</w:t>
      </w:r>
      <w:r w:rsidR="00341CE4">
        <w:rPr>
          <w:b/>
          <w:bCs/>
          <w:i/>
          <w:iCs/>
          <w:lang w:val="en-US" w:eastAsia="x-none"/>
        </w:rPr>
        <w:t>sses</w:t>
      </w:r>
      <w:r>
        <w:rPr>
          <w:b/>
          <w:bCs/>
          <w:i/>
          <w:iCs/>
          <w:lang w:val="en-US" w:eastAsia="x-none"/>
        </w:rPr>
        <w:t xml:space="preserve"> in the case of multi-slot PUSCH scheduling.</w:t>
      </w:r>
    </w:p>
    <w:p w14:paraId="3A55077C" w14:textId="5C858A10" w:rsidR="00CC46E5" w:rsidRDefault="00AC05B6" w:rsidP="0003692A">
      <w:pPr>
        <w:widowControl w:val="0"/>
        <w:overflowPunct/>
        <w:autoSpaceDE/>
        <w:autoSpaceDN/>
        <w:adjustRightInd/>
        <w:jc w:val="both"/>
        <w:textAlignment w:val="auto"/>
        <w:rPr>
          <w:lang w:val="en-US"/>
        </w:rPr>
      </w:pPr>
      <w:r>
        <w:rPr>
          <w:lang w:val="en-US"/>
        </w:rPr>
        <w:t>When considering the scheduling of LAA uplink</w:t>
      </w:r>
      <w:r w:rsidR="007F1B17">
        <w:rPr>
          <w:lang w:val="en-US"/>
        </w:rPr>
        <w:t xml:space="preserve">, the SI considers also the </w:t>
      </w:r>
      <w:r w:rsidR="009D17D4">
        <w:rPr>
          <w:lang w:val="en-US"/>
        </w:rPr>
        <w:t xml:space="preserve">LAA </w:t>
      </w:r>
      <w:r w:rsidR="007F1B17">
        <w:rPr>
          <w:lang w:val="en-US"/>
        </w:rPr>
        <w:t xml:space="preserve">case of carrier aggregation with </w:t>
      </w:r>
      <w:r w:rsidR="009D17D4">
        <w:rPr>
          <w:lang w:val="en-US"/>
        </w:rPr>
        <w:t xml:space="preserve">a </w:t>
      </w:r>
      <w:r w:rsidR="007F1B17">
        <w:rPr>
          <w:lang w:val="en-US"/>
        </w:rPr>
        <w:t xml:space="preserve">NR cell on the licensed band. In such case, cross-carrier scheduling </w:t>
      </w:r>
      <w:r w:rsidR="009D17D4">
        <w:rPr>
          <w:lang w:val="en-US"/>
        </w:rPr>
        <w:t xml:space="preserve">of </w:t>
      </w:r>
      <w:r w:rsidR="007F1B17">
        <w:rPr>
          <w:lang w:val="en-US"/>
        </w:rPr>
        <w:t>unlicensed</w:t>
      </w:r>
      <w:r w:rsidR="009D17D4">
        <w:rPr>
          <w:lang w:val="en-US"/>
        </w:rPr>
        <w:t>-band PUSCH from a</w:t>
      </w:r>
      <w:r w:rsidR="007F1B17">
        <w:rPr>
          <w:lang w:val="en-US"/>
        </w:rPr>
        <w:t xml:space="preserve"> licensed-band NR cell offers clear benefits, as the inherent uncertainties of unlicensed access </w:t>
      </w:r>
      <w:r w:rsidR="002112AB">
        <w:rPr>
          <w:lang w:val="en-US"/>
        </w:rPr>
        <w:t xml:space="preserve">do not affect PDCCH but </w:t>
      </w:r>
      <w:r w:rsidR="007F1B17">
        <w:rPr>
          <w:lang w:val="en-US"/>
        </w:rPr>
        <w:t xml:space="preserve">are limited only to actual PUSCH transmission and reception. Hence, we see that UL cross-carrier scheduling from a licensed-band </w:t>
      </w:r>
      <w:r w:rsidR="009D17D4">
        <w:rPr>
          <w:lang w:val="en-US"/>
        </w:rPr>
        <w:t>NR cell should be supported in NR unlicensed.</w:t>
      </w:r>
      <w:r w:rsidR="002112AB">
        <w:rPr>
          <w:lang w:val="en-US"/>
        </w:rPr>
        <w:t xml:space="preserve"> In the case of NR LAA,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multi-slot scheduling would be beneficial for cross-numerology scheduling from low SCS to high SCS</w:t>
      </w:r>
      <w:r w:rsidR="000E62EF">
        <w:rPr>
          <w:lang w:val="en-US"/>
        </w:rPr>
        <w:t>. Hence, we propose that NR-U multi-slot scheduling</w:t>
      </w:r>
      <w:r w:rsidR="004001C5">
        <w:rPr>
          <w:lang w:val="en-US"/>
        </w:rPr>
        <w:t xml:space="preserve"> supports also cross-numerology scheduling across carriers</w:t>
      </w:r>
      <w:r w:rsidR="00790D86">
        <w:rPr>
          <w:lang w:val="en-US"/>
        </w:rPr>
        <w:t xml:space="preserve">. We see that </w:t>
      </w:r>
      <w:r w:rsidR="009166C7">
        <w:rPr>
          <w:lang w:val="en-US"/>
        </w:rPr>
        <w:t>th</w:t>
      </w:r>
      <w:r w:rsidR="006407BA">
        <w:rPr>
          <w:lang w:val="en-US"/>
        </w:rPr>
        <w:t>e</w:t>
      </w:r>
      <w:r w:rsidR="00790D86">
        <w:rPr>
          <w:lang w:val="en-US"/>
        </w:rPr>
        <w:t xml:space="preserve"> solution should be based on the</w:t>
      </w:r>
      <w:r w:rsidR="00FB350A">
        <w:rPr>
          <w:lang w:val="en-US"/>
        </w:rPr>
        <w:t xml:space="preserve"> cross-carrier scheduling mechanism </w:t>
      </w:r>
      <w:r w:rsidR="00DF3159">
        <w:rPr>
          <w:lang w:val="en-US"/>
        </w:rPr>
        <w:t>across</w:t>
      </w:r>
      <w:r w:rsidR="00FB350A">
        <w:rPr>
          <w:lang w:val="en-US"/>
        </w:rPr>
        <w:t xml:space="preserve"> di</w:t>
      </w:r>
      <w:r w:rsidR="00B3182F">
        <w:rPr>
          <w:lang w:val="en-US"/>
        </w:rPr>
        <w:t>fferent numerologies that will be completed</w:t>
      </w:r>
      <w:r w:rsidR="00790D86">
        <w:rPr>
          <w:lang w:val="en-US"/>
        </w:rPr>
        <w:t xml:space="preserve"> </w:t>
      </w:r>
      <w:r w:rsidR="00DF3159">
        <w:rPr>
          <w:lang w:val="en-US"/>
        </w:rPr>
        <w:t xml:space="preserve">for (licensed) NR in </w:t>
      </w:r>
      <w:r w:rsidR="008C44DC">
        <w:rPr>
          <w:lang w:val="en-US"/>
        </w:rPr>
        <w:t>Rel-16 “DC and CA enhancements” WI [5], [6]</w:t>
      </w:r>
      <w:r w:rsidR="004001C5">
        <w:rPr>
          <w:lang w:val="en-US"/>
        </w:rPr>
        <w:t>.</w:t>
      </w:r>
      <w:r w:rsidR="000E62EF">
        <w:rPr>
          <w:lang w:val="en-US"/>
        </w:rPr>
        <w:t xml:space="preserve"> </w:t>
      </w:r>
    </w:p>
    <w:p w14:paraId="5CAD46F4" w14:textId="28A948D1" w:rsidR="007F171F" w:rsidRPr="006B54C1" w:rsidRDefault="00A7591D" w:rsidP="0003692A">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9166C7">
        <w:rPr>
          <w:b/>
          <w:i/>
          <w:lang w:val="en-US" w:eastAsia="x-none"/>
        </w:rPr>
        <w:t>2</w:t>
      </w:r>
      <w:r w:rsidRPr="00953AB0">
        <w:rPr>
          <w:b/>
          <w:i/>
          <w:lang w:val="en-US" w:eastAsia="x-none"/>
        </w:rPr>
        <w:t>:</w:t>
      </w:r>
      <w:r>
        <w:rPr>
          <w:b/>
          <w:i/>
          <w:lang w:val="en-US" w:eastAsia="x-none"/>
        </w:rPr>
        <w:t xml:space="preserve"> </w:t>
      </w:r>
      <w:r w:rsidR="004001C5" w:rsidRPr="006B54C1">
        <w:rPr>
          <w:b/>
          <w:i/>
          <w:lang w:val="en-US" w:eastAsia="x-none"/>
        </w:rPr>
        <w:t>NR-U PUSCH m</w:t>
      </w:r>
      <w:r w:rsidRPr="006B54C1">
        <w:rPr>
          <w:b/>
          <w:i/>
          <w:lang w:val="en-US" w:eastAsia="x-none"/>
        </w:rPr>
        <w:t xml:space="preserve">ulti-slot scheduling </w:t>
      </w:r>
      <w:r w:rsidR="004001C5" w:rsidRPr="006B54C1">
        <w:rPr>
          <w:b/>
          <w:i/>
          <w:lang w:val="en-US" w:eastAsia="x-none"/>
        </w:rPr>
        <w:t>supports cross-numerology scheduling</w:t>
      </w:r>
      <w:r w:rsidR="00DF3159" w:rsidRPr="006B54C1">
        <w:rPr>
          <w:b/>
          <w:i/>
          <w:lang w:val="en-US" w:eastAsia="x-none"/>
        </w:rPr>
        <w:t xml:space="preserve"> based on Rel-16 mechanism</w:t>
      </w:r>
      <w:r w:rsidRPr="006B54C1">
        <w:rPr>
          <w:b/>
          <w:i/>
          <w:lang w:val="en-US" w:eastAsia="x-none"/>
        </w:rPr>
        <w:t>.</w:t>
      </w:r>
    </w:p>
    <w:p w14:paraId="539E64EA" w14:textId="71FA396A" w:rsidR="00A97589" w:rsidRPr="006B54C1" w:rsidRDefault="009166C7" w:rsidP="006B54C1">
      <w:pPr>
        <w:widowControl w:val="0"/>
        <w:snapToGrid w:val="0"/>
        <w:jc w:val="both"/>
        <w:rPr>
          <w:rFonts w:eastAsia="Malgun Gothic"/>
          <w:color w:val="000000" w:themeColor="text1"/>
          <w:lang w:eastAsia="ko-KR"/>
        </w:rPr>
      </w:pPr>
      <w:r>
        <w:rPr>
          <w:rFonts w:eastAsia="Malgun Gothic"/>
          <w:color w:val="000000" w:themeColor="text1"/>
          <w:lang w:val="en-US" w:eastAsia="ko-KR"/>
        </w:rPr>
        <w:t xml:space="preserve">During RAN1#94, cross-carrier </w:t>
      </w:r>
      <w:r w:rsidRPr="001A4BB1">
        <w:rPr>
          <w:rFonts w:eastAsia="Malgun Gothic"/>
          <w:color w:val="000000" w:themeColor="text1"/>
          <w:lang w:eastAsia="ko-KR"/>
        </w:rPr>
        <w:t>HARQ retransmissions</w:t>
      </w:r>
      <w:r w:rsidR="00A5790A">
        <w:rPr>
          <w:rFonts w:eastAsia="Malgun Gothic"/>
          <w:color w:val="000000" w:themeColor="text1"/>
          <w:lang w:eastAsia="ko-KR"/>
        </w:rPr>
        <w:t xml:space="preserve">, </w:t>
      </w:r>
      <w:r w:rsidR="00BC76AB">
        <w:rPr>
          <w:rFonts w:eastAsia="Malgun Gothic"/>
          <w:color w:val="000000" w:themeColor="text1"/>
          <w:lang w:eastAsia="ko-KR"/>
        </w:rPr>
        <w:t>that is,</w:t>
      </w:r>
      <w:r>
        <w:rPr>
          <w:rFonts w:eastAsia="Malgun Gothic"/>
          <w:color w:val="000000" w:themeColor="text1"/>
          <w:lang w:eastAsia="ko-KR"/>
        </w:rPr>
        <w:t xml:space="preserve"> HARQ retransmission </w:t>
      </w:r>
      <w:r w:rsidR="00A5790A">
        <w:rPr>
          <w:rFonts w:eastAsia="Malgun Gothic"/>
          <w:color w:val="000000" w:themeColor="text1"/>
          <w:lang w:eastAsia="ko-KR"/>
        </w:rPr>
        <w:t xml:space="preserve">through </w:t>
      </w:r>
      <w:r w:rsidR="00165689">
        <w:rPr>
          <w:rFonts w:eastAsia="Malgun Gothic"/>
          <w:color w:val="000000" w:themeColor="text1"/>
          <w:lang w:eastAsia="ko-KR"/>
        </w:rPr>
        <w:t xml:space="preserve">a </w:t>
      </w:r>
      <w:r w:rsidR="00A5790A">
        <w:rPr>
          <w:rFonts w:eastAsia="Malgun Gothic"/>
          <w:color w:val="000000" w:themeColor="text1"/>
          <w:lang w:eastAsia="ko-KR"/>
        </w:rPr>
        <w:t xml:space="preserve">different carrier than the original carrier, was discussed. </w:t>
      </w:r>
      <w:r w:rsidR="00165689">
        <w:rPr>
          <w:rFonts w:eastAsia="Malgun Gothic"/>
          <w:color w:val="000000" w:themeColor="text1"/>
          <w:lang w:eastAsia="ko-KR"/>
        </w:rPr>
        <w:t>Cross-carrier HARQ retransmission may offer a form of diver</w:t>
      </w:r>
      <w:r w:rsidR="00C754E1">
        <w:rPr>
          <w:rFonts w:eastAsia="Malgun Gothic"/>
          <w:color w:val="000000" w:themeColor="text1"/>
          <w:lang w:eastAsia="ko-KR"/>
        </w:rPr>
        <w:t>sity for</w:t>
      </w:r>
      <w:r w:rsidR="00165689">
        <w:rPr>
          <w:rFonts w:eastAsia="Malgun Gothic"/>
          <w:color w:val="000000" w:themeColor="text1"/>
          <w:lang w:eastAsia="ko-KR"/>
        </w:rPr>
        <w:t xml:space="preserve"> the channel access with multiple separate LBT processes on the carriers. On other hand, a</w:t>
      </w:r>
      <w:r w:rsidR="00A5790A">
        <w:rPr>
          <w:rFonts w:eastAsia="Malgun Gothic"/>
          <w:color w:val="000000" w:themeColor="text1"/>
          <w:lang w:eastAsia="ko-KR"/>
        </w:rPr>
        <w:t xml:space="preserve"> BWP may </w:t>
      </w:r>
      <w:r w:rsidR="00165689">
        <w:rPr>
          <w:rFonts w:eastAsia="Malgun Gothic"/>
          <w:color w:val="000000" w:themeColor="text1"/>
          <w:lang w:eastAsia="ko-KR"/>
        </w:rPr>
        <w:t xml:space="preserve">already </w:t>
      </w:r>
      <w:r w:rsidR="00A5790A">
        <w:rPr>
          <w:rFonts w:eastAsia="Malgun Gothic"/>
          <w:color w:val="000000" w:themeColor="text1"/>
          <w:lang w:eastAsia="ko-KR"/>
        </w:rPr>
        <w:t xml:space="preserve">span multiple sub-bands each having a separate LBT process. </w:t>
      </w:r>
      <w:r w:rsidR="00341CE4">
        <w:rPr>
          <w:rFonts w:eastAsia="Malgun Gothic"/>
          <w:color w:val="000000" w:themeColor="text1"/>
          <w:lang w:eastAsia="ko-KR"/>
        </w:rPr>
        <w:t xml:space="preserve">Of course, cross-carrier HARQ retransmissions can provide additional degrees of LBT diversity over the </w:t>
      </w:r>
      <w:r w:rsidR="00C754E1">
        <w:rPr>
          <w:rFonts w:eastAsia="Malgun Gothic"/>
          <w:color w:val="000000" w:themeColor="text1"/>
          <w:lang w:eastAsia="ko-KR"/>
        </w:rPr>
        <w:t xml:space="preserve">degrees of </w:t>
      </w:r>
      <w:r w:rsidR="00341CE4">
        <w:rPr>
          <w:rFonts w:eastAsia="Malgun Gothic"/>
          <w:color w:val="000000" w:themeColor="text1"/>
          <w:lang w:eastAsia="ko-KR"/>
        </w:rPr>
        <w:t xml:space="preserve">diversity provided by BWP. However, it is unclear how much </w:t>
      </w:r>
      <w:r w:rsidR="00A97589">
        <w:rPr>
          <w:rFonts w:eastAsia="Malgun Gothic"/>
          <w:color w:val="000000" w:themeColor="text1"/>
          <w:lang w:eastAsia="ko-KR"/>
        </w:rPr>
        <w:t xml:space="preserve">further gain can be achieved with cross-carrier </w:t>
      </w:r>
      <w:r w:rsidR="00C754E1">
        <w:rPr>
          <w:rFonts w:eastAsia="Malgun Gothic"/>
          <w:color w:val="000000" w:themeColor="text1"/>
          <w:lang w:eastAsia="ko-KR"/>
        </w:rPr>
        <w:t xml:space="preserve">HARQ </w:t>
      </w:r>
      <w:r w:rsidR="00A97589">
        <w:rPr>
          <w:rFonts w:eastAsia="Malgun Gothic"/>
          <w:color w:val="000000" w:themeColor="text1"/>
          <w:lang w:eastAsia="ko-KR"/>
        </w:rPr>
        <w:t>retransmissions. On other hand, cross-carrier HARQ retransmissions may cause considerable changes to HARQ process management. Hence, the gains achievable with cross-carrier HARQ retransmissions should be carefully assessed.</w:t>
      </w:r>
    </w:p>
    <w:p w14:paraId="50BB8502" w14:textId="3AD8BC25" w:rsidR="00A97589" w:rsidRPr="006B54C1" w:rsidRDefault="00A97589" w:rsidP="00BD520C">
      <w:pPr>
        <w:widowControl w:val="0"/>
        <w:overflowPunct/>
        <w:autoSpaceDE/>
        <w:autoSpaceDN/>
        <w:adjustRightInd/>
        <w:spacing w:after="240"/>
        <w:jc w:val="both"/>
        <w:textAlignment w:val="auto"/>
        <w:rPr>
          <w:b/>
          <w:i/>
          <w:lang w:val="en-US" w:eastAsia="x-none"/>
        </w:rPr>
      </w:pPr>
      <w:r>
        <w:rPr>
          <w:b/>
          <w:i/>
          <w:lang w:eastAsia="x-none"/>
        </w:rPr>
        <w:t>Observation</w:t>
      </w:r>
      <w:r w:rsidR="0003692A">
        <w:rPr>
          <w:b/>
          <w:i/>
          <w:lang w:eastAsia="x-none"/>
        </w:rPr>
        <w:t xml:space="preserve"> 1</w:t>
      </w:r>
      <w:r w:rsidRPr="00953AB0">
        <w:rPr>
          <w:b/>
          <w:i/>
          <w:lang w:val="en-US" w:eastAsia="x-none"/>
        </w:rPr>
        <w:t>:</w:t>
      </w:r>
      <w:r>
        <w:rPr>
          <w:b/>
          <w:i/>
          <w:lang w:val="en-US" w:eastAsia="x-none"/>
        </w:rPr>
        <w:t xml:space="preserve"> Benefits from cross-carrier HARQ retransmissions should be carefully assessed against HARQ retransmissions on </w:t>
      </w:r>
      <w:r w:rsidR="002F4172">
        <w:rPr>
          <w:b/>
          <w:i/>
          <w:lang w:val="en-US" w:eastAsia="x-none"/>
        </w:rPr>
        <w:t>BWP covering multiple sub-bands</w:t>
      </w:r>
      <w:r w:rsidR="000C3F65">
        <w:rPr>
          <w:b/>
          <w:i/>
          <w:lang w:val="en-US" w:eastAsia="x-none"/>
        </w:rPr>
        <w:t xml:space="preserve"> of 20 MHz</w:t>
      </w:r>
      <w:r w:rsidR="0003692A">
        <w:rPr>
          <w:b/>
          <w:i/>
          <w:lang w:val="en-US" w:eastAsia="x-none"/>
        </w:rPr>
        <w:t>.</w:t>
      </w:r>
      <w:r>
        <w:rPr>
          <w:b/>
          <w:i/>
          <w:lang w:val="en-US" w:eastAsia="x-none"/>
        </w:rPr>
        <w:t xml:space="preserve"> </w:t>
      </w:r>
    </w:p>
    <w:p w14:paraId="58556610" w14:textId="267005F9" w:rsidR="005B5685" w:rsidRPr="001F28AA" w:rsidRDefault="00593442" w:rsidP="006B54C1">
      <w:pPr>
        <w:pStyle w:val="Heading1"/>
      </w:pPr>
      <w:r>
        <w:rPr>
          <w:color w:val="000000"/>
        </w:rPr>
        <w:lastRenderedPageBreak/>
        <w:t xml:space="preserve">3. </w:t>
      </w:r>
      <w:r w:rsidR="0099103B">
        <w:t>PDSCH HARQ feedback</w:t>
      </w:r>
      <w:r w:rsidR="00820C31">
        <w:t xml:space="preserve"> over unlicensed band</w:t>
      </w:r>
    </w:p>
    <w:p w14:paraId="055C5D1D" w14:textId="24A6BED1" w:rsidR="00820C31" w:rsidRDefault="00820C31" w:rsidP="0003692A">
      <w:pPr>
        <w:keepNext/>
        <w:spacing w:after="120"/>
        <w:jc w:val="both"/>
      </w:pPr>
      <w:r>
        <w:t>W</w:t>
      </w:r>
      <w:r>
        <w:rPr>
          <w:lang w:val="en-US"/>
        </w:rPr>
        <w:t>hen HARQ feedback is transmitted over an unlicensed band, channel contention creates additional challenges: channel contention may delay HARQ feedback unpredictably, and hidden node problem and bursty interference may cause occasional HARQ feedback detection failures.</w:t>
      </w:r>
    </w:p>
    <w:p w14:paraId="6B7AC47B" w14:textId="77777777" w:rsidR="009C4BF6" w:rsidRPr="009C4BF6" w:rsidRDefault="005B5685" w:rsidP="006B54C1">
      <w:pPr>
        <w:keepNext/>
        <w:spacing w:after="0"/>
        <w:jc w:val="both"/>
        <w:rPr>
          <w:lang w:val="en-US"/>
        </w:rPr>
      </w:pPr>
      <w:r w:rsidRPr="00C465B3">
        <w:t xml:space="preserve">Flexible HARQ feedback determination &amp; timing being defined in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highly flexible TDD configurations,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820C31">
        <w:rPr>
          <w:lang w:val="en-US"/>
        </w:rPr>
        <w:t xml:space="preserve"> </w:t>
      </w:r>
      <w:r w:rsidR="00696863">
        <w:rPr>
          <w:lang w:val="en-US"/>
        </w:rPr>
        <w:t xml:space="preserve">In RAN1#93 [3], it was agreed that the PDSCH processing times for PDSCH processing capability 2 can be as short as 3, 4.5, and 9 symbols for SCS of 15 kHz, 30 kHz and 60 kHz, </w:t>
      </w:r>
      <w:r w:rsidR="00696863" w:rsidRPr="009C4BF6">
        <w:rPr>
          <w:lang w:val="en-US"/>
        </w:rPr>
        <w:t xml:space="preserve">respectively. </w:t>
      </w:r>
      <w:r w:rsidR="009C4BF6" w:rsidRPr="009C4BF6">
        <w:rPr>
          <w:lang w:val="en-US"/>
        </w:rPr>
        <w:t>In RAN1#94 [4], it was agreed that NR-U should support both:</w:t>
      </w:r>
    </w:p>
    <w:p w14:paraId="0F34F301" w14:textId="77777777" w:rsidR="009C4BF6" w:rsidRPr="0003692A" w:rsidRDefault="009C4BF6" w:rsidP="006B54C1">
      <w:pPr>
        <w:pStyle w:val="ListParagraph"/>
        <w:keepNext/>
        <w:numPr>
          <w:ilvl w:val="0"/>
          <w:numId w:val="49"/>
        </w:numPr>
        <w:jc w:val="both"/>
        <w:rPr>
          <w:lang w:val="en-US"/>
        </w:rPr>
      </w:pPr>
      <w:r w:rsidRPr="006B54C1">
        <w:rPr>
          <w:sz w:val="20"/>
          <w:szCs w:val="20"/>
          <w:lang w:val="en-US"/>
        </w:rPr>
        <w:t>HARQ feedback corresponding to some or all the PDSCHs of a channel occupancy can be reported in the same channel occupancy</w:t>
      </w:r>
    </w:p>
    <w:p w14:paraId="51F09A65" w14:textId="1EC39EF2" w:rsidR="009C4BF6" w:rsidRDefault="009C4BF6" w:rsidP="006B54C1">
      <w:pPr>
        <w:pStyle w:val="ListParagraph"/>
        <w:keepNext/>
        <w:numPr>
          <w:ilvl w:val="0"/>
          <w:numId w:val="49"/>
        </w:numPr>
        <w:ind w:left="714" w:hanging="357"/>
        <w:jc w:val="both"/>
        <w:rPr>
          <w:lang w:val="en-US"/>
        </w:rPr>
      </w:pPr>
      <w:r w:rsidRPr="006B54C1">
        <w:rPr>
          <w:sz w:val="20"/>
          <w:szCs w:val="20"/>
          <w:lang w:val="en-US"/>
        </w:rPr>
        <w:t>HARQ feedback corresponding to PDSCHs of a channel occupancy can be reported outside of that channel occupancy</w:t>
      </w:r>
    </w:p>
    <w:p w14:paraId="39052954" w14:textId="6B5A4BC0" w:rsidR="00820C31" w:rsidRPr="006B54C1" w:rsidRDefault="009C4BF6" w:rsidP="006B54C1">
      <w:pPr>
        <w:keepNext/>
        <w:spacing w:after="240"/>
        <w:jc w:val="both"/>
        <w:rPr>
          <w:lang w:val="en-US"/>
        </w:rPr>
      </w:pPr>
      <w:r>
        <w:rPr>
          <w:lang w:val="en-US"/>
        </w:rPr>
        <w:t>In the following, we consider both cases</w:t>
      </w:r>
      <w:r w:rsidR="00C73677">
        <w:rPr>
          <w:lang w:val="en-US"/>
        </w:rPr>
        <w:t xml:space="preserve"> in more detail</w:t>
      </w:r>
      <w:r>
        <w:rPr>
          <w:lang w:val="en-US"/>
        </w:rPr>
        <w:t>.</w:t>
      </w:r>
      <w:r w:rsidRPr="006B54C1">
        <w:rPr>
          <w:lang w:val="en-US"/>
        </w:rPr>
        <w:t xml:space="preserve"> </w:t>
      </w:r>
    </w:p>
    <w:p w14:paraId="420E0359" w14:textId="7DB44402" w:rsidR="00416B55" w:rsidRPr="00593442" w:rsidRDefault="00593442" w:rsidP="006B54C1">
      <w:pPr>
        <w:pStyle w:val="Heading2"/>
        <w:rPr>
          <w:lang w:val="en-US"/>
        </w:rPr>
      </w:pPr>
      <w:r>
        <w:rPr>
          <w:lang w:val="en-US"/>
        </w:rPr>
        <w:t xml:space="preserve">3.1 </w:t>
      </w:r>
      <w:r w:rsidR="00416B55">
        <w:rPr>
          <w:lang w:val="en-US"/>
        </w:rPr>
        <w:t>Self-contained COT</w:t>
      </w:r>
    </w:p>
    <w:p w14:paraId="666084FF" w14:textId="6C70E4FF" w:rsidR="003C2C93" w:rsidRDefault="005B5685" w:rsidP="005725E1">
      <w:pPr>
        <w:keepNext/>
        <w:spacing w:after="120"/>
        <w:jc w:val="both"/>
        <w:rPr>
          <w:lang w:val="en-US"/>
        </w:rPr>
      </w:pPr>
      <w:r>
        <w:rPr>
          <w:lang w:val="en-US"/>
        </w:rPr>
        <w:t xml:space="preserve">We see that </w:t>
      </w:r>
      <w:r w:rsidR="005770D3">
        <w:rPr>
          <w:lang w:val="en-US"/>
        </w:rPr>
        <w:t xml:space="preserve">HARQ feedback </w:t>
      </w:r>
      <w:r w:rsidRPr="00C465B3">
        <w:rPr>
          <w:lang w:val="en-US"/>
        </w:rPr>
        <w:t>l</w:t>
      </w:r>
      <w:r>
        <w:rPr>
          <w:lang w:val="en-US"/>
        </w:rPr>
        <w:t xml:space="preserve">atency </w:t>
      </w:r>
      <w:r w:rsidR="005770D3">
        <w:rPr>
          <w:lang w:val="en-US"/>
        </w:rPr>
        <w:t xml:space="preserve">as well as </w:t>
      </w:r>
      <w:r>
        <w:rPr>
          <w:lang w:val="en-US"/>
        </w:rPr>
        <w:t>jitter</w:t>
      </w:r>
      <w:r w:rsidR="005770D3">
        <w:rPr>
          <w:lang w:val="en-US"/>
        </w:rPr>
        <w:t xml:space="preserve"> in the feedback latency are</w:t>
      </w:r>
      <w:r w:rsidRPr="00C465B3">
        <w:rPr>
          <w:lang w:val="en-US"/>
        </w:rPr>
        <w:t xml:space="preserve"> minimized if all HARQ feedback can be transmitted in the same shared COT as the associated PDSCHs</w:t>
      </w:r>
      <w:r>
        <w:rPr>
          <w:lang w:val="en-US"/>
        </w:rPr>
        <w:t xml:space="preserve"> as channel is likely vacant immediately after a DL burst</w:t>
      </w:r>
      <w:r w:rsidRPr="00C465B3">
        <w:rPr>
          <w:lang w:val="en-US"/>
        </w:rPr>
        <w:t>.</w:t>
      </w:r>
      <w:r w:rsidR="005770D3">
        <w:rPr>
          <w:lang w:val="en-US"/>
        </w:rPr>
        <w:t xml:space="preserve"> </w:t>
      </w:r>
      <w:r w:rsidRPr="00C465B3">
        <w:rPr>
          <w:lang w:val="en-US"/>
        </w:rPr>
        <w:t xml:space="preserve">This </w:t>
      </w:r>
      <w:r w:rsidR="00332022">
        <w:rPr>
          <w:lang w:val="en-US"/>
        </w:rPr>
        <w:t>kind of</w:t>
      </w:r>
      <w:r w:rsidRPr="00C465B3">
        <w:rPr>
          <w:lang w:val="en-US"/>
        </w:rPr>
        <w:t xml:space="preserve"> self-contained COT (c.f. self-contained slot)</w:t>
      </w:r>
      <w:r w:rsidR="00332022">
        <w:rPr>
          <w:lang w:val="en-US"/>
        </w:rPr>
        <w:t xml:space="preserve"> was identified in RAN1#93 to be beneficial, and it was agreed to strive to support it. The self-contained COT is well supported by Rel-15 PDSCH processing capability 2</w:t>
      </w:r>
      <w:r w:rsidRPr="00C465B3">
        <w:rPr>
          <w:lang w:val="en-US"/>
        </w:rPr>
        <w:t>.</w:t>
      </w:r>
      <w:r w:rsidR="00332022">
        <w:rPr>
          <w:lang w:val="en-US"/>
        </w:rPr>
        <w:t xml:space="preserve"> </w:t>
      </w:r>
    </w:p>
    <w:p w14:paraId="65CC309E" w14:textId="065202FC" w:rsidR="005725E1" w:rsidRDefault="00332022" w:rsidP="0003692A">
      <w:pPr>
        <w:keepNext/>
        <w:jc w:val="both"/>
        <w:rPr>
          <w:lang w:val="en-US"/>
        </w:rPr>
      </w:pPr>
      <w:r>
        <w:rPr>
          <w:lang w:val="en-US"/>
        </w:rPr>
        <w:t>However, contrary to the licensed ba</w:t>
      </w:r>
      <w:r w:rsidR="003C2C93">
        <w:rPr>
          <w:lang w:val="en-US"/>
        </w:rPr>
        <w:t>nds, a transmission gap of even few symbols is undesirable on unlicensed band operation as it opens possibility for other systems to content and access the channel. Hence</w:t>
      </w:r>
      <w:r w:rsidR="007715EB">
        <w:rPr>
          <w:lang w:val="en-US"/>
        </w:rPr>
        <w:t>,</w:t>
      </w:r>
      <w:r w:rsidR="003C2C93">
        <w:rPr>
          <w:lang w:val="en-US"/>
        </w:rPr>
        <w:t xml:space="preserve"> we see it desirable to support mechanisms where </w:t>
      </w:r>
      <w:r w:rsidR="005D4CA4">
        <w:rPr>
          <w:lang w:val="en-US"/>
        </w:rPr>
        <w:t>gaps are avoided and utilized for</w:t>
      </w:r>
      <w:r w:rsidR="003C2C93">
        <w:rPr>
          <w:lang w:val="en-US"/>
        </w:rPr>
        <w:t xml:space="preserve"> transmitting useful UL </w:t>
      </w:r>
      <w:r w:rsidR="009B2BC8">
        <w:rPr>
          <w:lang w:val="en-US"/>
        </w:rPr>
        <w:t>transmissions</w:t>
      </w:r>
      <w:r w:rsidR="003C2C93">
        <w:rPr>
          <w:lang w:val="en-US"/>
        </w:rPr>
        <w:t xml:space="preserve"> prior PUCCH carrying the HARQ feedback</w:t>
      </w:r>
      <w:r w:rsidR="005D4CA4">
        <w:rPr>
          <w:lang w:val="en-US"/>
        </w:rPr>
        <w:t xml:space="preserve"> as shown in Figure 1</w:t>
      </w:r>
      <w:r w:rsidR="003C2C93">
        <w:rPr>
          <w:lang w:val="en-US"/>
        </w:rPr>
        <w:t>.</w:t>
      </w:r>
      <w:r w:rsidR="009B2BC8">
        <w:rPr>
          <w:lang w:val="en-US"/>
        </w:rPr>
        <w:t xml:space="preserve"> Such UL transmissions</w:t>
      </w:r>
      <w:r w:rsidR="003C2C93">
        <w:rPr>
          <w:lang w:val="en-US"/>
        </w:rPr>
        <w:t xml:space="preserve"> may be PUSCH, PUCCH used for CSI reporting, or even</w:t>
      </w:r>
      <w:r w:rsidR="00BB7DDF">
        <w:rPr>
          <w:lang w:val="en-US"/>
        </w:rPr>
        <w:t xml:space="preserve"> </w:t>
      </w:r>
      <w:r w:rsidR="003C2C93">
        <w:rPr>
          <w:lang w:val="en-US"/>
        </w:rPr>
        <w:t>SRS.</w:t>
      </w:r>
      <w:r w:rsidR="009B2BC8">
        <w:rPr>
          <w:lang w:val="en-US"/>
        </w:rPr>
        <w:t xml:space="preserve"> In our view, it is important that triggering or scheduling of these transmissions does not require separate DCIs increasing the downlink control overhead but are triggered by the same DL assignment scheduling PDSCH.</w:t>
      </w:r>
    </w:p>
    <w:p w14:paraId="48097D48" w14:textId="32A1EFAF" w:rsidR="006218F9" w:rsidRPr="0003692A" w:rsidRDefault="006218F9" w:rsidP="0003692A">
      <w:pPr>
        <w:keepNext/>
        <w:jc w:val="both"/>
        <w:rPr>
          <w:b/>
          <w:lang w:val="en-US"/>
        </w:rPr>
      </w:pPr>
      <w:r>
        <w:rPr>
          <w:b/>
          <w:i/>
          <w:lang w:val="en-US" w:eastAsia="x-none"/>
        </w:rPr>
        <w:t xml:space="preserve">Observation </w:t>
      </w:r>
      <w:r w:rsidR="00427B26">
        <w:rPr>
          <w:b/>
          <w:i/>
          <w:lang w:val="en-US" w:eastAsia="x-none"/>
        </w:rPr>
        <w:t>2</w:t>
      </w:r>
      <w:r w:rsidRPr="0003692A">
        <w:rPr>
          <w:b/>
          <w:i/>
          <w:lang w:val="en-US" w:eastAsia="x-none"/>
        </w:rPr>
        <w:t>: In self-contained COT operation, the gap between DL and UL transmissions can be minimized by transmitting a short UL transmission of PUSCH, CSI reporting or even SRS before the HARQ feedback PUCCH.</w:t>
      </w:r>
    </w:p>
    <w:p w14:paraId="1B6308E0" w14:textId="0974E3D5" w:rsidR="007715EB" w:rsidRPr="0003692A" w:rsidRDefault="009B2BC8" w:rsidP="00427B26">
      <w:pPr>
        <w:keepNext/>
        <w:jc w:val="both"/>
        <w:rPr>
          <w:b/>
          <w:i/>
          <w:lang w:val="en-US" w:eastAsia="x-none"/>
        </w:rPr>
      </w:pPr>
      <w:r w:rsidRPr="0003692A">
        <w:rPr>
          <w:b/>
          <w:i/>
          <w:lang w:val="en-US" w:eastAsia="x-none"/>
        </w:rPr>
        <w:t xml:space="preserve">Proposal </w:t>
      </w:r>
      <w:r w:rsidR="00427B26">
        <w:rPr>
          <w:b/>
          <w:i/>
          <w:lang w:val="en-US" w:eastAsia="x-none"/>
        </w:rPr>
        <w:t>3</w:t>
      </w:r>
      <w:r w:rsidRPr="0003692A">
        <w:rPr>
          <w:b/>
          <w:i/>
          <w:lang w:val="en-US" w:eastAsia="x-none"/>
        </w:rPr>
        <w:t xml:space="preserve">: In self-contained COT operation, DL assignment can trigger </w:t>
      </w:r>
      <w:r w:rsidR="006218F9" w:rsidRPr="0003692A">
        <w:rPr>
          <w:b/>
          <w:i/>
          <w:lang w:val="en-US" w:eastAsia="x-none"/>
        </w:rPr>
        <w:t xml:space="preserve">a pre-configured UL transmission preceding the HARQ ACK transmission associated to the DL assignment.  </w:t>
      </w:r>
    </w:p>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5ED640CE">
            <wp:extent cx="2913654" cy="185289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3654" cy="1859250"/>
                    </a:xfrm>
                    <a:prstGeom prst="rect">
                      <a:avLst/>
                    </a:prstGeom>
                    <a:noFill/>
                    <a:ln>
                      <a:noFill/>
                    </a:ln>
                  </pic:spPr>
                </pic:pic>
              </a:graphicData>
            </a:graphic>
          </wp:inline>
        </w:drawing>
      </w:r>
      <w:r w:rsidR="00ED46F0" w:rsidRPr="00590784">
        <w:rPr>
          <w:noProof/>
          <w:lang w:val="en-US"/>
        </w:rPr>
        <w:drawing>
          <wp:inline distT="0" distB="0" distL="0" distR="0" wp14:anchorId="376D1A72" wp14:editId="55E43B66">
            <wp:extent cx="655200" cy="6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200" cy="673200"/>
                    </a:xfrm>
                    <a:prstGeom prst="rect">
                      <a:avLst/>
                    </a:prstGeom>
                    <a:noFill/>
                    <a:ln>
                      <a:noFill/>
                    </a:ln>
                  </pic:spPr>
                </pic:pic>
              </a:graphicData>
            </a:graphic>
          </wp:inline>
        </w:drawing>
      </w:r>
    </w:p>
    <w:p w14:paraId="27F133E4" w14:textId="62294F3B" w:rsidR="005B5685" w:rsidRDefault="005B5685" w:rsidP="00C56E55">
      <w:pPr>
        <w:pStyle w:val="Caption"/>
        <w:spacing w:before="0" w:after="360"/>
        <w:jc w:val="center"/>
      </w:pPr>
      <w:r w:rsidRPr="003F5358">
        <w:t xml:space="preserve">Figure </w:t>
      </w:r>
      <w:r w:rsidRPr="003F5358">
        <w:fldChar w:fldCharType="begin"/>
      </w:r>
      <w:r w:rsidRPr="003F5358">
        <w:instrText xml:space="preserve"> SEQ Figure \* ARABIC </w:instrText>
      </w:r>
      <w:r w:rsidRPr="003F5358">
        <w:fldChar w:fldCharType="separate"/>
      </w:r>
      <w:r w:rsidR="004165AB">
        <w:rPr>
          <w:noProof/>
        </w:rPr>
        <w:t>1</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7CD156ED" w14:textId="10A76594" w:rsidR="00426C7F" w:rsidRPr="00593442" w:rsidRDefault="00593442" w:rsidP="006B54C1">
      <w:pPr>
        <w:pStyle w:val="Heading2"/>
        <w:spacing w:before="240"/>
        <w:rPr>
          <w:lang w:val="en-US"/>
        </w:rPr>
      </w:pPr>
      <w:r>
        <w:rPr>
          <w:lang w:val="en-US"/>
        </w:rPr>
        <w:t xml:space="preserve">3.2 </w:t>
      </w:r>
      <w:r w:rsidR="00426C7F" w:rsidRPr="00593442">
        <w:rPr>
          <w:lang w:val="en-US"/>
        </w:rPr>
        <w:t>HARQ feedback across COTs</w:t>
      </w:r>
    </w:p>
    <w:p w14:paraId="7701FF8D" w14:textId="090DBCB7" w:rsidR="00DC7773" w:rsidRDefault="003E3E17" w:rsidP="001959C9">
      <w:pPr>
        <w:keepNext/>
        <w:spacing w:after="0"/>
        <w:jc w:val="both"/>
        <w:rPr>
          <w:lang w:val="en-US"/>
        </w:rPr>
      </w:pPr>
      <w:r>
        <w:rPr>
          <w:lang w:val="en-US"/>
        </w:rPr>
        <w:t xml:space="preserve">In addition to HARQ feedback within a self-contained COT, also UEs with more modest processing capabilities </w:t>
      </w:r>
      <w:r w:rsidR="00874B8D">
        <w:rPr>
          <w:lang w:val="en-US"/>
        </w:rPr>
        <w:t>shall</w:t>
      </w:r>
      <w:r>
        <w:rPr>
          <w:lang w:val="en-US"/>
        </w:rPr>
        <w:t xml:space="preserve"> be supported in NR-U</w:t>
      </w:r>
      <w:r w:rsidR="00874B8D">
        <w:rPr>
          <w:lang w:val="en-US"/>
        </w:rPr>
        <w:t xml:space="preserve"> with HARQ feedback across COTs</w:t>
      </w:r>
      <w:r>
        <w:rPr>
          <w:lang w:val="en-US"/>
        </w:rPr>
        <w:t xml:space="preserve">. </w:t>
      </w:r>
      <w:r w:rsidR="00DC7773">
        <w:rPr>
          <w:lang w:val="en-US"/>
        </w:rPr>
        <w:t xml:space="preserve">One of the challenges of codebook design across multiple </w:t>
      </w:r>
      <w:r>
        <w:rPr>
          <w:lang w:val="en-US"/>
        </w:rPr>
        <w:t xml:space="preserve">shared </w:t>
      </w:r>
      <w:r w:rsidR="00DC7773">
        <w:rPr>
          <w:lang w:val="en-US"/>
        </w:rPr>
        <w:t xml:space="preserve">COTs is that HARQ feedback timing for ACK reported in following </w:t>
      </w:r>
      <w:r>
        <w:rPr>
          <w:lang w:val="en-US"/>
        </w:rPr>
        <w:t xml:space="preserve">shared </w:t>
      </w:r>
      <w:r w:rsidR="00DC7773">
        <w:rPr>
          <w:lang w:val="en-US"/>
        </w:rPr>
        <w:t xml:space="preserve">COT is unknown at the time of PDSCH </w:t>
      </w:r>
      <w:r w:rsidR="00DC7773">
        <w:rPr>
          <w:lang w:val="en-US"/>
        </w:rPr>
        <w:lastRenderedPageBreak/>
        <w:t>scheduling. Codebook design may be based on HARQ process ID, Rel-15 NR semi-static codebook, or on Rel-1</w:t>
      </w:r>
      <w:r>
        <w:rPr>
          <w:lang w:val="en-US"/>
        </w:rPr>
        <w:t>5</w:t>
      </w:r>
      <w:r w:rsidR="00DC7773">
        <w:rPr>
          <w:lang w:val="en-US"/>
        </w:rPr>
        <w:t xml:space="preserve"> NR dynamic codebook:</w:t>
      </w:r>
    </w:p>
    <w:p w14:paraId="22B5B43E" w14:textId="49B18A32" w:rsidR="00DC7773" w:rsidRDefault="00DC7773" w:rsidP="005725E1">
      <w:pPr>
        <w:pStyle w:val="ListParagraph"/>
        <w:keepNext/>
        <w:numPr>
          <w:ilvl w:val="0"/>
          <w:numId w:val="40"/>
        </w:numPr>
        <w:spacing w:after="120"/>
        <w:ind w:left="680" w:hanging="396"/>
        <w:jc w:val="both"/>
        <w:rPr>
          <w:sz w:val="20"/>
          <w:lang w:val="en-US"/>
        </w:rPr>
      </w:pPr>
      <w:r>
        <w:rPr>
          <w:sz w:val="20"/>
          <w:lang w:val="en-US"/>
        </w:rPr>
        <w:t xml:space="preserve">Codebook </w:t>
      </w:r>
      <w:r w:rsidRPr="00BD520C">
        <w:rPr>
          <w:sz w:val="20"/>
          <w:lang w:val="en-US"/>
        </w:rPr>
        <w:t xml:space="preserve">based on HARQ </w:t>
      </w:r>
      <w:r>
        <w:rPr>
          <w:sz w:val="20"/>
          <w:lang w:val="en-US"/>
        </w:rPr>
        <w:t>process ID obviously solves</w:t>
      </w:r>
      <w:r w:rsidRPr="00BD520C">
        <w:rPr>
          <w:sz w:val="20"/>
          <w:lang w:val="en-US"/>
        </w:rPr>
        <w:t xml:space="preserve"> problems</w:t>
      </w:r>
      <w:r>
        <w:rPr>
          <w:sz w:val="20"/>
          <w:lang w:val="en-US"/>
        </w:rPr>
        <w:t xml:space="preserve"> related to multiple COTs</w:t>
      </w:r>
      <w:r w:rsidRPr="00BD520C">
        <w:rPr>
          <w:sz w:val="20"/>
          <w:lang w:val="en-US"/>
        </w:rPr>
        <w:t>, but at price of large codebook size – especially when CBG based transmission and carrier aggregation are used.</w:t>
      </w:r>
      <w:r>
        <w:rPr>
          <w:sz w:val="20"/>
          <w:lang w:val="en-US"/>
        </w:rPr>
        <w:t xml:space="preserve"> For example, with 8 CBGs and 16 HARQ processes, 128 bits per cell are transmitted to signal HARQ feedback even for single TB.</w:t>
      </w:r>
      <w:r w:rsidR="00C958A9">
        <w:rPr>
          <w:sz w:val="20"/>
          <w:lang w:val="en-US"/>
        </w:rPr>
        <w:t xml:space="preserve"> This is too large overhead for baseline HARQ feedback reporting.</w:t>
      </w:r>
      <w:r>
        <w:rPr>
          <w:sz w:val="20"/>
          <w:lang w:val="en-US"/>
        </w:rPr>
        <w:t xml:space="preserve"> </w:t>
      </w:r>
      <w:r w:rsidRPr="00BD520C">
        <w:rPr>
          <w:sz w:val="20"/>
          <w:lang w:val="en-US"/>
        </w:rPr>
        <w:t xml:space="preserve">  </w:t>
      </w:r>
    </w:p>
    <w:p w14:paraId="2FD07748" w14:textId="7E1D2B70" w:rsidR="00DC7773" w:rsidRDefault="00DC7773" w:rsidP="005725E1">
      <w:pPr>
        <w:pStyle w:val="ListParagraph"/>
        <w:keepNext/>
        <w:numPr>
          <w:ilvl w:val="0"/>
          <w:numId w:val="40"/>
        </w:numPr>
        <w:spacing w:after="120"/>
        <w:ind w:left="680" w:hanging="396"/>
        <w:jc w:val="both"/>
        <w:rPr>
          <w:sz w:val="20"/>
          <w:lang w:val="en-US"/>
        </w:rPr>
      </w:pPr>
      <w:r>
        <w:rPr>
          <w:sz w:val="20"/>
          <w:lang w:val="en-US"/>
        </w:rPr>
        <w:t>Rel-1</w:t>
      </w:r>
      <w:r w:rsidR="003E3E17">
        <w:rPr>
          <w:sz w:val="20"/>
          <w:lang w:val="en-US"/>
        </w:rPr>
        <w:t>5</w:t>
      </w:r>
      <w:r>
        <w:rPr>
          <w:sz w:val="20"/>
          <w:lang w:val="en-US"/>
        </w:rPr>
        <w:t xml:space="preserve"> semi-static codebook results also easily to large codebook size. The semi-static codebook would e.g. need to be dimensioned to cover a range of non-overlapping PDSCH starting positions</w:t>
      </w:r>
      <w:r w:rsidR="00C958A9">
        <w:rPr>
          <w:sz w:val="20"/>
          <w:lang w:val="en-US"/>
        </w:rPr>
        <w:t xml:space="preserve"> per slot</w:t>
      </w:r>
      <w:r>
        <w:rPr>
          <w:sz w:val="20"/>
          <w:lang w:val="en-US"/>
        </w:rPr>
        <w:t>, possible used to support flexible DL burst starting positions.</w:t>
      </w:r>
      <w:r w:rsidR="00C958A9">
        <w:rPr>
          <w:sz w:val="20"/>
          <w:lang w:val="en-US"/>
        </w:rPr>
        <w:t xml:space="preserve"> Hence, also this approach leads frequently to too large overhead for baseline HARQ feedback reporting. </w:t>
      </w:r>
      <w:r w:rsidR="00C958A9" w:rsidRPr="00BD520C">
        <w:rPr>
          <w:sz w:val="20"/>
          <w:lang w:val="en-US"/>
        </w:rPr>
        <w:t xml:space="preserve">  </w:t>
      </w:r>
    </w:p>
    <w:p w14:paraId="6B7CC6F1" w14:textId="2DA6E56D" w:rsidR="00DC7773" w:rsidRPr="005D4CA4" w:rsidRDefault="00DC7773" w:rsidP="005725E1">
      <w:pPr>
        <w:pStyle w:val="ListParagraph"/>
        <w:keepNext/>
        <w:numPr>
          <w:ilvl w:val="0"/>
          <w:numId w:val="40"/>
        </w:numPr>
        <w:spacing w:after="180"/>
        <w:ind w:left="680" w:hanging="396"/>
        <w:jc w:val="both"/>
        <w:rPr>
          <w:sz w:val="20"/>
          <w:lang w:val="en-US"/>
        </w:rPr>
      </w:pPr>
      <w:r w:rsidRPr="00BD520C">
        <w:rPr>
          <w:sz w:val="20"/>
          <w:lang w:val="en-US"/>
        </w:rPr>
        <w:t xml:space="preserve">Rel-15 dynamic codebook </w:t>
      </w:r>
      <w:r>
        <w:rPr>
          <w:sz w:val="20"/>
          <w:lang w:val="en-US"/>
        </w:rPr>
        <w:t xml:space="preserve">has flexibly scaling codebook size, and the DAI mechanism </w:t>
      </w:r>
      <w:r w:rsidRPr="00BD520C">
        <w:rPr>
          <w:sz w:val="20"/>
          <w:lang w:val="en-US"/>
        </w:rPr>
        <w:t xml:space="preserve">can also </w:t>
      </w:r>
      <w:r w:rsidR="004D223F">
        <w:rPr>
          <w:sz w:val="20"/>
          <w:lang w:val="en-US"/>
        </w:rPr>
        <w:t>be</w:t>
      </w:r>
      <w:r w:rsidR="004D223F" w:rsidRPr="00BD520C">
        <w:rPr>
          <w:sz w:val="20"/>
          <w:lang w:val="en-US"/>
        </w:rPr>
        <w:t xml:space="preserve"> </w:t>
      </w:r>
      <w:r w:rsidRPr="00BD520C">
        <w:rPr>
          <w:sz w:val="20"/>
          <w:lang w:val="en-US"/>
        </w:rPr>
        <w:t>extended to cover situations where HARQ feedback contains ACKs for PDSCHs in multiple COTs</w:t>
      </w:r>
      <w:r w:rsidR="003E3E17">
        <w:rPr>
          <w:sz w:val="20"/>
          <w:lang w:val="en-US"/>
        </w:rPr>
        <w:t>.</w:t>
      </w:r>
      <w:r>
        <w:rPr>
          <w:sz w:val="20"/>
          <w:lang w:val="en-US"/>
        </w:rPr>
        <w:t xml:space="preserve"> This </w:t>
      </w:r>
      <w:r w:rsidRPr="00BD520C">
        <w:rPr>
          <w:sz w:val="20"/>
          <w:lang w:val="en-US"/>
        </w:rPr>
        <w:t xml:space="preserve">results in </w:t>
      </w:r>
      <w:r w:rsidRPr="005D4CA4">
        <w:rPr>
          <w:sz w:val="20"/>
          <w:lang w:val="en-US"/>
        </w:rPr>
        <w:t>significantly smaller codebook size than the other options.</w:t>
      </w:r>
    </w:p>
    <w:p w14:paraId="0D429E91" w14:textId="72EA877C" w:rsidR="005D4CA4" w:rsidRPr="00427B26" w:rsidRDefault="006057D2" w:rsidP="00427B26">
      <w:pPr>
        <w:pStyle w:val="ListParagraph"/>
        <w:keepNext/>
        <w:numPr>
          <w:ilvl w:val="1"/>
          <w:numId w:val="40"/>
        </w:numPr>
        <w:spacing w:after="180"/>
        <w:ind w:left="1276" w:hanging="283"/>
        <w:jc w:val="both"/>
        <w:rPr>
          <w:sz w:val="20"/>
          <w:lang w:val="en-US"/>
        </w:rPr>
      </w:pPr>
      <w:r w:rsidRPr="005725E1">
        <w:rPr>
          <w:sz w:val="20"/>
          <w:lang w:val="en-US"/>
        </w:rPr>
        <w:t>A</w:t>
      </w:r>
      <w:r w:rsidR="005D4CA4" w:rsidRPr="005725E1">
        <w:rPr>
          <w:sz w:val="20"/>
          <w:lang w:val="en-US"/>
        </w:rPr>
        <w:t xml:space="preserve">n example of simple </w:t>
      </w:r>
      <w:r w:rsidR="003F01A0" w:rsidRPr="003F01A0">
        <w:rPr>
          <w:sz w:val="20"/>
          <w:lang w:val="en-US"/>
        </w:rPr>
        <w:t>dynamic codeboo</w:t>
      </w:r>
      <w:r w:rsidR="003F01A0">
        <w:rPr>
          <w:sz w:val="20"/>
          <w:lang w:val="en-US"/>
        </w:rPr>
        <w:t>k extension across COTs</w:t>
      </w:r>
      <w:r w:rsidR="005D4CA4" w:rsidRPr="005725E1">
        <w:rPr>
          <w:sz w:val="20"/>
          <w:lang w:val="en-US"/>
        </w:rPr>
        <w:t xml:space="preserve"> is introduction of K1 value indicating that HARQ feedback is transmitted on next COT</w:t>
      </w:r>
      <w:r w:rsidR="003F01A0">
        <w:rPr>
          <w:sz w:val="20"/>
          <w:lang w:val="en-US"/>
        </w:rPr>
        <w:t>. Correspondingly,</w:t>
      </w:r>
      <w:r w:rsidR="005D4CA4" w:rsidRPr="005725E1">
        <w:rPr>
          <w:sz w:val="20"/>
          <w:lang w:val="en-US"/>
        </w:rPr>
        <w:t xml:space="preserve"> DL association set</w:t>
      </w:r>
      <w:r w:rsidR="003F01A0">
        <w:rPr>
          <w:sz w:val="20"/>
          <w:lang w:val="en-US"/>
        </w:rPr>
        <w:t xml:space="preserve"> determining the codebook is</w:t>
      </w:r>
      <w:r w:rsidR="003F01A0" w:rsidRPr="003F01A0">
        <w:rPr>
          <w:sz w:val="20"/>
          <w:lang w:val="en-US"/>
        </w:rPr>
        <w:t xml:space="preserve"> extend</w:t>
      </w:r>
      <w:r w:rsidR="003F01A0">
        <w:rPr>
          <w:sz w:val="20"/>
          <w:lang w:val="en-US"/>
        </w:rPr>
        <w:t>ed</w:t>
      </w:r>
      <w:r w:rsidR="003F01A0" w:rsidRPr="003F01A0">
        <w:rPr>
          <w:sz w:val="20"/>
          <w:lang w:val="en-US"/>
        </w:rPr>
        <w:t xml:space="preserve"> to next COT</w:t>
      </w:r>
      <w:r w:rsidR="005D4CA4" w:rsidRPr="005725E1">
        <w:rPr>
          <w:sz w:val="20"/>
          <w:lang w:val="en-US"/>
        </w:rPr>
        <w:t xml:space="preserve"> as shown in</w:t>
      </w:r>
      <w:r w:rsidR="003F01A0">
        <w:rPr>
          <w:sz w:val="20"/>
          <w:lang w:val="en-US"/>
        </w:rPr>
        <w:t xml:space="preserve"> Figure 2</w:t>
      </w:r>
      <w:r w:rsidR="005D4CA4" w:rsidRPr="005725E1">
        <w:rPr>
          <w:sz w:val="20"/>
          <w:lang w:val="en-US"/>
        </w:rPr>
        <w:t>. The actual transmission time is determined by K1 value indicated in the next COT.</w:t>
      </w:r>
      <w:r w:rsidR="00C958A9">
        <w:rPr>
          <w:sz w:val="20"/>
          <w:lang w:val="en-US"/>
        </w:rPr>
        <w:t xml:space="preserve"> In RAN1#94 [4], this was referred to as Alt3. </w:t>
      </w:r>
    </w:p>
    <w:p w14:paraId="2CAD14AB" w14:textId="6B6CCB7E" w:rsidR="005D4CA4" w:rsidRDefault="005D4CA4" w:rsidP="005725E1">
      <w:pPr>
        <w:pStyle w:val="ListParagraph"/>
        <w:keepNext/>
        <w:ind w:left="0"/>
        <w:jc w:val="center"/>
        <w:rPr>
          <w:sz w:val="20"/>
          <w:lang w:val="en-US"/>
        </w:rPr>
      </w:pPr>
      <w:r w:rsidRPr="005D4CA4">
        <w:rPr>
          <w:noProof/>
        </w:rPr>
        <w:drawing>
          <wp:inline distT="0" distB="0" distL="0" distR="0" wp14:anchorId="65A99B2E" wp14:editId="1497BF84">
            <wp:extent cx="6027088" cy="168616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8331" cy="1689312"/>
                    </a:xfrm>
                    <a:prstGeom prst="rect">
                      <a:avLst/>
                    </a:prstGeom>
                    <a:noFill/>
                    <a:ln>
                      <a:noFill/>
                    </a:ln>
                  </pic:spPr>
                </pic:pic>
              </a:graphicData>
            </a:graphic>
          </wp:inline>
        </w:drawing>
      </w:r>
    </w:p>
    <w:p w14:paraId="47C787A6" w14:textId="543A5FF1" w:rsidR="003F01A0" w:rsidRPr="005725E1" w:rsidRDefault="003F01A0" w:rsidP="005725E1">
      <w:pPr>
        <w:pStyle w:val="Caption"/>
        <w:spacing w:before="0" w:after="240"/>
        <w:jc w:val="center"/>
      </w:pPr>
      <w:r w:rsidRPr="003F5358">
        <w:t xml:space="preserve">Figure </w:t>
      </w:r>
      <w:r>
        <w:t>2. Extending DL association set of dynamic codebook across COTs by corresponding K1 value</w:t>
      </w:r>
      <w:r w:rsidRPr="000A64B9">
        <w:t>.</w:t>
      </w:r>
    </w:p>
    <w:p w14:paraId="042E739F" w14:textId="6F0D7AF0" w:rsidR="00DC7773" w:rsidRPr="00427B26" w:rsidRDefault="00DC7773" w:rsidP="00427B26">
      <w:pPr>
        <w:jc w:val="both"/>
        <w:rPr>
          <w:b/>
          <w:lang w:val="en-US"/>
        </w:rPr>
      </w:pPr>
      <w:r w:rsidRPr="00427B26">
        <w:rPr>
          <w:b/>
          <w:i/>
          <w:lang w:val="en-US" w:eastAsia="x-none"/>
        </w:rPr>
        <w:t xml:space="preserve">Proposal </w:t>
      </w:r>
      <w:r w:rsidR="00427B26">
        <w:rPr>
          <w:b/>
          <w:i/>
          <w:lang w:val="en-US" w:eastAsia="x-none"/>
        </w:rPr>
        <w:t>4</w:t>
      </w:r>
      <w:r w:rsidRPr="00427B26">
        <w:rPr>
          <w:b/>
          <w:i/>
          <w:lang w:val="en-US" w:eastAsia="x-none"/>
        </w:rPr>
        <w:t xml:space="preserve">: Rel-15 dynamic </w:t>
      </w:r>
      <w:r w:rsidRPr="00427B26">
        <w:rPr>
          <w:b/>
          <w:i/>
          <w:lang w:val="en-US"/>
        </w:rPr>
        <w:t xml:space="preserve">HARQ-ACK codebook is used as a </w:t>
      </w:r>
      <w:r w:rsidR="004D223F" w:rsidRPr="00427B26">
        <w:rPr>
          <w:b/>
          <w:i/>
          <w:lang w:val="en-US"/>
        </w:rPr>
        <w:t xml:space="preserve">design </w:t>
      </w:r>
      <w:r w:rsidRPr="00427B26">
        <w:rPr>
          <w:b/>
          <w:i/>
          <w:lang w:val="en-US"/>
        </w:rPr>
        <w:t xml:space="preserve">starting point for the HARQ-ACK feedback </w:t>
      </w:r>
      <w:r w:rsidR="004D223F" w:rsidRPr="00427B26">
        <w:rPr>
          <w:b/>
          <w:i/>
          <w:lang w:val="en-US"/>
        </w:rPr>
        <w:t>both within a shared COT and between separate shared COTs</w:t>
      </w:r>
      <w:r w:rsidRPr="00427B26">
        <w:rPr>
          <w:b/>
          <w:i/>
          <w:lang w:val="en-US"/>
        </w:rPr>
        <w:t>.</w:t>
      </w:r>
      <w:r w:rsidRPr="00427B26">
        <w:rPr>
          <w:b/>
          <w:lang w:val="en-US"/>
        </w:rPr>
        <w:t xml:space="preserve"> </w:t>
      </w:r>
    </w:p>
    <w:p w14:paraId="0ADA4E71" w14:textId="085B27C2" w:rsidR="003F01A0" w:rsidRPr="00427B26" w:rsidRDefault="00C56E55" w:rsidP="00427B26">
      <w:pPr>
        <w:jc w:val="both"/>
        <w:rPr>
          <w:b/>
          <w:lang w:val="en-US"/>
        </w:rPr>
      </w:pPr>
      <w:r>
        <w:rPr>
          <w:b/>
          <w:i/>
          <w:lang w:val="en-US" w:eastAsia="x-none"/>
        </w:rPr>
        <w:t>Proposal 5</w:t>
      </w:r>
      <w:r w:rsidR="003F01A0" w:rsidRPr="00427B26">
        <w:rPr>
          <w:b/>
          <w:i/>
          <w:lang w:val="en-US" w:eastAsia="x-none"/>
        </w:rPr>
        <w:t xml:space="preserve">: HARQ feedback timing indication </w:t>
      </w:r>
      <w:r>
        <w:rPr>
          <w:b/>
          <w:i/>
          <w:lang w:val="en-US" w:eastAsia="x-none"/>
        </w:rPr>
        <w:t>is</w:t>
      </w:r>
      <w:r w:rsidR="003F01A0" w:rsidRPr="00427B26">
        <w:rPr>
          <w:b/>
          <w:i/>
          <w:lang w:val="en-US" w:eastAsia="x-none"/>
        </w:rPr>
        <w:t xml:space="preserve"> enhanced to support dynamic codebook determination across COTs.</w:t>
      </w:r>
      <w:r w:rsidR="003F01A0" w:rsidRPr="00427B26">
        <w:rPr>
          <w:b/>
          <w:lang w:val="en-US"/>
        </w:rPr>
        <w:t xml:space="preserve"> </w:t>
      </w:r>
    </w:p>
    <w:p w14:paraId="73B470EE" w14:textId="2C10FA3F" w:rsidR="0008330E" w:rsidRDefault="003540F5" w:rsidP="00BD520C">
      <w:pPr>
        <w:spacing w:after="120"/>
        <w:jc w:val="both"/>
        <w:rPr>
          <w:lang w:val="en-US" w:eastAsia="zh-CN"/>
        </w:rPr>
      </w:pPr>
      <w:r>
        <w:rPr>
          <w:lang w:val="en-US" w:eastAsia="zh-CN"/>
        </w:rPr>
        <w:t xml:space="preserve">For UEs with more </w:t>
      </w:r>
      <w:r>
        <w:rPr>
          <w:lang w:val="en-US"/>
        </w:rPr>
        <w:t xml:space="preserve">modest processing capabilities, it cannot be denied that HARQ feedback transmission on a separate COT will lead to additional feedback </w:t>
      </w:r>
      <w:r w:rsidRPr="00C465B3">
        <w:rPr>
          <w:lang w:val="en-US"/>
        </w:rPr>
        <w:t>l</w:t>
      </w:r>
      <w:r>
        <w:rPr>
          <w:lang w:val="en-US"/>
        </w:rPr>
        <w:t>atency</w:t>
      </w:r>
      <w:r w:rsidR="006A076B">
        <w:rPr>
          <w:lang w:val="en-US"/>
        </w:rPr>
        <w:t xml:space="preserve"> and increasing the retransmission latency</w:t>
      </w:r>
      <w:r>
        <w:rPr>
          <w:lang w:val="en-US"/>
        </w:rPr>
        <w:t xml:space="preserve">. It </w:t>
      </w:r>
      <w:r w:rsidR="00416B55">
        <w:rPr>
          <w:lang w:val="en-US"/>
        </w:rPr>
        <w:t xml:space="preserve">may </w:t>
      </w:r>
      <w:r>
        <w:rPr>
          <w:lang w:val="en-US"/>
        </w:rPr>
        <w:t xml:space="preserve">be </w:t>
      </w:r>
      <w:r w:rsidRPr="003540F5">
        <w:rPr>
          <w:lang w:val="en-US"/>
        </w:rPr>
        <w:t xml:space="preserve">beneficial </w:t>
      </w:r>
      <w:r>
        <w:rPr>
          <w:lang w:val="en-US"/>
        </w:rPr>
        <w:t xml:space="preserve">to support some mechanism of </w:t>
      </w:r>
      <w:r w:rsidR="0008330E">
        <w:rPr>
          <w:lang w:val="en-US"/>
        </w:rPr>
        <w:t xml:space="preserve">early </w:t>
      </w:r>
      <w:r>
        <w:rPr>
          <w:lang w:val="en-US"/>
        </w:rPr>
        <w:t xml:space="preserve">retransmission without </w:t>
      </w:r>
      <w:r w:rsidR="0008330E">
        <w:rPr>
          <w:lang w:val="en-US"/>
        </w:rPr>
        <w:t xml:space="preserve">waiting </w:t>
      </w:r>
      <w:r>
        <w:rPr>
          <w:lang w:val="en-US"/>
        </w:rPr>
        <w:t>HARQ feedback transmission</w:t>
      </w:r>
      <w:r w:rsidR="0008330E">
        <w:rPr>
          <w:lang w:val="en-US"/>
        </w:rPr>
        <w:t xml:space="preserve"> on the separate COT</w:t>
      </w:r>
      <w:r w:rsidR="00416B55">
        <w:rPr>
          <w:lang w:val="en-US"/>
        </w:rPr>
        <w:t xml:space="preserve"> and suitable mechanism for that should be studied</w:t>
      </w:r>
      <w:r w:rsidR="0008330E">
        <w:rPr>
          <w:lang w:val="en-US"/>
        </w:rPr>
        <w:t>.</w:t>
      </w:r>
    </w:p>
    <w:p w14:paraId="66403747" w14:textId="225D0247" w:rsidR="00426C7F" w:rsidRPr="0003674A" w:rsidRDefault="0008330E" w:rsidP="00427B26">
      <w:pPr>
        <w:spacing w:after="240"/>
        <w:jc w:val="both"/>
        <w:rPr>
          <w:i/>
          <w:lang w:val="en-US"/>
        </w:rPr>
      </w:pPr>
      <w:r w:rsidRPr="00427B26">
        <w:rPr>
          <w:b/>
          <w:i/>
          <w:lang w:val="en-US" w:eastAsia="x-none"/>
        </w:rPr>
        <w:t xml:space="preserve">Proposal </w:t>
      </w:r>
      <w:r w:rsidR="00C56E55">
        <w:rPr>
          <w:b/>
          <w:i/>
          <w:lang w:val="en-US" w:eastAsia="x-none"/>
        </w:rPr>
        <w:t>6</w:t>
      </w:r>
      <w:r w:rsidRPr="00427B26">
        <w:rPr>
          <w:b/>
          <w:i/>
          <w:lang w:val="en-US" w:eastAsia="x-none"/>
        </w:rPr>
        <w:t xml:space="preserve">: Mechanism of early retransmission without waiting </w:t>
      </w:r>
      <w:r w:rsidR="00BB7DDF" w:rsidRPr="00427B26">
        <w:rPr>
          <w:b/>
          <w:i/>
          <w:lang w:val="en-US" w:eastAsia="x-none"/>
        </w:rPr>
        <w:t xml:space="preserve">for </w:t>
      </w:r>
      <w:r w:rsidRPr="00427B26">
        <w:rPr>
          <w:b/>
          <w:i/>
          <w:lang w:val="en-US" w:eastAsia="x-none"/>
        </w:rPr>
        <w:t>HARQ feedback transmission on the separate COT shall be studied</w:t>
      </w:r>
      <w:r w:rsidRPr="002E4D7C">
        <w:rPr>
          <w:i/>
          <w:lang w:val="en-US"/>
        </w:rPr>
        <w:t>.</w:t>
      </w:r>
    </w:p>
    <w:p w14:paraId="0D3D1FAB" w14:textId="41065E93" w:rsidR="00426C7F" w:rsidRPr="00593442" w:rsidRDefault="00593442" w:rsidP="006B54C1">
      <w:pPr>
        <w:pStyle w:val="Heading2"/>
        <w:rPr>
          <w:lang w:val="en-US"/>
        </w:rPr>
      </w:pPr>
      <w:r>
        <w:rPr>
          <w:lang w:val="en-US"/>
        </w:rPr>
        <w:t>3.3 Multiple HARQ feedback transmission opportunities</w:t>
      </w:r>
    </w:p>
    <w:p w14:paraId="2B278EF1" w14:textId="033E6F36" w:rsidR="008A28CF" w:rsidRDefault="005B5685" w:rsidP="00427B26">
      <w:pPr>
        <w:spacing w:after="120"/>
        <w:jc w:val="both"/>
        <w:rPr>
          <w:lang w:val="en-US"/>
        </w:rPr>
      </w:pPr>
      <w:r>
        <w:rPr>
          <w:lang w:val="en-US"/>
        </w:rPr>
        <w:t>On unlicensed band, t</w:t>
      </w:r>
      <w:r w:rsidRPr="00C465B3">
        <w:rPr>
          <w:lang w:val="en-US"/>
        </w:rPr>
        <w:t xml:space="preserve">here is </w:t>
      </w:r>
      <w:r>
        <w:rPr>
          <w:lang w:val="en-US"/>
        </w:rPr>
        <w:t xml:space="preserve">always </w:t>
      </w:r>
      <w:r w:rsidRPr="00C465B3">
        <w:rPr>
          <w:lang w:val="en-US"/>
        </w:rPr>
        <w:t xml:space="preserve">risk that HARQ feedback transmission is blocked by UE LBT (if UE LBT is required for HARQ feedback) or corrupted by hidden node transmission starting during PUCCH. </w:t>
      </w:r>
      <w:r w:rsidR="008A28CF">
        <w:rPr>
          <w:lang w:val="en-US"/>
        </w:rPr>
        <w:t>Mechanisms providing</w:t>
      </w:r>
      <w:r w:rsidR="008A28CF" w:rsidRPr="004D223F">
        <w:rPr>
          <w:lang w:val="en-US"/>
        </w:rPr>
        <w:t xml:space="preserve"> multiple and/or supplemental time and/or frequency domain transmission opportunities</w:t>
      </w:r>
      <w:r w:rsidR="008A28CF" w:rsidRPr="00C465B3">
        <w:rPr>
          <w:lang w:val="en-US"/>
        </w:rPr>
        <w:t xml:space="preserve"> </w:t>
      </w:r>
      <w:r w:rsidR="008A28CF">
        <w:rPr>
          <w:lang w:val="en-US"/>
        </w:rPr>
        <w:t>were identified as potential techniques for</w:t>
      </w:r>
      <w:r w:rsidRPr="00C465B3">
        <w:rPr>
          <w:lang w:val="en-US"/>
        </w:rPr>
        <w:t xml:space="preserve"> efficiently recover</w:t>
      </w:r>
      <w:r w:rsidR="008A28CF">
        <w:rPr>
          <w:lang w:val="en-US"/>
        </w:rPr>
        <w:t>ing</w:t>
      </w:r>
      <w:r>
        <w:rPr>
          <w:lang w:val="en-US"/>
        </w:rPr>
        <w:t xml:space="preserve"> from such error cases</w:t>
      </w:r>
      <w:r w:rsidR="008A28CF">
        <w:rPr>
          <w:lang w:val="en-US"/>
        </w:rPr>
        <w:t xml:space="preserve">. </w:t>
      </w:r>
    </w:p>
    <w:p w14:paraId="608F579A" w14:textId="0567E6C5" w:rsidR="001959C9" w:rsidRPr="00FD2F8B" w:rsidRDefault="006B563E" w:rsidP="005725E1">
      <w:pPr>
        <w:spacing w:after="0"/>
        <w:jc w:val="both"/>
        <w:rPr>
          <w:lang w:val="en-US"/>
        </w:rPr>
      </w:pPr>
      <w:r>
        <w:rPr>
          <w:lang w:val="en-US"/>
        </w:rPr>
        <w:t xml:space="preserve">In [7], mechanisms for multiple HARQ feedback opportunities were categorized as Cat1: </w:t>
      </w:r>
      <w:r w:rsidR="001B3D68">
        <w:rPr>
          <w:lang w:val="en-US"/>
        </w:rPr>
        <w:t xml:space="preserve">opportunities are signaled </w:t>
      </w:r>
      <w:r>
        <w:rPr>
          <w:lang w:val="en-US"/>
        </w:rPr>
        <w:t>in ad</w:t>
      </w:r>
      <w:r w:rsidR="001B3D68">
        <w:rPr>
          <w:lang w:val="en-US"/>
        </w:rPr>
        <w:t>vance</w:t>
      </w:r>
      <w:r>
        <w:rPr>
          <w:lang w:val="en-US"/>
        </w:rPr>
        <w:t xml:space="preserve"> and Cat2: explicitly triggered opportunities. We see that both</w:t>
      </w:r>
      <w:r w:rsidR="00D62FA0">
        <w:rPr>
          <w:lang w:val="en-US"/>
        </w:rPr>
        <w:t xml:space="preserve"> HARQ </w:t>
      </w:r>
      <w:r w:rsidR="00D62FA0" w:rsidRPr="00FD2F8B">
        <w:rPr>
          <w:lang w:val="en-US"/>
        </w:rPr>
        <w:t>feed</w:t>
      </w:r>
      <w:r w:rsidR="001959C9" w:rsidRPr="00FD2F8B">
        <w:rPr>
          <w:lang w:val="en-US"/>
        </w:rPr>
        <w:t>back mechanisms may be needed</w:t>
      </w:r>
      <w:r w:rsidR="00D62FA0" w:rsidRPr="00FD2F8B">
        <w:rPr>
          <w:lang w:val="en-US"/>
        </w:rPr>
        <w:t xml:space="preserve"> in NR-U to achieve</w:t>
      </w:r>
      <w:r w:rsidR="001959C9" w:rsidRPr="00FD2F8B">
        <w:rPr>
          <w:lang w:val="en-US"/>
        </w:rPr>
        <w:t xml:space="preserve"> good</w:t>
      </w:r>
      <w:r w:rsidR="00D62FA0" w:rsidRPr="00FD2F8B">
        <w:rPr>
          <w:lang w:val="en-US"/>
        </w:rPr>
        <w:t xml:space="preserve"> reliability </w:t>
      </w:r>
      <w:r w:rsidR="001959C9" w:rsidRPr="00FD2F8B">
        <w:rPr>
          <w:lang w:val="en-US"/>
        </w:rPr>
        <w:t>on HARQ feedback</w:t>
      </w:r>
      <w:r>
        <w:rPr>
          <w:lang w:val="en-US"/>
        </w:rPr>
        <w:t xml:space="preserve"> and need to be investigated further:</w:t>
      </w:r>
      <w:r w:rsidR="001959C9" w:rsidRPr="00FD2F8B">
        <w:rPr>
          <w:lang w:val="en-US"/>
        </w:rPr>
        <w:t xml:space="preserve"> </w:t>
      </w:r>
    </w:p>
    <w:p w14:paraId="4F00D6A6" w14:textId="77777777" w:rsidR="00C015B7" w:rsidRPr="006B54C1" w:rsidRDefault="000A64B9" w:rsidP="005725E1">
      <w:pPr>
        <w:pStyle w:val="ListParagraph"/>
        <w:numPr>
          <w:ilvl w:val="0"/>
          <w:numId w:val="47"/>
        </w:numPr>
        <w:spacing w:after="120"/>
        <w:ind w:left="709" w:hanging="436"/>
        <w:jc w:val="both"/>
        <w:rPr>
          <w:lang w:val="en-US"/>
        </w:rPr>
      </w:pPr>
      <w:r w:rsidRPr="005725E1">
        <w:rPr>
          <w:sz w:val="20"/>
          <w:szCs w:val="20"/>
          <w:lang w:val="en-US"/>
        </w:rPr>
        <w:t>Determining multiple HARQ feedback transmission opportunities</w:t>
      </w:r>
      <w:r w:rsidR="006B563E">
        <w:rPr>
          <w:sz w:val="20"/>
          <w:szCs w:val="20"/>
          <w:lang w:val="en-US"/>
        </w:rPr>
        <w:t xml:space="preserve"> in advance</w:t>
      </w:r>
      <w:r w:rsidRPr="005725E1">
        <w:rPr>
          <w:sz w:val="20"/>
          <w:szCs w:val="20"/>
          <w:lang w:val="en-US"/>
        </w:rPr>
        <w:t xml:space="preserve"> can reduce the additional latency caused by LBT blocking the original HARQ feedback opportunity, as the missing HARQ feedback does not n</w:t>
      </w:r>
      <w:r w:rsidR="00FD2F8B" w:rsidRPr="005725E1">
        <w:rPr>
          <w:sz w:val="20"/>
          <w:szCs w:val="20"/>
          <w:lang w:val="en-US"/>
        </w:rPr>
        <w:t xml:space="preserve">eed to be </w:t>
      </w:r>
      <w:r w:rsidRPr="005725E1">
        <w:rPr>
          <w:sz w:val="20"/>
          <w:szCs w:val="20"/>
          <w:lang w:val="en-US"/>
        </w:rPr>
        <w:t>pulled by</w:t>
      </w:r>
      <w:r w:rsidR="00FD2F8B" w:rsidRPr="005725E1">
        <w:rPr>
          <w:sz w:val="20"/>
          <w:szCs w:val="20"/>
          <w:lang w:val="en-US"/>
        </w:rPr>
        <w:t xml:space="preserve"> a separate DCI. Reduced latency facilitates more efficient HARQ operation as some of HARQ processes are not suspended by missing HARQ feedback. </w:t>
      </w:r>
    </w:p>
    <w:p w14:paraId="5D7AE1BC" w14:textId="7E0CD7AC" w:rsidR="00664692" w:rsidRPr="00FD2F8B" w:rsidRDefault="00C015B7" w:rsidP="006B54C1">
      <w:pPr>
        <w:pStyle w:val="ListParagraph"/>
        <w:numPr>
          <w:ilvl w:val="1"/>
          <w:numId w:val="47"/>
        </w:numPr>
        <w:spacing w:after="120"/>
        <w:jc w:val="both"/>
        <w:rPr>
          <w:lang w:val="en-US"/>
        </w:rPr>
      </w:pPr>
      <w:r>
        <w:rPr>
          <w:sz w:val="20"/>
          <w:szCs w:val="20"/>
          <w:lang w:val="en-US"/>
        </w:rPr>
        <w:t>The drawback is the UL overhead, as multiple PUCCH resources are reserved for single HARQ feedback. Hence, multiple PUCCH resources should be allocated only to the UEs frequently suffering from blocked channel access. T</w:t>
      </w:r>
      <w:r w:rsidR="001B3D68">
        <w:rPr>
          <w:sz w:val="20"/>
          <w:szCs w:val="20"/>
          <w:lang w:val="en-US"/>
        </w:rPr>
        <w:t>he allocation should be dynamic</w:t>
      </w:r>
      <w:r>
        <w:rPr>
          <w:sz w:val="20"/>
          <w:szCs w:val="20"/>
          <w:lang w:val="en-US"/>
        </w:rPr>
        <w:t xml:space="preserve"> to support fast adaptation to changing load in channel contention. Hence, t</w:t>
      </w:r>
      <w:r w:rsidR="00FD2F8B" w:rsidRPr="005725E1">
        <w:rPr>
          <w:sz w:val="20"/>
          <w:szCs w:val="20"/>
          <w:lang w:val="en-US"/>
        </w:rPr>
        <w:t xml:space="preserve">he mechanism for multiple HARQ feedback transmission </w:t>
      </w:r>
      <w:r w:rsidR="00FD2F8B" w:rsidRPr="005725E1">
        <w:rPr>
          <w:sz w:val="20"/>
          <w:szCs w:val="20"/>
          <w:lang w:val="en-US"/>
        </w:rPr>
        <w:lastRenderedPageBreak/>
        <w:t>opportunities should be highly flexible.</w:t>
      </w:r>
      <w:r>
        <w:rPr>
          <w:sz w:val="20"/>
          <w:szCs w:val="20"/>
          <w:lang w:val="en-US"/>
        </w:rPr>
        <w:t xml:space="preserve"> We see that extending HARQ feedback timing indication in DCI to indicate multiple timing</w:t>
      </w:r>
      <w:r w:rsidR="00914B03">
        <w:rPr>
          <w:sz w:val="20"/>
          <w:szCs w:val="20"/>
          <w:lang w:val="en-US"/>
        </w:rPr>
        <w:t>s (Alt 1 in [7]) is</w:t>
      </w:r>
      <w:r w:rsidR="001B3D68">
        <w:rPr>
          <w:sz w:val="20"/>
          <w:szCs w:val="20"/>
          <w:lang w:val="en-US"/>
        </w:rPr>
        <w:t xml:space="preserve"> a</w:t>
      </w:r>
      <w:r w:rsidR="00914B03">
        <w:rPr>
          <w:sz w:val="20"/>
          <w:szCs w:val="20"/>
          <w:lang w:val="en-US"/>
        </w:rPr>
        <w:t xml:space="preserve"> sufficiently flexible</w:t>
      </w:r>
      <w:r>
        <w:rPr>
          <w:sz w:val="20"/>
          <w:szCs w:val="20"/>
          <w:lang w:val="en-US"/>
        </w:rPr>
        <w:t xml:space="preserve"> approach: </w:t>
      </w:r>
      <w:r w:rsidR="00914B03">
        <w:rPr>
          <w:sz w:val="20"/>
          <w:szCs w:val="20"/>
          <w:lang w:val="en-US"/>
        </w:rPr>
        <w:t xml:space="preserve">some indicator values may be configured to indicate </w:t>
      </w:r>
      <w:r>
        <w:rPr>
          <w:sz w:val="20"/>
          <w:szCs w:val="20"/>
          <w:lang w:val="en-US"/>
        </w:rPr>
        <w:t>multiple transmission</w:t>
      </w:r>
      <w:r w:rsidR="00914B03">
        <w:rPr>
          <w:sz w:val="20"/>
          <w:szCs w:val="20"/>
          <w:lang w:val="en-US"/>
        </w:rPr>
        <w:t xml:space="preserve"> opportunities while other indicator values may indicate single transmission opportunity.</w:t>
      </w:r>
      <w:r>
        <w:rPr>
          <w:sz w:val="20"/>
          <w:szCs w:val="20"/>
          <w:lang w:val="en-US"/>
        </w:rPr>
        <w:t xml:space="preserve">  </w:t>
      </w:r>
      <w:r w:rsidR="000A64B9" w:rsidRPr="005725E1">
        <w:rPr>
          <w:sz w:val="20"/>
          <w:szCs w:val="20"/>
          <w:lang w:val="en-US"/>
        </w:rPr>
        <w:t xml:space="preserve">  </w:t>
      </w:r>
    </w:p>
    <w:p w14:paraId="26E19B3A" w14:textId="490DF09A" w:rsidR="00DB5C0C" w:rsidRPr="0003674A" w:rsidRDefault="00036209" w:rsidP="006B54C1">
      <w:pPr>
        <w:pStyle w:val="ListParagraph"/>
        <w:numPr>
          <w:ilvl w:val="0"/>
          <w:numId w:val="47"/>
        </w:numPr>
        <w:spacing w:after="120"/>
        <w:ind w:left="714" w:hanging="357"/>
        <w:jc w:val="both"/>
        <w:rPr>
          <w:lang w:val="en-US"/>
        </w:rPr>
      </w:pPr>
      <w:r>
        <w:rPr>
          <w:sz w:val="20"/>
          <w:lang w:val="en-US"/>
        </w:rPr>
        <w:t>To save in UL overhead, gNB may schedule single HARQ feedback opportunity for UEs mostly having successful channel access. Of course</w:t>
      </w:r>
      <w:r w:rsidR="00777667">
        <w:rPr>
          <w:sz w:val="20"/>
          <w:lang w:val="en-US"/>
        </w:rPr>
        <w:t>,</w:t>
      </w:r>
      <w:r>
        <w:rPr>
          <w:sz w:val="20"/>
          <w:lang w:val="en-US"/>
        </w:rPr>
        <w:t xml:space="preserve"> the channel access may be occasionally blocked also for those UEs.    </w:t>
      </w:r>
      <w:r w:rsidR="005B5685" w:rsidRPr="005725E1">
        <w:rPr>
          <w:sz w:val="20"/>
          <w:lang w:val="en-US"/>
        </w:rPr>
        <w:t>HARQ feedback pulling</w:t>
      </w:r>
      <w:r w:rsidR="0080501F" w:rsidRPr="005725E1">
        <w:rPr>
          <w:sz w:val="20"/>
          <w:lang w:val="en-US"/>
        </w:rPr>
        <w:t xml:space="preserve"> </w:t>
      </w:r>
      <w:r w:rsidR="00664692" w:rsidRPr="005725E1">
        <w:rPr>
          <w:sz w:val="20"/>
          <w:lang w:val="en-US"/>
        </w:rPr>
        <w:t xml:space="preserve">via a separate </w:t>
      </w:r>
      <w:r w:rsidR="0080501F" w:rsidRPr="005725E1">
        <w:rPr>
          <w:sz w:val="20"/>
          <w:lang w:val="en-US"/>
        </w:rPr>
        <w:t>triggering</w:t>
      </w:r>
      <w:r w:rsidR="00664692" w:rsidRPr="005725E1">
        <w:rPr>
          <w:sz w:val="20"/>
          <w:lang w:val="en-US"/>
        </w:rPr>
        <w:t xml:space="preserve"> DCI offers</w:t>
      </w:r>
      <w:r w:rsidR="00664692">
        <w:rPr>
          <w:sz w:val="20"/>
          <w:lang w:val="en-US"/>
        </w:rPr>
        <w:t xml:space="preserve"> a robust</w:t>
      </w:r>
      <w:r w:rsidR="005B5685" w:rsidRPr="005725E1">
        <w:rPr>
          <w:sz w:val="20"/>
          <w:lang w:val="en-US"/>
        </w:rPr>
        <w:t xml:space="preserve"> mechanism</w:t>
      </w:r>
      <w:r w:rsidR="00664692">
        <w:rPr>
          <w:sz w:val="20"/>
          <w:lang w:val="en-US"/>
        </w:rPr>
        <w:t xml:space="preserve"> to retrieve HARQ feedback </w:t>
      </w:r>
      <w:r w:rsidR="00777667">
        <w:rPr>
          <w:sz w:val="20"/>
          <w:lang w:val="en-US"/>
        </w:rPr>
        <w:t xml:space="preserve">in such situations as well as </w:t>
      </w:r>
      <w:r w:rsidR="00664692">
        <w:rPr>
          <w:sz w:val="20"/>
          <w:lang w:val="en-US"/>
        </w:rPr>
        <w:t xml:space="preserve">after a longer disruption on channel access. </w:t>
      </w:r>
      <w:r w:rsidR="00044BAD" w:rsidRPr="00044BAD">
        <w:rPr>
          <w:sz w:val="20"/>
          <w:lang w:val="en-US"/>
        </w:rPr>
        <w:t xml:space="preserve">Another important benefit of the pulled/triggered HARQ feedback is that the HARQ-ACK feedback can be triggered multiple times, if the previous (re)transmissions are blocked due to LBT failure. </w:t>
      </w:r>
      <w:r w:rsidR="002E4D7C" w:rsidRPr="005725E1">
        <w:rPr>
          <w:sz w:val="20"/>
          <w:lang w:val="en-US"/>
        </w:rPr>
        <w:t>As the pulled HARQ-ACK feedback occurs with ambiguous timing relation to the associated PDSCHs, we see that HARQ-ACK codebook based on the HARQ process ID</w:t>
      </w:r>
      <w:r w:rsidR="0080501F" w:rsidRPr="005725E1">
        <w:rPr>
          <w:sz w:val="20"/>
          <w:lang w:val="en-US"/>
        </w:rPr>
        <w:t>s</w:t>
      </w:r>
      <w:r w:rsidR="002E4D7C" w:rsidRPr="005725E1">
        <w:rPr>
          <w:sz w:val="20"/>
          <w:lang w:val="en-US"/>
        </w:rPr>
        <w:t xml:space="preserve"> </w:t>
      </w:r>
      <w:r w:rsidR="00DC7773" w:rsidRPr="005725E1">
        <w:rPr>
          <w:sz w:val="20"/>
          <w:lang w:val="en-US"/>
        </w:rPr>
        <w:t>is</w:t>
      </w:r>
      <w:r w:rsidR="002E4D7C" w:rsidRPr="005725E1">
        <w:rPr>
          <w:sz w:val="20"/>
          <w:lang w:val="en-US"/>
        </w:rPr>
        <w:t xml:space="preserve"> </w:t>
      </w:r>
      <w:r w:rsidR="0080501F" w:rsidRPr="005725E1">
        <w:rPr>
          <w:sz w:val="20"/>
          <w:lang w:val="en-US"/>
        </w:rPr>
        <w:t xml:space="preserve">a </w:t>
      </w:r>
      <w:r w:rsidR="002E4D7C" w:rsidRPr="005725E1">
        <w:rPr>
          <w:sz w:val="20"/>
          <w:lang w:val="en-US"/>
        </w:rPr>
        <w:t>good starting point for</w:t>
      </w:r>
      <w:r w:rsidR="00BD520C" w:rsidRPr="005725E1">
        <w:rPr>
          <w:sz w:val="20"/>
          <w:lang w:val="en-US"/>
        </w:rPr>
        <w:t xml:space="preserve"> pulled HARQ-ACK feedback</w:t>
      </w:r>
      <w:r w:rsidR="001B3D68">
        <w:rPr>
          <w:sz w:val="20"/>
          <w:lang w:val="en-US"/>
        </w:rPr>
        <w:t xml:space="preserve"> design</w:t>
      </w:r>
      <w:r w:rsidR="00BD520C" w:rsidRPr="005725E1">
        <w:rPr>
          <w:sz w:val="20"/>
          <w:lang w:val="en-US"/>
        </w:rPr>
        <w:t>.</w:t>
      </w:r>
    </w:p>
    <w:p w14:paraId="43440F28" w14:textId="1B5CC290" w:rsidR="00777667" w:rsidRDefault="00DB5C0C" w:rsidP="006B54C1">
      <w:pPr>
        <w:spacing w:after="0"/>
        <w:jc w:val="both"/>
        <w:rPr>
          <w:lang w:val="en-US"/>
        </w:rPr>
      </w:pPr>
      <w:r>
        <w:t xml:space="preserve">Considering HARQ process ID based </w:t>
      </w:r>
      <w:r w:rsidR="00777667">
        <w:t xml:space="preserve">codebook for </w:t>
      </w:r>
      <w:r>
        <w:t>pulled</w:t>
      </w:r>
      <w:r w:rsidR="00777667">
        <w:t>/triggered</w:t>
      </w:r>
      <w:r>
        <w:t xml:space="preserve"> HARQ feedback more closely, three basic </w:t>
      </w:r>
      <w:r w:rsidR="00777667">
        <w:t>options</w:t>
      </w:r>
      <w:r>
        <w:t xml:space="preserve"> can be identified:</w:t>
      </w:r>
    </w:p>
    <w:p w14:paraId="68259D12" w14:textId="77777777" w:rsidR="00777667" w:rsidRPr="006B54C1" w:rsidRDefault="00DB5C0C" w:rsidP="006B54C1">
      <w:pPr>
        <w:pStyle w:val="ListParagraph"/>
        <w:numPr>
          <w:ilvl w:val="0"/>
          <w:numId w:val="54"/>
        </w:numPr>
        <w:jc w:val="both"/>
        <w:rPr>
          <w:sz w:val="20"/>
          <w:szCs w:val="20"/>
        </w:rPr>
      </w:pPr>
      <w:r w:rsidRPr="006B54C1">
        <w:rPr>
          <w:sz w:val="20"/>
          <w:szCs w:val="20"/>
        </w:rPr>
        <w:t xml:space="preserve">In principle, </w:t>
      </w:r>
      <w:r w:rsidR="00BB7795" w:rsidRPr="006B54C1">
        <w:rPr>
          <w:sz w:val="20"/>
          <w:szCs w:val="20"/>
        </w:rPr>
        <w:t>HARQ-</w:t>
      </w:r>
      <w:r w:rsidRPr="006B54C1">
        <w:rPr>
          <w:sz w:val="20"/>
          <w:szCs w:val="20"/>
        </w:rPr>
        <w:t>ACK a single HARQ process could</w:t>
      </w:r>
      <w:r w:rsidR="00BB7795" w:rsidRPr="006B54C1">
        <w:rPr>
          <w:sz w:val="20"/>
          <w:szCs w:val="20"/>
        </w:rPr>
        <w:t xml:space="preserve"> be</w:t>
      </w:r>
      <w:r w:rsidRPr="006B54C1">
        <w:rPr>
          <w:sz w:val="20"/>
          <w:szCs w:val="20"/>
        </w:rPr>
        <w:t xml:space="preserve"> triggered by a DCI. This is not a practical approach as </w:t>
      </w:r>
      <w:r w:rsidR="00604E63" w:rsidRPr="006B54C1">
        <w:rPr>
          <w:sz w:val="20"/>
          <w:szCs w:val="20"/>
        </w:rPr>
        <w:t>several</w:t>
      </w:r>
      <w:r w:rsidRPr="006B54C1">
        <w:rPr>
          <w:sz w:val="20"/>
          <w:szCs w:val="20"/>
        </w:rPr>
        <w:t xml:space="preserve"> DCIs would be required to trigger retransmissions of </w:t>
      </w:r>
      <w:r w:rsidR="00604E63" w:rsidRPr="006B54C1">
        <w:rPr>
          <w:sz w:val="20"/>
          <w:szCs w:val="20"/>
        </w:rPr>
        <w:t xml:space="preserve">multiple </w:t>
      </w:r>
      <w:r w:rsidR="00BB7795" w:rsidRPr="006B54C1">
        <w:rPr>
          <w:sz w:val="20"/>
          <w:szCs w:val="20"/>
        </w:rPr>
        <w:t>HARQ-</w:t>
      </w:r>
      <w:r w:rsidRPr="006B54C1">
        <w:rPr>
          <w:sz w:val="20"/>
          <w:szCs w:val="20"/>
        </w:rPr>
        <w:t>A</w:t>
      </w:r>
      <w:r w:rsidR="00BB7795" w:rsidRPr="006B54C1">
        <w:rPr>
          <w:sz w:val="20"/>
          <w:szCs w:val="20"/>
        </w:rPr>
        <w:t>CK</w:t>
      </w:r>
      <w:r w:rsidRPr="006B54C1">
        <w:rPr>
          <w:sz w:val="20"/>
          <w:szCs w:val="20"/>
        </w:rPr>
        <w:t>s, leading to large DL overhead.</w:t>
      </w:r>
      <w:r w:rsidR="00777667" w:rsidRPr="006B54C1">
        <w:rPr>
          <w:sz w:val="20"/>
          <w:szCs w:val="20"/>
        </w:rPr>
        <w:t xml:space="preserve"> </w:t>
      </w:r>
    </w:p>
    <w:p w14:paraId="154ECA46" w14:textId="6FE338FA" w:rsidR="00DB5C0C" w:rsidRPr="006B54C1" w:rsidRDefault="00DB5C0C" w:rsidP="006B54C1">
      <w:pPr>
        <w:pStyle w:val="ListParagraph"/>
        <w:numPr>
          <w:ilvl w:val="0"/>
          <w:numId w:val="54"/>
        </w:numPr>
        <w:jc w:val="both"/>
        <w:rPr>
          <w:sz w:val="20"/>
          <w:szCs w:val="20"/>
        </w:rPr>
      </w:pPr>
      <w:r w:rsidRPr="006B54C1">
        <w:rPr>
          <w:sz w:val="20"/>
          <w:szCs w:val="20"/>
        </w:rPr>
        <w:t>HARQ feedback for</w:t>
      </w:r>
      <w:r w:rsidRPr="006B54C1">
        <w:rPr>
          <w:sz w:val="20"/>
          <w:szCs w:val="20"/>
          <w:lang w:val="en-GB"/>
        </w:rPr>
        <w:t xml:space="preserve"> all HARQ processes are triggered by a DCI</w:t>
      </w:r>
      <w:r w:rsidR="00777667" w:rsidRPr="006B54C1">
        <w:rPr>
          <w:sz w:val="20"/>
          <w:szCs w:val="20"/>
        </w:rPr>
        <w:t xml:space="preserve"> (Alt 5 in [7])</w:t>
      </w:r>
      <w:r w:rsidR="00777667" w:rsidRPr="006B54C1">
        <w:rPr>
          <w:sz w:val="20"/>
          <w:szCs w:val="20"/>
          <w:lang w:val="en-GB"/>
        </w:rPr>
        <w:t>.</w:t>
      </w:r>
      <w:r w:rsidR="00777667" w:rsidRPr="006B54C1">
        <w:rPr>
          <w:sz w:val="20"/>
          <w:szCs w:val="20"/>
        </w:rPr>
        <w:t xml:space="preserve"> </w:t>
      </w:r>
      <w:r w:rsidRPr="006B54C1">
        <w:rPr>
          <w:sz w:val="20"/>
          <w:szCs w:val="20"/>
        </w:rPr>
        <w:t>However,</w:t>
      </w:r>
      <w:r w:rsidR="0003674A" w:rsidRPr="006B54C1">
        <w:rPr>
          <w:sz w:val="20"/>
          <w:szCs w:val="20"/>
        </w:rPr>
        <w:t xml:space="preserve"> new </w:t>
      </w:r>
      <w:r w:rsidR="00BB7795" w:rsidRPr="006B54C1">
        <w:rPr>
          <w:sz w:val="20"/>
          <w:szCs w:val="20"/>
        </w:rPr>
        <w:t xml:space="preserve">HARQ-ACK </w:t>
      </w:r>
      <w:r w:rsidR="0003674A" w:rsidRPr="006B54C1">
        <w:rPr>
          <w:sz w:val="20"/>
          <w:szCs w:val="20"/>
        </w:rPr>
        <w:t xml:space="preserve">transmission opportunity is not necessarily needed for </w:t>
      </w:r>
      <w:r w:rsidRPr="006B54C1">
        <w:rPr>
          <w:sz w:val="20"/>
          <w:szCs w:val="20"/>
        </w:rPr>
        <w:t>all HARQ processes</w:t>
      </w:r>
      <w:r w:rsidR="0003674A" w:rsidRPr="006B54C1">
        <w:rPr>
          <w:sz w:val="20"/>
          <w:szCs w:val="20"/>
        </w:rPr>
        <w:t xml:space="preserve">. </w:t>
      </w:r>
      <w:r w:rsidR="0003674A" w:rsidRPr="006B54C1">
        <w:rPr>
          <w:sz w:val="20"/>
          <w:szCs w:val="20"/>
          <w:lang w:val="en-US"/>
        </w:rPr>
        <w:t xml:space="preserve">Hence, the </w:t>
      </w:r>
      <w:r w:rsidR="00BB7795" w:rsidRPr="006B54C1">
        <w:rPr>
          <w:sz w:val="20"/>
          <w:szCs w:val="20"/>
          <w:lang w:val="en-US"/>
        </w:rPr>
        <w:t xml:space="preserve">HARQ-ACK codebook covering all </w:t>
      </w:r>
      <w:r w:rsidR="0003674A" w:rsidRPr="006B54C1">
        <w:rPr>
          <w:sz w:val="20"/>
          <w:szCs w:val="20"/>
          <w:lang w:val="en-US"/>
        </w:rPr>
        <w:t>HARQ process</w:t>
      </w:r>
      <w:r w:rsidR="00BB7795" w:rsidRPr="006B54C1">
        <w:rPr>
          <w:sz w:val="20"/>
          <w:szCs w:val="20"/>
          <w:lang w:val="en-US"/>
        </w:rPr>
        <w:t>es</w:t>
      </w:r>
      <w:r w:rsidR="0003674A" w:rsidRPr="006B54C1">
        <w:rPr>
          <w:sz w:val="20"/>
          <w:szCs w:val="20"/>
          <w:lang w:val="en-US"/>
        </w:rPr>
        <w:t xml:space="preserve"> </w:t>
      </w:r>
      <w:r w:rsidR="00BB7795" w:rsidRPr="006B54C1">
        <w:rPr>
          <w:sz w:val="20"/>
          <w:szCs w:val="20"/>
          <w:lang w:val="en-US"/>
        </w:rPr>
        <w:t>would</w:t>
      </w:r>
      <w:r w:rsidR="0003674A" w:rsidRPr="006B54C1">
        <w:rPr>
          <w:sz w:val="20"/>
          <w:szCs w:val="20"/>
          <w:lang w:val="en-US"/>
        </w:rPr>
        <w:t xml:space="preserve"> results </w:t>
      </w:r>
      <w:r w:rsidR="00BB7795" w:rsidRPr="006B54C1">
        <w:rPr>
          <w:sz w:val="20"/>
          <w:szCs w:val="20"/>
          <w:lang w:val="en-US"/>
        </w:rPr>
        <w:t>in unnecessarily</w:t>
      </w:r>
      <w:r w:rsidR="0003674A" w:rsidRPr="006B54C1">
        <w:rPr>
          <w:sz w:val="20"/>
          <w:szCs w:val="20"/>
          <w:lang w:val="en-US"/>
        </w:rPr>
        <w:t xml:space="preserve"> large codebook in some cases</w:t>
      </w:r>
      <w:r w:rsidR="00BB7795" w:rsidRPr="006B54C1">
        <w:rPr>
          <w:sz w:val="20"/>
          <w:szCs w:val="20"/>
          <w:lang w:val="en-US"/>
        </w:rPr>
        <w:t>.</w:t>
      </w:r>
      <w:r w:rsidR="0003674A" w:rsidRPr="006B54C1">
        <w:rPr>
          <w:sz w:val="20"/>
          <w:szCs w:val="20"/>
          <w:lang w:val="en-US"/>
        </w:rPr>
        <w:t xml:space="preserve"> </w:t>
      </w:r>
      <w:r w:rsidR="00BB7795" w:rsidRPr="006B54C1">
        <w:rPr>
          <w:sz w:val="20"/>
          <w:szCs w:val="20"/>
          <w:lang w:val="en-US"/>
        </w:rPr>
        <w:t xml:space="preserve">Therefore we see that </w:t>
      </w:r>
      <w:r w:rsidR="0003674A" w:rsidRPr="006B54C1">
        <w:rPr>
          <w:sz w:val="20"/>
          <w:szCs w:val="20"/>
          <w:lang w:val="en-US"/>
        </w:rPr>
        <w:t xml:space="preserve">also other codebook determination mechanism suitable for HARQ feedback pulling and allowing for reduced codebook size should be investigated. </w:t>
      </w:r>
    </w:p>
    <w:p w14:paraId="257332F3" w14:textId="3527598D" w:rsidR="00044BAD" w:rsidRPr="006B54C1" w:rsidRDefault="00BB7795" w:rsidP="006B54C1">
      <w:pPr>
        <w:pStyle w:val="ListParagraph"/>
        <w:numPr>
          <w:ilvl w:val="0"/>
          <w:numId w:val="52"/>
        </w:numPr>
        <w:ind w:left="709"/>
        <w:rPr>
          <w:lang w:val="en-GB"/>
        </w:rPr>
      </w:pPr>
      <w:r>
        <w:rPr>
          <w:sz w:val="20"/>
          <w:szCs w:val="20"/>
          <w:lang w:val="en-GB"/>
        </w:rPr>
        <w:t>HARQ-ACK</w:t>
      </w:r>
      <w:r w:rsidR="00DB5C0C" w:rsidRPr="006B54C1">
        <w:rPr>
          <w:sz w:val="20"/>
          <w:szCs w:val="20"/>
          <w:lang w:val="en-GB"/>
        </w:rPr>
        <w:t xml:space="preserve"> </w:t>
      </w:r>
      <w:r>
        <w:rPr>
          <w:sz w:val="20"/>
          <w:szCs w:val="20"/>
          <w:lang w:val="en-GB"/>
        </w:rPr>
        <w:t xml:space="preserve">for multiple </w:t>
      </w:r>
      <w:r w:rsidR="00DB5C0C" w:rsidRPr="006B54C1">
        <w:rPr>
          <w:sz w:val="20"/>
          <w:szCs w:val="20"/>
          <w:lang w:val="en-GB"/>
        </w:rPr>
        <w:t>HARQ processes are triggered by a DCI</w:t>
      </w:r>
      <w:r w:rsidR="00044BAD">
        <w:rPr>
          <w:sz w:val="20"/>
          <w:szCs w:val="20"/>
          <w:lang w:val="en-GB"/>
        </w:rPr>
        <w:t xml:space="preserve"> (Alt 6 in [7])</w:t>
      </w:r>
      <w:r w:rsidR="00DB5C0C" w:rsidRPr="006B54C1">
        <w:rPr>
          <w:sz w:val="20"/>
          <w:szCs w:val="20"/>
          <w:lang w:val="en-GB"/>
        </w:rPr>
        <w:t>. The key issue of this option is how to indicate multiple HARQ processes</w:t>
      </w:r>
      <w:r>
        <w:rPr>
          <w:sz w:val="20"/>
          <w:szCs w:val="20"/>
          <w:lang w:val="en-GB"/>
        </w:rPr>
        <w:t xml:space="preserve"> efficiently</w:t>
      </w:r>
      <w:r w:rsidR="00DB5C0C" w:rsidRPr="006B54C1">
        <w:rPr>
          <w:sz w:val="20"/>
          <w:szCs w:val="20"/>
          <w:lang w:val="en-GB"/>
        </w:rPr>
        <w:t xml:space="preserve">. Explicitly indicating every HARQ ID in the </w:t>
      </w:r>
      <w:r>
        <w:rPr>
          <w:sz w:val="20"/>
          <w:szCs w:val="20"/>
          <w:lang w:val="en-GB"/>
        </w:rPr>
        <w:t xml:space="preserve">triggering </w:t>
      </w:r>
      <w:r w:rsidR="00DB5C0C" w:rsidRPr="006B54C1">
        <w:rPr>
          <w:sz w:val="20"/>
          <w:szCs w:val="20"/>
          <w:lang w:val="en-GB"/>
        </w:rPr>
        <w:t>DCI leads to large DCI payload.</w:t>
      </w:r>
      <w:r w:rsidR="00777667" w:rsidRPr="00777667">
        <w:rPr>
          <w:sz w:val="20"/>
          <w:szCs w:val="20"/>
          <w:lang w:val="en-GB"/>
        </w:rPr>
        <w:t xml:space="preserve"> </w:t>
      </w:r>
      <w:r w:rsidR="00DB5C0C" w:rsidRPr="006B54C1">
        <w:rPr>
          <w:sz w:val="20"/>
          <w:szCs w:val="20"/>
          <w:lang w:val="en-GB"/>
        </w:rPr>
        <w:t>Dynamic grouping is an efficient wa</w:t>
      </w:r>
      <w:r w:rsidRPr="006B54C1">
        <w:rPr>
          <w:sz w:val="20"/>
          <w:szCs w:val="20"/>
          <w:lang w:val="en-GB"/>
        </w:rPr>
        <w:t>y to reduce the size of DCI triggering HARQ feedback for</w:t>
      </w:r>
      <w:r w:rsidR="00DB5C0C" w:rsidRPr="006B54C1">
        <w:rPr>
          <w:sz w:val="20"/>
          <w:szCs w:val="20"/>
          <w:lang w:val="en-GB"/>
        </w:rPr>
        <w:t xml:space="preserve"> multiple HARQ processes</w:t>
      </w:r>
      <w:r w:rsidRPr="006B54C1">
        <w:rPr>
          <w:sz w:val="20"/>
          <w:szCs w:val="20"/>
          <w:lang w:val="en-GB"/>
        </w:rPr>
        <w:t xml:space="preserve">. Multiple </w:t>
      </w:r>
      <w:r w:rsidR="00DB5C0C" w:rsidRPr="006B54C1">
        <w:rPr>
          <w:sz w:val="20"/>
          <w:szCs w:val="20"/>
          <w:lang w:val="en-GB"/>
        </w:rPr>
        <w:t xml:space="preserve">HARQ processes can be </w:t>
      </w:r>
      <w:r w:rsidR="001B3D68" w:rsidRPr="006B54C1">
        <w:rPr>
          <w:sz w:val="20"/>
          <w:szCs w:val="20"/>
          <w:lang w:val="en-GB"/>
        </w:rPr>
        <w:t>dynamically grouped into a</w:t>
      </w:r>
      <w:r w:rsidR="00DB5C0C" w:rsidRPr="006B54C1">
        <w:rPr>
          <w:sz w:val="20"/>
          <w:szCs w:val="20"/>
          <w:lang w:val="en-GB"/>
        </w:rPr>
        <w:t xml:space="preserve"> group with a group ID</w:t>
      </w:r>
      <w:r w:rsidR="001B3D68">
        <w:rPr>
          <w:sz w:val="20"/>
          <w:szCs w:val="20"/>
          <w:lang w:val="en-GB"/>
        </w:rPr>
        <w:t xml:space="preserve"> </w:t>
      </w:r>
      <w:r w:rsidR="00044BAD">
        <w:rPr>
          <w:sz w:val="20"/>
          <w:szCs w:val="20"/>
          <w:lang w:val="en-GB"/>
        </w:rPr>
        <w:t>in the scheduling</w:t>
      </w:r>
      <w:r w:rsidR="00777667" w:rsidRPr="007F145D">
        <w:rPr>
          <w:sz w:val="20"/>
          <w:szCs w:val="20"/>
          <w:lang w:val="en-GB"/>
        </w:rPr>
        <w:t xml:space="preserve"> DL grant.</w:t>
      </w:r>
      <w:r w:rsidR="00044BAD">
        <w:rPr>
          <w:sz w:val="20"/>
          <w:szCs w:val="20"/>
          <w:lang w:val="en-GB"/>
        </w:rPr>
        <w:t xml:space="preserve"> The HARQ feedback triggering</w:t>
      </w:r>
      <w:r w:rsidR="00DB5C0C" w:rsidRPr="00044BAD">
        <w:rPr>
          <w:sz w:val="20"/>
          <w:szCs w:val="20"/>
          <w:lang w:val="en-GB"/>
        </w:rPr>
        <w:t xml:space="preserve"> DC</w:t>
      </w:r>
      <w:r w:rsidR="00044BAD">
        <w:rPr>
          <w:sz w:val="20"/>
          <w:szCs w:val="20"/>
          <w:lang w:val="en-GB"/>
        </w:rPr>
        <w:t>I can i</w:t>
      </w:r>
      <w:r w:rsidR="001B3D68">
        <w:rPr>
          <w:sz w:val="20"/>
          <w:szCs w:val="20"/>
          <w:lang w:val="en-GB"/>
        </w:rPr>
        <w:t>ndicate the</w:t>
      </w:r>
      <w:r w:rsidR="00044BAD">
        <w:rPr>
          <w:sz w:val="20"/>
          <w:szCs w:val="20"/>
          <w:lang w:val="en-GB"/>
        </w:rPr>
        <w:t xml:space="preserve"> </w:t>
      </w:r>
      <w:r w:rsidR="001B3D68">
        <w:rPr>
          <w:sz w:val="20"/>
          <w:szCs w:val="20"/>
          <w:lang w:val="en-GB"/>
        </w:rPr>
        <w:t xml:space="preserve">HARQ process </w:t>
      </w:r>
      <w:r w:rsidR="00044BAD">
        <w:rPr>
          <w:sz w:val="20"/>
          <w:szCs w:val="20"/>
          <w:lang w:val="en-GB"/>
        </w:rPr>
        <w:t>group for which</w:t>
      </w:r>
      <w:r w:rsidRPr="00044BAD">
        <w:rPr>
          <w:sz w:val="20"/>
          <w:szCs w:val="20"/>
          <w:lang w:val="en-GB"/>
        </w:rPr>
        <w:t xml:space="preserve"> HARQ</w:t>
      </w:r>
      <w:r w:rsidR="00DB5C0C" w:rsidRPr="00044BAD">
        <w:rPr>
          <w:sz w:val="20"/>
          <w:szCs w:val="20"/>
          <w:lang w:val="en-GB"/>
        </w:rPr>
        <w:t xml:space="preserve"> feedback </w:t>
      </w:r>
      <w:r w:rsidR="00044BAD">
        <w:rPr>
          <w:sz w:val="20"/>
          <w:szCs w:val="20"/>
          <w:lang w:val="en-GB"/>
        </w:rPr>
        <w:t>is transmitted</w:t>
      </w:r>
      <w:r w:rsidR="001B3D68">
        <w:rPr>
          <w:sz w:val="20"/>
          <w:szCs w:val="20"/>
          <w:lang w:val="en-GB"/>
        </w:rPr>
        <w:t xml:space="preserve"> with</w:t>
      </w:r>
      <w:r w:rsidR="00DB5C0C" w:rsidRPr="00044BAD">
        <w:rPr>
          <w:sz w:val="20"/>
          <w:szCs w:val="20"/>
          <w:lang w:val="en-GB"/>
        </w:rPr>
        <w:t xml:space="preserve"> the group ID. </w:t>
      </w:r>
      <w:r w:rsidR="00044BAD">
        <w:rPr>
          <w:sz w:val="20"/>
          <w:szCs w:val="20"/>
          <w:lang w:val="en-GB"/>
        </w:rPr>
        <w:t xml:space="preserve">It can be further noted: </w:t>
      </w:r>
    </w:p>
    <w:p w14:paraId="584EE173" w14:textId="77777777" w:rsidR="00044BAD" w:rsidRPr="006B54C1" w:rsidRDefault="00044BAD" w:rsidP="006B54C1">
      <w:pPr>
        <w:pStyle w:val="ListParagraph"/>
        <w:numPr>
          <w:ilvl w:val="1"/>
          <w:numId w:val="52"/>
        </w:numPr>
        <w:rPr>
          <w:lang w:val="en-GB"/>
        </w:rPr>
      </w:pPr>
      <w:r>
        <w:rPr>
          <w:sz w:val="20"/>
          <w:szCs w:val="20"/>
          <w:lang w:val="en-GB"/>
        </w:rPr>
        <w:t>2-bit group ID may be sufficient, hence, keeping the DL overhead acceptable.</w:t>
      </w:r>
    </w:p>
    <w:p w14:paraId="1582ECA7" w14:textId="765BD240" w:rsidR="00044BAD" w:rsidRPr="006B54C1" w:rsidRDefault="001035D7" w:rsidP="006B54C1">
      <w:pPr>
        <w:pStyle w:val="ListParagraph"/>
        <w:numPr>
          <w:ilvl w:val="1"/>
          <w:numId w:val="52"/>
        </w:numPr>
        <w:spacing w:after="120"/>
        <w:ind w:left="1123"/>
        <w:rPr>
          <w:lang w:val="en-GB"/>
        </w:rPr>
      </w:pPr>
      <w:r>
        <w:rPr>
          <w:sz w:val="20"/>
          <w:szCs w:val="20"/>
          <w:lang w:val="en-GB"/>
        </w:rPr>
        <w:t xml:space="preserve">The group ID </w:t>
      </w:r>
      <w:r w:rsidR="001B3D68">
        <w:rPr>
          <w:sz w:val="20"/>
          <w:szCs w:val="20"/>
          <w:lang w:val="en-GB"/>
        </w:rPr>
        <w:t>can be</w:t>
      </w:r>
      <w:r>
        <w:rPr>
          <w:sz w:val="20"/>
          <w:szCs w:val="20"/>
          <w:lang w:val="en-GB"/>
        </w:rPr>
        <w:t xml:space="preserve"> kept</w:t>
      </w:r>
      <w:r w:rsidR="00044BAD">
        <w:rPr>
          <w:sz w:val="20"/>
          <w:szCs w:val="20"/>
          <w:lang w:val="en-GB"/>
        </w:rPr>
        <w:t xml:space="preserve"> constant within a HARQ feedback window (or DL association set) and alternated between the HARQ feedback windows. </w:t>
      </w:r>
      <w:r>
        <w:rPr>
          <w:sz w:val="20"/>
          <w:szCs w:val="20"/>
          <w:lang w:val="en-GB"/>
        </w:rPr>
        <w:t>With this, the normal DAI mechanism can be used to en</w:t>
      </w:r>
      <w:r w:rsidR="0080213B">
        <w:rPr>
          <w:sz w:val="20"/>
          <w:szCs w:val="20"/>
          <w:lang w:val="en-GB"/>
        </w:rPr>
        <w:t xml:space="preserve">sure correct codebook </w:t>
      </w:r>
      <w:r w:rsidR="001B3D68">
        <w:rPr>
          <w:sz w:val="20"/>
          <w:szCs w:val="20"/>
          <w:lang w:val="en-GB"/>
        </w:rPr>
        <w:t xml:space="preserve">size. </w:t>
      </w:r>
      <w:r w:rsidR="003042F5">
        <w:rPr>
          <w:sz w:val="20"/>
          <w:szCs w:val="20"/>
          <w:lang w:val="en-GB"/>
        </w:rPr>
        <w:t xml:space="preserve"> </w:t>
      </w:r>
    </w:p>
    <w:p w14:paraId="17210650" w14:textId="089F54A4" w:rsidR="001035D7" w:rsidRPr="006B54C1" w:rsidRDefault="00000E02" w:rsidP="006B54C1">
      <w:pPr>
        <w:jc w:val="both"/>
        <w:rPr>
          <w:rFonts w:eastAsiaTheme="minorEastAsia"/>
          <w:kern w:val="2"/>
          <w:szCs w:val="22"/>
          <w:lang w:val="en-US" w:eastAsia="zh-CN"/>
        </w:rPr>
      </w:pPr>
      <w:r>
        <w:rPr>
          <w:rFonts w:eastAsiaTheme="minorEastAsia"/>
          <w:kern w:val="2"/>
          <w:szCs w:val="22"/>
          <w:lang w:eastAsia="zh-CN"/>
        </w:rPr>
        <w:t>T</w:t>
      </w:r>
      <w:r w:rsidR="001035D7" w:rsidRPr="006B54C1">
        <w:rPr>
          <w:rFonts w:eastAsiaTheme="minorEastAsia"/>
          <w:kern w:val="2"/>
          <w:szCs w:val="22"/>
          <w:lang w:val="en-US" w:eastAsia="zh-CN"/>
        </w:rPr>
        <w:t>he determination of codebook size</w:t>
      </w:r>
      <w:r w:rsidR="0080213B">
        <w:rPr>
          <w:rFonts w:eastAsiaTheme="minorEastAsia"/>
          <w:kern w:val="2"/>
          <w:szCs w:val="22"/>
          <w:lang w:val="en-US" w:eastAsia="zh-CN"/>
        </w:rPr>
        <w:t xml:space="preserve"> needs to be reliable against detection errors both at gNB and UE. Reliability of codebook size is a challenge for some of the proposed HARQ feedback schemes. For example, if UE autonomously aggregates HARQ feedback reports that were blocked by LBT to a subsequent HARQ feedback report, error occurs when gNB fails to detect HARQ feedback transmitted by UE. In this case, UE does not aggregate the already transmitted </w:t>
      </w:r>
      <w:r>
        <w:rPr>
          <w:rFonts w:eastAsiaTheme="minorEastAsia"/>
          <w:kern w:val="2"/>
          <w:szCs w:val="22"/>
          <w:lang w:val="en-US" w:eastAsia="zh-CN"/>
        </w:rPr>
        <w:t xml:space="preserve">HARQ </w:t>
      </w:r>
      <w:r w:rsidR="0080213B">
        <w:rPr>
          <w:rFonts w:eastAsiaTheme="minorEastAsia"/>
          <w:kern w:val="2"/>
          <w:szCs w:val="22"/>
          <w:lang w:val="en-US" w:eastAsia="zh-CN"/>
        </w:rPr>
        <w:t xml:space="preserve">feedback to the subsequent transmission but gNB assumes aggregated HARQ feedback. </w:t>
      </w:r>
      <w:r w:rsidR="00E573E6">
        <w:rPr>
          <w:rFonts w:eastAsiaTheme="minorEastAsia"/>
          <w:kern w:val="2"/>
          <w:szCs w:val="22"/>
          <w:lang w:val="en-US" w:eastAsia="zh-CN"/>
        </w:rPr>
        <w:t xml:space="preserve">Also </w:t>
      </w:r>
      <w:r>
        <w:rPr>
          <w:rFonts w:eastAsiaTheme="minorEastAsia"/>
          <w:kern w:val="2"/>
          <w:szCs w:val="22"/>
          <w:lang w:val="en-US" w:eastAsia="zh-CN"/>
        </w:rPr>
        <w:t xml:space="preserve">the </w:t>
      </w:r>
      <w:r w:rsidR="00E573E6">
        <w:rPr>
          <w:rFonts w:eastAsiaTheme="minorEastAsia"/>
          <w:kern w:val="2"/>
          <w:szCs w:val="22"/>
          <w:lang w:val="en-US" w:eastAsia="zh-CN"/>
        </w:rPr>
        <w:t xml:space="preserve">situation where UE is scheduled with </w:t>
      </w:r>
      <w:r>
        <w:rPr>
          <w:rFonts w:eastAsiaTheme="minorEastAsia"/>
          <w:kern w:val="2"/>
          <w:szCs w:val="22"/>
          <w:lang w:val="en-US" w:eastAsia="zh-CN"/>
        </w:rPr>
        <w:t>single PDSCH in a</w:t>
      </w:r>
      <w:r w:rsidR="00E573E6">
        <w:rPr>
          <w:rFonts w:eastAsiaTheme="minorEastAsia"/>
          <w:kern w:val="2"/>
          <w:szCs w:val="22"/>
          <w:lang w:val="en-US" w:eastAsia="zh-CN"/>
        </w:rPr>
        <w:t xml:space="preserve"> HARQ feedback window but UE fails to detect the DCI scheduling the PDSCH </w:t>
      </w:r>
      <w:r w:rsidR="00BF055E">
        <w:rPr>
          <w:rFonts w:eastAsiaTheme="minorEastAsia"/>
          <w:kern w:val="2"/>
          <w:szCs w:val="22"/>
          <w:lang w:val="en-US" w:eastAsia="zh-CN"/>
        </w:rPr>
        <w:t>may</w:t>
      </w:r>
      <w:r w:rsidR="00E573E6">
        <w:rPr>
          <w:rFonts w:eastAsiaTheme="minorEastAsia"/>
          <w:kern w:val="2"/>
          <w:szCs w:val="22"/>
          <w:lang w:val="en-US" w:eastAsia="zh-CN"/>
        </w:rPr>
        <w:t xml:space="preserve"> present challenges for schemes where UE aggregates previous HARQ feedback window to the current HARQ feedback window based on </w:t>
      </w:r>
      <w:r>
        <w:rPr>
          <w:rFonts w:eastAsiaTheme="minorEastAsia"/>
          <w:kern w:val="2"/>
          <w:szCs w:val="22"/>
          <w:lang w:val="en-US" w:eastAsia="zh-CN"/>
        </w:rPr>
        <w:t xml:space="preserve">specific </w:t>
      </w:r>
      <w:r w:rsidR="00E573E6">
        <w:rPr>
          <w:rFonts w:eastAsiaTheme="minorEastAsia"/>
          <w:kern w:val="2"/>
          <w:szCs w:val="22"/>
          <w:lang w:val="en-US" w:eastAsia="zh-CN"/>
        </w:rPr>
        <w:t>indi</w:t>
      </w:r>
      <w:r>
        <w:rPr>
          <w:rFonts w:eastAsiaTheme="minorEastAsia"/>
          <w:kern w:val="2"/>
          <w:szCs w:val="22"/>
          <w:lang w:val="en-US" w:eastAsia="zh-CN"/>
        </w:rPr>
        <w:t xml:space="preserve">cation in the DCI scheduling </w:t>
      </w:r>
      <w:r w:rsidR="00E573E6">
        <w:rPr>
          <w:rFonts w:eastAsiaTheme="minorEastAsia"/>
          <w:kern w:val="2"/>
          <w:szCs w:val="22"/>
          <w:lang w:val="en-US" w:eastAsia="zh-CN"/>
        </w:rPr>
        <w:t>PDSCH for the current HARQ feedback window. E.g. in the case that a DCI bit is</w:t>
      </w:r>
      <w:r w:rsidR="00BF055E">
        <w:rPr>
          <w:rFonts w:eastAsiaTheme="minorEastAsia"/>
          <w:kern w:val="2"/>
          <w:szCs w:val="22"/>
          <w:lang w:val="en-US" w:eastAsia="zh-CN"/>
        </w:rPr>
        <w:t xml:space="preserve"> toggled to indicate to UE whether to re-transmit earlier HARQ feedback, UE and gNB have different understanding of the toggled bit state in this situation. </w:t>
      </w:r>
      <w:r w:rsidR="00E573E6">
        <w:rPr>
          <w:rFonts w:eastAsiaTheme="minorEastAsia"/>
          <w:kern w:val="2"/>
          <w:szCs w:val="22"/>
          <w:lang w:val="en-US" w:eastAsia="zh-CN"/>
        </w:rPr>
        <w:t xml:space="preserve"> </w:t>
      </w:r>
      <w:r w:rsidR="0080213B">
        <w:rPr>
          <w:rFonts w:eastAsiaTheme="minorEastAsia"/>
          <w:kern w:val="2"/>
          <w:szCs w:val="22"/>
          <w:lang w:val="en-US" w:eastAsia="zh-CN"/>
        </w:rPr>
        <w:t xml:space="preserve">  </w:t>
      </w:r>
      <w:r w:rsidR="001035D7" w:rsidRPr="006B54C1">
        <w:rPr>
          <w:rFonts w:eastAsiaTheme="minorEastAsia"/>
          <w:kern w:val="2"/>
          <w:szCs w:val="22"/>
          <w:lang w:val="en-US" w:eastAsia="zh-CN"/>
        </w:rPr>
        <w:t xml:space="preserve"> </w:t>
      </w:r>
    </w:p>
    <w:p w14:paraId="0653BB8F" w14:textId="1A7B76B7" w:rsidR="002E4D7C" w:rsidRPr="00427B26" w:rsidRDefault="008A0916" w:rsidP="006B54C1">
      <w:pPr>
        <w:jc w:val="both"/>
        <w:rPr>
          <w:b/>
          <w:i/>
          <w:lang w:val="en-US" w:eastAsia="x-none"/>
        </w:rPr>
      </w:pPr>
      <w:r w:rsidRPr="00427B26">
        <w:rPr>
          <w:b/>
          <w:i/>
          <w:lang w:val="en-US" w:eastAsia="x-none"/>
        </w:rPr>
        <w:t>Proposal</w:t>
      </w:r>
      <w:r w:rsidR="00427B26" w:rsidRPr="00427B26">
        <w:rPr>
          <w:b/>
          <w:i/>
          <w:lang w:val="en-US" w:eastAsia="x-none"/>
        </w:rPr>
        <w:t xml:space="preserve"> </w:t>
      </w:r>
      <w:r w:rsidR="00C56E55">
        <w:rPr>
          <w:b/>
          <w:i/>
          <w:lang w:val="en-US" w:eastAsia="x-none"/>
        </w:rPr>
        <w:t>7</w:t>
      </w:r>
      <w:r w:rsidR="005B5685" w:rsidRPr="00427B26">
        <w:rPr>
          <w:b/>
          <w:i/>
          <w:lang w:val="en-US" w:eastAsia="x-none"/>
        </w:rPr>
        <w:t xml:space="preserve">: Support </w:t>
      </w:r>
      <w:r w:rsidR="002C77C1" w:rsidRPr="00427B26">
        <w:rPr>
          <w:b/>
          <w:i/>
          <w:lang w:val="en-US"/>
        </w:rPr>
        <w:t xml:space="preserve">both a </w:t>
      </w:r>
      <w:r w:rsidR="00000E02">
        <w:rPr>
          <w:b/>
          <w:i/>
          <w:lang w:val="en-US"/>
        </w:rPr>
        <w:t xml:space="preserve">HARQ feedback </w:t>
      </w:r>
      <w:r w:rsidR="002C77C1" w:rsidRPr="00427B26">
        <w:rPr>
          <w:b/>
          <w:i/>
          <w:lang w:val="en-US"/>
        </w:rPr>
        <w:t>mechanism providing multiple HARQ-ACK transmission opportunities</w:t>
      </w:r>
      <w:r w:rsidR="00921FE9">
        <w:rPr>
          <w:b/>
          <w:i/>
          <w:lang w:val="en-US"/>
        </w:rPr>
        <w:t xml:space="preserve"> by PDSCH scheduling DCI</w:t>
      </w:r>
      <w:r w:rsidR="002C77C1" w:rsidRPr="00427B26">
        <w:rPr>
          <w:b/>
          <w:i/>
          <w:lang w:val="en-US"/>
        </w:rPr>
        <w:t xml:space="preserve"> as well as </w:t>
      </w:r>
      <w:r w:rsidR="00BB7DDF" w:rsidRPr="00427B26">
        <w:rPr>
          <w:b/>
          <w:i/>
          <w:lang w:val="en-US"/>
        </w:rPr>
        <w:t xml:space="preserve">a </w:t>
      </w:r>
      <w:r w:rsidR="002C77C1" w:rsidRPr="00427B26">
        <w:rPr>
          <w:b/>
          <w:i/>
          <w:lang w:val="en-US"/>
        </w:rPr>
        <w:t>mechanis</w:t>
      </w:r>
      <w:r w:rsidR="00921FE9">
        <w:rPr>
          <w:b/>
          <w:i/>
          <w:lang w:val="en-US"/>
        </w:rPr>
        <w:t xml:space="preserve">m for explicitly </w:t>
      </w:r>
      <w:r w:rsidR="003042F5">
        <w:rPr>
          <w:b/>
          <w:i/>
          <w:lang w:val="en-US"/>
        </w:rPr>
        <w:t>pulled</w:t>
      </w:r>
      <w:r w:rsidR="002C77C1" w:rsidRPr="00427B26">
        <w:rPr>
          <w:b/>
          <w:i/>
          <w:lang w:val="en-US"/>
        </w:rPr>
        <w:t xml:space="preserve"> HARQ </w:t>
      </w:r>
      <w:r w:rsidR="001035D7">
        <w:rPr>
          <w:b/>
          <w:i/>
          <w:lang w:val="en-US"/>
        </w:rPr>
        <w:t>f</w:t>
      </w:r>
      <w:r w:rsidR="002C77C1" w:rsidRPr="00427B26">
        <w:rPr>
          <w:b/>
          <w:i/>
          <w:lang w:val="en-US"/>
        </w:rPr>
        <w:t>eedbac</w:t>
      </w:r>
      <w:r w:rsidR="00D031F3">
        <w:rPr>
          <w:b/>
          <w:i/>
          <w:lang w:val="en-US"/>
        </w:rPr>
        <w:t>k</w:t>
      </w:r>
      <w:r w:rsidR="002C77C1" w:rsidRPr="00427B26">
        <w:rPr>
          <w:b/>
          <w:i/>
          <w:lang w:val="en-US"/>
        </w:rPr>
        <w:t xml:space="preserve"> by a separate DCI.</w:t>
      </w:r>
    </w:p>
    <w:p w14:paraId="095AEDBB" w14:textId="51BFACDA" w:rsidR="002E4D7C" w:rsidRPr="00427B26" w:rsidRDefault="00A7591D" w:rsidP="006B54C1">
      <w:pPr>
        <w:jc w:val="both"/>
        <w:rPr>
          <w:b/>
          <w:i/>
          <w:lang w:val="en-US"/>
        </w:rPr>
      </w:pPr>
      <w:r w:rsidRPr="00427B26">
        <w:rPr>
          <w:b/>
          <w:i/>
          <w:lang w:val="en-US" w:eastAsia="x-none"/>
        </w:rPr>
        <w:t>Proposal</w:t>
      </w:r>
      <w:r w:rsidR="00427B26" w:rsidRPr="00427B26">
        <w:rPr>
          <w:b/>
          <w:i/>
          <w:lang w:val="en-US" w:eastAsia="x-none"/>
        </w:rPr>
        <w:t xml:space="preserve"> </w:t>
      </w:r>
      <w:r w:rsidR="00C56E55">
        <w:rPr>
          <w:b/>
          <w:i/>
          <w:lang w:val="en-US" w:eastAsia="x-none"/>
        </w:rPr>
        <w:t>8</w:t>
      </w:r>
      <w:r w:rsidR="002E4D7C" w:rsidRPr="00427B26">
        <w:rPr>
          <w:b/>
          <w:i/>
          <w:lang w:val="en-US" w:eastAsia="x-none"/>
        </w:rPr>
        <w:t xml:space="preserve">: </w:t>
      </w:r>
      <w:r w:rsidR="002E4D7C" w:rsidRPr="00427B26">
        <w:rPr>
          <w:b/>
          <w:i/>
          <w:lang w:val="en-US"/>
        </w:rPr>
        <w:t xml:space="preserve">HARQ-ACK codebook </w:t>
      </w:r>
      <w:r w:rsidR="003042F5">
        <w:rPr>
          <w:b/>
          <w:i/>
          <w:lang w:val="en-US"/>
        </w:rPr>
        <w:t>covering</w:t>
      </w:r>
      <w:r w:rsidR="002E4D7C" w:rsidRPr="00427B26">
        <w:rPr>
          <w:b/>
          <w:i/>
          <w:lang w:val="en-US"/>
        </w:rPr>
        <w:t xml:space="preserve"> </w:t>
      </w:r>
      <w:r w:rsidR="003042F5">
        <w:rPr>
          <w:b/>
          <w:i/>
          <w:lang w:val="en-US"/>
        </w:rPr>
        <w:t xml:space="preserve">all </w:t>
      </w:r>
      <w:r w:rsidR="002E4D7C" w:rsidRPr="00427B26">
        <w:rPr>
          <w:b/>
          <w:i/>
          <w:lang w:val="en-US"/>
        </w:rPr>
        <w:t>HARQ proc</w:t>
      </w:r>
      <w:r w:rsidRPr="00427B26">
        <w:rPr>
          <w:b/>
          <w:i/>
          <w:lang w:val="en-US"/>
        </w:rPr>
        <w:t>ess</w:t>
      </w:r>
      <w:r w:rsidR="003042F5">
        <w:rPr>
          <w:b/>
          <w:i/>
          <w:lang w:val="en-US"/>
        </w:rPr>
        <w:t>es</w:t>
      </w:r>
      <w:r w:rsidRPr="00427B26">
        <w:rPr>
          <w:b/>
          <w:i/>
          <w:lang w:val="en-US"/>
        </w:rPr>
        <w:t xml:space="preserve"> is used as a</w:t>
      </w:r>
      <w:r w:rsidR="002E4D7C" w:rsidRPr="00427B26">
        <w:rPr>
          <w:b/>
          <w:i/>
          <w:lang w:val="en-US"/>
        </w:rPr>
        <w:t xml:space="preserve"> starting point for </w:t>
      </w:r>
      <w:r w:rsidR="003042F5">
        <w:rPr>
          <w:b/>
          <w:i/>
          <w:lang w:val="en-US"/>
        </w:rPr>
        <w:t xml:space="preserve">explicitly </w:t>
      </w:r>
      <w:r w:rsidR="002E4D7C" w:rsidRPr="00427B26">
        <w:rPr>
          <w:b/>
          <w:i/>
          <w:lang w:val="en-US"/>
        </w:rPr>
        <w:t>pulled HARQ-ACK feedback design</w:t>
      </w:r>
      <w:r w:rsidR="002C77C1" w:rsidRPr="00427B26">
        <w:rPr>
          <w:b/>
          <w:i/>
          <w:lang w:val="en-US"/>
        </w:rPr>
        <w:t xml:space="preserve">, but also other codebook determination mechanism suitable for </w:t>
      </w:r>
      <w:r w:rsidR="003042F5">
        <w:rPr>
          <w:b/>
          <w:i/>
          <w:lang w:val="en-US"/>
        </w:rPr>
        <w:t xml:space="preserve">explicit </w:t>
      </w:r>
      <w:r w:rsidR="002C77C1" w:rsidRPr="00427B26">
        <w:rPr>
          <w:b/>
          <w:i/>
          <w:lang w:val="en-US"/>
        </w:rPr>
        <w:t>HARQ feedback pulling are investigated.</w:t>
      </w:r>
    </w:p>
    <w:p w14:paraId="418D71EC" w14:textId="16B773E8" w:rsidR="00910E05" w:rsidRPr="006B54C1" w:rsidRDefault="008F1C8A" w:rsidP="006B54C1">
      <w:pPr>
        <w:spacing w:after="240"/>
        <w:jc w:val="both"/>
        <w:rPr>
          <w:b/>
          <w:i/>
        </w:rPr>
      </w:pPr>
      <w:r w:rsidRPr="00427B26">
        <w:rPr>
          <w:b/>
          <w:i/>
        </w:rPr>
        <w:t>Proposal</w:t>
      </w:r>
      <w:r w:rsidR="00C56E55">
        <w:rPr>
          <w:b/>
          <w:i/>
        </w:rPr>
        <w:t xml:space="preserve"> 9</w:t>
      </w:r>
      <w:r w:rsidR="00910E05" w:rsidRPr="00427B26">
        <w:rPr>
          <w:b/>
          <w:i/>
        </w:rPr>
        <w:t xml:space="preserve">: HARQ </w:t>
      </w:r>
      <w:r w:rsidR="003042F5">
        <w:rPr>
          <w:b/>
          <w:i/>
        </w:rPr>
        <w:t>feedback</w:t>
      </w:r>
      <w:r w:rsidR="00427B26" w:rsidRPr="00427B26">
        <w:rPr>
          <w:b/>
          <w:i/>
        </w:rPr>
        <w:t xml:space="preserve"> </w:t>
      </w:r>
      <w:r w:rsidR="00910E05" w:rsidRPr="00427B26">
        <w:rPr>
          <w:b/>
          <w:i/>
        </w:rPr>
        <w:t>grouping</w:t>
      </w:r>
      <w:r w:rsidR="003042F5">
        <w:rPr>
          <w:b/>
          <w:i/>
        </w:rPr>
        <w:t xml:space="preserve"> by group ID in PDSCH scheduling DCI</w:t>
      </w:r>
      <w:r w:rsidR="00910E05" w:rsidRPr="00427B26">
        <w:rPr>
          <w:b/>
          <w:i/>
        </w:rPr>
        <w:t xml:space="preserve"> is </w:t>
      </w:r>
      <w:r w:rsidR="00427B26" w:rsidRPr="00427B26">
        <w:rPr>
          <w:b/>
          <w:i/>
        </w:rPr>
        <w:t xml:space="preserve">studied as </w:t>
      </w:r>
      <w:r w:rsidR="00910E05" w:rsidRPr="00427B26">
        <w:rPr>
          <w:b/>
          <w:i/>
        </w:rPr>
        <w:t xml:space="preserve">an efficient way to reduce </w:t>
      </w:r>
      <w:r w:rsidRPr="00427B26">
        <w:rPr>
          <w:b/>
          <w:i/>
        </w:rPr>
        <w:t xml:space="preserve">and control </w:t>
      </w:r>
      <w:r w:rsidR="00910E05" w:rsidRPr="00427B26">
        <w:rPr>
          <w:b/>
          <w:i/>
        </w:rPr>
        <w:t>the size of</w:t>
      </w:r>
      <w:r w:rsidR="003042F5">
        <w:rPr>
          <w:b/>
          <w:i/>
        </w:rPr>
        <w:t xml:space="preserve"> HARQ feedback with reasonable DCI overhead</w:t>
      </w:r>
      <w:r w:rsidR="00910E05" w:rsidRPr="00427B26">
        <w:rPr>
          <w:b/>
          <w:i/>
        </w:rPr>
        <w:t xml:space="preserve">. </w:t>
      </w:r>
    </w:p>
    <w:p w14:paraId="018AC099" w14:textId="7C6B5802" w:rsidR="00E77254" w:rsidRPr="000C67C4" w:rsidRDefault="00593442" w:rsidP="006B54C1">
      <w:pPr>
        <w:pStyle w:val="Heading2"/>
        <w:rPr>
          <w:lang w:val="en-US"/>
        </w:rPr>
      </w:pPr>
      <w:r>
        <w:rPr>
          <w:lang w:val="en-US"/>
        </w:rPr>
        <w:t xml:space="preserve">3.4 </w:t>
      </w:r>
      <w:r w:rsidR="00CA1E92">
        <w:rPr>
          <w:lang w:val="en-US"/>
        </w:rPr>
        <w:t xml:space="preserve">LBT </w:t>
      </w:r>
      <w:r>
        <w:rPr>
          <w:lang w:val="en-US"/>
        </w:rPr>
        <w:t>categories</w:t>
      </w:r>
      <w:r w:rsidR="00E77254">
        <w:rPr>
          <w:lang w:val="en-US"/>
        </w:rPr>
        <w:t xml:space="preserve"> applicable for HARQ feedback on PUCCH</w:t>
      </w:r>
    </w:p>
    <w:p w14:paraId="67B21353" w14:textId="46E6B89A" w:rsidR="00E77254" w:rsidRPr="0022749F" w:rsidRDefault="00CA1E92" w:rsidP="00427B26">
      <w:pPr>
        <w:jc w:val="both"/>
        <w:rPr>
          <w:lang w:val="en-US"/>
        </w:rPr>
      </w:pPr>
      <w:r>
        <w:rPr>
          <w:lang w:val="en-US"/>
        </w:rPr>
        <w:t>One aspect to consid</w:t>
      </w:r>
      <w:r w:rsidR="003212D4">
        <w:rPr>
          <w:lang w:val="en-US"/>
        </w:rPr>
        <w:t>er is the LBT categories</w:t>
      </w:r>
      <w:r>
        <w:rPr>
          <w:lang w:val="en-US"/>
        </w:rPr>
        <w:t xml:space="preserve"> that can </w:t>
      </w:r>
      <w:r w:rsidRPr="0022749F">
        <w:rPr>
          <w:lang w:val="en-US"/>
        </w:rPr>
        <w:t>be applied for HARQ feedback transmission on PUCCH.</w:t>
      </w:r>
      <w:r w:rsidR="0022749F" w:rsidRPr="0022749F">
        <w:rPr>
          <w:lang w:val="en-US"/>
        </w:rPr>
        <w:t xml:space="preserve"> We d</w:t>
      </w:r>
      <w:r w:rsidR="0022749F" w:rsidRPr="00DE5117">
        <w:rPr>
          <w:lang w:val="en-US"/>
        </w:rPr>
        <w:t xml:space="preserve">iscuss the channel access </w:t>
      </w:r>
      <w:r w:rsidR="0022749F" w:rsidRPr="00BC76AB">
        <w:rPr>
          <w:lang w:val="en-US"/>
        </w:rPr>
        <w:t>aspects in more detail in [7].</w:t>
      </w:r>
      <w:r w:rsidRPr="00BC76AB">
        <w:rPr>
          <w:lang w:val="en-US"/>
        </w:rPr>
        <w:t xml:space="preserve"> We see that</w:t>
      </w:r>
      <w:r w:rsidR="0022749F" w:rsidRPr="006B54C1">
        <w:rPr>
          <w:lang w:val="en-US"/>
        </w:rPr>
        <w:t xml:space="preserve"> within gNB acquired shared COT,</w:t>
      </w:r>
      <w:r w:rsidRPr="0022749F">
        <w:rPr>
          <w:lang w:val="en-US"/>
        </w:rPr>
        <w:t xml:space="preserve"> Cat2 </w:t>
      </w:r>
      <w:r w:rsidR="0022749F" w:rsidRPr="006B54C1">
        <w:rPr>
          <w:lang w:val="en-US"/>
        </w:rPr>
        <w:t>LBT should be supported for PUCCH. Further, as PUCCH transmission can be short and carriers important signaling, we</w:t>
      </w:r>
      <w:r w:rsidR="0022749F" w:rsidRPr="0022749F">
        <w:rPr>
          <w:lang w:val="en-US"/>
        </w:rPr>
        <w:t xml:space="preserve"> see that in the </w:t>
      </w:r>
      <w:r w:rsidR="0022749F" w:rsidRPr="00BC76AB">
        <w:rPr>
          <w:lang w:val="en-US"/>
        </w:rPr>
        <w:t>case of 16 us preceding gap, UE may transmit PUCCH within th</w:t>
      </w:r>
      <w:r w:rsidR="0022749F" w:rsidRPr="00C958A9">
        <w:rPr>
          <w:lang w:val="en-US"/>
        </w:rPr>
        <w:t>e shared COT without performing LBT procedure.</w:t>
      </w:r>
      <w:r w:rsidR="0022749F" w:rsidRPr="00914B03">
        <w:rPr>
          <w:lang w:val="en-US"/>
        </w:rPr>
        <w:t xml:space="preserve"> On other hand, </w:t>
      </w:r>
      <w:r w:rsidR="0022749F" w:rsidRPr="00777667">
        <w:rPr>
          <w:lang w:val="en-US"/>
        </w:rPr>
        <w:t xml:space="preserve">at least </w:t>
      </w:r>
      <w:r w:rsidRPr="00777667">
        <w:rPr>
          <w:lang w:val="en-US"/>
        </w:rPr>
        <w:t>Cat4 LBT procedure should be supported for PUCCH</w:t>
      </w:r>
      <w:r w:rsidR="0022749F" w:rsidRPr="006B54C1">
        <w:rPr>
          <w:lang w:val="en-US"/>
        </w:rPr>
        <w:t xml:space="preserve"> transmissions outside shared COT.</w:t>
      </w:r>
      <w:r w:rsidRPr="0022749F">
        <w:rPr>
          <w:lang w:val="en-US"/>
        </w:rPr>
        <w:t xml:space="preserve"> </w:t>
      </w:r>
    </w:p>
    <w:p w14:paraId="0D422851" w14:textId="13425A44" w:rsidR="000C3F65" w:rsidRPr="00777667" w:rsidRDefault="00E77254" w:rsidP="00427B26">
      <w:pPr>
        <w:jc w:val="both"/>
        <w:rPr>
          <w:b/>
          <w:i/>
          <w:lang w:val="en-US"/>
        </w:rPr>
      </w:pPr>
      <w:r w:rsidRPr="00BC76AB">
        <w:rPr>
          <w:b/>
          <w:i/>
          <w:lang w:val="en-US" w:eastAsia="x-none"/>
        </w:rPr>
        <w:lastRenderedPageBreak/>
        <w:t>Proposal</w:t>
      </w:r>
      <w:r w:rsidR="00427B26" w:rsidRPr="00BC76AB">
        <w:rPr>
          <w:b/>
          <w:i/>
          <w:lang w:val="en-US" w:eastAsia="x-none"/>
        </w:rPr>
        <w:t xml:space="preserve"> </w:t>
      </w:r>
      <w:r w:rsidR="00C56E55" w:rsidRPr="00BC76AB">
        <w:rPr>
          <w:b/>
          <w:i/>
          <w:lang w:val="en-US" w:eastAsia="x-none"/>
        </w:rPr>
        <w:t>10</w:t>
      </w:r>
      <w:r w:rsidRPr="00BC76AB">
        <w:rPr>
          <w:b/>
          <w:i/>
          <w:lang w:val="en-US" w:eastAsia="x-none"/>
        </w:rPr>
        <w:t xml:space="preserve">: </w:t>
      </w:r>
      <w:r w:rsidR="00CA1E92" w:rsidRPr="00BC76AB">
        <w:rPr>
          <w:b/>
          <w:i/>
          <w:lang w:val="en-US"/>
        </w:rPr>
        <w:t>N</w:t>
      </w:r>
      <w:r w:rsidR="000C3F65" w:rsidRPr="00BC76AB">
        <w:rPr>
          <w:b/>
          <w:i/>
          <w:lang w:val="en-US"/>
        </w:rPr>
        <w:t xml:space="preserve">o LBT </w:t>
      </w:r>
      <w:r w:rsidR="000C3F65" w:rsidRPr="00C958A9">
        <w:rPr>
          <w:b/>
          <w:i/>
          <w:lang w:val="en-US"/>
        </w:rPr>
        <w:t>and</w:t>
      </w:r>
      <w:r w:rsidRPr="00C958A9">
        <w:rPr>
          <w:b/>
          <w:i/>
          <w:lang w:val="en-US"/>
        </w:rPr>
        <w:t xml:space="preserve"> Cat2 LBT</w:t>
      </w:r>
      <w:r w:rsidR="000C3F65" w:rsidRPr="00C958A9">
        <w:rPr>
          <w:b/>
          <w:i/>
          <w:lang w:val="en-US"/>
        </w:rPr>
        <w:t xml:space="preserve"> </w:t>
      </w:r>
      <w:r w:rsidR="0022749F" w:rsidRPr="00C958A9">
        <w:rPr>
          <w:b/>
          <w:i/>
          <w:lang w:val="en-US"/>
        </w:rPr>
        <w:t>procedure</w:t>
      </w:r>
      <w:r w:rsidR="000C3F65" w:rsidRPr="00914B03">
        <w:rPr>
          <w:b/>
          <w:i/>
          <w:lang w:val="en-US"/>
        </w:rPr>
        <w:t xml:space="preserve"> are supported for HARQ feedback on PUCCH</w:t>
      </w:r>
      <w:r w:rsidRPr="00914B03">
        <w:rPr>
          <w:b/>
          <w:i/>
          <w:lang w:val="en-US"/>
        </w:rPr>
        <w:t xml:space="preserve"> </w:t>
      </w:r>
      <w:r w:rsidR="000C3F65" w:rsidRPr="00777667">
        <w:rPr>
          <w:b/>
          <w:i/>
          <w:lang w:val="en-US"/>
        </w:rPr>
        <w:t>within shared COT.</w:t>
      </w:r>
    </w:p>
    <w:p w14:paraId="00154109" w14:textId="38FBE225" w:rsidR="00E77254" w:rsidRPr="00427B26" w:rsidRDefault="000C3F65" w:rsidP="00E77254">
      <w:pPr>
        <w:spacing w:after="240"/>
        <w:jc w:val="both"/>
        <w:rPr>
          <w:b/>
          <w:i/>
          <w:lang w:val="en-US"/>
        </w:rPr>
      </w:pPr>
      <w:r w:rsidRPr="00777667">
        <w:rPr>
          <w:b/>
          <w:i/>
          <w:lang w:val="en-US" w:eastAsia="x-none"/>
        </w:rPr>
        <w:t>Proposal</w:t>
      </w:r>
      <w:r w:rsidR="00C56E55" w:rsidRPr="00777667">
        <w:rPr>
          <w:b/>
          <w:i/>
          <w:lang w:val="en-US" w:eastAsia="x-none"/>
        </w:rPr>
        <w:t xml:space="preserve"> 11</w:t>
      </w:r>
      <w:r w:rsidRPr="00777667">
        <w:rPr>
          <w:b/>
          <w:i/>
          <w:lang w:val="en-US" w:eastAsia="x-none"/>
        </w:rPr>
        <w:t xml:space="preserve">: </w:t>
      </w:r>
      <w:r w:rsidRPr="00777667">
        <w:rPr>
          <w:b/>
          <w:i/>
          <w:lang w:val="en-US"/>
        </w:rPr>
        <w:t>Cat4 LBT procedure is supported for HARQ feedback on PUCCH outside shared COT</w:t>
      </w:r>
      <w:r w:rsidR="00F86E13" w:rsidRPr="00777667">
        <w:rPr>
          <w:b/>
          <w:i/>
          <w:lang w:val="en-US"/>
        </w:rPr>
        <w:t>.</w:t>
      </w:r>
    </w:p>
    <w:p w14:paraId="0D827FAF" w14:textId="45DAEBAB" w:rsidR="0034111C" w:rsidRPr="00A53A2F" w:rsidRDefault="0099103B">
      <w:pPr>
        <w:pStyle w:val="Heading1"/>
        <w:rPr>
          <w:color w:val="000000"/>
        </w:rPr>
      </w:pPr>
      <w:r>
        <w:rPr>
          <w:color w:val="000000"/>
        </w:rPr>
        <w:t>4</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5BE8B11F" w:rsidR="00535AF7" w:rsidRDefault="003D3FBA" w:rsidP="00BD520C">
      <w:pPr>
        <w:jc w:val="both"/>
        <w:rPr>
          <w:bCs/>
        </w:rPr>
      </w:pPr>
      <w:r w:rsidRPr="00A53A2F">
        <w:t>In this contribution</w:t>
      </w:r>
      <w:r w:rsidR="009251C8" w:rsidRPr="00A53A2F">
        <w:t>,</w:t>
      </w:r>
      <w:r w:rsidRPr="00A53A2F">
        <w:t xml:space="preserve"> we discussed </w:t>
      </w:r>
      <w:r w:rsidR="005B5685" w:rsidRPr="00A53A2F">
        <w:rPr>
          <w:rFonts w:eastAsia="Times New Roman"/>
          <w:szCs w:val="24"/>
          <w:lang w:val="en-US" w:eastAsia="fi-FI"/>
        </w:rPr>
        <w:t xml:space="preserve">potential changes and enhancements needed for </w:t>
      </w:r>
      <w:r w:rsidR="005B1A50">
        <w:rPr>
          <w:rFonts w:eastAsia="Times New Roman"/>
          <w:szCs w:val="24"/>
          <w:lang w:val="en-US" w:eastAsia="fi-FI"/>
        </w:rPr>
        <w:t xml:space="preserve">HARQ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0DEAA482" w14:textId="77777777" w:rsidR="007D0821" w:rsidRPr="007D0821" w:rsidRDefault="007D0821" w:rsidP="007D0821">
      <w:pPr>
        <w:spacing w:after="120"/>
        <w:jc w:val="both"/>
        <w:rPr>
          <w:b/>
          <w:u w:val="single"/>
          <w:lang w:val="en-US" w:eastAsia="x-none"/>
        </w:rPr>
      </w:pPr>
      <w:r w:rsidRPr="007D0821">
        <w:rPr>
          <w:b/>
          <w:u w:val="single"/>
          <w:lang w:val="en-US" w:eastAsia="x-none"/>
        </w:rPr>
        <w:t>UL scheduling</w:t>
      </w:r>
    </w:p>
    <w:p w14:paraId="7DB5BCEE" w14:textId="3050F400" w:rsidR="007D0821" w:rsidRPr="006B54C1" w:rsidRDefault="007D0821" w:rsidP="006B54C1">
      <w:pPr>
        <w:spacing w:after="120"/>
        <w:jc w:val="both"/>
        <w:rPr>
          <w:b/>
          <w:bCs/>
          <w:i/>
          <w:iCs/>
          <w:lang w:val="en-US" w:eastAsia="x-none"/>
        </w:rPr>
      </w:pPr>
      <w:r>
        <w:rPr>
          <w:b/>
          <w:bCs/>
          <w:i/>
          <w:iCs/>
          <w:lang w:val="en-US" w:eastAsia="x-none"/>
        </w:rPr>
        <w:t>Proposal 1: Further enhancement shall be addressed in NR-U SI for support of BWP and flexible starting points with acceptable number of HARQ processes in the case of multi-slot PUSCH scheduling.</w:t>
      </w:r>
    </w:p>
    <w:p w14:paraId="401DEF05" w14:textId="1599601A" w:rsidR="007D0821" w:rsidRPr="006B54C1" w:rsidRDefault="007D0821" w:rsidP="007D0821">
      <w:pPr>
        <w:widowControl w:val="0"/>
        <w:overflowPunct/>
        <w:autoSpaceDE/>
        <w:autoSpaceDN/>
        <w:adjustRightInd/>
        <w:spacing w:after="120"/>
        <w:jc w:val="both"/>
        <w:textAlignment w:val="auto"/>
        <w:rPr>
          <w:b/>
          <w:i/>
          <w:lang w:val="en-US" w:eastAsia="x-none"/>
        </w:rPr>
      </w:pPr>
      <w:r>
        <w:rPr>
          <w:b/>
          <w:i/>
          <w:lang w:val="en-US" w:eastAsia="x-none"/>
        </w:rPr>
        <w:t>Proposal 2</w:t>
      </w:r>
      <w:r w:rsidRPr="00953AB0">
        <w:rPr>
          <w:b/>
          <w:i/>
          <w:lang w:val="en-US" w:eastAsia="x-none"/>
        </w:rPr>
        <w:t>:</w:t>
      </w:r>
      <w:r>
        <w:rPr>
          <w:b/>
          <w:i/>
          <w:lang w:val="en-US" w:eastAsia="x-none"/>
        </w:rPr>
        <w:t xml:space="preserve"> </w:t>
      </w:r>
      <w:r w:rsidRPr="006B54C1">
        <w:rPr>
          <w:b/>
          <w:i/>
          <w:lang w:val="en-US" w:eastAsia="x-none"/>
        </w:rPr>
        <w:t>NR-U PUSCH multi-slot scheduling supports cross-numerology scheduling based on Rel-16 mechanism.</w:t>
      </w:r>
    </w:p>
    <w:p w14:paraId="576776B2" w14:textId="77777777" w:rsidR="007D0821" w:rsidRPr="006B54C1" w:rsidRDefault="007D0821" w:rsidP="007D0821">
      <w:pPr>
        <w:widowControl w:val="0"/>
        <w:overflowPunct/>
        <w:autoSpaceDE/>
        <w:autoSpaceDN/>
        <w:adjustRightInd/>
        <w:spacing w:after="24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Benefits from cross-carrier HARQ retransmissions should be carefully assessed against HARQ retransmissions on BWP covering multiple sub-bands of 20 MHz. </w:t>
      </w:r>
    </w:p>
    <w:p w14:paraId="37416960" w14:textId="77777777" w:rsidR="007D0821" w:rsidRPr="007D0821" w:rsidRDefault="007D0821" w:rsidP="007D0821">
      <w:pPr>
        <w:spacing w:before="120" w:after="120"/>
        <w:jc w:val="both"/>
        <w:rPr>
          <w:b/>
          <w:u w:val="single"/>
          <w:lang w:val="en-US" w:eastAsia="x-none"/>
        </w:rPr>
      </w:pPr>
      <w:r w:rsidRPr="007D0821">
        <w:rPr>
          <w:b/>
          <w:u w:val="single"/>
          <w:lang w:val="en-US" w:eastAsia="x-none"/>
        </w:rPr>
        <w:t>HARQ feedback for self-contained COT</w:t>
      </w:r>
    </w:p>
    <w:p w14:paraId="63745221" w14:textId="38087AF2" w:rsidR="007D0821" w:rsidRPr="0003692A" w:rsidRDefault="007D0821" w:rsidP="007D0821">
      <w:pPr>
        <w:keepNext/>
        <w:spacing w:after="120"/>
        <w:jc w:val="both"/>
        <w:rPr>
          <w:b/>
          <w:lang w:val="en-US"/>
        </w:rPr>
      </w:pPr>
      <w:r>
        <w:rPr>
          <w:b/>
          <w:i/>
          <w:lang w:val="en-US" w:eastAsia="x-none"/>
        </w:rPr>
        <w:t>Observation 2</w:t>
      </w:r>
      <w:r w:rsidRPr="0003692A">
        <w:rPr>
          <w:b/>
          <w:i/>
          <w:lang w:val="en-US" w:eastAsia="x-none"/>
        </w:rPr>
        <w:t>: In self-contained COT operation, the gap between DL and UL transmissions can be minimized by transmitting a short UL transmission of PUSCH, CSI reporting or even SRS before the HARQ feedback PUCCH.</w:t>
      </w:r>
    </w:p>
    <w:p w14:paraId="007F960E" w14:textId="386163EA" w:rsidR="007D0821" w:rsidRPr="0003692A" w:rsidRDefault="007D0821" w:rsidP="007D0821">
      <w:pPr>
        <w:keepNext/>
        <w:spacing w:after="240"/>
        <w:jc w:val="both"/>
        <w:rPr>
          <w:b/>
          <w:i/>
          <w:lang w:val="en-US" w:eastAsia="x-none"/>
        </w:rPr>
      </w:pPr>
      <w:r w:rsidRPr="0003692A">
        <w:rPr>
          <w:b/>
          <w:i/>
          <w:lang w:val="en-US" w:eastAsia="x-none"/>
        </w:rPr>
        <w:t xml:space="preserve">Proposal </w:t>
      </w:r>
      <w:r>
        <w:rPr>
          <w:b/>
          <w:i/>
          <w:lang w:val="en-US" w:eastAsia="x-none"/>
        </w:rPr>
        <w:t>3</w:t>
      </w:r>
      <w:r w:rsidRPr="0003692A">
        <w:rPr>
          <w:b/>
          <w:i/>
          <w:lang w:val="en-US" w:eastAsia="x-none"/>
        </w:rPr>
        <w:t xml:space="preserve">: In self-contained COT operation, DL assignment can trigger a pre-configured UL transmission preceding the HARQ ACK transmission associated to the DL assignment.  </w:t>
      </w:r>
    </w:p>
    <w:p w14:paraId="39AC574D" w14:textId="77777777" w:rsidR="007D0821" w:rsidRPr="007D0821" w:rsidRDefault="007D0821" w:rsidP="007D0821">
      <w:pPr>
        <w:spacing w:after="120"/>
        <w:jc w:val="both"/>
        <w:rPr>
          <w:b/>
          <w:u w:val="single"/>
          <w:lang w:val="en-US" w:eastAsia="x-none"/>
        </w:rPr>
      </w:pPr>
      <w:r w:rsidRPr="007D0821">
        <w:rPr>
          <w:b/>
          <w:u w:val="single"/>
          <w:lang w:val="en-US" w:eastAsia="x-none"/>
        </w:rPr>
        <w:t>HARQ feedback across COTs</w:t>
      </w:r>
    </w:p>
    <w:p w14:paraId="239DF201" w14:textId="77777777" w:rsidR="007D0821" w:rsidRPr="00427B26" w:rsidRDefault="007D0821" w:rsidP="007D0821">
      <w:pPr>
        <w:spacing w:after="120"/>
        <w:jc w:val="both"/>
        <w:rPr>
          <w:b/>
          <w:lang w:val="en-US"/>
        </w:rPr>
      </w:pPr>
      <w:r w:rsidRPr="00427B26">
        <w:rPr>
          <w:b/>
          <w:i/>
          <w:lang w:val="en-US" w:eastAsia="x-none"/>
        </w:rPr>
        <w:t xml:space="preserve">Proposal </w:t>
      </w:r>
      <w:r>
        <w:rPr>
          <w:b/>
          <w:i/>
          <w:lang w:val="en-US" w:eastAsia="x-none"/>
        </w:rPr>
        <w:t>4</w:t>
      </w:r>
      <w:r w:rsidRPr="00427B26">
        <w:rPr>
          <w:b/>
          <w:i/>
          <w:lang w:val="en-US" w:eastAsia="x-none"/>
        </w:rPr>
        <w:t xml:space="preserve">: Rel-15 dynamic </w:t>
      </w:r>
      <w:r w:rsidRPr="00427B26">
        <w:rPr>
          <w:b/>
          <w:i/>
          <w:lang w:val="en-US"/>
        </w:rPr>
        <w:t>HARQ-ACK codebook is used as a design starting point for the HARQ-ACK feedback both within a shared COT and between separate shared COTs.</w:t>
      </w:r>
      <w:r w:rsidRPr="00427B26">
        <w:rPr>
          <w:b/>
          <w:lang w:val="en-US"/>
        </w:rPr>
        <w:t xml:space="preserve"> </w:t>
      </w:r>
    </w:p>
    <w:p w14:paraId="7D59C4CF" w14:textId="77777777" w:rsidR="007D0821" w:rsidRPr="00427B26" w:rsidRDefault="007D0821" w:rsidP="007D0821">
      <w:pPr>
        <w:spacing w:after="120"/>
        <w:jc w:val="both"/>
        <w:rPr>
          <w:b/>
          <w:lang w:val="en-US"/>
        </w:rPr>
      </w:pPr>
      <w:r>
        <w:rPr>
          <w:b/>
          <w:i/>
          <w:lang w:val="en-US" w:eastAsia="x-none"/>
        </w:rPr>
        <w:t>Proposal 5</w:t>
      </w:r>
      <w:r w:rsidRPr="00427B26">
        <w:rPr>
          <w:b/>
          <w:i/>
          <w:lang w:val="en-US" w:eastAsia="x-none"/>
        </w:rPr>
        <w:t xml:space="preserve">: HARQ feedback timing indication </w:t>
      </w:r>
      <w:r>
        <w:rPr>
          <w:b/>
          <w:i/>
          <w:lang w:val="en-US" w:eastAsia="x-none"/>
        </w:rPr>
        <w:t>is</w:t>
      </w:r>
      <w:r w:rsidRPr="00427B26">
        <w:rPr>
          <w:b/>
          <w:i/>
          <w:lang w:val="en-US" w:eastAsia="x-none"/>
        </w:rPr>
        <w:t xml:space="preserve"> enhanced to support dynamic codebook determination across COTs.</w:t>
      </w:r>
      <w:r w:rsidRPr="00427B26">
        <w:rPr>
          <w:b/>
          <w:lang w:val="en-US"/>
        </w:rPr>
        <w:t xml:space="preserve"> </w:t>
      </w:r>
    </w:p>
    <w:p w14:paraId="77E03F18" w14:textId="77777777" w:rsidR="007D0821" w:rsidRPr="0003674A" w:rsidRDefault="007D0821" w:rsidP="007D0821">
      <w:pPr>
        <w:spacing w:after="240"/>
        <w:jc w:val="both"/>
        <w:rPr>
          <w:i/>
          <w:lang w:val="en-US"/>
        </w:rPr>
      </w:pPr>
      <w:r w:rsidRPr="00427B26">
        <w:rPr>
          <w:b/>
          <w:i/>
          <w:lang w:val="en-US" w:eastAsia="x-none"/>
        </w:rPr>
        <w:t xml:space="preserve">Proposal </w:t>
      </w:r>
      <w:r>
        <w:rPr>
          <w:b/>
          <w:i/>
          <w:lang w:val="en-US" w:eastAsia="x-none"/>
        </w:rPr>
        <w:t>6</w:t>
      </w:r>
      <w:r w:rsidRPr="00427B26">
        <w:rPr>
          <w:b/>
          <w:i/>
          <w:lang w:val="en-US" w:eastAsia="x-none"/>
        </w:rPr>
        <w:t>: Mechanism of early retransmission without waiting for HARQ feedback transmission on the separate COT shall be studied</w:t>
      </w:r>
      <w:r w:rsidRPr="002E4D7C">
        <w:rPr>
          <w:i/>
          <w:lang w:val="en-US"/>
        </w:rPr>
        <w:t>.</w:t>
      </w:r>
    </w:p>
    <w:p w14:paraId="70E16C55" w14:textId="77777777" w:rsidR="007D0821" w:rsidRPr="007D0821" w:rsidRDefault="007D0821" w:rsidP="007D0821">
      <w:pPr>
        <w:spacing w:after="120"/>
        <w:jc w:val="both"/>
        <w:rPr>
          <w:b/>
          <w:u w:val="single"/>
          <w:lang w:val="en-US" w:eastAsia="x-none"/>
        </w:rPr>
      </w:pPr>
      <w:r w:rsidRPr="007D0821">
        <w:rPr>
          <w:b/>
          <w:u w:val="single"/>
          <w:lang w:val="en-US" w:eastAsia="x-none"/>
        </w:rPr>
        <w:t>Multiple HARQ feedback opportunities</w:t>
      </w:r>
    </w:p>
    <w:p w14:paraId="5CD9149D" w14:textId="1B445149" w:rsidR="003042F5" w:rsidRPr="00427B26" w:rsidRDefault="003042F5" w:rsidP="003042F5">
      <w:pPr>
        <w:jc w:val="both"/>
        <w:rPr>
          <w:b/>
          <w:i/>
          <w:lang w:val="en-US" w:eastAsia="x-none"/>
        </w:rPr>
      </w:pPr>
      <w:r w:rsidRPr="00427B26">
        <w:rPr>
          <w:b/>
          <w:i/>
          <w:lang w:val="en-US" w:eastAsia="x-none"/>
        </w:rPr>
        <w:t xml:space="preserve">Proposal </w:t>
      </w:r>
      <w:r>
        <w:rPr>
          <w:b/>
          <w:i/>
          <w:lang w:val="en-US" w:eastAsia="x-none"/>
        </w:rPr>
        <w:t>7</w:t>
      </w:r>
      <w:r w:rsidRPr="00427B26">
        <w:rPr>
          <w:b/>
          <w:i/>
          <w:lang w:val="en-US" w:eastAsia="x-none"/>
        </w:rPr>
        <w:t xml:space="preserve">: Support </w:t>
      </w:r>
      <w:r w:rsidRPr="00427B26">
        <w:rPr>
          <w:b/>
          <w:i/>
          <w:lang w:val="en-US"/>
        </w:rPr>
        <w:t xml:space="preserve">both a </w:t>
      </w:r>
      <w:r w:rsidR="00000E02">
        <w:rPr>
          <w:b/>
          <w:i/>
          <w:lang w:val="en-US"/>
        </w:rPr>
        <w:t xml:space="preserve">HARQ feedback </w:t>
      </w:r>
      <w:r w:rsidRPr="00427B26">
        <w:rPr>
          <w:b/>
          <w:i/>
          <w:lang w:val="en-US"/>
        </w:rPr>
        <w:t>mechanism providing multiple HARQ-ACK transmission opportunities</w:t>
      </w:r>
      <w:r>
        <w:rPr>
          <w:b/>
          <w:i/>
          <w:lang w:val="en-US"/>
        </w:rPr>
        <w:t xml:space="preserve"> by PDSCH scheduling DCI</w:t>
      </w:r>
      <w:r w:rsidRPr="00427B26">
        <w:rPr>
          <w:b/>
          <w:i/>
          <w:lang w:val="en-US"/>
        </w:rPr>
        <w:t xml:space="preserve"> as well as a mechanis</w:t>
      </w:r>
      <w:r>
        <w:rPr>
          <w:b/>
          <w:i/>
          <w:lang w:val="en-US"/>
        </w:rPr>
        <w:t>m for explicitly pulled</w:t>
      </w:r>
      <w:r w:rsidRPr="00427B26">
        <w:rPr>
          <w:b/>
          <w:i/>
          <w:lang w:val="en-US"/>
        </w:rPr>
        <w:t xml:space="preserve"> HARQ </w:t>
      </w:r>
      <w:r>
        <w:rPr>
          <w:b/>
          <w:i/>
          <w:lang w:val="en-US"/>
        </w:rPr>
        <w:t>f</w:t>
      </w:r>
      <w:r w:rsidRPr="00427B26">
        <w:rPr>
          <w:b/>
          <w:i/>
          <w:lang w:val="en-US"/>
        </w:rPr>
        <w:t>eedbac</w:t>
      </w:r>
      <w:r>
        <w:rPr>
          <w:b/>
          <w:i/>
          <w:lang w:val="en-US"/>
        </w:rPr>
        <w:t>k</w:t>
      </w:r>
      <w:r w:rsidRPr="00427B26">
        <w:rPr>
          <w:b/>
          <w:i/>
          <w:lang w:val="en-US"/>
        </w:rPr>
        <w:t xml:space="preserve"> by a separate DCI.</w:t>
      </w:r>
    </w:p>
    <w:p w14:paraId="0EF8C4F2" w14:textId="77777777" w:rsidR="003042F5" w:rsidRPr="00427B26" w:rsidRDefault="003042F5" w:rsidP="003042F5">
      <w:pPr>
        <w:jc w:val="both"/>
        <w:rPr>
          <w:b/>
          <w:i/>
          <w:lang w:val="en-US"/>
        </w:rPr>
      </w:pPr>
      <w:r w:rsidRPr="00427B26">
        <w:rPr>
          <w:b/>
          <w:i/>
          <w:lang w:val="en-US" w:eastAsia="x-none"/>
        </w:rPr>
        <w:t xml:space="preserve">Proposal </w:t>
      </w:r>
      <w:r>
        <w:rPr>
          <w:b/>
          <w:i/>
          <w:lang w:val="en-US" w:eastAsia="x-none"/>
        </w:rPr>
        <w:t>8</w:t>
      </w:r>
      <w:r w:rsidRPr="00427B26">
        <w:rPr>
          <w:b/>
          <w:i/>
          <w:lang w:val="en-US" w:eastAsia="x-none"/>
        </w:rPr>
        <w:t xml:space="preserve">: </w:t>
      </w:r>
      <w:r w:rsidRPr="00427B26">
        <w:rPr>
          <w:b/>
          <w:i/>
          <w:lang w:val="en-US"/>
        </w:rPr>
        <w:t xml:space="preserve">HARQ-ACK codebook </w:t>
      </w:r>
      <w:r>
        <w:rPr>
          <w:b/>
          <w:i/>
          <w:lang w:val="en-US"/>
        </w:rPr>
        <w:t>covering</w:t>
      </w:r>
      <w:r w:rsidRPr="00427B26">
        <w:rPr>
          <w:b/>
          <w:i/>
          <w:lang w:val="en-US"/>
        </w:rPr>
        <w:t xml:space="preserve"> </w:t>
      </w:r>
      <w:r>
        <w:rPr>
          <w:b/>
          <w:i/>
          <w:lang w:val="en-US"/>
        </w:rPr>
        <w:t xml:space="preserve">all </w:t>
      </w:r>
      <w:r w:rsidRPr="00427B26">
        <w:rPr>
          <w:b/>
          <w:i/>
          <w:lang w:val="en-US"/>
        </w:rPr>
        <w:t>HARQ process</w:t>
      </w:r>
      <w:r>
        <w:rPr>
          <w:b/>
          <w:i/>
          <w:lang w:val="en-US"/>
        </w:rPr>
        <w:t>es</w:t>
      </w:r>
      <w:r w:rsidRPr="00427B26">
        <w:rPr>
          <w:b/>
          <w:i/>
          <w:lang w:val="en-US"/>
        </w:rPr>
        <w:t xml:space="preserve"> is used as a starting point for </w:t>
      </w:r>
      <w:r>
        <w:rPr>
          <w:b/>
          <w:i/>
          <w:lang w:val="en-US"/>
        </w:rPr>
        <w:t xml:space="preserve">explicitly </w:t>
      </w:r>
      <w:r w:rsidRPr="00427B26">
        <w:rPr>
          <w:b/>
          <w:i/>
          <w:lang w:val="en-US"/>
        </w:rPr>
        <w:t xml:space="preserve">pulled HARQ-ACK feedback design, but also other codebook determination mechanism suitable for </w:t>
      </w:r>
      <w:r>
        <w:rPr>
          <w:b/>
          <w:i/>
          <w:lang w:val="en-US"/>
        </w:rPr>
        <w:t xml:space="preserve">explicit </w:t>
      </w:r>
      <w:r w:rsidRPr="00427B26">
        <w:rPr>
          <w:b/>
          <w:i/>
          <w:lang w:val="en-US"/>
        </w:rPr>
        <w:t>HARQ feedback pulling are investigated.</w:t>
      </w:r>
    </w:p>
    <w:p w14:paraId="78A83FB1" w14:textId="77777777" w:rsidR="003042F5" w:rsidRPr="007F145D" w:rsidRDefault="003042F5" w:rsidP="003042F5">
      <w:pPr>
        <w:spacing w:after="240"/>
        <w:jc w:val="both"/>
        <w:rPr>
          <w:b/>
          <w:i/>
        </w:rPr>
      </w:pPr>
      <w:r w:rsidRPr="00427B26">
        <w:rPr>
          <w:b/>
          <w:i/>
        </w:rPr>
        <w:t>Proposal</w:t>
      </w:r>
      <w:r>
        <w:rPr>
          <w:b/>
          <w:i/>
        </w:rPr>
        <w:t xml:space="preserve"> 9</w:t>
      </w:r>
      <w:r w:rsidRPr="00427B26">
        <w:rPr>
          <w:b/>
          <w:i/>
        </w:rPr>
        <w:t xml:space="preserve">: HARQ </w:t>
      </w:r>
      <w:r>
        <w:rPr>
          <w:b/>
          <w:i/>
        </w:rPr>
        <w:t>feedback</w:t>
      </w:r>
      <w:r w:rsidRPr="00427B26">
        <w:rPr>
          <w:b/>
          <w:i/>
        </w:rPr>
        <w:t xml:space="preserve"> grouping</w:t>
      </w:r>
      <w:r>
        <w:rPr>
          <w:b/>
          <w:i/>
        </w:rPr>
        <w:t xml:space="preserve"> by group ID in PDSCH scheduling DCI</w:t>
      </w:r>
      <w:r w:rsidRPr="00427B26">
        <w:rPr>
          <w:b/>
          <w:i/>
        </w:rPr>
        <w:t xml:space="preserve"> is studied as an efficient way to reduce and control the size of</w:t>
      </w:r>
      <w:r>
        <w:rPr>
          <w:b/>
          <w:i/>
        </w:rPr>
        <w:t xml:space="preserve"> HARQ feedback with reasonable DCI overhead</w:t>
      </w:r>
      <w:r w:rsidRPr="00427B26">
        <w:rPr>
          <w:b/>
          <w:i/>
        </w:rPr>
        <w:t xml:space="preserve">. </w:t>
      </w:r>
    </w:p>
    <w:p w14:paraId="23AA2BB7" w14:textId="77777777" w:rsidR="007D0821" w:rsidRPr="007D0821" w:rsidRDefault="007D0821" w:rsidP="007D0821">
      <w:pPr>
        <w:spacing w:after="120"/>
        <w:jc w:val="both"/>
        <w:rPr>
          <w:b/>
          <w:u w:val="single"/>
          <w:lang w:val="en-US" w:eastAsia="x-none"/>
        </w:rPr>
      </w:pPr>
      <w:r w:rsidRPr="007D0821">
        <w:rPr>
          <w:b/>
          <w:u w:val="single"/>
          <w:lang w:val="en-US" w:eastAsia="x-none"/>
        </w:rPr>
        <w:t>LBT for HARQ feedback</w:t>
      </w:r>
    </w:p>
    <w:p w14:paraId="525BC985" w14:textId="7AE1BBC6" w:rsidR="007D0821" w:rsidRPr="00427B26" w:rsidRDefault="007D0821" w:rsidP="007D0821">
      <w:pPr>
        <w:spacing w:after="120"/>
        <w:jc w:val="both"/>
        <w:rPr>
          <w:b/>
          <w:i/>
          <w:lang w:val="en-US"/>
        </w:rPr>
      </w:pPr>
      <w:r w:rsidRPr="00427B26">
        <w:rPr>
          <w:b/>
          <w:i/>
          <w:lang w:val="en-US" w:eastAsia="x-none"/>
        </w:rPr>
        <w:t xml:space="preserve">Proposal </w:t>
      </w:r>
      <w:r>
        <w:rPr>
          <w:b/>
          <w:i/>
          <w:lang w:val="en-US" w:eastAsia="x-none"/>
        </w:rPr>
        <w:t>10</w:t>
      </w:r>
      <w:r w:rsidRPr="00427B26">
        <w:rPr>
          <w:b/>
          <w:i/>
          <w:lang w:val="en-US" w:eastAsia="x-none"/>
        </w:rPr>
        <w:t xml:space="preserve">: </w:t>
      </w:r>
      <w:r w:rsidRPr="00427B26">
        <w:rPr>
          <w:b/>
          <w:i/>
          <w:lang w:val="en-US"/>
        </w:rPr>
        <w:t>No LBT and Cat2 LBT procedu</w:t>
      </w:r>
      <w:r w:rsidR="0022749F">
        <w:rPr>
          <w:b/>
          <w:i/>
          <w:lang w:val="en-US"/>
        </w:rPr>
        <w:t>re</w:t>
      </w:r>
      <w:r w:rsidRPr="00427B26">
        <w:rPr>
          <w:b/>
          <w:i/>
          <w:lang w:val="en-US"/>
        </w:rPr>
        <w:t xml:space="preserve"> are supported for HARQ feedback on PUCCH within shared COT.</w:t>
      </w:r>
    </w:p>
    <w:p w14:paraId="08DFD492" w14:textId="0A20E783" w:rsidR="007D0821" w:rsidRPr="006B54C1" w:rsidRDefault="007D0821" w:rsidP="006B54C1">
      <w:pPr>
        <w:spacing w:after="120"/>
        <w:jc w:val="both"/>
        <w:rPr>
          <w:b/>
          <w:i/>
          <w:lang w:val="en-US"/>
        </w:rPr>
      </w:pPr>
      <w:r w:rsidRPr="00427B26">
        <w:rPr>
          <w:b/>
          <w:i/>
          <w:lang w:val="en-US" w:eastAsia="x-none"/>
        </w:rPr>
        <w:t>Proposal 1</w:t>
      </w:r>
      <w:r>
        <w:rPr>
          <w:b/>
          <w:i/>
          <w:lang w:val="en-US" w:eastAsia="x-none"/>
        </w:rPr>
        <w:t>1</w:t>
      </w:r>
      <w:r w:rsidRPr="00427B26">
        <w:rPr>
          <w:b/>
          <w:i/>
          <w:lang w:val="en-US" w:eastAsia="x-none"/>
        </w:rPr>
        <w:t xml:space="preserve">: </w:t>
      </w:r>
      <w:r w:rsidR="001B3D68">
        <w:rPr>
          <w:b/>
          <w:i/>
          <w:lang w:val="en-US" w:eastAsia="x-none"/>
        </w:rPr>
        <w:t>C</w:t>
      </w:r>
      <w:r w:rsidRPr="00427B26">
        <w:rPr>
          <w:b/>
          <w:i/>
          <w:lang w:val="en-US"/>
        </w:rPr>
        <w:t>at4 LBT procedure is supported for HARQ feedback on PUCCH outside shared COT.</w:t>
      </w:r>
    </w:p>
    <w:p w14:paraId="2F0729C1" w14:textId="7E142268" w:rsidR="0034111C" w:rsidRPr="00A51522" w:rsidRDefault="0034111C">
      <w:pPr>
        <w:pStyle w:val="Heading1"/>
      </w:pPr>
      <w:r w:rsidRPr="00A53A2F">
        <w:t>References</w:t>
      </w:r>
      <w:r w:rsidR="00A2459D" w:rsidRPr="00A53A2F">
        <w:t xml:space="preserve"> </w:t>
      </w:r>
    </w:p>
    <w:p w14:paraId="40D99FF0" w14:textId="5584CAC4" w:rsidR="00055676" w:rsidRPr="001F14C7" w:rsidRDefault="1CEFF1BD" w:rsidP="005725E1">
      <w:pPr>
        <w:numPr>
          <w:ilvl w:val="0"/>
          <w:numId w:val="1"/>
        </w:numPr>
        <w:spacing w:after="120"/>
      </w:pPr>
      <w:r w:rsidRPr="001F14C7">
        <w:rPr>
          <w:lang w:eastAsia="zh-CN"/>
        </w:rPr>
        <w:t>RP-172021, “</w:t>
      </w:r>
      <w:r w:rsidRPr="001F14C7">
        <w:rPr>
          <w:i/>
          <w:iCs/>
          <w:lang w:eastAsia="zh-CN"/>
        </w:rPr>
        <w:t>New SID on NR-based Access to Unlicensed Spectrum</w:t>
      </w:r>
      <w:r w:rsidRPr="001F14C7">
        <w:rPr>
          <w:lang w:eastAsia="zh-CN"/>
        </w:rPr>
        <w:t>”, Qualcomm</w:t>
      </w:r>
    </w:p>
    <w:p w14:paraId="12E30482" w14:textId="7EE8889C" w:rsidR="000D47F3" w:rsidRPr="005725E1" w:rsidRDefault="00BD520C" w:rsidP="005725E1">
      <w:pPr>
        <w:numPr>
          <w:ilvl w:val="0"/>
          <w:numId w:val="1"/>
        </w:numPr>
        <w:overflowPunct/>
        <w:autoSpaceDE/>
        <w:autoSpaceDN/>
        <w:adjustRightInd/>
        <w:spacing w:after="120" w:line="257" w:lineRule="auto"/>
        <w:textAlignment w:val="auto"/>
        <w:rPr>
          <w:lang w:val="en-US"/>
        </w:rPr>
      </w:pPr>
      <w:r w:rsidRPr="004A1BE1">
        <w:t>RAN1 Chairman’s Notes, 3GPP TSG RAN WG1 Meeting #92bis</w:t>
      </w:r>
      <w:r w:rsidRPr="001F14C7">
        <w:t>, 3GPP</w:t>
      </w:r>
    </w:p>
    <w:p w14:paraId="39CDB432" w14:textId="7AA88568" w:rsidR="007E50DA" w:rsidRPr="006B54C1" w:rsidRDefault="007E50DA">
      <w:pPr>
        <w:numPr>
          <w:ilvl w:val="0"/>
          <w:numId w:val="1"/>
        </w:numPr>
        <w:overflowPunct/>
        <w:autoSpaceDE/>
        <w:autoSpaceDN/>
        <w:adjustRightInd/>
        <w:spacing w:after="160" w:line="256" w:lineRule="auto"/>
        <w:textAlignment w:val="auto"/>
        <w:rPr>
          <w:lang w:val="en-US"/>
        </w:rPr>
      </w:pPr>
      <w:r w:rsidRPr="004A1BE1">
        <w:t>RAN1 Chairman’s Notes,</w:t>
      </w:r>
      <w:r>
        <w:t xml:space="preserve"> 3GPP TSG RAN WG1 Meeting #93</w:t>
      </w:r>
      <w:r w:rsidRPr="001F14C7">
        <w:t>, 3GPP</w:t>
      </w:r>
    </w:p>
    <w:p w14:paraId="08F369FC" w14:textId="18C0FC41" w:rsidR="00790D86" w:rsidRPr="006B54C1" w:rsidRDefault="00790D86" w:rsidP="00790D86">
      <w:pPr>
        <w:numPr>
          <w:ilvl w:val="0"/>
          <w:numId w:val="1"/>
        </w:numPr>
        <w:overflowPunct/>
        <w:autoSpaceDE/>
        <w:autoSpaceDN/>
        <w:adjustRightInd/>
        <w:spacing w:after="160" w:line="256" w:lineRule="auto"/>
        <w:textAlignment w:val="auto"/>
        <w:rPr>
          <w:lang w:val="en-US"/>
        </w:rPr>
      </w:pPr>
      <w:r w:rsidRPr="004A1BE1">
        <w:t>RAN1 Chairman’s Notes,</w:t>
      </w:r>
      <w:r>
        <w:t xml:space="preserve"> 3GPP TSG RAN WG1 Meeting #94</w:t>
      </w:r>
      <w:r w:rsidRPr="001F14C7">
        <w:t>, 3GPP</w:t>
      </w:r>
    </w:p>
    <w:p w14:paraId="26314380" w14:textId="3E99FFA3" w:rsidR="008C44DC" w:rsidRPr="006B54C1" w:rsidRDefault="008C44DC" w:rsidP="008C44DC">
      <w:pPr>
        <w:numPr>
          <w:ilvl w:val="0"/>
          <w:numId w:val="1"/>
        </w:numPr>
        <w:overflowPunct/>
        <w:autoSpaceDE/>
        <w:autoSpaceDN/>
        <w:adjustRightInd/>
        <w:spacing w:after="160" w:line="256" w:lineRule="auto"/>
        <w:textAlignment w:val="auto"/>
        <w:rPr>
          <w:lang w:val="en-US"/>
        </w:rPr>
      </w:pPr>
      <w:r>
        <w:t>Draft RAN</w:t>
      </w:r>
      <w:r w:rsidRPr="004A1BE1">
        <w:t xml:space="preserve"> </w:t>
      </w:r>
      <w:r>
        <w:t xml:space="preserve">Meeting Report, 3GPP TSG RAN Meeting </w:t>
      </w:r>
      <w:r w:rsidR="00790D86">
        <w:t>#81</w:t>
      </w:r>
      <w:r w:rsidRPr="001F14C7">
        <w:t>, 3GPP</w:t>
      </w:r>
    </w:p>
    <w:p w14:paraId="2E12E6E9" w14:textId="29D93B35" w:rsidR="008C44DC" w:rsidRDefault="00790D86" w:rsidP="00C56E55">
      <w:pPr>
        <w:numPr>
          <w:ilvl w:val="0"/>
          <w:numId w:val="1"/>
        </w:numPr>
        <w:overflowPunct/>
        <w:autoSpaceDE/>
        <w:autoSpaceDN/>
        <w:adjustRightInd/>
        <w:spacing w:after="160" w:line="256" w:lineRule="auto"/>
        <w:textAlignment w:val="auto"/>
        <w:rPr>
          <w:lang w:val="en-US"/>
        </w:rPr>
      </w:pPr>
      <w:r>
        <w:rPr>
          <w:lang w:val="en-US"/>
        </w:rPr>
        <w:lastRenderedPageBreak/>
        <w:t>RP-182014, “</w:t>
      </w:r>
      <w:r w:rsidRPr="006B54C1">
        <w:rPr>
          <w:i/>
          <w:lang w:val="en-US"/>
        </w:rPr>
        <w:t>Way Forward for Cross-Carrier Scheduling with Different Numerologies</w:t>
      </w:r>
      <w:r>
        <w:rPr>
          <w:lang w:val="en-US"/>
        </w:rPr>
        <w:t>”, Nokia</w:t>
      </w:r>
    </w:p>
    <w:p w14:paraId="0DC1190E" w14:textId="0BC1C97B" w:rsidR="002B0CE0" w:rsidRPr="00C56E55" w:rsidRDefault="006B563E" w:rsidP="00C56E55">
      <w:pPr>
        <w:numPr>
          <w:ilvl w:val="0"/>
          <w:numId w:val="1"/>
        </w:numPr>
        <w:overflowPunct/>
        <w:autoSpaceDE/>
        <w:autoSpaceDN/>
        <w:adjustRightInd/>
        <w:spacing w:after="160" w:line="256" w:lineRule="auto"/>
        <w:textAlignment w:val="auto"/>
        <w:rPr>
          <w:lang w:val="en-US"/>
        </w:rPr>
      </w:pPr>
      <w:r>
        <w:rPr>
          <w:lang w:val="en-US"/>
        </w:rPr>
        <w:t>R1-1809921, “</w:t>
      </w:r>
      <w:r w:rsidRPr="006B54C1">
        <w:rPr>
          <w:i/>
          <w:lang w:val="en-US"/>
        </w:rPr>
        <w:t>Feature lead summary of HARQ enhancement in NR-U</w:t>
      </w:r>
      <w:r>
        <w:rPr>
          <w:lang w:val="en-US"/>
        </w:rPr>
        <w:t>”, Huawei, HiSilicon</w:t>
      </w:r>
      <w:bookmarkStart w:id="1" w:name="_GoBack"/>
      <w:bookmarkEnd w:id="1"/>
    </w:p>
    <w:sectPr w:rsidR="002B0CE0" w:rsidRPr="00C56E55"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5F1DB" w14:textId="77777777" w:rsidR="00D8347E" w:rsidRDefault="00D8347E">
      <w:r>
        <w:separator/>
      </w:r>
    </w:p>
  </w:endnote>
  <w:endnote w:type="continuationSeparator" w:id="0">
    <w:p w14:paraId="78F51CBD" w14:textId="77777777" w:rsidR="00D8347E" w:rsidRDefault="00D8347E">
      <w:r>
        <w:continuationSeparator/>
      </w:r>
    </w:p>
  </w:endnote>
  <w:endnote w:type="continuationNotice" w:id="1">
    <w:p w14:paraId="6BE94823" w14:textId="77777777" w:rsidR="00D8347E" w:rsidRDefault="00D83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E8AA5" w14:textId="77777777" w:rsidR="00D8347E" w:rsidRDefault="00D8347E">
      <w:r>
        <w:separator/>
      </w:r>
    </w:p>
  </w:footnote>
  <w:footnote w:type="continuationSeparator" w:id="0">
    <w:p w14:paraId="19E49487" w14:textId="77777777" w:rsidR="00D8347E" w:rsidRDefault="00D8347E">
      <w:r>
        <w:continuationSeparator/>
      </w:r>
    </w:p>
  </w:footnote>
  <w:footnote w:type="continuationNotice" w:id="1">
    <w:p w14:paraId="5FB0B5BD" w14:textId="77777777" w:rsidR="00D8347E" w:rsidRDefault="00D834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2"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1"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4"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4"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2"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23"/>
  </w:num>
  <w:num w:numId="4">
    <w:abstractNumId w:val="16"/>
  </w:num>
  <w:num w:numId="5">
    <w:abstractNumId w:val="17"/>
  </w:num>
  <w:num w:numId="6">
    <w:abstractNumId w:val="20"/>
  </w:num>
  <w:num w:numId="7">
    <w:abstractNumId w:val="13"/>
  </w:num>
  <w:num w:numId="8">
    <w:abstractNumId w:val="28"/>
  </w:num>
  <w:num w:numId="9">
    <w:abstractNumId w:val="45"/>
  </w:num>
  <w:num w:numId="10">
    <w:abstractNumId w:val="37"/>
  </w:num>
  <w:num w:numId="11">
    <w:abstractNumId w:val="48"/>
  </w:num>
  <w:num w:numId="12">
    <w:abstractNumId w:val="10"/>
  </w:num>
  <w:num w:numId="13">
    <w:abstractNumId w:val="26"/>
  </w:num>
  <w:num w:numId="14">
    <w:abstractNumId w:val="34"/>
  </w:num>
  <w:num w:numId="15">
    <w:abstractNumId w:val="14"/>
  </w:num>
  <w:num w:numId="16">
    <w:abstractNumId w:val="19"/>
  </w:num>
  <w:num w:numId="17">
    <w:abstractNumId w:val="32"/>
  </w:num>
  <w:num w:numId="18">
    <w:abstractNumId w:val="49"/>
  </w:num>
  <w:num w:numId="19">
    <w:abstractNumId w:val="0"/>
  </w:num>
  <w:num w:numId="20">
    <w:abstractNumId w:val="5"/>
  </w:num>
  <w:num w:numId="21">
    <w:abstractNumId w:val="1"/>
  </w:num>
  <w:num w:numId="22">
    <w:abstractNumId w:val="42"/>
  </w:num>
  <w:num w:numId="23">
    <w:abstractNumId w:val="36"/>
  </w:num>
  <w:num w:numId="24">
    <w:abstractNumId w:val="21"/>
  </w:num>
  <w:num w:numId="25">
    <w:abstractNumId w:val="51"/>
  </w:num>
  <w:num w:numId="26">
    <w:abstractNumId w:val="43"/>
  </w:num>
  <w:num w:numId="27">
    <w:abstractNumId w:val="3"/>
  </w:num>
  <w:num w:numId="28">
    <w:abstractNumId w:val="46"/>
  </w:num>
  <w:num w:numId="29">
    <w:abstractNumId w:val="15"/>
  </w:num>
  <w:num w:numId="30">
    <w:abstractNumId w:val="25"/>
  </w:num>
  <w:num w:numId="31">
    <w:abstractNumId w:val="39"/>
  </w:num>
  <w:num w:numId="32">
    <w:abstractNumId w:val="47"/>
  </w:num>
  <w:num w:numId="33">
    <w:abstractNumId w:val="18"/>
  </w:num>
  <w:num w:numId="34">
    <w:abstractNumId w:val="33"/>
  </w:num>
  <w:num w:numId="35">
    <w:abstractNumId w:val="7"/>
  </w:num>
  <w:num w:numId="36">
    <w:abstractNumId w:val="12"/>
  </w:num>
  <w:num w:numId="37">
    <w:abstractNumId w:val="2"/>
  </w:num>
  <w:num w:numId="38">
    <w:abstractNumId w:val="38"/>
  </w:num>
  <w:num w:numId="39">
    <w:abstractNumId w:val="29"/>
  </w:num>
  <w:num w:numId="40">
    <w:abstractNumId w:val="11"/>
  </w:num>
  <w:num w:numId="41">
    <w:abstractNumId w:val="9"/>
  </w:num>
  <w:num w:numId="42">
    <w:abstractNumId w:val="4"/>
  </w:num>
  <w:num w:numId="43">
    <w:abstractNumId w:val="40"/>
  </w:num>
  <w:num w:numId="44">
    <w:abstractNumId w:val="50"/>
  </w:num>
  <w:num w:numId="45">
    <w:abstractNumId w:val="35"/>
  </w:num>
  <w:num w:numId="46">
    <w:abstractNumId w:val="52"/>
  </w:num>
  <w:num w:numId="47">
    <w:abstractNumId w:val="6"/>
  </w:num>
  <w:num w:numId="48">
    <w:abstractNumId w:val="8"/>
  </w:num>
  <w:num w:numId="49">
    <w:abstractNumId w:val="41"/>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44"/>
  </w:num>
  <w:num w:numId="53">
    <w:abstractNumId w:val="30"/>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36209"/>
    <w:rsid w:val="0003674A"/>
    <w:rsid w:val="0003692A"/>
    <w:rsid w:val="0004121A"/>
    <w:rsid w:val="0004132D"/>
    <w:rsid w:val="00041358"/>
    <w:rsid w:val="0004383E"/>
    <w:rsid w:val="00044BAD"/>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9185A"/>
    <w:rsid w:val="00091A92"/>
    <w:rsid w:val="00093C49"/>
    <w:rsid w:val="00094050"/>
    <w:rsid w:val="00095A80"/>
    <w:rsid w:val="00096724"/>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82D"/>
    <w:rsid w:val="000C1D59"/>
    <w:rsid w:val="000C3B02"/>
    <w:rsid w:val="000C3F65"/>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35E"/>
    <w:rsid w:val="000D47F3"/>
    <w:rsid w:val="000D584F"/>
    <w:rsid w:val="000E071E"/>
    <w:rsid w:val="000E248B"/>
    <w:rsid w:val="000E26A0"/>
    <w:rsid w:val="000E27AA"/>
    <w:rsid w:val="000E337A"/>
    <w:rsid w:val="000E4350"/>
    <w:rsid w:val="000E4408"/>
    <w:rsid w:val="000E5716"/>
    <w:rsid w:val="000E62EF"/>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5D7"/>
    <w:rsid w:val="001036C8"/>
    <w:rsid w:val="00105DB7"/>
    <w:rsid w:val="001068D2"/>
    <w:rsid w:val="001103BD"/>
    <w:rsid w:val="00111208"/>
    <w:rsid w:val="00111808"/>
    <w:rsid w:val="0011339F"/>
    <w:rsid w:val="00114E96"/>
    <w:rsid w:val="00115828"/>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5400"/>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689"/>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9C9"/>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3D68"/>
    <w:rsid w:val="001B41ED"/>
    <w:rsid w:val="001B4607"/>
    <w:rsid w:val="001B480A"/>
    <w:rsid w:val="001B69CA"/>
    <w:rsid w:val="001B7E0C"/>
    <w:rsid w:val="001C0586"/>
    <w:rsid w:val="001C0674"/>
    <w:rsid w:val="001C0C87"/>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4C7"/>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0519"/>
    <w:rsid w:val="002112AB"/>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49F"/>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AD6"/>
    <w:rsid w:val="00252BBC"/>
    <w:rsid w:val="00252C17"/>
    <w:rsid w:val="0025307F"/>
    <w:rsid w:val="0025448E"/>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BD1"/>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58F3"/>
    <w:rsid w:val="002A607D"/>
    <w:rsid w:val="002B0878"/>
    <w:rsid w:val="002B0CE0"/>
    <w:rsid w:val="002B132E"/>
    <w:rsid w:val="002B257E"/>
    <w:rsid w:val="002B2813"/>
    <w:rsid w:val="002B2D29"/>
    <w:rsid w:val="002B5DA0"/>
    <w:rsid w:val="002C0C4B"/>
    <w:rsid w:val="002C1EEA"/>
    <w:rsid w:val="002C2600"/>
    <w:rsid w:val="002C47AD"/>
    <w:rsid w:val="002C6034"/>
    <w:rsid w:val="002C613E"/>
    <w:rsid w:val="002C635B"/>
    <w:rsid w:val="002C77C1"/>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B80"/>
    <w:rsid w:val="002F1CDB"/>
    <w:rsid w:val="002F22FF"/>
    <w:rsid w:val="002F2D8F"/>
    <w:rsid w:val="002F4172"/>
    <w:rsid w:val="002F695B"/>
    <w:rsid w:val="002F72DA"/>
    <w:rsid w:val="002F76B1"/>
    <w:rsid w:val="002F7CC8"/>
    <w:rsid w:val="002F7D66"/>
    <w:rsid w:val="002F7DBE"/>
    <w:rsid w:val="0030055E"/>
    <w:rsid w:val="0030090B"/>
    <w:rsid w:val="00300C1D"/>
    <w:rsid w:val="00302AE8"/>
    <w:rsid w:val="00302BB1"/>
    <w:rsid w:val="00303A23"/>
    <w:rsid w:val="00304210"/>
    <w:rsid w:val="003042F5"/>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AAB"/>
    <w:rsid w:val="003175E1"/>
    <w:rsid w:val="00317BD0"/>
    <w:rsid w:val="00320299"/>
    <w:rsid w:val="00321154"/>
    <w:rsid w:val="003211B0"/>
    <w:rsid w:val="003212D4"/>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022"/>
    <w:rsid w:val="00332B55"/>
    <w:rsid w:val="00332B85"/>
    <w:rsid w:val="00335EA8"/>
    <w:rsid w:val="003363DD"/>
    <w:rsid w:val="00336B9B"/>
    <w:rsid w:val="003376DA"/>
    <w:rsid w:val="00340361"/>
    <w:rsid w:val="00340795"/>
    <w:rsid w:val="0034111C"/>
    <w:rsid w:val="0034114A"/>
    <w:rsid w:val="00341CE4"/>
    <w:rsid w:val="00341E60"/>
    <w:rsid w:val="0034217F"/>
    <w:rsid w:val="00342AD2"/>
    <w:rsid w:val="00342DBB"/>
    <w:rsid w:val="00343954"/>
    <w:rsid w:val="00344E96"/>
    <w:rsid w:val="0034535E"/>
    <w:rsid w:val="00345405"/>
    <w:rsid w:val="00345BCF"/>
    <w:rsid w:val="00345DDD"/>
    <w:rsid w:val="00346C1C"/>
    <w:rsid w:val="00346FED"/>
    <w:rsid w:val="0035007F"/>
    <w:rsid w:val="00351E01"/>
    <w:rsid w:val="00352D21"/>
    <w:rsid w:val="003540F5"/>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2C93"/>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3E17"/>
    <w:rsid w:val="003E521F"/>
    <w:rsid w:val="003E5606"/>
    <w:rsid w:val="003E64A9"/>
    <w:rsid w:val="003E7002"/>
    <w:rsid w:val="003E7905"/>
    <w:rsid w:val="003F01A0"/>
    <w:rsid w:val="003F0336"/>
    <w:rsid w:val="003F2147"/>
    <w:rsid w:val="003F4488"/>
    <w:rsid w:val="003F5358"/>
    <w:rsid w:val="003F5547"/>
    <w:rsid w:val="003F5C40"/>
    <w:rsid w:val="003F6E12"/>
    <w:rsid w:val="003F75ED"/>
    <w:rsid w:val="004001C5"/>
    <w:rsid w:val="004002B7"/>
    <w:rsid w:val="00400F31"/>
    <w:rsid w:val="004035FF"/>
    <w:rsid w:val="00404844"/>
    <w:rsid w:val="00406B4D"/>
    <w:rsid w:val="0041443C"/>
    <w:rsid w:val="004154F7"/>
    <w:rsid w:val="004165AB"/>
    <w:rsid w:val="00416B55"/>
    <w:rsid w:val="00416D44"/>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26C7F"/>
    <w:rsid w:val="00427B26"/>
    <w:rsid w:val="004309D8"/>
    <w:rsid w:val="004313D1"/>
    <w:rsid w:val="00431FD5"/>
    <w:rsid w:val="00432110"/>
    <w:rsid w:val="00433EBE"/>
    <w:rsid w:val="00434406"/>
    <w:rsid w:val="00437789"/>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BE1"/>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23F"/>
    <w:rsid w:val="004D26B8"/>
    <w:rsid w:val="004D356D"/>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0873"/>
    <w:rsid w:val="005314C5"/>
    <w:rsid w:val="0053162F"/>
    <w:rsid w:val="00531777"/>
    <w:rsid w:val="0053281C"/>
    <w:rsid w:val="005340C9"/>
    <w:rsid w:val="0053449F"/>
    <w:rsid w:val="00535AF7"/>
    <w:rsid w:val="005375FE"/>
    <w:rsid w:val="00537A0C"/>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25E1"/>
    <w:rsid w:val="00574771"/>
    <w:rsid w:val="005758DF"/>
    <w:rsid w:val="00576A4A"/>
    <w:rsid w:val="005770D3"/>
    <w:rsid w:val="00580793"/>
    <w:rsid w:val="00581470"/>
    <w:rsid w:val="00581893"/>
    <w:rsid w:val="00582087"/>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3442"/>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A50"/>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D0079"/>
    <w:rsid w:val="005D059A"/>
    <w:rsid w:val="005D07C5"/>
    <w:rsid w:val="005D1FF8"/>
    <w:rsid w:val="005D3AB9"/>
    <w:rsid w:val="005D4302"/>
    <w:rsid w:val="005D430F"/>
    <w:rsid w:val="005D4CA4"/>
    <w:rsid w:val="005D5A20"/>
    <w:rsid w:val="005D786C"/>
    <w:rsid w:val="005E00E5"/>
    <w:rsid w:val="005E049F"/>
    <w:rsid w:val="005E3073"/>
    <w:rsid w:val="005E316A"/>
    <w:rsid w:val="005E5E1A"/>
    <w:rsid w:val="005E6C16"/>
    <w:rsid w:val="005F0108"/>
    <w:rsid w:val="005F0ECC"/>
    <w:rsid w:val="005F1CF6"/>
    <w:rsid w:val="005F21A5"/>
    <w:rsid w:val="005F2470"/>
    <w:rsid w:val="005F28C6"/>
    <w:rsid w:val="005F3F16"/>
    <w:rsid w:val="005F52CC"/>
    <w:rsid w:val="005F5B20"/>
    <w:rsid w:val="005F5E6F"/>
    <w:rsid w:val="005F6BD4"/>
    <w:rsid w:val="005F7985"/>
    <w:rsid w:val="0060004D"/>
    <w:rsid w:val="00600CEB"/>
    <w:rsid w:val="00601DF1"/>
    <w:rsid w:val="00602A84"/>
    <w:rsid w:val="00602AA1"/>
    <w:rsid w:val="00603131"/>
    <w:rsid w:val="00604367"/>
    <w:rsid w:val="006044BE"/>
    <w:rsid w:val="0060475F"/>
    <w:rsid w:val="00604E63"/>
    <w:rsid w:val="00604E80"/>
    <w:rsid w:val="006057D2"/>
    <w:rsid w:val="006060C2"/>
    <w:rsid w:val="00606A26"/>
    <w:rsid w:val="00607D81"/>
    <w:rsid w:val="00610747"/>
    <w:rsid w:val="00610E03"/>
    <w:rsid w:val="00610E35"/>
    <w:rsid w:val="0061176E"/>
    <w:rsid w:val="006131CB"/>
    <w:rsid w:val="0061417F"/>
    <w:rsid w:val="00614CD1"/>
    <w:rsid w:val="0061567B"/>
    <w:rsid w:val="00615BEA"/>
    <w:rsid w:val="0062152A"/>
    <w:rsid w:val="006218F9"/>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07BA"/>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69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9F3"/>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863"/>
    <w:rsid w:val="00696D63"/>
    <w:rsid w:val="006A032F"/>
    <w:rsid w:val="006A076B"/>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348"/>
    <w:rsid w:val="00734A05"/>
    <w:rsid w:val="00735C6F"/>
    <w:rsid w:val="00735D4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5EB"/>
    <w:rsid w:val="007719F8"/>
    <w:rsid w:val="00771A92"/>
    <w:rsid w:val="00772569"/>
    <w:rsid w:val="00772E8C"/>
    <w:rsid w:val="007730D8"/>
    <w:rsid w:val="007736D3"/>
    <w:rsid w:val="00773889"/>
    <w:rsid w:val="00773B54"/>
    <w:rsid w:val="00774502"/>
    <w:rsid w:val="0077500F"/>
    <w:rsid w:val="0077548E"/>
    <w:rsid w:val="00776388"/>
    <w:rsid w:val="00777315"/>
    <w:rsid w:val="00777667"/>
    <w:rsid w:val="0077767A"/>
    <w:rsid w:val="007802E4"/>
    <w:rsid w:val="00780919"/>
    <w:rsid w:val="007826C8"/>
    <w:rsid w:val="00782972"/>
    <w:rsid w:val="00784190"/>
    <w:rsid w:val="0078457B"/>
    <w:rsid w:val="00784756"/>
    <w:rsid w:val="0078539D"/>
    <w:rsid w:val="007856C1"/>
    <w:rsid w:val="00786CC4"/>
    <w:rsid w:val="00787051"/>
    <w:rsid w:val="0079018D"/>
    <w:rsid w:val="00790D86"/>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821"/>
    <w:rsid w:val="007D0C44"/>
    <w:rsid w:val="007D1972"/>
    <w:rsid w:val="007D1F33"/>
    <w:rsid w:val="007D2146"/>
    <w:rsid w:val="007D24BF"/>
    <w:rsid w:val="007D3307"/>
    <w:rsid w:val="007D33DA"/>
    <w:rsid w:val="007D3746"/>
    <w:rsid w:val="007D432A"/>
    <w:rsid w:val="007D5E27"/>
    <w:rsid w:val="007D6F64"/>
    <w:rsid w:val="007E25AB"/>
    <w:rsid w:val="007E2C70"/>
    <w:rsid w:val="007E331D"/>
    <w:rsid w:val="007E3C7B"/>
    <w:rsid w:val="007E50DA"/>
    <w:rsid w:val="007E5AC2"/>
    <w:rsid w:val="007E6999"/>
    <w:rsid w:val="007E79C5"/>
    <w:rsid w:val="007F0036"/>
    <w:rsid w:val="007F0CDC"/>
    <w:rsid w:val="007F143A"/>
    <w:rsid w:val="007F171F"/>
    <w:rsid w:val="007F1B17"/>
    <w:rsid w:val="007F2845"/>
    <w:rsid w:val="007F41A0"/>
    <w:rsid w:val="007F43BC"/>
    <w:rsid w:val="007F44D7"/>
    <w:rsid w:val="007F4740"/>
    <w:rsid w:val="007F5CEB"/>
    <w:rsid w:val="00800229"/>
    <w:rsid w:val="008006C6"/>
    <w:rsid w:val="00800C52"/>
    <w:rsid w:val="00800DC4"/>
    <w:rsid w:val="0080153E"/>
    <w:rsid w:val="0080213B"/>
    <w:rsid w:val="0080501F"/>
    <w:rsid w:val="0080742D"/>
    <w:rsid w:val="008100AC"/>
    <w:rsid w:val="0081151E"/>
    <w:rsid w:val="00812498"/>
    <w:rsid w:val="0081255B"/>
    <w:rsid w:val="0081263E"/>
    <w:rsid w:val="008127E6"/>
    <w:rsid w:val="0081336E"/>
    <w:rsid w:val="00813928"/>
    <w:rsid w:val="00814057"/>
    <w:rsid w:val="00820C31"/>
    <w:rsid w:val="00820DC7"/>
    <w:rsid w:val="00820FFB"/>
    <w:rsid w:val="00821698"/>
    <w:rsid w:val="008221FE"/>
    <w:rsid w:val="00822BF5"/>
    <w:rsid w:val="00823899"/>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4B8D"/>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834"/>
    <w:rsid w:val="00894FDC"/>
    <w:rsid w:val="008960BE"/>
    <w:rsid w:val="008A0916"/>
    <w:rsid w:val="008A1094"/>
    <w:rsid w:val="008A16F9"/>
    <w:rsid w:val="008A1D3E"/>
    <w:rsid w:val="008A28CF"/>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4DC"/>
    <w:rsid w:val="008C5792"/>
    <w:rsid w:val="008C57D6"/>
    <w:rsid w:val="008C603A"/>
    <w:rsid w:val="008C71C8"/>
    <w:rsid w:val="008D167D"/>
    <w:rsid w:val="008D261F"/>
    <w:rsid w:val="008D2B53"/>
    <w:rsid w:val="008D3640"/>
    <w:rsid w:val="008D492A"/>
    <w:rsid w:val="008D4B58"/>
    <w:rsid w:val="008D4B8A"/>
    <w:rsid w:val="008D6541"/>
    <w:rsid w:val="008D700C"/>
    <w:rsid w:val="008D7D7B"/>
    <w:rsid w:val="008E0F52"/>
    <w:rsid w:val="008E183F"/>
    <w:rsid w:val="008E1BE0"/>
    <w:rsid w:val="008E2316"/>
    <w:rsid w:val="008E26FF"/>
    <w:rsid w:val="008E34BE"/>
    <w:rsid w:val="008E42F4"/>
    <w:rsid w:val="008E5307"/>
    <w:rsid w:val="008E5657"/>
    <w:rsid w:val="008E5E51"/>
    <w:rsid w:val="008E721F"/>
    <w:rsid w:val="008E7D63"/>
    <w:rsid w:val="008F00DB"/>
    <w:rsid w:val="008F110E"/>
    <w:rsid w:val="008F1264"/>
    <w:rsid w:val="008F1C8A"/>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0E05"/>
    <w:rsid w:val="00911896"/>
    <w:rsid w:val="009118BB"/>
    <w:rsid w:val="0091191F"/>
    <w:rsid w:val="00913F7F"/>
    <w:rsid w:val="00914B03"/>
    <w:rsid w:val="00915B81"/>
    <w:rsid w:val="00915D6B"/>
    <w:rsid w:val="009160DF"/>
    <w:rsid w:val="009162C7"/>
    <w:rsid w:val="009166C7"/>
    <w:rsid w:val="00916EC2"/>
    <w:rsid w:val="009213BD"/>
    <w:rsid w:val="00921FE9"/>
    <w:rsid w:val="00924627"/>
    <w:rsid w:val="009249EB"/>
    <w:rsid w:val="009250A8"/>
    <w:rsid w:val="009251C8"/>
    <w:rsid w:val="00925A66"/>
    <w:rsid w:val="00925BE6"/>
    <w:rsid w:val="00926F61"/>
    <w:rsid w:val="009277A2"/>
    <w:rsid w:val="00927E1E"/>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3B"/>
    <w:rsid w:val="00991093"/>
    <w:rsid w:val="0099163B"/>
    <w:rsid w:val="00992343"/>
    <w:rsid w:val="00992851"/>
    <w:rsid w:val="00993853"/>
    <w:rsid w:val="00996306"/>
    <w:rsid w:val="00996744"/>
    <w:rsid w:val="00996798"/>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BC8"/>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4BF6"/>
    <w:rsid w:val="009C51D5"/>
    <w:rsid w:val="009C543C"/>
    <w:rsid w:val="009C599A"/>
    <w:rsid w:val="009C650E"/>
    <w:rsid w:val="009C70DB"/>
    <w:rsid w:val="009C751C"/>
    <w:rsid w:val="009D0137"/>
    <w:rsid w:val="009D0E75"/>
    <w:rsid w:val="009D17D4"/>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227B"/>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5790A"/>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591D"/>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5BD5"/>
    <w:rsid w:val="00A96F78"/>
    <w:rsid w:val="00A97589"/>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5B6"/>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182F"/>
    <w:rsid w:val="00B326A8"/>
    <w:rsid w:val="00B329EB"/>
    <w:rsid w:val="00B33330"/>
    <w:rsid w:val="00B33508"/>
    <w:rsid w:val="00B3377E"/>
    <w:rsid w:val="00B35BC9"/>
    <w:rsid w:val="00B35DA4"/>
    <w:rsid w:val="00B36B65"/>
    <w:rsid w:val="00B40A96"/>
    <w:rsid w:val="00B4184B"/>
    <w:rsid w:val="00B422A7"/>
    <w:rsid w:val="00B42A32"/>
    <w:rsid w:val="00B42FA6"/>
    <w:rsid w:val="00B430B1"/>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6548"/>
    <w:rsid w:val="00BA76A9"/>
    <w:rsid w:val="00BA79A3"/>
    <w:rsid w:val="00BB22A6"/>
    <w:rsid w:val="00BB3E2B"/>
    <w:rsid w:val="00BB5043"/>
    <w:rsid w:val="00BB5D1C"/>
    <w:rsid w:val="00BB6552"/>
    <w:rsid w:val="00BB6B9B"/>
    <w:rsid w:val="00BB754F"/>
    <w:rsid w:val="00BB7795"/>
    <w:rsid w:val="00BB7DDF"/>
    <w:rsid w:val="00BC07D4"/>
    <w:rsid w:val="00BC0A5D"/>
    <w:rsid w:val="00BC0BE3"/>
    <w:rsid w:val="00BC106B"/>
    <w:rsid w:val="00BC1522"/>
    <w:rsid w:val="00BC1AD9"/>
    <w:rsid w:val="00BC32E7"/>
    <w:rsid w:val="00BC478E"/>
    <w:rsid w:val="00BC4958"/>
    <w:rsid w:val="00BC58B9"/>
    <w:rsid w:val="00BC6A49"/>
    <w:rsid w:val="00BC746D"/>
    <w:rsid w:val="00BC76AB"/>
    <w:rsid w:val="00BD0E81"/>
    <w:rsid w:val="00BD3E68"/>
    <w:rsid w:val="00BD520C"/>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55E"/>
    <w:rsid w:val="00BF0BD4"/>
    <w:rsid w:val="00BF0CCF"/>
    <w:rsid w:val="00BF0FC5"/>
    <w:rsid w:val="00BF10BC"/>
    <w:rsid w:val="00BF21AC"/>
    <w:rsid w:val="00BF2E53"/>
    <w:rsid w:val="00BF3133"/>
    <w:rsid w:val="00BF3669"/>
    <w:rsid w:val="00BF3C0D"/>
    <w:rsid w:val="00BF711C"/>
    <w:rsid w:val="00BF7C74"/>
    <w:rsid w:val="00C00ED8"/>
    <w:rsid w:val="00C015B7"/>
    <w:rsid w:val="00C0208F"/>
    <w:rsid w:val="00C02367"/>
    <w:rsid w:val="00C02E65"/>
    <w:rsid w:val="00C03309"/>
    <w:rsid w:val="00C04A55"/>
    <w:rsid w:val="00C067D5"/>
    <w:rsid w:val="00C072FE"/>
    <w:rsid w:val="00C12E39"/>
    <w:rsid w:val="00C1339A"/>
    <w:rsid w:val="00C14164"/>
    <w:rsid w:val="00C15D8E"/>
    <w:rsid w:val="00C16FE0"/>
    <w:rsid w:val="00C17012"/>
    <w:rsid w:val="00C178FB"/>
    <w:rsid w:val="00C20E53"/>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FA3"/>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528C"/>
    <w:rsid w:val="00C655E5"/>
    <w:rsid w:val="00C661E8"/>
    <w:rsid w:val="00C6648F"/>
    <w:rsid w:val="00C70084"/>
    <w:rsid w:val="00C70C3C"/>
    <w:rsid w:val="00C7235B"/>
    <w:rsid w:val="00C72E18"/>
    <w:rsid w:val="00C731AD"/>
    <w:rsid w:val="00C73553"/>
    <w:rsid w:val="00C73677"/>
    <w:rsid w:val="00C7380B"/>
    <w:rsid w:val="00C74421"/>
    <w:rsid w:val="00C7542D"/>
    <w:rsid w:val="00C754E1"/>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58A9"/>
    <w:rsid w:val="00C96860"/>
    <w:rsid w:val="00C96F79"/>
    <w:rsid w:val="00C97146"/>
    <w:rsid w:val="00C97CF9"/>
    <w:rsid w:val="00CA0642"/>
    <w:rsid w:val="00CA17DD"/>
    <w:rsid w:val="00CA1863"/>
    <w:rsid w:val="00CA192A"/>
    <w:rsid w:val="00CA1E92"/>
    <w:rsid w:val="00CA26CE"/>
    <w:rsid w:val="00CA391D"/>
    <w:rsid w:val="00CA3ACD"/>
    <w:rsid w:val="00CA4F8B"/>
    <w:rsid w:val="00CA519F"/>
    <w:rsid w:val="00CB09DA"/>
    <w:rsid w:val="00CB0BD9"/>
    <w:rsid w:val="00CB1CAC"/>
    <w:rsid w:val="00CB1D87"/>
    <w:rsid w:val="00CB1DE8"/>
    <w:rsid w:val="00CB1E3B"/>
    <w:rsid w:val="00CB1F1D"/>
    <w:rsid w:val="00CB35EE"/>
    <w:rsid w:val="00CB4212"/>
    <w:rsid w:val="00CB600D"/>
    <w:rsid w:val="00CB646D"/>
    <w:rsid w:val="00CB6F29"/>
    <w:rsid w:val="00CB71F8"/>
    <w:rsid w:val="00CC26DB"/>
    <w:rsid w:val="00CC300C"/>
    <w:rsid w:val="00CC35AE"/>
    <w:rsid w:val="00CC36D2"/>
    <w:rsid w:val="00CC3DAA"/>
    <w:rsid w:val="00CC43B0"/>
    <w:rsid w:val="00CC46E5"/>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1F3"/>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C12"/>
    <w:rsid w:val="00D518FF"/>
    <w:rsid w:val="00D51A77"/>
    <w:rsid w:val="00D52751"/>
    <w:rsid w:val="00D53010"/>
    <w:rsid w:val="00D5354F"/>
    <w:rsid w:val="00D535E6"/>
    <w:rsid w:val="00D53649"/>
    <w:rsid w:val="00D53830"/>
    <w:rsid w:val="00D54695"/>
    <w:rsid w:val="00D54FB3"/>
    <w:rsid w:val="00D55889"/>
    <w:rsid w:val="00D56B5F"/>
    <w:rsid w:val="00D57A3F"/>
    <w:rsid w:val="00D57AF0"/>
    <w:rsid w:val="00D57DCF"/>
    <w:rsid w:val="00D61FC2"/>
    <w:rsid w:val="00D62ECD"/>
    <w:rsid w:val="00D62FA0"/>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413"/>
    <w:rsid w:val="00D80F4C"/>
    <w:rsid w:val="00D81F10"/>
    <w:rsid w:val="00D8201E"/>
    <w:rsid w:val="00D82E0A"/>
    <w:rsid w:val="00D8347E"/>
    <w:rsid w:val="00D84A57"/>
    <w:rsid w:val="00D84C3B"/>
    <w:rsid w:val="00D874DF"/>
    <w:rsid w:val="00D8764A"/>
    <w:rsid w:val="00D87A12"/>
    <w:rsid w:val="00D90C06"/>
    <w:rsid w:val="00D918F4"/>
    <w:rsid w:val="00D91D3A"/>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5C0C"/>
    <w:rsid w:val="00DB6A80"/>
    <w:rsid w:val="00DB6C06"/>
    <w:rsid w:val="00DB7B06"/>
    <w:rsid w:val="00DC23A1"/>
    <w:rsid w:val="00DC2CCF"/>
    <w:rsid w:val="00DC3A9D"/>
    <w:rsid w:val="00DC3FF5"/>
    <w:rsid w:val="00DC48E1"/>
    <w:rsid w:val="00DC6C1E"/>
    <w:rsid w:val="00DC708C"/>
    <w:rsid w:val="00DC7773"/>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117"/>
    <w:rsid w:val="00DE541C"/>
    <w:rsid w:val="00DE5F40"/>
    <w:rsid w:val="00DE737B"/>
    <w:rsid w:val="00DF0587"/>
    <w:rsid w:val="00DF100B"/>
    <w:rsid w:val="00DF23CA"/>
    <w:rsid w:val="00DF2929"/>
    <w:rsid w:val="00DF2ED3"/>
    <w:rsid w:val="00DF3159"/>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4C44"/>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3E6"/>
    <w:rsid w:val="00E57446"/>
    <w:rsid w:val="00E604C4"/>
    <w:rsid w:val="00E60809"/>
    <w:rsid w:val="00E60991"/>
    <w:rsid w:val="00E61300"/>
    <w:rsid w:val="00E614F2"/>
    <w:rsid w:val="00E635B9"/>
    <w:rsid w:val="00E65D15"/>
    <w:rsid w:val="00E66264"/>
    <w:rsid w:val="00E66C49"/>
    <w:rsid w:val="00E67EE5"/>
    <w:rsid w:val="00E7013A"/>
    <w:rsid w:val="00E74F5D"/>
    <w:rsid w:val="00E76034"/>
    <w:rsid w:val="00E769A9"/>
    <w:rsid w:val="00E77254"/>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3F50"/>
    <w:rsid w:val="00F54405"/>
    <w:rsid w:val="00F560FE"/>
    <w:rsid w:val="00F605B6"/>
    <w:rsid w:val="00F60879"/>
    <w:rsid w:val="00F6111C"/>
    <w:rsid w:val="00F613EC"/>
    <w:rsid w:val="00F614C0"/>
    <w:rsid w:val="00F61647"/>
    <w:rsid w:val="00F61F5F"/>
    <w:rsid w:val="00F657CF"/>
    <w:rsid w:val="00F66A00"/>
    <w:rsid w:val="00F67F21"/>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6E13"/>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1C3"/>
    <w:rsid w:val="00FB350A"/>
    <w:rsid w:val="00FB4A7A"/>
    <w:rsid w:val="00FB4B8A"/>
    <w:rsid w:val="00FB5152"/>
    <w:rsid w:val="00FB59FD"/>
    <w:rsid w:val="00FB680E"/>
    <w:rsid w:val="00FC0065"/>
    <w:rsid w:val="00FC3AEE"/>
    <w:rsid w:val="00FC6238"/>
    <w:rsid w:val="00FC78AD"/>
    <w:rsid w:val="00FD0D70"/>
    <w:rsid w:val="00FD1E00"/>
    <w:rsid w:val="00FD2F8B"/>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5AIRPNAIUNRU-1830940522-4048</_dlc_DocId>
    <_dlc_DocIdUrl xmlns="71c5aaf6-e6ce-465b-b873-5148d2a4c105">
      <Url>https://nokia.sharepoint.com/sites/c5g/5gradio/_layouts/15/DocIdRedir.aspx?ID=5AIRPNAIUNRU-1830940522-4048</Url>
      <Description>5AIRPNAIUNRU-1830940522-4048</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50DB3679-D7A8-4269-9BFD-6AB6C809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2637</Words>
  <Characters>21365</Characters>
  <Application>Microsoft Office Word</Application>
  <DocSecurity>0</DocSecurity>
  <Lines>178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2</cp:revision>
  <cp:lastPrinted>2016-06-20T11:35:00Z</cp:lastPrinted>
  <dcterms:created xsi:type="dcterms:W3CDTF">2018-09-28T13:09:00Z</dcterms:created>
  <dcterms:modified xsi:type="dcterms:W3CDTF">2018-09-28T13:09:00Z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220c7924-cad6-4bb5-bb8a-90f2f665b49c</vt:lpwstr>
  </property>
</Properties>
</file>