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D96B73" w:rsidP="001D7CFF">
      <w:pPr>
        <w:pStyle w:val="Header"/>
        <w:tabs>
          <w:tab w:val="right" w:pos="828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>
        <w:rPr>
          <w:rFonts w:eastAsia="Batang"/>
          <w:bCs w:val="0"/>
          <w:noProof w:val="0"/>
          <w:sz w:val="24"/>
          <w:szCs w:val="24"/>
        </w:rPr>
        <w:t>3GPP TSG RAN WG1 Meeting #94</w:t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F568A3" w:rsidRPr="00F568A3">
        <w:rPr>
          <w:rFonts w:eastAsia="Batang"/>
          <w:bCs w:val="0"/>
          <w:noProof w:val="0"/>
          <w:sz w:val="24"/>
          <w:szCs w:val="24"/>
        </w:rPr>
        <w:t>R1-1809048</w:t>
      </w:r>
    </w:p>
    <w:p w:rsidR="0004518D" w:rsidRDefault="00D96B73" w:rsidP="00653744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 w:rsidRPr="00D96B73">
        <w:rPr>
          <w:rFonts w:ascii="Arial" w:eastAsia="Batang" w:hAnsi="Arial" w:cs="Arial"/>
          <w:b/>
          <w:sz w:val="24"/>
          <w:szCs w:val="24"/>
        </w:rPr>
        <w:t>Gothenburg, Sweden, August 20th – 24th, 2018</w:t>
      </w:r>
    </w:p>
    <w:p w:rsidR="00D96B73" w:rsidRDefault="00D96B73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7E2CE4" w:rsidRPr="007E2CE4">
        <w:rPr>
          <w:rFonts w:ascii="Arial" w:hAnsi="Arial" w:cs="Arial"/>
          <w:b/>
          <w:sz w:val="24"/>
          <w:lang w:val="en-US"/>
        </w:rPr>
        <w:t>Required Clarifications on Simulation Assumptions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E01293" w:rsidRPr="00E01293">
        <w:rPr>
          <w:rFonts w:ascii="Arial" w:hAnsi="Arial" w:cs="Arial"/>
          <w:b/>
          <w:sz w:val="24"/>
          <w:lang w:val="en-US" w:eastAsia="zh-CN"/>
        </w:rPr>
        <w:t>7.2.4.1.5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2409E2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:rsidR="00392A2F" w:rsidRPr="008A36C3" w:rsidRDefault="00392A2F" w:rsidP="00392A2F">
      <w:pPr>
        <w:rPr>
          <w:rFonts w:eastAsia="MS Mincho"/>
          <w:lang w:eastAsia="ja-JP"/>
        </w:rPr>
      </w:pPr>
      <w:bookmarkStart w:id="0" w:name="_Hlk521660119"/>
      <w:r>
        <w:rPr>
          <w:lang w:val="en-US"/>
        </w:rPr>
        <w:t>At RAN#80, a study item “</w:t>
      </w:r>
      <w:r w:rsidRPr="00D420D4">
        <w:rPr>
          <w:lang w:val="en-US"/>
        </w:rPr>
        <w:t>Study on NR V2X</w:t>
      </w:r>
      <w:r>
        <w:rPr>
          <w:lang w:val="en-US"/>
        </w:rPr>
        <w:t>” (FS_NR_V2X) was approved</w:t>
      </w:r>
      <w:r w:rsidR="009008F9">
        <w:rPr>
          <w:lang w:val="en-US"/>
        </w:rPr>
        <w:t xml:space="preserve"> </w:t>
      </w:r>
      <w:r w:rsidR="009008F9">
        <w:rPr>
          <w:lang w:val="en-US"/>
        </w:rPr>
        <w:fldChar w:fldCharType="begin"/>
      </w:r>
      <w:r w:rsidR="009008F9">
        <w:rPr>
          <w:lang w:val="en-US"/>
        </w:rPr>
        <w:instrText xml:space="preserve"> REF _Ref521663021 \r \h </w:instrText>
      </w:r>
      <w:r w:rsidR="009008F9">
        <w:rPr>
          <w:lang w:val="en-US"/>
        </w:rPr>
      </w:r>
      <w:r w:rsidR="009008F9">
        <w:rPr>
          <w:lang w:val="en-US"/>
        </w:rPr>
        <w:fldChar w:fldCharType="separate"/>
      </w:r>
      <w:r w:rsidR="00FD5A37">
        <w:rPr>
          <w:cs/>
          <w:lang w:val="en-US"/>
        </w:rPr>
        <w:t>‎</w:t>
      </w:r>
      <w:r w:rsidR="00FD5A37">
        <w:rPr>
          <w:lang w:val="en-US"/>
        </w:rPr>
        <w:t>[1]</w:t>
      </w:r>
      <w:r w:rsidR="009008F9">
        <w:rPr>
          <w:lang w:val="en-US"/>
        </w:rPr>
        <w:fldChar w:fldCharType="end"/>
      </w:r>
      <w:r>
        <w:rPr>
          <w:lang w:val="en-US"/>
        </w:rPr>
        <w:t>. This study item was preceded by an earlier study on evaluation methodology, “</w:t>
      </w:r>
      <w:r w:rsidRPr="00392A2F">
        <w:rPr>
          <w:lang w:val="en-US"/>
        </w:rPr>
        <w:t>Study on evaluation methodology of new V2X use cases for LTE and NR</w:t>
      </w:r>
      <w:r>
        <w:rPr>
          <w:lang w:val="en-US"/>
        </w:rPr>
        <w:t xml:space="preserve">”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_Ref521660723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D5A37">
        <w:rPr>
          <w:cs/>
          <w:lang w:val="en-US"/>
        </w:rPr>
        <w:t>‎</w:t>
      </w:r>
      <w:r w:rsidR="00FD5A37">
        <w:rPr>
          <w:lang w:val="en-US"/>
        </w:rPr>
        <w:t>[2]</w:t>
      </w:r>
      <w:r>
        <w:rPr>
          <w:lang w:val="en-US"/>
        </w:rPr>
        <w:fldChar w:fldCharType="end"/>
      </w:r>
      <w:r w:rsidR="005E3E3A">
        <w:rPr>
          <w:lang w:val="en-US"/>
        </w:rPr>
        <w:t xml:space="preserve">, which produced </w:t>
      </w:r>
      <w:r>
        <w:rPr>
          <w:lang w:val="en-US"/>
        </w:rPr>
        <w:t>TR</w:t>
      </w:r>
      <w:r w:rsidR="005E3E3A">
        <w:rPr>
          <w:lang w:val="en-US"/>
        </w:rPr>
        <w:t xml:space="preserve"> 37.885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</w:instrText>
      </w:r>
      <w:r w:rsidR="009008F9">
        <w:rPr>
          <w:lang w:val="en-US"/>
        </w:rPr>
        <w:instrText>_Ref521660732 \r</w:instrText>
      </w:r>
      <w:r>
        <w:rPr>
          <w:lang w:val="en-US"/>
        </w:rPr>
        <w:instrText xml:space="preserve">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D5A37">
        <w:rPr>
          <w:cs/>
          <w:lang w:val="en-US"/>
        </w:rPr>
        <w:t>‎</w:t>
      </w:r>
      <w:r w:rsidR="00FD5A37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bookmarkEnd w:id="0"/>
    <w:p w:rsidR="00231BB1" w:rsidRDefault="00684072" w:rsidP="00231BB1">
      <w:pPr>
        <w:rPr>
          <w:lang w:val="en-US"/>
        </w:rPr>
      </w:pPr>
      <w:r>
        <w:rPr>
          <w:lang w:val="en-US"/>
        </w:rPr>
        <w:t>There are certain aspects in TR</w:t>
      </w:r>
      <w:r w:rsidR="005E3E3A">
        <w:rPr>
          <w:lang w:val="en-US"/>
        </w:rPr>
        <w:t xml:space="preserve"> 37.885</w:t>
      </w:r>
      <w:r>
        <w:rPr>
          <w:lang w:val="en-US"/>
        </w:rPr>
        <w:t xml:space="preserve"> which in our view are not clear, and some errors have unfortunately crept i</w:t>
      </w:r>
      <w:r w:rsidR="0028634D">
        <w:rPr>
          <w:lang w:val="en-US"/>
        </w:rPr>
        <w:t>n. This contribution lists the</w:t>
      </w:r>
      <w:r>
        <w:rPr>
          <w:lang w:val="en-US"/>
        </w:rPr>
        <w:t xml:space="preserve"> defects</w:t>
      </w:r>
      <w:r w:rsidR="0028634D">
        <w:rPr>
          <w:lang w:val="en-US"/>
        </w:rPr>
        <w:t xml:space="preserve"> we have identified so far</w:t>
      </w:r>
      <w:r>
        <w:rPr>
          <w:lang w:val="en-US"/>
        </w:rPr>
        <w:t>.</w:t>
      </w:r>
    </w:p>
    <w:p w:rsidR="00910515" w:rsidRDefault="00910515" w:rsidP="0058787A">
      <w:pPr>
        <w:spacing w:after="0"/>
        <w:rPr>
          <w:iCs/>
          <w:lang w:val="en-US" w:eastAsia="zh-CN"/>
        </w:rPr>
      </w:pPr>
    </w:p>
    <w:p w:rsidR="00910515" w:rsidRPr="00313E18" w:rsidRDefault="00910515" w:rsidP="0058787A">
      <w:pPr>
        <w:spacing w:after="0"/>
        <w:rPr>
          <w:iCs/>
          <w:lang w:val="en-US" w:eastAsia="zh-CN"/>
        </w:rPr>
      </w:pPr>
    </w:p>
    <w:p w:rsidR="000D2D9E" w:rsidRDefault="001033EA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Issues in TR 37.885</w:t>
      </w:r>
    </w:p>
    <w:p w:rsidR="00F67C1F" w:rsidRDefault="00F67C1F" w:rsidP="00FC58B1">
      <w:pPr>
        <w:rPr>
          <w:lang w:val="en-US" w:eastAsia="zh-CN"/>
        </w:rPr>
      </w:pPr>
    </w:p>
    <w:p w:rsidR="005E3E3A" w:rsidRDefault="005E3E3A" w:rsidP="006704F7">
      <w:pPr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In </w:t>
      </w:r>
      <w:bookmarkStart w:id="1" w:name="_Hlk521670738"/>
      <w:r w:rsidRPr="005E3E3A">
        <w:rPr>
          <w:lang w:val="en-US" w:eastAsia="zh-CN"/>
        </w:rPr>
        <w:t>Table 6.1.4-10</w:t>
      </w:r>
      <w:r w:rsidR="0058110B">
        <w:rPr>
          <w:lang w:val="en-US" w:eastAsia="zh-CN"/>
        </w:rPr>
        <w:t xml:space="preserve"> and Table 6.1.4-11</w:t>
      </w:r>
      <w:bookmarkEnd w:id="1"/>
      <w:r w:rsidR="0058110B">
        <w:rPr>
          <w:lang w:val="en-US" w:eastAsia="zh-CN"/>
        </w:rPr>
        <w:t xml:space="preserve">, for the vertical antenna pattern there are </w:t>
      </w:r>
      <w:r w:rsidR="004038A4">
        <w:rPr>
          <w:lang w:val="en-US" w:eastAsia="zh-CN"/>
        </w:rPr>
        <w:t>four</w:t>
      </w:r>
      <w:r w:rsidR="0058110B">
        <w:rPr>
          <w:lang w:val="en-US" w:eastAsia="zh-CN"/>
        </w:rPr>
        <w:t xml:space="preserve"> instances of a formula for the vertical pattern </w:t>
      </w:r>
      <w:r w:rsidR="006704F7">
        <w:rPr>
          <w:lang w:val="en-US" w:eastAsia="zh-CN"/>
        </w:rPr>
        <w:t>like the following</w:t>
      </w:r>
      <w:r w:rsidR="0058110B">
        <w:rPr>
          <w:lang w:val="en-US" w:eastAsia="zh-CN"/>
        </w:rPr>
        <w:t>:</w:t>
      </w:r>
    </w:p>
    <w:p w:rsidR="0058110B" w:rsidRPr="00E60805" w:rsidRDefault="00D56951" w:rsidP="0058110B">
      <w:pPr>
        <w:keepNext/>
        <w:keepLines/>
        <w:jc w:val="center"/>
        <w:rPr>
          <w:rFonts w:ascii="Arial" w:hAnsi="Arial"/>
          <w:sz w:val="1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18"/>
                </w:rPr>
              </m:ctrlPr>
            </m:sSubSupPr>
            <m:e>
              <m:r>
                <w:rPr>
                  <w:rFonts w:ascii="Cambria Math" w:hAnsi="Cambria Math"/>
                  <w:sz w:val="18"/>
                </w:rPr>
                <m:t>Av</m:t>
              </m:r>
            </m:e>
            <m:sub>
              <m:r>
                <w:rPr>
                  <w:rFonts w:ascii="Cambria Math" w:hAnsi="Cambria Math"/>
                  <w:sz w:val="18"/>
                </w:rPr>
                <m:t>dB</m:t>
              </m:r>
            </m:sub>
            <m:sup>
              <m:r>
                <w:rPr>
                  <w:rFonts w:ascii="Cambria Math" w:hAnsi="Cambria Math"/>
                  <w:sz w:val="18"/>
                </w:rPr>
                <m:t>"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θ,ϕ=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°</m:t>
                  </m:r>
                </m:sup>
              </m:sSup>
            </m:e>
          </m:d>
          <m:r>
            <w:rPr>
              <w:rFonts w:ascii="Cambria Math" w:hAnsi="Cambria Math"/>
              <w:sz w:val="1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</w:rPr>
              </m:ctrlPr>
            </m:naryPr>
            <m:sub>
              <m:r>
                <w:rPr>
                  <w:rFonts w:ascii="Cambria Math" w:hAnsi="Cambria Math"/>
                  <w:sz w:val="18"/>
                </w:rPr>
                <m:t>k=1</m:t>
              </m:r>
            </m:sub>
            <m:sup>
              <m:r>
                <w:rPr>
                  <w:rFonts w:ascii="Cambria Math" w:hAnsi="Cambria Math"/>
                  <w:sz w:val="18"/>
                </w:rPr>
                <m:t>4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k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1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k</m:t>
                      </m:r>
                    </m:sub>
                  </m:sSub>
                </m:e>
              </m:func>
            </m:e>
          </m:nary>
          <m:r>
            <w:rPr>
              <w:rFonts w:ascii="Cambria Math" w:hAnsi="Cambria Math"/>
              <w:sz w:val="18"/>
            </w:rPr>
            <m:t>ϕ+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</w:rPr>
                <m:t>k</m:t>
              </m:r>
            </m:sub>
          </m:sSub>
          <m:r>
            <w:rPr>
              <w:rFonts w:ascii="Cambria Math" w:hAnsi="Cambria Math"/>
              <w:sz w:val="18"/>
            </w:rPr>
            <m:t>),      θ∈[-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π</m:t>
              </m:r>
            </m:num>
            <m:den>
              <m:r>
                <w:rPr>
                  <w:rFonts w:ascii="Cambria Math" w:hAnsi="Cambria Math"/>
                  <w:sz w:val="18"/>
                </w:rPr>
                <m:t>2</m:t>
              </m:r>
            </m:den>
          </m:f>
          <m:r>
            <w:rPr>
              <w:rFonts w:ascii="Cambria Math" w:hAnsi="Cambria Math"/>
              <w:sz w:val="18"/>
            </w:rPr>
            <m:t>,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π</m:t>
              </m:r>
            </m:num>
            <m:den>
              <m:r>
                <w:rPr>
                  <w:rFonts w:ascii="Cambria Math" w:hAnsi="Cambria Math"/>
                  <w:sz w:val="18"/>
                </w:rPr>
                <m:t>2</m:t>
              </m:r>
            </m:den>
          </m:f>
          <m:r>
            <w:rPr>
              <w:rFonts w:ascii="Cambria Math" w:hAnsi="Cambria Math"/>
              <w:sz w:val="18"/>
            </w:rPr>
            <m:t>]</m:t>
          </m:r>
        </m:oMath>
      </m:oMathPara>
    </w:p>
    <w:p w:rsidR="005E3E3A" w:rsidRDefault="0058110B" w:rsidP="006704F7">
      <w:pPr>
        <w:ind w:left="576"/>
        <w:rPr>
          <w:lang w:val="en-US" w:eastAsia="zh-CN"/>
        </w:rPr>
      </w:pPr>
      <w:r>
        <w:t xml:space="preserve">This seems wrong since the right-hand side depends on azimuth </w:t>
      </w:r>
      <m:oMath>
        <m:r>
          <w:rPr>
            <w:rFonts w:ascii="Cambria Math" w:hAnsi="Cambria Math"/>
            <w:sz w:val="18"/>
          </w:rPr>
          <m:t>ϕ</m:t>
        </m:r>
      </m:oMath>
      <w:r>
        <w:t xml:space="preserve"> rather than polar angle </w:t>
      </w:r>
      <m:oMath>
        <m:r>
          <w:rPr>
            <w:rFonts w:ascii="Cambria Math" w:hAnsi="Cambria Math"/>
            <w:sz w:val="18"/>
          </w:rPr>
          <m:t>θ</m:t>
        </m:r>
      </m:oMath>
      <w:r>
        <w:t xml:space="preserve">; in the argument of the sine function </w:t>
      </w:r>
      <w:bookmarkStart w:id="2" w:name="_GoBack"/>
      <w:bookmarkEnd w:id="2"/>
      <w:r>
        <w:t xml:space="preserve">presumably </w:t>
      </w:r>
      <m:oMath>
        <m:r>
          <w:rPr>
            <w:rFonts w:ascii="Cambria Math" w:hAnsi="Cambria Math"/>
            <w:sz w:val="18"/>
          </w:rPr>
          <m:t>ϕ</m:t>
        </m:r>
      </m:oMath>
      <w:r>
        <w:rPr>
          <w:position w:val="-5"/>
        </w:rPr>
        <w:t xml:space="preserve"> </w:t>
      </w:r>
      <w:r>
        <w:t xml:space="preserve">needs to be replaced by </w:t>
      </w:r>
      <m:oMath>
        <m:r>
          <w:rPr>
            <w:rFonts w:ascii="Cambria Math" w:hAnsi="Cambria Math"/>
            <w:sz w:val="18"/>
          </w:rPr>
          <m:t>θ</m:t>
        </m:r>
      </m:oMath>
      <w:r>
        <w:t>, yielding:</w:t>
      </w:r>
    </w:p>
    <w:p w:rsidR="0058110B" w:rsidRPr="00E60805" w:rsidRDefault="00D56951" w:rsidP="0058110B">
      <w:pPr>
        <w:keepNext/>
        <w:keepLines/>
        <w:jc w:val="center"/>
        <w:rPr>
          <w:rFonts w:ascii="Arial" w:hAnsi="Arial"/>
          <w:sz w:val="1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18"/>
                </w:rPr>
              </m:ctrlPr>
            </m:sSubSupPr>
            <m:e>
              <m:r>
                <w:rPr>
                  <w:rFonts w:ascii="Cambria Math" w:hAnsi="Cambria Math"/>
                  <w:sz w:val="18"/>
                </w:rPr>
                <m:t>Av</m:t>
              </m:r>
            </m:e>
            <m:sub>
              <m:r>
                <w:rPr>
                  <w:rFonts w:ascii="Cambria Math" w:hAnsi="Cambria Math"/>
                  <w:sz w:val="18"/>
                </w:rPr>
                <m:t>dB</m:t>
              </m:r>
            </m:sub>
            <m:sup>
              <m:r>
                <w:rPr>
                  <w:rFonts w:ascii="Cambria Math" w:hAnsi="Cambria Math"/>
                  <w:sz w:val="18"/>
                </w:rPr>
                <m:t>"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θ,ϕ=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°</m:t>
                  </m:r>
                </m:sup>
              </m:sSup>
            </m:e>
          </m:d>
          <m:r>
            <w:rPr>
              <w:rFonts w:ascii="Cambria Math" w:hAnsi="Cambria Math"/>
              <w:sz w:val="1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</w:rPr>
              </m:ctrlPr>
            </m:naryPr>
            <m:sub>
              <m:r>
                <w:rPr>
                  <w:rFonts w:ascii="Cambria Math" w:hAnsi="Cambria Math"/>
                  <w:sz w:val="18"/>
                </w:rPr>
                <m:t>k=1</m:t>
              </m:r>
            </m:sub>
            <m:sup>
              <m:r>
                <w:rPr>
                  <w:rFonts w:ascii="Cambria Math" w:hAnsi="Cambria Math"/>
                  <w:sz w:val="18"/>
                </w:rPr>
                <m:t>4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k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1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k</m:t>
                      </m:r>
                    </m:sub>
                  </m:sSub>
                </m:e>
              </m:func>
            </m:e>
          </m:nary>
          <m:r>
            <w:rPr>
              <w:rFonts w:ascii="Cambria Math" w:hAnsi="Cambria Math"/>
              <w:sz w:val="18"/>
            </w:rPr>
            <m:t>θ+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</w:rPr>
                <m:t>k</m:t>
              </m:r>
            </m:sub>
          </m:sSub>
          <m:r>
            <w:rPr>
              <w:rFonts w:ascii="Cambria Math" w:hAnsi="Cambria Math"/>
              <w:sz w:val="18"/>
            </w:rPr>
            <m:t>),      θ∈[-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π</m:t>
              </m:r>
            </m:num>
            <m:den>
              <m:r>
                <w:rPr>
                  <w:rFonts w:ascii="Cambria Math" w:hAnsi="Cambria Math"/>
                  <w:sz w:val="18"/>
                </w:rPr>
                <m:t>2</m:t>
              </m:r>
            </m:den>
          </m:f>
          <m:r>
            <w:rPr>
              <w:rFonts w:ascii="Cambria Math" w:hAnsi="Cambria Math"/>
              <w:sz w:val="18"/>
            </w:rPr>
            <m:t>,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π</m:t>
              </m:r>
            </m:num>
            <m:den>
              <m:r>
                <w:rPr>
                  <w:rFonts w:ascii="Cambria Math" w:hAnsi="Cambria Math"/>
                  <w:sz w:val="18"/>
                </w:rPr>
                <m:t>2</m:t>
              </m:r>
            </m:den>
          </m:f>
          <m:r>
            <w:rPr>
              <w:rFonts w:ascii="Cambria Math" w:hAnsi="Cambria Math"/>
              <w:sz w:val="18"/>
            </w:rPr>
            <m:t>]</m:t>
          </m:r>
        </m:oMath>
      </m:oMathPara>
    </w:p>
    <w:p w:rsidR="005E3E3A" w:rsidRDefault="005E3E3A" w:rsidP="00FC58B1">
      <w:pPr>
        <w:rPr>
          <w:lang w:val="en-US" w:eastAsia="zh-CN"/>
        </w:rPr>
      </w:pPr>
    </w:p>
    <w:p w:rsidR="0058110B" w:rsidRDefault="0058110B" w:rsidP="006704F7">
      <w:pPr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>In the same tables, the “</w:t>
      </w:r>
      <w:r w:rsidRPr="0058110B">
        <w:rPr>
          <w:lang w:val="en-US" w:eastAsia="zh-CN"/>
        </w:rPr>
        <w:t>Pattern combining</w:t>
      </w:r>
      <w:r>
        <w:rPr>
          <w:lang w:val="en-US" w:eastAsia="zh-CN"/>
        </w:rPr>
        <w:t xml:space="preserve"> </w:t>
      </w:r>
      <w:r w:rsidRPr="0058110B">
        <w:rPr>
          <w:lang w:val="en-US" w:eastAsia="zh-CN"/>
        </w:rPr>
        <w:t>method for 3D</w:t>
      </w:r>
      <w:r>
        <w:rPr>
          <w:lang w:val="en-US" w:eastAsia="zh-CN"/>
        </w:rPr>
        <w:t>” is unclear for the following reasons</w:t>
      </w:r>
      <w:r w:rsidR="0028634D">
        <w:rPr>
          <w:lang w:val="en-US" w:eastAsia="zh-CN"/>
        </w:rPr>
        <w:t>:</w:t>
      </w:r>
    </w:p>
    <w:p w:rsidR="0058110B" w:rsidRDefault="0058110B" w:rsidP="0058110B">
      <w:pPr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>The notation is not consistent with the notation used in the horizontal and vertical pattern above</w:t>
      </w:r>
      <w:r w:rsidR="00DE1B1A">
        <w:rPr>
          <w:lang w:val="en-US" w:eastAsia="zh-CN"/>
        </w:rPr>
        <w:t xml:space="preserve"> (e.g.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G</m:t>
            </m:r>
          </m:e>
          <m:sub>
            <m:r>
              <w:rPr>
                <w:rFonts w:ascii="Cambria Math" w:hAnsi="Cambria Math"/>
                <w:sz w:val="18"/>
              </w:rPr>
              <m:t>V</m:t>
            </m:r>
          </m:sub>
        </m:sSub>
      </m:oMath>
      <w:r w:rsidR="00DE1B1A">
        <w:rPr>
          <w:lang w:val="en-US" w:eastAsia="zh-CN"/>
        </w:rPr>
        <w:t xml:space="preserve"> instead of </w:t>
      </w:r>
      <m:oMath>
        <m:sSubSup>
          <m:sSubSupPr>
            <m:ctrlPr>
              <w:rPr>
                <w:rFonts w:ascii="Cambria Math" w:hAnsi="Cambria Math"/>
                <w:i/>
                <w:sz w:val="18"/>
              </w:rPr>
            </m:ctrlPr>
          </m:sSubSupPr>
          <m:e>
            <m:r>
              <w:rPr>
                <w:rFonts w:ascii="Cambria Math" w:hAnsi="Cambria Math"/>
                <w:sz w:val="18"/>
              </w:rPr>
              <m:t>Av</m:t>
            </m:r>
          </m:e>
          <m:sub>
            <m:r>
              <w:rPr>
                <w:rFonts w:ascii="Cambria Math" w:hAnsi="Cambria Math"/>
                <w:sz w:val="18"/>
              </w:rPr>
              <m:t>dB</m:t>
            </m:r>
          </m:sub>
          <m:sup>
            <m:r>
              <w:rPr>
                <w:rFonts w:ascii="Cambria Math" w:hAnsi="Cambria Math"/>
                <w:sz w:val="18"/>
              </w:rPr>
              <m:t>"</m:t>
            </m:r>
          </m:sup>
        </m:sSubSup>
      </m:oMath>
      <w:r w:rsidR="00DE1B1A">
        <w:rPr>
          <w:lang w:val="en-US" w:eastAsia="zh-CN"/>
        </w:rPr>
        <w:t>)</w:t>
      </w:r>
      <w:r>
        <w:rPr>
          <w:lang w:val="en-US" w:eastAsia="zh-CN"/>
        </w:rPr>
        <w:t>;</w:t>
      </w:r>
    </w:p>
    <w:p w:rsidR="0058110B" w:rsidRDefault="0058110B" w:rsidP="0058110B">
      <w:pPr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 xml:space="preserve">Without reference to the paper on the </w:t>
      </w:r>
      <w:r w:rsidR="003B319F">
        <w:rPr>
          <w:lang w:val="en-US" w:eastAsia="zh-CN"/>
        </w:rPr>
        <w:t xml:space="preserve">pattern </w:t>
      </w:r>
      <w:r>
        <w:rPr>
          <w:lang w:val="en-US" w:eastAsia="zh-CN"/>
        </w:rPr>
        <w:t xml:space="preserve">combining method </w:t>
      </w:r>
      <w:r w:rsidR="006704F7">
        <w:rPr>
          <w:lang w:val="en-US" w:eastAsia="zh-CN"/>
        </w:rPr>
        <w:fldChar w:fldCharType="begin"/>
      </w:r>
      <w:r w:rsidR="006704F7">
        <w:rPr>
          <w:lang w:val="en-US" w:eastAsia="zh-CN"/>
        </w:rPr>
        <w:instrText xml:space="preserve"> REF _Ref521667167 \n \h </w:instrText>
      </w:r>
      <w:r w:rsidR="006704F7">
        <w:rPr>
          <w:lang w:val="en-US" w:eastAsia="zh-CN"/>
        </w:rPr>
      </w:r>
      <w:r w:rsidR="006704F7">
        <w:rPr>
          <w:lang w:val="en-US" w:eastAsia="zh-CN"/>
        </w:rPr>
        <w:fldChar w:fldCharType="separate"/>
      </w:r>
      <w:r w:rsidR="00FD5A37">
        <w:rPr>
          <w:cs/>
          <w:lang w:val="en-US" w:eastAsia="zh-CN"/>
        </w:rPr>
        <w:t>‎</w:t>
      </w:r>
      <w:r w:rsidR="00FD5A37">
        <w:rPr>
          <w:lang w:val="en-US" w:eastAsia="zh-CN"/>
        </w:rPr>
        <w:t>[4]</w:t>
      </w:r>
      <w:r w:rsidR="006704F7">
        <w:rPr>
          <w:lang w:val="en-US" w:eastAsia="zh-CN"/>
        </w:rPr>
        <w:fldChar w:fldCharType="end"/>
      </w:r>
      <w:r w:rsidR="006704F7">
        <w:rPr>
          <w:lang w:val="en-US" w:eastAsia="zh-CN"/>
        </w:rPr>
        <w:t xml:space="preserve"> </w:t>
      </w:r>
      <w:r>
        <w:rPr>
          <w:lang w:val="en-US" w:eastAsia="zh-CN"/>
        </w:rPr>
        <w:t xml:space="preserve">it is not clear what </w:t>
      </w:r>
      <w:r w:rsidR="006704F7">
        <w:rPr>
          <w:lang w:val="en-US" w:eastAsia="zh-CN"/>
        </w:rPr>
        <w:t xml:space="preserve">the meaning of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ϕ</m:t>
            </m:r>
          </m:e>
          <m:sub>
            <m:r>
              <w:rPr>
                <w:rFonts w:ascii="Cambria Math" w:hAnsi="Cambria Math"/>
                <w:sz w:val="18"/>
              </w:rPr>
              <m:t>1</m:t>
            </m:r>
          </m:sub>
        </m:sSub>
      </m:oMath>
      <w:r w:rsidR="006704F7">
        <w:rPr>
          <w:lang w:val="en-US" w:eastAsia="zh-CN"/>
        </w:rPr>
        <w:t>,</w:t>
      </w:r>
      <w:r w:rsidR="00DE1B1A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ϕ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</m:oMath>
      <w:r w:rsidR="003B319F">
        <w:rPr>
          <w:lang w:val="en-US" w:eastAsia="zh-CN"/>
        </w:rPr>
        <w:t xml:space="preserve"> etc </w:t>
      </w:r>
      <w:r w:rsidR="006704F7">
        <w:rPr>
          <w:lang w:val="en-US" w:eastAsia="zh-CN"/>
        </w:rPr>
        <w:t>is.</w:t>
      </w:r>
    </w:p>
    <w:p w:rsidR="0058110B" w:rsidRDefault="0058110B" w:rsidP="00FC58B1">
      <w:pPr>
        <w:rPr>
          <w:lang w:val="en-US" w:eastAsia="zh-CN"/>
        </w:rPr>
      </w:pPr>
    </w:p>
    <w:p w:rsidR="008C021C" w:rsidRDefault="0028634D" w:rsidP="00FC58B1">
      <w:pPr>
        <w:rPr>
          <w:lang w:val="en-US" w:eastAsia="zh-CN"/>
        </w:rPr>
      </w:pPr>
      <w:r>
        <w:rPr>
          <w:lang w:val="en-US" w:eastAsia="zh-CN"/>
        </w:rPr>
        <w:t>In our view, the best way forward to resolve these issues is to amend the TR.</w:t>
      </w:r>
    </w:p>
    <w:p w:rsidR="00BA5C23" w:rsidRDefault="00BA5C23" w:rsidP="00FC58B1">
      <w:pPr>
        <w:rPr>
          <w:lang w:val="en-US" w:eastAsia="zh-CN"/>
        </w:rPr>
      </w:pPr>
    </w:p>
    <w:p w:rsidR="00CE59D8" w:rsidRPr="005867B5" w:rsidRDefault="00283C34" w:rsidP="000D33B2">
      <w:pPr>
        <w:rPr>
          <w:lang w:val="en-US" w:eastAsia="zh-CN"/>
        </w:rPr>
      </w:pPr>
      <w:bookmarkStart w:id="3" w:name="Correct"/>
      <w:r w:rsidRPr="00283C34">
        <w:rPr>
          <w:b/>
          <w:bCs/>
          <w:lang w:val="en-US" w:eastAsia="zh-CN"/>
        </w:rPr>
        <w:t>Proposal</w:t>
      </w:r>
      <w:r w:rsidR="005570E4">
        <w:rPr>
          <w:b/>
          <w:bCs/>
          <w:lang w:val="en-US" w:eastAsia="zh-CN"/>
        </w:rPr>
        <w:t xml:space="preserve"> </w:t>
      </w:r>
      <w:r w:rsidR="009B06F7">
        <w:rPr>
          <w:b/>
          <w:bCs/>
          <w:lang w:val="en-US" w:eastAsia="zh-CN"/>
        </w:rPr>
        <w:fldChar w:fldCharType="begin"/>
      </w:r>
      <w:r w:rsidR="009B06F7">
        <w:rPr>
          <w:b/>
          <w:bCs/>
          <w:lang w:val="en-US" w:eastAsia="zh-CN"/>
        </w:rPr>
        <w:instrText xml:space="preserve"> SEQ Proposal \* Arabic </w:instrText>
      </w:r>
      <w:r w:rsidR="009B06F7">
        <w:rPr>
          <w:b/>
          <w:bCs/>
          <w:lang w:val="en-US" w:eastAsia="zh-CN"/>
        </w:rPr>
        <w:fldChar w:fldCharType="separate"/>
      </w:r>
      <w:r w:rsidR="00FD5A37">
        <w:rPr>
          <w:b/>
          <w:bCs/>
          <w:noProof/>
          <w:lang w:val="en-US" w:eastAsia="zh-CN"/>
        </w:rPr>
        <w:t>1</w:t>
      </w:r>
      <w:r w:rsidR="009B06F7"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r w:rsidR="0028634D">
        <w:rPr>
          <w:b/>
          <w:bCs/>
          <w:lang w:val="en-US" w:eastAsia="zh-CN"/>
        </w:rPr>
        <w:t xml:space="preserve">Correct the vertical antenna pattern formulae and elaborate on the pattern combining method in </w:t>
      </w:r>
      <w:r w:rsidR="0028634D" w:rsidRPr="0028634D">
        <w:rPr>
          <w:b/>
          <w:bCs/>
          <w:lang w:val="en-US" w:eastAsia="zh-CN"/>
        </w:rPr>
        <w:t>Table 6.1.4-10 and Table 6.1.4-11</w:t>
      </w:r>
      <w:r w:rsidR="0028634D">
        <w:rPr>
          <w:b/>
          <w:bCs/>
          <w:lang w:val="en-US" w:eastAsia="zh-CN"/>
        </w:rPr>
        <w:t xml:space="preserve"> of TR 37.885.</w:t>
      </w:r>
      <w:bookmarkEnd w:id="3"/>
      <w:r w:rsidR="005867B5">
        <w:rPr>
          <w:lang w:val="en-US" w:eastAsia="zh-CN"/>
        </w:rPr>
        <w:br/>
      </w:r>
      <w:r w:rsidR="005867B5">
        <w:rPr>
          <w:lang w:val="en-US" w:eastAsia="zh-CN"/>
        </w:rPr>
        <w:br/>
      </w:r>
      <w:r w:rsidR="001B0001">
        <w:rPr>
          <w:b/>
          <w:bCs/>
          <w:lang w:val="en-US" w:eastAsia="zh-CN"/>
        </w:rPr>
        <w:br/>
      </w:r>
    </w:p>
    <w:p w:rsidR="00D65420" w:rsidRDefault="00D65420" w:rsidP="001562FD">
      <w:pPr>
        <w:rPr>
          <w:lang w:val="en-US" w:eastAsia="zh-CN"/>
        </w:rPr>
      </w:pPr>
    </w:p>
    <w:p w:rsidR="0037523A" w:rsidRDefault="0037523A" w:rsidP="00FC58B1">
      <w:pPr>
        <w:rPr>
          <w:lang w:val="en-US" w:eastAsia="zh-CN"/>
        </w:rPr>
      </w:pPr>
    </w:p>
    <w:p w:rsidR="0037523A" w:rsidRDefault="0037523A" w:rsidP="00FC58B1">
      <w:pPr>
        <w:rPr>
          <w:lang w:val="en-US" w:eastAsia="zh-CN"/>
        </w:rPr>
      </w:pPr>
    </w:p>
    <w:p w:rsidR="00ED1977" w:rsidRDefault="00ED1977" w:rsidP="00FC58B1">
      <w:pPr>
        <w:rPr>
          <w:lang w:val="en-US" w:eastAsia="zh-CN"/>
        </w:rPr>
      </w:pPr>
    </w:p>
    <w:p w:rsidR="007A3EA4" w:rsidRPr="00FC58B1" w:rsidRDefault="007A3EA4" w:rsidP="00FC58B1">
      <w:pPr>
        <w:rPr>
          <w:lang w:val="en-US" w:eastAsia="zh-CN"/>
        </w:rPr>
      </w:pPr>
    </w:p>
    <w:p w:rsidR="0010510D" w:rsidRDefault="0010510D" w:rsidP="005E2BEC">
      <w:pPr>
        <w:rPr>
          <w:lang w:eastAsia="zh-CN"/>
        </w:rPr>
      </w:pPr>
    </w:p>
    <w:p w:rsidR="000D2D9E" w:rsidRPr="00A272F4" w:rsidRDefault="000D2D9E" w:rsidP="000D2D9E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:rsidR="00147DC9" w:rsidRDefault="000D2D9E" w:rsidP="00ED066E">
      <w:pPr>
        <w:jc w:val="both"/>
        <w:rPr>
          <w:lang w:val="en-US"/>
        </w:rPr>
      </w:pPr>
      <w:r w:rsidRPr="00A272F4">
        <w:rPr>
          <w:lang w:val="en-US"/>
        </w:rPr>
        <w:t>In this contribution</w:t>
      </w:r>
      <w:r w:rsidR="00FD5A37">
        <w:rPr>
          <w:lang w:val="en-US"/>
        </w:rPr>
        <w:t xml:space="preserve"> we discussed defects in TR 37.885 and propose:</w:t>
      </w:r>
    </w:p>
    <w:p w:rsidR="0070042A" w:rsidRPr="006307C2" w:rsidRDefault="00FD5A37" w:rsidP="005E2BEC">
      <w:pPr>
        <w:rPr>
          <w:lang w:eastAsia="zh-CN"/>
        </w:rPr>
      </w:pPr>
      <w:r>
        <w:rPr>
          <w:lang w:val="en-US"/>
        </w:rPr>
        <w:fldChar w:fldCharType="begin"/>
      </w:r>
      <w:r>
        <w:rPr>
          <w:lang w:eastAsia="zh-CN"/>
        </w:rPr>
        <w:instrText xml:space="preserve"> REF Correct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noProof/>
          <w:lang w:val="en-US" w:eastAsia="zh-CN"/>
        </w:rPr>
        <w:t>1</w:t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Correct the vertical antenna pattern formulae and elaborate on the pattern combining method in </w:t>
      </w:r>
      <w:r w:rsidRPr="0028634D">
        <w:rPr>
          <w:b/>
          <w:bCs/>
          <w:lang w:val="en-US" w:eastAsia="zh-CN"/>
        </w:rPr>
        <w:t>Table 6.1.4-10 and Table 6.1.4-11</w:t>
      </w:r>
      <w:r>
        <w:rPr>
          <w:b/>
          <w:bCs/>
          <w:lang w:val="en-US" w:eastAsia="zh-CN"/>
        </w:rPr>
        <w:t xml:space="preserve"> of TR 37.885.</w:t>
      </w:r>
      <w:r>
        <w:rPr>
          <w:lang w:val="en-US"/>
        </w:rPr>
        <w:fldChar w:fldCharType="end"/>
      </w: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5E2BEC" w:rsidRDefault="00A65F11" w:rsidP="00A65F11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4" w:name="_Ref513823147"/>
      <w:bookmarkStart w:id="5" w:name="_Ref521663021"/>
      <w:r>
        <w:rPr>
          <w:lang w:val="en-US" w:eastAsia="zh-CN"/>
        </w:rPr>
        <w:t>RP-181480, “</w:t>
      </w:r>
      <w:bookmarkEnd w:id="4"/>
      <w:r w:rsidRPr="00A65F11">
        <w:rPr>
          <w:lang w:val="en-US" w:eastAsia="zh-CN"/>
        </w:rPr>
        <w:t>New SID: Study on NR V2X</w:t>
      </w:r>
      <w:r>
        <w:rPr>
          <w:lang w:val="en-US" w:eastAsia="zh-CN"/>
        </w:rPr>
        <w:t>”</w:t>
      </w:r>
      <w:bookmarkEnd w:id="5"/>
    </w:p>
    <w:p w:rsidR="00392A2F" w:rsidRDefault="00392A2F" w:rsidP="00392A2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6" w:name="_Ref521660723"/>
      <w:r w:rsidRPr="00392A2F">
        <w:rPr>
          <w:lang w:val="en-US" w:eastAsia="zh-CN"/>
        </w:rPr>
        <w:t>RP-171093</w:t>
      </w:r>
      <w:r>
        <w:rPr>
          <w:lang w:val="en-US" w:eastAsia="zh-CN"/>
        </w:rPr>
        <w:t>, “</w:t>
      </w:r>
      <w:r w:rsidRPr="00392A2F">
        <w:rPr>
          <w:lang w:val="en-US" w:eastAsia="zh-CN"/>
        </w:rPr>
        <w:t>Study on evaluation methodology of new V2X use cases for LTE and NR</w:t>
      </w:r>
      <w:r>
        <w:rPr>
          <w:lang w:val="en-US" w:eastAsia="zh-CN"/>
        </w:rPr>
        <w:t>”</w:t>
      </w:r>
      <w:bookmarkEnd w:id="6"/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7" w:name="_Ref521660732"/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  <w:bookmarkEnd w:id="7"/>
    </w:p>
    <w:p w:rsidR="003B319F" w:rsidRPr="002F7C82" w:rsidRDefault="003B319F" w:rsidP="003B319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8" w:name="_Ref521667167"/>
      <w:r w:rsidRPr="003B319F">
        <w:rPr>
          <w:lang w:val="en-US" w:eastAsia="zh-CN"/>
        </w:rPr>
        <w:t>F. Gil, A. R. Claro, J. M. Ferreira, C. Pardelinha and L. M. Correia, "A 3-D extrapolation model for base station antennas' radiation patterns," Gateway to 21st Century Communications Village. VTC 1999-Fall. IEEE VTS 50th Vehicular Technology Conference (Cat. No.99CH36324), Amsterdam, The Netherlands, 1999, pp. 1341-1345 vol.3.</w:t>
      </w:r>
      <w:bookmarkEnd w:id="8"/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951" w:rsidRDefault="00D56951">
      <w:r>
        <w:separator/>
      </w:r>
    </w:p>
  </w:endnote>
  <w:endnote w:type="continuationSeparator" w:id="0">
    <w:p w:rsidR="00D56951" w:rsidRDefault="00D56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951" w:rsidRDefault="00D56951">
      <w:r>
        <w:separator/>
      </w:r>
    </w:p>
  </w:footnote>
  <w:footnote w:type="continuationSeparator" w:id="0">
    <w:p w:rsidR="00D56951" w:rsidRDefault="00D56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0B321F"/>
    <w:multiLevelType w:val="hybridMultilevel"/>
    <w:tmpl w:val="159A2AA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D86902"/>
    <w:multiLevelType w:val="hybridMultilevel"/>
    <w:tmpl w:val="261EC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1"/>
  </w:num>
  <w:num w:numId="6">
    <w:abstractNumId w:val="1"/>
  </w:num>
  <w:num w:numId="7">
    <w:abstractNumId w:val="12"/>
  </w:num>
  <w:num w:numId="8">
    <w:abstractNumId w:val="4"/>
  </w:num>
  <w:num w:numId="9">
    <w:abstractNumId w:val="5"/>
  </w:num>
  <w:num w:numId="10">
    <w:abstractNumId w:val="10"/>
  </w:num>
  <w:num w:numId="11">
    <w:abstractNumId w:val="13"/>
  </w:num>
  <w:num w:numId="12">
    <w:abstractNumId w:val="14"/>
  </w:num>
  <w:num w:numId="13">
    <w:abstractNumId w:val="6"/>
  </w:num>
  <w:num w:numId="1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38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6D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3EA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5B0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34D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A2F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19F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8A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10B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3E3A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4F7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072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2CE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021C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8F9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4FA5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3B4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5E4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23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03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2F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951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1B1A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293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05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A3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A37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783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F568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F568A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F568A3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F568A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F568A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F568A3"/>
    <w:pPr>
      <w:outlineLvl w:val="5"/>
    </w:pPr>
  </w:style>
  <w:style w:type="paragraph" w:styleId="Heading7">
    <w:name w:val="heading 7"/>
    <w:basedOn w:val="H6"/>
    <w:next w:val="Normal"/>
    <w:qFormat/>
    <w:rsid w:val="00F568A3"/>
    <w:pPr>
      <w:outlineLvl w:val="6"/>
    </w:pPr>
  </w:style>
  <w:style w:type="paragraph" w:styleId="Heading8">
    <w:name w:val="heading 8"/>
    <w:basedOn w:val="Heading1"/>
    <w:next w:val="Normal"/>
    <w:qFormat/>
    <w:rsid w:val="00F568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68A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78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7838"/>
  </w:style>
  <w:style w:type="paragraph" w:styleId="TOC8">
    <w:name w:val="toc 8"/>
    <w:basedOn w:val="TOC1"/>
    <w:semiHidden/>
    <w:rsid w:val="00F568A3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F568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F568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F568A3"/>
    <w:pPr>
      <w:ind w:left="1701" w:hanging="1701"/>
    </w:pPr>
  </w:style>
  <w:style w:type="paragraph" w:styleId="TOC4">
    <w:name w:val="toc 4"/>
    <w:basedOn w:val="TOC3"/>
    <w:semiHidden/>
    <w:rsid w:val="00F568A3"/>
    <w:pPr>
      <w:ind w:left="1418" w:hanging="1418"/>
    </w:pPr>
  </w:style>
  <w:style w:type="paragraph" w:styleId="TOC3">
    <w:name w:val="toc 3"/>
    <w:basedOn w:val="TOC2"/>
    <w:semiHidden/>
    <w:rsid w:val="00F568A3"/>
    <w:pPr>
      <w:ind w:left="1134" w:hanging="1134"/>
    </w:pPr>
  </w:style>
  <w:style w:type="paragraph" w:styleId="TOC2">
    <w:name w:val="toc 2"/>
    <w:basedOn w:val="TOC1"/>
    <w:semiHidden/>
    <w:rsid w:val="00F568A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F568A3"/>
    <w:pPr>
      <w:ind w:left="284"/>
    </w:pPr>
  </w:style>
  <w:style w:type="paragraph" w:styleId="Index1">
    <w:name w:val="index 1"/>
    <w:basedOn w:val="Normal"/>
    <w:semiHidden/>
    <w:rsid w:val="00F568A3"/>
    <w:pPr>
      <w:keepLines/>
      <w:spacing w:after="0"/>
    </w:pPr>
  </w:style>
  <w:style w:type="paragraph" w:customStyle="1" w:styleId="ZH">
    <w:name w:val="ZH"/>
    <w:rsid w:val="00F568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F568A3"/>
    <w:pPr>
      <w:outlineLvl w:val="9"/>
    </w:pPr>
  </w:style>
  <w:style w:type="paragraph" w:styleId="ListNumber2">
    <w:name w:val="List Number 2"/>
    <w:basedOn w:val="ListNumber"/>
    <w:rsid w:val="00F568A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568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F568A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568A3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F568A3"/>
    <w:rPr>
      <w:b/>
      <w:bCs/>
    </w:rPr>
  </w:style>
  <w:style w:type="paragraph" w:customStyle="1" w:styleId="TAC">
    <w:name w:val="TAC"/>
    <w:basedOn w:val="TAL"/>
    <w:link w:val="TACChar"/>
    <w:rsid w:val="00F568A3"/>
    <w:pPr>
      <w:jc w:val="center"/>
    </w:pPr>
  </w:style>
  <w:style w:type="paragraph" w:customStyle="1" w:styleId="TF">
    <w:name w:val="TF"/>
    <w:basedOn w:val="TH"/>
    <w:link w:val="TFChar"/>
    <w:rsid w:val="00F568A3"/>
    <w:pPr>
      <w:keepNext w:val="0"/>
      <w:spacing w:before="0" w:after="240"/>
    </w:pPr>
  </w:style>
  <w:style w:type="paragraph" w:customStyle="1" w:styleId="NO">
    <w:name w:val="NO"/>
    <w:basedOn w:val="Normal"/>
    <w:rsid w:val="00F568A3"/>
    <w:pPr>
      <w:keepLines/>
      <w:ind w:left="1135" w:hanging="851"/>
    </w:pPr>
  </w:style>
  <w:style w:type="paragraph" w:styleId="TOC9">
    <w:name w:val="toc 9"/>
    <w:basedOn w:val="TOC8"/>
    <w:semiHidden/>
    <w:rsid w:val="00F568A3"/>
    <w:pPr>
      <w:ind w:left="1418" w:hanging="1418"/>
    </w:pPr>
  </w:style>
  <w:style w:type="paragraph" w:customStyle="1" w:styleId="EX">
    <w:name w:val="EX"/>
    <w:basedOn w:val="Normal"/>
    <w:rsid w:val="00F568A3"/>
    <w:pPr>
      <w:keepLines/>
      <w:ind w:left="1702" w:hanging="1418"/>
    </w:pPr>
  </w:style>
  <w:style w:type="paragraph" w:customStyle="1" w:styleId="FP">
    <w:name w:val="FP"/>
    <w:basedOn w:val="Normal"/>
    <w:rsid w:val="00F568A3"/>
    <w:pPr>
      <w:spacing w:after="0"/>
    </w:pPr>
  </w:style>
  <w:style w:type="paragraph" w:customStyle="1" w:styleId="LD">
    <w:name w:val="LD"/>
    <w:rsid w:val="00F568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F568A3"/>
    <w:pPr>
      <w:spacing w:after="0"/>
    </w:pPr>
  </w:style>
  <w:style w:type="paragraph" w:customStyle="1" w:styleId="EW">
    <w:name w:val="EW"/>
    <w:basedOn w:val="EX"/>
    <w:rsid w:val="00F568A3"/>
    <w:pPr>
      <w:spacing w:after="0"/>
    </w:pPr>
  </w:style>
  <w:style w:type="paragraph" w:styleId="TOC6">
    <w:name w:val="toc 6"/>
    <w:basedOn w:val="TOC5"/>
    <w:next w:val="Normal"/>
    <w:semiHidden/>
    <w:rsid w:val="00F568A3"/>
    <w:pPr>
      <w:ind w:left="1985" w:hanging="1985"/>
    </w:pPr>
  </w:style>
  <w:style w:type="paragraph" w:styleId="TOC7">
    <w:name w:val="toc 7"/>
    <w:basedOn w:val="TOC6"/>
    <w:next w:val="Normal"/>
    <w:semiHidden/>
    <w:rsid w:val="00F568A3"/>
    <w:pPr>
      <w:ind w:left="2268" w:hanging="2268"/>
    </w:pPr>
  </w:style>
  <w:style w:type="paragraph" w:styleId="ListBullet2">
    <w:name w:val="List Bullet 2"/>
    <w:basedOn w:val="ListBullet"/>
    <w:rsid w:val="00F568A3"/>
    <w:pPr>
      <w:ind w:left="851"/>
    </w:pPr>
  </w:style>
  <w:style w:type="paragraph" w:styleId="ListBullet3">
    <w:name w:val="List Bullet 3"/>
    <w:basedOn w:val="ListBullet2"/>
    <w:rsid w:val="00F568A3"/>
    <w:pPr>
      <w:ind w:left="1135"/>
    </w:pPr>
  </w:style>
  <w:style w:type="paragraph" w:styleId="ListNumber">
    <w:name w:val="List Number"/>
    <w:basedOn w:val="List"/>
    <w:rsid w:val="00F568A3"/>
  </w:style>
  <w:style w:type="paragraph" w:customStyle="1" w:styleId="EQ">
    <w:name w:val="EQ"/>
    <w:basedOn w:val="Normal"/>
    <w:next w:val="Normal"/>
    <w:rsid w:val="00F568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568A3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F568A3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F568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F568A3"/>
    <w:pPr>
      <w:jc w:val="right"/>
    </w:pPr>
  </w:style>
  <w:style w:type="paragraph" w:customStyle="1" w:styleId="H6">
    <w:name w:val="H6"/>
    <w:basedOn w:val="Heading5"/>
    <w:next w:val="Normal"/>
    <w:rsid w:val="00F568A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F568A3"/>
    <w:pPr>
      <w:ind w:left="851" w:hanging="851"/>
    </w:pPr>
  </w:style>
  <w:style w:type="paragraph" w:customStyle="1" w:styleId="TAL">
    <w:name w:val="TAL"/>
    <w:basedOn w:val="Normal"/>
    <w:link w:val="TALCar"/>
    <w:rsid w:val="00F568A3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F568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F568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F568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F568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F568A3"/>
    <w:pPr>
      <w:framePr w:wrap="notBeside" w:y="16161"/>
    </w:pPr>
  </w:style>
  <w:style w:type="character" w:customStyle="1" w:styleId="ZGSM">
    <w:name w:val="ZGSM"/>
    <w:rsid w:val="00F568A3"/>
  </w:style>
  <w:style w:type="paragraph" w:styleId="List2">
    <w:name w:val="List 2"/>
    <w:basedOn w:val="List"/>
    <w:rsid w:val="00F568A3"/>
    <w:pPr>
      <w:ind w:left="851"/>
    </w:pPr>
  </w:style>
  <w:style w:type="paragraph" w:customStyle="1" w:styleId="ZG">
    <w:name w:val="ZG"/>
    <w:rsid w:val="00F568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F568A3"/>
    <w:pPr>
      <w:ind w:left="1135"/>
    </w:pPr>
  </w:style>
  <w:style w:type="paragraph" w:styleId="List4">
    <w:name w:val="List 4"/>
    <w:basedOn w:val="List3"/>
    <w:rsid w:val="00F568A3"/>
    <w:pPr>
      <w:ind w:left="1418"/>
    </w:pPr>
  </w:style>
  <w:style w:type="paragraph" w:styleId="List5">
    <w:name w:val="List 5"/>
    <w:basedOn w:val="List4"/>
    <w:rsid w:val="00F568A3"/>
    <w:pPr>
      <w:ind w:left="1702"/>
    </w:pPr>
  </w:style>
  <w:style w:type="paragraph" w:customStyle="1" w:styleId="EditorsNote">
    <w:name w:val="Editor's Note"/>
    <w:basedOn w:val="NO"/>
    <w:rsid w:val="00F568A3"/>
    <w:rPr>
      <w:color w:val="FF0000"/>
    </w:rPr>
  </w:style>
  <w:style w:type="paragraph" w:styleId="List">
    <w:name w:val="List"/>
    <w:basedOn w:val="Normal"/>
    <w:rsid w:val="00F568A3"/>
    <w:pPr>
      <w:ind w:left="568" w:hanging="284"/>
    </w:pPr>
  </w:style>
  <w:style w:type="paragraph" w:styleId="ListBullet">
    <w:name w:val="List Bullet"/>
    <w:basedOn w:val="List"/>
    <w:rsid w:val="00F568A3"/>
  </w:style>
  <w:style w:type="paragraph" w:styleId="ListBullet4">
    <w:name w:val="List Bullet 4"/>
    <w:basedOn w:val="ListBullet3"/>
    <w:rsid w:val="00F568A3"/>
    <w:pPr>
      <w:ind w:left="1418"/>
    </w:pPr>
  </w:style>
  <w:style w:type="paragraph" w:styleId="ListBullet5">
    <w:name w:val="List Bullet 5"/>
    <w:basedOn w:val="ListBullet4"/>
    <w:rsid w:val="00F568A3"/>
    <w:pPr>
      <w:ind w:left="1702"/>
    </w:pPr>
  </w:style>
  <w:style w:type="paragraph" w:customStyle="1" w:styleId="B1">
    <w:name w:val="B1"/>
    <w:basedOn w:val="List"/>
    <w:rsid w:val="00F568A3"/>
  </w:style>
  <w:style w:type="paragraph" w:customStyle="1" w:styleId="B2">
    <w:name w:val="B2"/>
    <w:basedOn w:val="List2"/>
    <w:rsid w:val="00F568A3"/>
  </w:style>
  <w:style w:type="paragraph" w:customStyle="1" w:styleId="B3">
    <w:name w:val="B3"/>
    <w:basedOn w:val="List3"/>
    <w:rsid w:val="00F568A3"/>
  </w:style>
  <w:style w:type="paragraph" w:customStyle="1" w:styleId="B4">
    <w:name w:val="B4"/>
    <w:basedOn w:val="List4"/>
    <w:rsid w:val="00F568A3"/>
  </w:style>
  <w:style w:type="paragraph" w:customStyle="1" w:styleId="B5">
    <w:name w:val="B5"/>
    <w:basedOn w:val="List5"/>
    <w:rsid w:val="00F568A3"/>
  </w:style>
  <w:style w:type="paragraph" w:styleId="Footer">
    <w:name w:val="footer"/>
    <w:basedOn w:val="Header"/>
    <w:link w:val="FooterChar"/>
    <w:rsid w:val="00F568A3"/>
    <w:pPr>
      <w:jc w:val="center"/>
    </w:pPr>
    <w:rPr>
      <w:i/>
      <w:iCs/>
    </w:rPr>
  </w:style>
  <w:style w:type="paragraph" w:customStyle="1" w:styleId="ZTD">
    <w:name w:val="ZTD"/>
    <w:basedOn w:val="ZB"/>
    <w:rsid w:val="00F568A3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3E455-3ECE-47AC-B8A9-49448603B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2018-08-10T22:36:00Z</dcterms:created>
  <dcterms:modified xsi:type="dcterms:W3CDTF">2018-08-10T22:37:00Z</dcterms:modified>
</cp:coreProperties>
</file>