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CDA0F" w14:textId="575971AB" w:rsidR="00FD3D05" w:rsidRPr="00446F9D" w:rsidRDefault="00FD3D05" w:rsidP="00FD3D05">
      <w:pPr>
        <w:pStyle w:val="Header"/>
        <w:tabs>
          <w:tab w:val="clear" w:pos="4536"/>
        </w:tabs>
        <w:rPr>
          <w:i/>
        </w:rPr>
      </w:pPr>
      <w:r w:rsidRPr="00446F9D">
        <w:t xml:space="preserve">TSG-RAN WG1 </w:t>
      </w:r>
      <w:r>
        <w:t>#92bis</w:t>
      </w:r>
      <w:r w:rsidRPr="00446F9D">
        <w:tab/>
      </w:r>
      <w:r w:rsidRPr="00083069">
        <w:t>R1-18</w:t>
      </w:r>
      <w:r w:rsidR="00E0557D">
        <w:t>05199</w:t>
      </w:r>
      <w:bookmarkStart w:id="0" w:name="_GoBack"/>
      <w:bookmarkEnd w:id="0"/>
    </w:p>
    <w:p w14:paraId="5A664A3D" w14:textId="77777777" w:rsidR="00FD3D05" w:rsidRPr="000833FA" w:rsidRDefault="00FD3D05" w:rsidP="00FD3D05">
      <w:pPr>
        <w:pStyle w:val="Header"/>
        <w:rPr>
          <w:color w:val="000000"/>
        </w:rPr>
      </w:pPr>
      <w:r>
        <w:t>Sanya, China, April 16 – 20, 2018</w:t>
      </w:r>
    </w:p>
    <w:p w14:paraId="6B69A6F1" w14:textId="77777777" w:rsidR="00A6549D" w:rsidRPr="000833FA" w:rsidRDefault="00A6549D" w:rsidP="00A6549D">
      <w:pPr>
        <w:pStyle w:val="Header"/>
      </w:pPr>
    </w:p>
    <w:p w14:paraId="4F365DAA"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3B4352C" w14:textId="5A094475" w:rsidR="00F618ED" w:rsidRPr="00E220C0" w:rsidRDefault="00F618ED" w:rsidP="00F618ED">
      <w:pPr>
        <w:pStyle w:val="Header"/>
        <w:tabs>
          <w:tab w:val="clear" w:pos="4536"/>
          <w:tab w:val="left" w:pos="1800"/>
        </w:tabs>
      </w:pPr>
      <w:r w:rsidRPr="0003368D">
        <w:t>Title:</w:t>
      </w:r>
      <w:bookmarkStart w:id="1" w:name="Title"/>
      <w:bookmarkEnd w:id="1"/>
      <w:r w:rsidRPr="0003368D">
        <w:tab/>
      </w:r>
      <w:r w:rsidR="00AE4794" w:rsidRPr="00AE4794">
        <w:t>On BWP adaptation</w:t>
      </w:r>
    </w:p>
    <w:p w14:paraId="6368C0D5" w14:textId="39EFEA0A"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bookmarkEnd w:id="3"/>
      <w:r w:rsidR="00B46598">
        <w:t>1.3.</w:t>
      </w:r>
      <w:r w:rsidR="00083069">
        <w:t>4.1</w:t>
      </w:r>
    </w:p>
    <w:p w14:paraId="44BAA24A"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46F0D4D6" w14:textId="77777777" w:rsidR="00F618ED" w:rsidRPr="002100D2" w:rsidRDefault="00F618ED" w:rsidP="00F618ED">
      <w:pPr>
        <w:pBdr>
          <w:bottom w:val="single" w:sz="4" w:space="1" w:color="auto"/>
        </w:pBdr>
        <w:tabs>
          <w:tab w:val="left" w:pos="2552"/>
        </w:tabs>
      </w:pPr>
    </w:p>
    <w:p w14:paraId="1E9C1C21" w14:textId="77777777" w:rsidR="0009344A" w:rsidRDefault="0009344A" w:rsidP="0009344A">
      <w:pPr>
        <w:pStyle w:val="Heading1"/>
      </w:pPr>
      <w:r>
        <w:t>Introduction</w:t>
      </w:r>
    </w:p>
    <w:p w14:paraId="65EFEA0A" w14:textId="1749A45D" w:rsidR="0009344A" w:rsidRDefault="0009344A" w:rsidP="0009344A">
      <w:pPr>
        <w:pStyle w:val="BodyText"/>
      </w:pPr>
      <w:r>
        <w:t>At the January NR Ad Hoc some issues around DCI sizes, search spaces, and BWPs were discussed</w:t>
      </w:r>
      <w:r w:rsidR="00FD3D05">
        <w:t>, resulting in the following working assumption:</w:t>
      </w:r>
    </w:p>
    <w:p w14:paraId="01F3A5C0" w14:textId="1C4E708F" w:rsidR="00FD3D05" w:rsidRDefault="00BE0B7D" w:rsidP="0009344A">
      <w:pPr>
        <w:pStyle w:val="BodyText"/>
      </w:pPr>
      <w:r>
        <w:rPr>
          <w:noProof/>
        </w:rPr>
        <mc:AlternateContent>
          <mc:Choice Requires="wps">
            <w:drawing>
              <wp:inline distT="0" distB="0" distL="0" distR="0" wp14:anchorId="402991F1" wp14:editId="75DC379D">
                <wp:extent cx="5759479" cy="1013702"/>
                <wp:effectExtent l="0" t="0" r="1270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79" cy="1013702"/>
                        </a:xfrm>
                        <a:prstGeom prst="rect">
                          <a:avLst/>
                        </a:prstGeom>
                        <a:solidFill>
                          <a:srgbClr val="FFFFFF"/>
                        </a:solidFill>
                        <a:ln w="9525">
                          <a:solidFill>
                            <a:srgbClr val="000000"/>
                          </a:solidFill>
                          <a:miter lim="800000"/>
                          <a:headEnd/>
                          <a:tailEnd/>
                        </a:ln>
                      </wps:spPr>
                      <wps:txbx>
                        <w:txbxContent>
                          <w:p w14:paraId="64671C23" w14:textId="77777777" w:rsidR="00BE0B7D" w:rsidRPr="001A2CC7" w:rsidRDefault="00BE0B7D" w:rsidP="00BE0B7D">
                            <w:pPr>
                              <w:rPr>
                                <w:szCs w:val="20"/>
                                <w:highlight w:val="darkYellow"/>
                                <w:lang w:eastAsia="x-none"/>
                              </w:rPr>
                            </w:pPr>
                            <w:r w:rsidRPr="001A2CC7">
                              <w:rPr>
                                <w:szCs w:val="20"/>
                                <w:highlight w:val="darkYellow"/>
                                <w:lang w:eastAsia="x-none"/>
                              </w:rPr>
                              <w:t>Working assumption:</w:t>
                            </w:r>
                          </w:p>
                          <w:p w14:paraId="62AF47A0" w14:textId="77777777" w:rsidR="00BE0B7D" w:rsidRPr="000F23BF" w:rsidRDefault="00BE0B7D" w:rsidP="00BE0B7D">
                            <w:pPr>
                              <w:numPr>
                                <w:ilvl w:val="0"/>
                                <w:numId w:val="34"/>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14:paraId="795BA7F4" w14:textId="77777777" w:rsidR="00BE0B7D" w:rsidRPr="000F23BF" w:rsidRDefault="00BE0B7D" w:rsidP="00BE0B7D">
                            <w:pPr>
                              <w:numPr>
                                <w:ilvl w:val="1"/>
                                <w:numId w:val="34"/>
                              </w:numPr>
                              <w:rPr>
                                <w:szCs w:val="20"/>
                                <w:lang w:eastAsia="x-none"/>
                              </w:rPr>
                            </w:pPr>
                            <w:r w:rsidRPr="000F23BF">
                              <w:rPr>
                                <w:szCs w:val="20"/>
                                <w:lang w:eastAsia="x-none"/>
                              </w:rPr>
                              <w:t>Zero-pad too small bitfields to match the new BWP</w:t>
                            </w:r>
                          </w:p>
                          <w:p w14:paraId="4C472BE2" w14:textId="77777777" w:rsidR="00BE0B7D" w:rsidRPr="000F23BF" w:rsidRDefault="00BE0B7D" w:rsidP="00BE0B7D">
                            <w:pPr>
                              <w:numPr>
                                <w:ilvl w:val="1"/>
                                <w:numId w:val="34"/>
                              </w:numPr>
                              <w:rPr>
                                <w:szCs w:val="20"/>
                                <w:lang w:eastAsia="x-none"/>
                              </w:rPr>
                            </w:pPr>
                            <w:r w:rsidRPr="000F23BF">
                              <w:rPr>
                                <w:szCs w:val="20"/>
                                <w:lang w:eastAsia="x-none"/>
                              </w:rPr>
                              <w:t>Truncate too large bitfields to match the new BWP</w:t>
                            </w:r>
                          </w:p>
                          <w:p w14:paraId="2B3AF1D2" w14:textId="21FC3AC3" w:rsidR="00BE0B7D" w:rsidRDefault="00BE0B7D"/>
                        </w:txbxContent>
                      </wps:txbx>
                      <wps:bodyPr rot="0" vert="horz" wrap="square" lIns="91440" tIns="45720" rIns="91440" bIns="45720" anchor="t" anchorCtr="0">
                        <a:noAutofit/>
                      </wps:bodyPr>
                    </wps:wsp>
                  </a:graphicData>
                </a:graphic>
              </wp:inline>
            </w:drawing>
          </mc:Choice>
          <mc:Fallback>
            <w:pict>
              <v:shapetype w14:anchorId="402991F1" id="_x0000_t202" coordsize="21600,21600" o:spt="202" path="m,l,21600r21600,l21600,xe">
                <v:stroke joinstyle="miter"/>
                <v:path gradientshapeok="t" o:connecttype="rect"/>
              </v:shapetype>
              <v:shape id="Text Box 2" o:spid="_x0000_s1026" type="#_x0000_t202" style="width:453.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">
                <v:textbox>
                  <w:txbxContent>
                    <w:p w14:paraId="64671C23" w14:textId="77777777" w:rsidR="00BE0B7D" w:rsidRPr="001A2CC7" w:rsidRDefault="00BE0B7D" w:rsidP="00BE0B7D">
                      <w:pPr>
                        <w:rPr>
                          <w:szCs w:val="20"/>
                          <w:highlight w:val="darkYellow"/>
                          <w:lang w:eastAsia="x-none"/>
                        </w:rPr>
                      </w:pPr>
                      <w:r w:rsidRPr="001A2CC7">
                        <w:rPr>
                          <w:szCs w:val="20"/>
                          <w:highlight w:val="darkYellow"/>
                          <w:lang w:eastAsia="x-none"/>
                        </w:rPr>
                        <w:t>Working assumption:</w:t>
                      </w:r>
                    </w:p>
                    <w:p w14:paraId="62AF47A0" w14:textId="77777777" w:rsidR="00BE0B7D" w:rsidRPr="000F23BF" w:rsidRDefault="00BE0B7D" w:rsidP="00BE0B7D">
                      <w:pPr>
                        <w:numPr>
                          <w:ilvl w:val="0"/>
                          <w:numId w:val="34"/>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14:paraId="795BA7F4" w14:textId="77777777" w:rsidR="00BE0B7D" w:rsidRPr="000F23BF" w:rsidRDefault="00BE0B7D" w:rsidP="00BE0B7D">
                      <w:pPr>
                        <w:numPr>
                          <w:ilvl w:val="1"/>
                          <w:numId w:val="34"/>
                        </w:numPr>
                        <w:rPr>
                          <w:szCs w:val="20"/>
                          <w:lang w:eastAsia="x-none"/>
                        </w:rPr>
                      </w:pPr>
                      <w:r w:rsidRPr="000F23BF">
                        <w:rPr>
                          <w:szCs w:val="20"/>
                          <w:lang w:eastAsia="x-none"/>
                        </w:rPr>
                        <w:t>Zero-pad too small bitfields to match the new BWP</w:t>
                      </w:r>
                    </w:p>
                    <w:p w14:paraId="4C472BE2" w14:textId="77777777" w:rsidR="00BE0B7D" w:rsidRPr="000F23BF" w:rsidRDefault="00BE0B7D" w:rsidP="00BE0B7D">
                      <w:pPr>
                        <w:numPr>
                          <w:ilvl w:val="1"/>
                          <w:numId w:val="34"/>
                        </w:numPr>
                        <w:rPr>
                          <w:szCs w:val="20"/>
                          <w:lang w:eastAsia="x-none"/>
                        </w:rPr>
                      </w:pPr>
                      <w:r w:rsidRPr="000F23BF">
                        <w:rPr>
                          <w:szCs w:val="20"/>
                          <w:lang w:eastAsia="x-none"/>
                        </w:rPr>
                        <w:t>Truncate too large bitfields to match the new BWP</w:t>
                      </w:r>
                    </w:p>
                    <w:p w14:paraId="2B3AF1D2" w14:textId="21FC3AC3" w:rsidR="00BE0B7D" w:rsidRDefault="00BE0B7D"/>
                  </w:txbxContent>
                </v:textbox>
                <w10:anchorlock/>
              </v:shape>
            </w:pict>
          </mc:Fallback>
        </mc:AlternateContent>
      </w:r>
    </w:p>
    <w:p w14:paraId="0840CE6E" w14:textId="64E7DF45" w:rsidR="00BE0B7D" w:rsidRDefault="00BE0B7D" w:rsidP="0009344A">
      <w:pPr>
        <w:pStyle w:val="BodyText"/>
      </w:pPr>
      <w:r>
        <w:t>The discussion continued briefly at RAN1#92 with the offline agreement below (which was not treated online):</w:t>
      </w:r>
    </w:p>
    <w:p w14:paraId="2E6D4E48" w14:textId="46DF61DA" w:rsidR="00BE0B7D" w:rsidRDefault="00BE0B7D" w:rsidP="0009344A">
      <w:pPr>
        <w:pStyle w:val="BodyText"/>
      </w:pPr>
      <w:r>
        <w:rPr>
          <w:noProof/>
        </w:rPr>
        <mc:AlternateContent>
          <mc:Choice Requires="wps">
            <w:drawing>
              <wp:inline distT="0" distB="0" distL="0" distR="0" wp14:anchorId="02B9D046" wp14:editId="7EF54A5F">
                <wp:extent cx="5742928" cy="1404620"/>
                <wp:effectExtent l="0" t="0" r="1079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928" cy="1404620"/>
                        </a:xfrm>
                        <a:prstGeom prst="rect">
                          <a:avLst/>
                        </a:prstGeom>
                        <a:solidFill>
                          <a:srgbClr val="FFFFFF"/>
                        </a:solidFill>
                        <a:ln w="9525">
                          <a:solidFill>
                            <a:srgbClr val="000000"/>
                          </a:solidFill>
                          <a:miter lim="800000"/>
                          <a:headEnd/>
                          <a:tailEnd/>
                        </a:ln>
                      </wps:spPr>
                      <wps:txbx>
                        <w:txbxContent>
                          <w:p w14:paraId="62DCAFA9" w14:textId="77777777" w:rsidR="00BE0B7D" w:rsidRDefault="00BE0B7D" w:rsidP="00BE0B7D">
                            <w:pPr>
                              <w:pStyle w:val="BodyText"/>
                              <w:rPr>
                                <w:b/>
                              </w:rPr>
                            </w:pPr>
                            <w:r>
                              <w:rPr>
                                <w:b/>
                              </w:rPr>
                              <w:t>Offline p</w:t>
                            </w:r>
                            <w:r w:rsidRPr="00C75211">
                              <w:rPr>
                                <w:b/>
                              </w:rPr>
                              <w:t>roposal:</w:t>
                            </w:r>
                          </w:p>
                          <w:p w14:paraId="474BC6D4" w14:textId="77777777" w:rsidR="00BE0B7D" w:rsidRPr="00C75211" w:rsidRDefault="00BE0B7D" w:rsidP="00BE0B7D">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14:paraId="4002C681" w14:textId="3E332E5D" w:rsidR="00BE0B7D" w:rsidRDefault="00BE0B7D" w:rsidP="00BE0B7D">
                            <w:pPr>
                              <w:pStyle w:val="BodyText"/>
                            </w:pPr>
                            <w:r>
                              <w:t>FFS: Need to correct resource allocation type 1. One possibility is to use the same mechanism as anyway needed by the DCI size format 0-0/1-0.</w:t>
                            </w:r>
                          </w:p>
                        </w:txbxContent>
                      </wps:txbx>
                      <wps:bodyPr rot="0" vert="horz" wrap="square" lIns="91440" tIns="45720" rIns="91440" bIns="45720" anchor="t" anchorCtr="0">
                        <a:spAutoFit/>
                      </wps:bodyPr>
                    </wps:wsp>
                  </a:graphicData>
                </a:graphic>
              </wp:inline>
            </w:drawing>
          </mc:Choice>
          <mc:Fallback>
            <w:pict>
              <v:shape w14:anchorId="02B9D046" id="_x0000_s1027" type="#_x0000_t202" style="width:452.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">
                <v:textbox style="mso-fit-shape-to-text:t">
                  <w:txbxContent>
                    <w:p w14:paraId="62DCAFA9" w14:textId="77777777" w:rsidR="00BE0B7D" w:rsidRDefault="00BE0B7D" w:rsidP="00BE0B7D">
                      <w:pPr>
                        <w:pStyle w:val="BodyText"/>
                        <w:rPr>
                          <w:b/>
                        </w:rPr>
                      </w:pPr>
                      <w:r>
                        <w:rPr>
                          <w:b/>
                        </w:rPr>
                        <w:t>Offline p</w:t>
                      </w:r>
                      <w:r w:rsidRPr="00C75211">
                        <w:rPr>
                          <w:b/>
                        </w:rPr>
                        <w:t>roposal:</w:t>
                      </w:r>
                    </w:p>
                    <w:p w14:paraId="474BC6D4" w14:textId="77777777" w:rsidR="00BE0B7D" w:rsidRPr="00C75211" w:rsidRDefault="00BE0B7D" w:rsidP="00BE0B7D">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14:paraId="4002C681" w14:textId="3E332E5D" w:rsidR="00BE0B7D" w:rsidRDefault="00BE0B7D" w:rsidP="00BE0B7D">
                      <w:pPr>
                        <w:pStyle w:val="BodyText"/>
                      </w:pPr>
                      <w:r>
                        <w:t>FFS: Need to correct resource allocation type 1. One possibility is to use the same mechanism as anyway needed by the DCI size format 0-0/1-0.</w:t>
                      </w:r>
                    </w:p>
                  </w:txbxContent>
                </v:textbox>
                <w10:anchorlock/>
              </v:shape>
            </w:pict>
          </mc:Fallback>
        </mc:AlternateContent>
      </w:r>
    </w:p>
    <w:p w14:paraId="3FF2697C" w14:textId="42231FD1" w:rsidR="0009344A" w:rsidRDefault="0009344A" w:rsidP="0009344A">
      <w:pPr>
        <w:pStyle w:val="Heading1"/>
      </w:pPr>
      <w:r>
        <w:t>Discussion</w:t>
      </w:r>
    </w:p>
    <w:p w14:paraId="586981E4" w14:textId="6FE7ACFB" w:rsidR="005F7827" w:rsidRDefault="005F7827" w:rsidP="005F7827">
      <w:pPr>
        <w:pStyle w:val="BodyText"/>
      </w:pPr>
      <w:r>
        <w:t xml:space="preserve">In case of BWP switching, the scheduling DCI is defined based on the currently active BWP (e.g. the narrower default BWP) but is applied to </w:t>
      </w:r>
      <w:r w:rsidRPr="005F7827">
        <w:rPr>
          <w:i/>
        </w:rPr>
        <w:t>another</w:t>
      </w:r>
      <w:r>
        <w:t xml:space="preserve"> BWP</w:t>
      </w:r>
      <w:r>
        <w:rPr>
          <w:i/>
        </w:rPr>
        <w:t xml:space="preserve"> </w:t>
      </w:r>
      <w:r w:rsidRPr="005F7827">
        <w:t>(e.g. a wider BWP).</w:t>
      </w:r>
      <w:r>
        <w:t xml:space="preserve"> Hence there is a need to “transform” the DCI from one BWP to another BWP. At the January </w:t>
      </w:r>
      <w:proofErr w:type="spellStart"/>
      <w:r>
        <w:t>AdHoc</w:t>
      </w:r>
      <w:proofErr w:type="spellEnd"/>
      <w:r>
        <w:t xml:space="preserve">, padding/truncation as mentioned in the introduction was agreed as the transformation mechanism. Although the wording of the WA may be imperfect, a reasonable assumption is that padding/truncation is applied </w:t>
      </w:r>
      <w:r>
        <w:rPr>
          <w:i/>
        </w:rPr>
        <w:t>per field</w:t>
      </w:r>
      <w:r>
        <w:t xml:space="preserve"> in the DCI.</w:t>
      </w:r>
      <w:r w:rsidRPr="005F7827">
        <w:t xml:space="preserve"> </w:t>
      </w:r>
      <w:r>
        <w:t>Note that it is not only the resource allocation field that may differ, various multi-antenna related fields may also be different.</w:t>
      </w:r>
    </w:p>
    <w:p w14:paraId="25E418DD" w14:textId="167F4CDD" w:rsidR="005F7827" w:rsidRDefault="00797A9D" w:rsidP="005F7827">
      <w:pPr>
        <w:pStyle w:val="BodyText"/>
      </w:pPr>
      <w:r>
        <w:t>Many DCI fields are pointers into configured tables.</w:t>
      </w:r>
      <w:r w:rsidR="005F7827">
        <w:t xml:space="preserve"> For example, if the DCI based on one BWP can point to table entries 0-3 while the other BWP has table entries 0-7, cross-BWP scheduling can only address table entries 0-3 in the other BWP</w:t>
      </w:r>
      <w:r>
        <w:t>, not the full range 0-7. However, appropriate network configuration can handle this.</w:t>
      </w:r>
    </w:p>
    <w:p w14:paraId="396A384B" w14:textId="61560E2F" w:rsidR="00BD765F" w:rsidRDefault="00797A9D" w:rsidP="005F7827">
      <w:pPr>
        <w:pStyle w:val="BodyText"/>
      </w:pPr>
      <w:r>
        <w:t>For the frequency-domain resource allocation field, the situation is more complicated. First, the frequency-domain resource allocation field consists of several subfields if dynamic switching between resource allocation type 0 and 1 is used. If the whole RA field is truncated/padded</w:t>
      </w:r>
      <w:r w:rsidR="00BD765F">
        <w:t xml:space="preserve"> and then interpreted with dynamic switching in the target BWP</w:t>
      </w:r>
      <w:r>
        <w:t>, the resource allocation type may change.</w:t>
      </w:r>
      <w:r w:rsidR="00BD765F">
        <w:t xml:space="preserve"> </w:t>
      </w:r>
      <w:r w:rsidR="000F25D4">
        <w:t xml:space="preserve">For example, padding would result in the resource allocation subfield constantly being ‘0’ which </w:t>
      </w:r>
      <w:proofErr w:type="gramStart"/>
      <w:r w:rsidR="000F25D4">
        <w:t>in essence results</w:t>
      </w:r>
      <w:proofErr w:type="gramEnd"/>
      <w:r w:rsidR="000F25D4">
        <w:t xml:space="preserve"> in only resource allocation type 0 being applicable in case of BWP switching. </w:t>
      </w:r>
      <w:r w:rsidR="00BD765F">
        <w:t>Hence, this subfield needs to be treated separately from the rest of the frequency-domain resource allocation bits</w:t>
      </w:r>
      <w:r w:rsidR="002C416D">
        <w:t>, or the target BWP should use a predefined resource allocation type (either 0 or 1</w:t>
      </w:r>
      <w:proofErr w:type="gramStart"/>
      <w:r w:rsidR="002C416D">
        <w:t>)  when</w:t>
      </w:r>
      <w:proofErr w:type="gramEnd"/>
      <w:r w:rsidR="002C416D">
        <w:t xml:space="preserve"> using cross-BWP scheduling.</w:t>
      </w:r>
    </w:p>
    <w:p w14:paraId="5C4E6C27" w14:textId="46121CDE" w:rsidR="00BE0B7D" w:rsidRDefault="00797A9D" w:rsidP="00BE0B7D">
      <w:pPr>
        <w:pStyle w:val="BodyText"/>
      </w:pPr>
      <w:r>
        <w:t xml:space="preserve">Secondly, padding/truncation </w:t>
      </w:r>
      <w:r w:rsidR="0067341E">
        <w:t>may or may not work depending on the resource allocation type. Offline, there was no agreement at RAN1#92 that this method works for resource allocation type 1. In fact, it can</w:t>
      </w:r>
      <w:r w:rsidR="000F25D4">
        <w:t xml:space="preserve"> </w:t>
      </w:r>
      <w:r w:rsidR="00BE0B7D">
        <w:t>lead to severe scheduling restrictions as illustrated in the excel sheet below:</w:t>
      </w:r>
    </w:p>
    <w:p w14:paraId="6D17E01B" w14:textId="77777777" w:rsidR="00BE0B7D" w:rsidRDefault="00BE0B7D" w:rsidP="00BE0B7D">
      <w:pPr>
        <w:pStyle w:val="BodyText"/>
      </w:pPr>
    </w:p>
    <w:p w14:paraId="2CB79BB3" w14:textId="005D65D0" w:rsidR="00BE0B7D" w:rsidRDefault="00BE0B7D" w:rsidP="00BE0B7D">
      <w:pPr>
        <w:pStyle w:val="BodyText"/>
      </w:pPr>
      <w:r>
        <w:object w:dxaOrig="28651" w:dyaOrig="15386" w14:anchorId="6EAFD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5pt;height:203.1pt" o:ole="">
            <v:imagedata r:id="rId8" o:title=""/>
          </v:shape>
          <o:OLEObject Type="Embed" ProgID="Excel.Sheet.12" ShapeID="_x0000_i1025" DrawAspect="Content" ObjectID="_1584569563" r:id="rId9"/>
        </w:object>
      </w:r>
    </w:p>
    <w:p w14:paraId="27AC485F" w14:textId="5ACA9E43" w:rsidR="00BE0B7D" w:rsidRDefault="00BE0B7D" w:rsidP="00BE0B7D">
      <w:pPr>
        <w:pStyle w:val="BodyText"/>
      </w:pPr>
    </w:p>
    <w:p w14:paraId="6641634D" w14:textId="77777777" w:rsidR="005F7827" w:rsidRDefault="00BE0B7D" w:rsidP="00BE0B7D">
      <w:pPr>
        <w:pStyle w:val="BodyText"/>
      </w:pPr>
      <w:r>
        <w:t>The illustration shows what RBs that can be scheduled in a wide BWP (50 in this example) when the DC</w:t>
      </w:r>
      <w:r w:rsidR="005F7827">
        <w:t>I</w:t>
      </w:r>
      <w:r>
        <w:t xml:space="preserve"> is defined </w:t>
      </w:r>
      <w:r w:rsidR="005F7827">
        <w:t xml:space="preserve">based on the default (and currently active) BWP (20 in this example). </w:t>
      </w:r>
    </w:p>
    <w:p w14:paraId="2A2647B5" w14:textId="6552F46F" w:rsidR="00BE0B7D" w:rsidRDefault="005F7827" w:rsidP="005F7827">
      <w:pPr>
        <w:pStyle w:val="BodyText"/>
        <w:numPr>
          <w:ilvl w:val="0"/>
          <w:numId w:val="45"/>
        </w:numPr>
      </w:pPr>
      <w:r>
        <w:t>Red numbers illustrate the RBs possible to schedule in the default BWP using the DCI defined based on the default BWP</w:t>
      </w:r>
    </w:p>
    <w:p w14:paraId="2897914D" w14:textId="3A782D93" w:rsidR="005F7827" w:rsidRDefault="005F7827" w:rsidP="005F7827">
      <w:pPr>
        <w:pStyle w:val="BodyText"/>
        <w:numPr>
          <w:ilvl w:val="0"/>
          <w:numId w:val="45"/>
        </w:numPr>
      </w:pPr>
      <w:r>
        <w:t>Green cells illustrate the RBs possible to schedule in the wide BWP using the DCI defined based on the default BWP</w:t>
      </w:r>
    </w:p>
    <w:p w14:paraId="3F2FD798" w14:textId="2F7945C8" w:rsidR="005F7827" w:rsidRDefault="005F7827" w:rsidP="005F7827">
      <w:pPr>
        <w:pStyle w:val="BodyText"/>
        <w:numPr>
          <w:ilvl w:val="0"/>
          <w:numId w:val="45"/>
        </w:numPr>
      </w:pPr>
      <w:r>
        <w:t>The numbers (red and black) illustrate the RBs possible to schedule if the DCI was defined on the wide BWP.</w:t>
      </w:r>
    </w:p>
    <w:p w14:paraId="5A76DA47" w14:textId="3FEA5A86" w:rsidR="005F7827" w:rsidRDefault="005F7827" w:rsidP="005F7827">
      <w:pPr>
        <w:pStyle w:val="BodyText"/>
      </w:pPr>
      <w:r>
        <w:t xml:space="preserve">As seen in the figure the simple padding rule will result in the possibility to schedule RBs with any starting position but limited in length. </w:t>
      </w:r>
      <w:r w:rsidR="00797A9D">
        <w:t>The result</w:t>
      </w:r>
      <w:r>
        <w:t xml:space="preserve"> is that the number of RBs possible to schedule in conjunction with BWP switching is smaller than what would be possible if BWP switching was not used. This severely limits the scheduling flexibility and leads to inefficient usage of bandwidth adaptation. </w:t>
      </w:r>
    </w:p>
    <w:p w14:paraId="1C9F9369" w14:textId="36473235" w:rsidR="000F25D4" w:rsidRDefault="000F25D4" w:rsidP="005F7827">
      <w:pPr>
        <w:pStyle w:val="BodyText"/>
      </w:pPr>
      <w:r>
        <w:t xml:space="preserve">One possibility to address this was outlined in </w:t>
      </w:r>
      <w:r w:rsidRPr="000F25D4">
        <w:t>R1-1802916</w:t>
      </w:r>
      <w:r>
        <w:t xml:space="preserve">. </w:t>
      </w:r>
      <w:proofErr w:type="gramStart"/>
      <w:r>
        <w:t>In essence, the</w:t>
      </w:r>
      <w:proofErr w:type="gramEnd"/>
      <w:r>
        <w:t xml:space="preserve"> </w:t>
      </w:r>
      <w:proofErr w:type="spellStart"/>
      <w:r>
        <w:t>resrouce</w:t>
      </w:r>
      <w:proofErr w:type="spellEnd"/>
      <w:r>
        <w:t xml:space="preserve"> allocation is interpreted in the size-defining BWP and the result RBs are mapped to the target BWP (assuming the two BWPs overlap).</w:t>
      </w:r>
    </w:p>
    <w:p w14:paraId="7C591793" w14:textId="10E48612" w:rsidR="00797A9D" w:rsidRDefault="00797A9D" w:rsidP="005F7827">
      <w:pPr>
        <w:pStyle w:val="BodyText"/>
      </w:pPr>
      <w:proofErr w:type="gramStart"/>
      <w:r>
        <w:t>In essence, th</w:t>
      </w:r>
      <w:r w:rsidR="000F25D4">
        <w:t>e</w:t>
      </w:r>
      <w:proofErr w:type="gramEnd"/>
      <w:r w:rsidR="000F25D4">
        <w:t xml:space="preserve"> transformation problem for allocation type 1</w:t>
      </w:r>
      <w:r>
        <w:t xml:space="preserve"> is similar to the problem when applying a DCI formats 0-0/1-0 defined based on the initial BWP to a BWP of a different size, a situation which anyway is needed for NR (see R1-18xxxxx from Ericsson). Hence, the same set of solutions can be applied to BWP switching for resource allocation type 1:</w:t>
      </w:r>
    </w:p>
    <w:p w14:paraId="3D0668E7" w14:textId="77777777" w:rsidR="0067341E" w:rsidRDefault="0067341E" w:rsidP="0067341E">
      <w:pPr>
        <w:pStyle w:val="BodyText"/>
        <w:numPr>
          <w:ilvl w:val="0"/>
          <w:numId w:val="47"/>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w:t>
      </w:r>
    </w:p>
    <w:p w14:paraId="5ED4FFA1" w14:textId="0D76BF7A" w:rsidR="0067341E" w:rsidRDefault="0067341E" w:rsidP="0067341E">
      <w:pPr>
        <w:pStyle w:val="BodyText"/>
        <w:numPr>
          <w:ilvl w:val="1"/>
          <w:numId w:val="46"/>
        </w:numPr>
      </w:pPr>
      <w:r>
        <w:t>Allows for the same lengths as in the size-defining BWP but restricts the possible starting positions in the wider BWP.</w:t>
      </w:r>
    </w:p>
    <w:p w14:paraId="6B0C7238" w14:textId="67F4012B" w:rsidR="0067341E" w:rsidRDefault="0067341E" w:rsidP="0067341E">
      <w:pPr>
        <w:pStyle w:val="BodyText"/>
        <w:numPr>
          <w:ilvl w:val="0"/>
          <w:numId w:val="47"/>
        </w:numPr>
      </w:pPr>
      <w:r>
        <w:t xml:space="preserve">The RIV field is truncated/padded to match the need of the active BWP. The truncated/padded fields </w:t>
      </w:r>
      <w:proofErr w:type="gramStart"/>
      <w:r>
        <w:t>is</w:t>
      </w:r>
      <w:proofErr w:type="gramEnd"/>
      <w:r>
        <w:t xml:space="preserve"> interpreted in and applied to the active BWP.</w:t>
      </w:r>
    </w:p>
    <w:p w14:paraId="16DDAAA3" w14:textId="0363AC68" w:rsidR="0067341E" w:rsidRDefault="0067341E" w:rsidP="0067341E">
      <w:pPr>
        <w:pStyle w:val="BodyText"/>
        <w:numPr>
          <w:ilvl w:val="1"/>
          <w:numId w:val="47"/>
        </w:numPr>
      </w:pPr>
      <w:r>
        <w:t>This is the same as the current WA. Can result in severe limitations in the lengths possible to schedule but provides full flexibility in the starting position in the wider BWP</w:t>
      </w:r>
    </w:p>
    <w:p w14:paraId="68CE6CB1" w14:textId="0E9F3533" w:rsidR="0067341E" w:rsidRDefault="0067341E" w:rsidP="0067341E">
      <w:pPr>
        <w:pStyle w:val="BodyText"/>
        <w:numPr>
          <w:ilvl w:val="0"/>
          <w:numId w:val="47"/>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w:t>
      </w:r>
      <w:proofErr w:type="gramStart"/>
      <w:r>
        <w:t>the start and length values are multiplied by a factor K</w:t>
      </w:r>
      <w:proofErr w:type="gramEnd"/>
      <w:r>
        <w:t xml:space="preserve"> prior to being applied to the active BWP)</w:t>
      </w:r>
    </w:p>
    <w:p w14:paraId="0CC89B1B" w14:textId="56FB1A57" w:rsidR="0067341E" w:rsidRDefault="0067341E" w:rsidP="0067341E">
      <w:pPr>
        <w:pStyle w:val="BodyText"/>
        <w:numPr>
          <w:ilvl w:val="1"/>
          <w:numId w:val="47"/>
        </w:numPr>
      </w:pPr>
      <w:r>
        <w:t xml:space="preserve">This is </w:t>
      </w:r>
      <w:proofErr w:type="gramStart"/>
      <w:r>
        <w:t>similar to</w:t>
      </w:r>
      <w:proofErr w:type="gramEnd"/>
      <w:r>
        <w:t xml:space="preserve"> the treatment of DCI format 1C in LTE.</w:t>
      </w:r>
    </w:p>
    <w:p w14:paraId="4B400172" w14:textId="77777777" w:rsidR="0067341E" w:rsidRDefault="0067341E" w:rsidP="0067341E">
      <w:pPr>
        <w:pStyle w:val="BodyText"/>
      </w:pPr>
    </w:p>
    <w:p w14:paraId="5986732A" w14:textId="77777777" w:rsidR="0067341E" w:rsidRDefault="0067341E" w:rsidP="0067341E">
      <w:pPr>
        <w:pStyle w:val="BodyText"/>
        <w:keepNext/>
        <w:ind w:left="360"/>
      </w:pPr>
      <w:r w:rsidRPr="007B439F">
        <w:rPr>
          <w:noProof/>
        </w:rPr>
        <w:lastRenderedPageBreak/>
        <w:drawing>
          <wp:inline distT="0" distB="0" distL="0" distR="0" wp14:anchorId="22595400" wp14:editId="57F837A0">
            <wp:extent cx="5760720" cy="14358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435838"/>
                    </a:xfrm>
                    <a:prstGeom prst="rect">
                      <a:avLst/>
                    </a:prstGeom>
                    <a:noFill/>
                    <a:ln>
                      <a:noFill/>
                    </a:ln>
                  </pic:spPr>
                </pic:pic>
              </a:graphicData>
            </a:graphic>
          </wp:inline>
        </w:drawing>
      </w:r>
    </w:p>
    <w:p w14:paraId="15FCE7E7" w14:textId="77777777" w:rsidR="0067341E" w:rsidRDefault="0067341E" w:rsidP="0067341E">
      <w:pPr>
        <w:pStyle w:val="Caption"/>
        <w:jc w:val="both"/>
      </w:pPr>
      <w:r>
        <w:t xml:space="preserve">Figure </w:t>
      </w:r>
      <w:r w:rsidR="008B79FA">
        <w:fldChar w:fldCharType="begin"/>
      </w:r>
      <w:r w:rsidR="008B79FA">
        <w:instrText xml:space="preserve"> STYLEREF 1 \s </w:instrText>
      </w:r>
      <w:r w:rsidR="008B79FA">
        <w:fldChar w:fldCharType="separate"/>
      </w:r>
      <w:r>
        <w:rPr>
          <w:noProof/>
        </w:rPr>
        <w:t>3</w:t>
      </w:r>
      <w:r w:rsidR="008B79FA">
        <w:rPr>
          <w:noProof/>
        </w:rPr>
        <w:fldChar w:fldCharType="end"/>
      </w:r>
      <w:r>
        <w:t>.</w:t>
      </w:r>
      <w:r w:rsidR="008B79FA">
        <w:fldChar w:fldCharType="begin"/>
      </w:r>
      <w:r w:rsidR="008B79FA">
        <w:instrText xml:space="preserve"> SEQ Figure \* ARABIC \s 1 </w:instrText>
      </w:r>
      <w:r w:rsidR="008B79FA">
        <w:fldChar w:fldCharType="separate"/>
      </w:r>
      <w:r>
        <w:rPr>
          <w:noProof/>
        </w:rPr>
        <w:t>1</w:t>
      </w:r>
      <w:r w:rsidR="008B79FA">
        <w:rPr>
          <w:noProof/>
        </w:rPr>
        <w:fldChar w:fldCharType="end"/>
      </w:r>
      <w:r>
        <w:t>: Example illustrations of different "RIV conversion" principles.</w:t>
      </w:r>
    </w:p>
    <w:p w14:paraId="3B73CD41" w14:textId="13BE0671" w:rsidR="00797A9D" w:rsidRDefault="0067341E" w:rsidP="005F7827">
      <w:pPr>
        <w:pStyle w:val="BodyText"/>
      </w:pPr>
      <w:r>
        <w:t>Preferably, the same solution as for DCI formats 0-0/1-0 should be used in case of BWP switching and our suggestion is option 3.</w:t>
      </w:r>
    </w:p>
    <w:p w14:paraId="7C09E4FB" w14:textId="216D9B77" w:rsidR="000F25D4" w:rsidRDefault="000F25D4" w:rsidP="000F25D4">
      <w:pPr>
        <w:pStyle w:val="Heading1"/>
      </w:pPr>
      <w:r>
        <w:t>Conclusion</w:t>
      </w:r>
    </w:p>
    <w:p w14:paraId="62ADECD8" w14:textId="77777777" w:rsidR="000F25D4" w:rsidRDefault="000F25D4" w:rsidP="005F7827">
      <w:pPr>
        <w:pStyle w:val="BodyText"/>
        <w:rPr>
          <w:b/>
        </w:rPr>
      </w:pPr>
    </w:p>
    <w:p w14:paraId="5FD14C62" w14:textId="7580A103" w:rsidR="00EC4BB6" w:rsidRDefault="0067341E" w:rsidP="005F7827">
      <w:pPr>
        <w:pStyle w:val="BodyText"/>
        <w:rPr>
          <w:b/>
        </w:rPr>
      </w:pPr>
      <w:r w:rsidRPr="0067341E">
        <w:rPr>
          <w:b/>
        </w:rPr>
        <w:t>Proposal:</w:t>
      </w:r>
    </w:p>
    <w:p w14:paraId="1A4D7D7C" w14:textId="06DACC90" w:rsidR="0067341E" w:rsidRPr="00E808F7" w:rsidRDefault="00E808F7" w:rsidP="00EC4BB6">
      <w:pPr>
        <w:pStyle w:val="BodyText"/>
        <w:numPr>
          <w:ilvl w:val="0"/>
          <w:numId w:val="50"/>
        </w:numPr>
        <w:rPr>
          <w:b/>
        </w:rPr>
      </w:pPr>
      <w:r>
        <w:t>In case of BWP switching:</w:t>
      </w:r>
    </w:p>
    <w:p w14:paraId="12E67507" w14:textId="34EAF2BA" w:rsidR="00E808F7" w:rsidRPr="00E808F7" w:rsidRDefault="002C416D" w:rsidP="00E808F7">
      <w:pPr>
        <w:pStyle w:val="BodyText"/>
        <w:numPr>
          <w:ilvl w:val="1"/>
          <w:numId w:val="50"/>
        </w:numPr>
      </w:pPr>
      <w:r>
        <w:t>The target BWP uses a fixed (not dynamic) resource allocation type.</w:t>
      </w:r>
    </w:p>
    <w:p w14:paraId="509EC1E0" w14:textId="77777777" w:rsidR="000F25D4" w:rsidRDefault="000F25D4" w:rsidP="005F7827">
      <w:pPr>
        <w:pStyle w:val="BodyText"/>
        <w:rPr>
          <w:b/>
        </w:rPr>
      </w:pPr>
    </w:p>
    <w:p w14:paraId="72FFBB5E" w14:textId="04F1F05D" w:rsidR="00EC4BB6" w:rsidRPr="0067341E" w:rsidRDefault="00EC4BB6" w:rsidP="005F7827">
      <w:pPr>
        <w:pStyle w:val="BodyText"/>
        <w:rPr>
          <w:b/>
        </w:rPr>
      </w:pPr>
      <w:r>
        <w:rPr>
          <w:b/>
        </w:rPr>
        <w:t>Proposal:</w:t>
      </w:r>
    </w:p>
    <w:p w14:paraId="457C46A6" w14:textId="08F4533B" w:rsidR="0067341E" w:rsidRDefault="0067341E" w:rsidP="005F7827">
      <w:pPr>
        <w:pStyle w:val="BodyText"/>
      </w:pPr>
      <w:r>
        <w:t>Augment the current WA</w:t>
      </w:r>
    </w:p>
    <w:p w14:paraId="55D5FF76" w14:textId="77777777" w:rsidR="0067341E" w:rsidRPr="000F23BF" w:rsidRDefault="0067341E" w:rsidP="0067341E">
      <w:pPr>
        <w:numPr>
          <w:ilvl w:val="0"/>
          <w:numId w:val="34"/>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14:paraId="0DB62437" w14:textId="77777777" w:rsidR="0067341E" w:rsidRPr="000F23BF" w:rsidRDefault="0067341E" w:rsidP="0067341E">
      <w:pPr>
        <w:numPr>
          <w:ilvl w:val="1"/>
          <w:numId w:val="34"/>
        </w:numPr>
        <w:rPr>
          <w:szCs w:val="20"/>
          <w:lang w:eastAsia="x-none"/>
        </w:rPr>
      </w:pPr>
      <w:r w:rsidRPr="000F23BF">
        <w:rPr>
          <w:szCs w:val="20"/>
          <w:lang w:eastAsia="x-none"/>
        </w:rPr>
        <w:t>Zero-pad too small bitfields to match the new BWP</w:t>
      </w:r>
    </w:p>
    <w:p w14:paraId="1F981D5C" w14:textId="77777777" w:rsidR="0067341E" w:rsidRPr="000F23BF" w:rsidRDefault="0067341E" w:rsidP="0067341E">
      <w:pPr>
        <w:numPr>
          <w:ilvl w:val="1"/>
          <w:numId w:val="34"/>
        </w:numPr>
        <w:rPr>
          <w:szCs w:val="20"/>
          <w:lang w:eastAsia="x-none"/>
        </w:rPr>
      </w:pPr>
      <w:r w:rsidRPr="000F23BF">
        <w:rPr>
          <w:szCs w:val="20"/>
          <w:lang w:eastAsia="x-none"/>
        </w:rPr>
        <w:t>Truncate too large bitfields to match the new BWP</w:t>
      </w:r>
    </w:p>
    <w:p w14:paraId="254129DC" w14:textId="58B12FA6" w:rsidR="0067341E" w:rsidRDefault="0067341E" w:rsidP="005F7827">
      <w:pPr>
        <w:pStyle w:val="BodyText"/>
      </w:pPr>
      <w:r>
        <w:t>with</w:t>
      </w:r>
    </w:p>
    <w:p w14:paraId="5396DF8D" w14:textId="505869AB" w:rsidR="000F25D4" w:rsidRDefault="000F25D4" w:rsidP="000F25D4">
      <w:pPr>
        <w:pStyle w:val="BodyText"/>
        <w:numPr>
          <w:ilvl w:val="0"/>
          <w:numId w:val="50"/>
        </w:numPr>
      </w:pPr>
      <w:r>
        <w:t>Padding/truncation is done on the MSBs.</w:t>
      </w:r>
    </w:p>
    <w:p w14:paraId="5E2BF603" w14:textId="49CCDF14" w:rsidR="0067341E" w:rsidRDefault="0067341E" w:rsidP="000F25D4">
      <w:pPr>
        <w:pStyle w:val="BodyText"/>
        <w:numPr>
          <w:ilvl w:val="0"/>
          <w:numId w:val="50"/>
        </w:numPr>
      </w:pPr>
      <w:r>
        <w:t>For the frequency-domain resource allocation</w:t>
      </w:r>
      <w:r w:rsidR="00056234">
        <w:t xml:space="preserve"> </w:t>
      </w:r>
      <w:r w:rsidR="000F25D4">
        <w:t>(</w:t>
      </w:r>
      <w:r w:rsidR="00056234">
        <w:t>sub</w:t>
      </w:r>
      <w:r w:rsidR="000F25D4">
        <w:t>)</w:t>
      </w:r>
      <w:r>
        <w:t>field</w:t>
      </w:r>
      <w:r w:rsidR="000F25D4">
        <w:t>, in case of resource allocation type 1,</w:t>
      </w:r>
    </w:p>
    <w:p w14:paraId="42F82E39" w14:textId="2356E584" w:rsidR="000F25D4" w:rsidRDefault="000F25D4" w:rsidP="000F25D4">
      <w:pPr>
        <w:pStyle w:val="BodyText"/>
        <w:numPr>
          <w:ilvl w:val="1"/>
          <w:numId w:val="50"/>
        </w:numPr>
      </w:pPr>
      <w:r>
        <w:t xml:space="preserve">The resource allocation field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w:t>
      </w:r>
      <w:proofErr w:type="gramStart"/>
      <w:r>
        <w:t>the start and length values are multiplied by a factor K</w:t>
      </w:r>
      <w:proofErr w:type="gramEnd"/>
      <w:r>
        <w:t xml:space="preserve"> prior to being applied to the active BWP)</w:t>
      </w:r>
    </w:p>
    <w:sectPr w:rsidR="000F25D4" w:rsidSect="00C6289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22D3E" w14:textId="77777777" w:rsidR="008B79FA" w:rsidRDefault="008B79FA" w:rsidP="00896408">
      <w:r>
        <w:separator/>
      </w:r>
    </w:p>
  </w:endnote>
  <w:endnote w:type="continuationSeparator" w:id="0">
    <w:p w14:paraId="7FAA1395" w14:textId="77777777" w:rsidR="008B79FA" w:rsidRDefault="008B79F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6C62A" w14:textId="77777777" w:rsidR="005C579E" w:rsidRDefault="005C5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8957" w14:textId="77777777" w:rsidR="005C579E" w:rsidRDefault="005C5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DDC4" w14:textId="77777777" w:rsidR="005C579E" w:rsidRDefault="005C5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F3704" w14:textId="77777777" w:rsidR="008B79FA" w:rsidRDefault="008B79FA" w:rsidP="00896408">
      <w:r>
        <w:separator/>
      </w:r>
    </w:p>
  </w:footnote>
  <w:footnote w:type="continuationSeparator" w:id="0">
    <w:p w14:paraId="32606226" w14:textId="77777777" w:rsidR="008B79FA" w:rsidRDefault="008B79F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560B" w14:textId="77777777" w:rsidR="005C579E" w:rsidRDefault="005C5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4CBC1" w14:textId="77777777" w:rsidR="005C579E" w:rsidRDefault="005C5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A8797" w14:textId="77777777" w:rsidR="005C579E" w:rsidRDefault="005C5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7A6"/>
    <w:multiLevelType w:val="hybridMultilevel"/>
    <w:tmpl w:val="AA60CBB4"/>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0B23738">
      <w:start w:val="10"/>
      <w:numFmt w:val="bullet"/>
      <w:lvlText w:val="-"/>
      <w:lvlJc w:val="left"/>
      <w:pPr>
        <w:ind w:left="2880" w:hanging="360"/>
      </w:pPr>
      <w:rPr>
        <w:rFonts w:ascii="Times New Roman" w:eastAsia="SimSun" w:hAnsi="Times New Roman" w:cs="Times New Roman"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CFE2336"/>
    <w:multiLevelType w:val="hybridMultilevel"/>
    <w:tmpl w:val="19DE9AEC"/>
    <w:lvl w:ilvl="0" w:tplc="041D0001">
      <w:start w:val="1"/>
      <w:numFmt w:val="bullet"/>
      <w:lvlText w:val=""/>
      <w:lvlJc w:val="left"/>
      <w:pPr>
        <w:ind w:left="1120" w:hanging="360"/>
      </w:pPr>
      <w:rPr>
        <w:rFonts w:ascii="Symbol" w:hAnsi="Symbol" w:hint="default"/>
      </w:rPr>
    </w:lvl>
    <w:lvl w:ilvl="1" w:tplc="041D0003" w:tentative="1">
      <w:start w:val="1"/>
      <w:numFmt w:val="bullet"/>
      <w:lvlText w:val="o"/>
      <w:lvlJc w:val="left"/>
      <w:pPr>
        <w:ind w:left="1840" w:hanging="360"/>
      </w:pPr>
      <w:rPr>
        <w:rFonts w:ascii="Courier New" w:hAnsi="Courier New" w:cs="Courier New" w:hint="default"/>
      </w:rPr>
    </w:lvl>
    <w:lvl w:ilvl="2" w:tplc="041D0005" w:tentative="1">
      <w:start w:val="1"/>
      <w:numFmt w:val="bullet"/>
      <w:lvlText w:val=""/>
      <w:lvlJc w:val="left"/>
      <w:pPr>
        <w:ind w:left="2560" w:hanging="360"/>
      </w:pPr>
      <w:rPr>
        <w:rFonts w:ascii="Wingdings" w:hAnsi="Wingdings" w:hint="default"/>
      </w:rPr>
    </w:lvl>
    <w:lvl w:ilvl="3" w:tplc="041D0001" w:tentative="1">
      <w:start w:val="1"/>
      <w:numFmt w:val="bullet"/>
      <w:lvlText w:val=""/>
      <w:lvlJc w:val="left"/>
      <w:pPr>
        <w:ind w:left="3280" w:hanging="360"/>
      </w:pPr>
      <w:rPr>
        <w:rFonts w:ascii="Symbol" w:hAnsi="Symbol" w:hint="default"/>
      </w:rPr>
    </w:lvl>
    <w:lvl w:ilvl="4" w:tplc="041D0003" w:tentative="1">
      <w:start w:val="1"/>
      <w:numFmt w:val="bullet"/>
      <w:lvlText w:val="o"/>
      <w:lvlJc w:val="left"/>
      <w:pPr>
        <w:ind w:left="4000" w:hanging="360"/>
      </w:pPr>
      <w:rPr>
        <w:rFonts w:ascii="Courier New" w:hAnsi="Courier New" w:cs="Courier New" w:hint="default"/>
      </w:rPr>
    </w:lvl>
    <w:lvl w:ilvl="5" w:tplc="041D0005" w:tentative="1">
      <w:start w:val="1"/>
      <w:numFmt w:val="bullet"/>
      <w:lvlText w:val=""/>
      <w:lvlJc w:val="left"/>
      <w:pPr>
        <w:ind w:left="4720" w:hanging="360"/>
      </w:pPr>
      <w:rPr>
        <w:rFonts w:ascii="Wingdings" w:hAnsi="Wingdings" w:hint="default"/>
      </w:rPr>
    </w:lvl>
    <w:lvl w:ilvl="6" w:tplc="041D0001" w:tentative="1">
      <w:start w:val="1"/>
      <w:numFmt w:val="bullet"/>
      <w:lvlText w:val=""/>
      <w:lvlJc w:val="left"/>
      <w:pPr>
        <w:ind w:left="5440" w:hanging="360"/>
      </w:pPr>
      <w:rPr>
        <w:rFonts w:ascii="Symbol" w:hAnsi="Symbol" w:hint="default"/>
      </w:rPr>
    </w:lvl>
    <w:lvl w:ilvl="7" w:tplc="041D0003" w:tentative="1">
      <w:start w:val="1"/>
      <w:numFmt w:val="bullet"/>
      <w:lvlText w:val="o"/>
      <w:lvlJc w:val="left"/>
      <w:pPr>
        <w:ind w:left="6160" w:hanging="360"/>
      </w:pPr>
      <w:rPr>
        <w:rFonts w:ascii="Courier New" w:hAnsi="Courier New" w:cs="Courier New" w:hint="default"/>
      </w:rPr>
    </w:lvl>
    <w:lvl w:ilvl="8" w:tplc="041D0005" w:tentative="1">
      <w:start w:val="1"/>
      <w:numFmt w:val="bullet"/>
      <w:lvlText w:val=""/>
      <w:lvlJc w:val="left"/>
      <w:pPr>
        <w:ind w:left="6880" w:hanging="360"/>
      </w:pPr>
      <w:rPr>
        <w:rFonts w:ascii="Wingdings" w:hAnsi="Wingdings" w:hint="default"/>
      </w:rPr>
    </w:lvl>
  </w:abstractNum>
  <w:abstractNum w:abstractNumId="4" w15:restartNumberingAfterBreak="0">
    <w:nsid w:val="0D831F94"/>
    <w:multiLevelType w:val="hybridMultilevel"/>
    <w:tmpl w:val="416E6C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9154B8"/>
    <w:multiLevelType w:val="hybridMultilevel"/>
    <w:tmpl w:val="D3CE3B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483B46"/>
    <w:multiLevelType w:val="hybridMultilevel"/>
    <w:tmpl w:val="6AF60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C62B46"/>
    <w:multiLevelType w:val="hybridMultilevel"/>
    <w:tmpl w:val="9A3C7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01C0C"/>
    <w:multiLevelType w:val="hybridMultilevel"/>
    <w:tmpl w:val="11EE50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47CEC"/>
    <w:multiLevelType w:val="hybridMultilevel"/>
    <w:tmpl w:val="658E7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24130F"/>
    <w:multiLevelType w:val="hybridMultilevel"/>
    <w:tmpl w:val="8ED27E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4C000E"/>
    <w:multiLevelType w:val="hybridMultilevel"/>
    <w:tmpl w:val="B45A96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E461C"/>
    <w:multiLevelType w:val="hybridMultilevel"/>
    <w:tmpl w:val="D65C46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A829BA"/>
    <w:multiLevelType w:val="hybridMultilevel"/>
    <w:tmpl w:val="19D2E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B3F03"/>
    <w:multiLevelType w:val="hybridMultilevel"/>
    <w:tmpl w:val="115AF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9F0DB4"/>
    <w:multiLevelType w:val="hybridMultilevel"/>
    <w:tmpl w:val="D090A4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187C40"/>
    <w:multiLevelType w:val="hybridMultilevel"/>
    <w:tmpl w:val="B8447678"/>
    <w:lvl w:ilvl="0" w:tplc="04090001">
      <w:start w:val="1"/>
      <w:numFmt w:val="bullet"/>
      <w:lvlText w:val=""/>
      <w:lvlJc w:val="left"/>
      <w:pPr>
        <w:ind w:left="720" w:hanging="360"/>
      </w:pPr>
      <w:rPr>
        <w:rFonts w:ascii="Symbol" w:hAnsi="Symbol" w:hint="default"/>
      </w:rPr>
    </w:lvl>
    <w:lvl w:ilvl="1" w:tplc="341228EC">
      <w:numFmt w:val="bullet"/>
      <w:lvlText w:val="•"/>
      <w:lvlJc w:val="left"/>
      <w:pPr>
        <w:ind w:left="1590" w:hanging="51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5E1B"/>
    <w:multiLevelType w:val="hybridMultilevel"/>
    <w:tmpl w:val="18560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FD4AE4"/>
    <w:multiLevelType w:val="hybridMultilevel"/>
    <w:tmpl w:val="8F52A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DCB5ADE"/>
    <w:multiLevelType w:val="hybridMultilevel"/>
    <w:tmpl w:val="90E63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2514A6"/>
    <w:multiLevelType w:val="hybridMultilevel"/>
    <w:tmpl w:val="DB4EB78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C932E3"/>
    <w:multiLevelType w:val="hybridMultilevel"/>
    <w:tmpl w:val="BCCC6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89A06D9"/>
    <w:multiLevelType w:val="hybridMultilevel"/>
    <w:tmpl w:val="E8188F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1320E0"/>
    <w:multiLevelType w:val="hybridMultilevel"/>
    <w:tmpl w:val="4976A0A4"/>
    <w:lvl w:ilvl="0" w:tplc="3AD2FBA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93B2D16"/>
    <w:multiLevelType w:val="hybridMultilevel"/>
    <w:tmpl w:val="A3AA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B8449C"/>
    <w:multiLevelType w:val="hybridMultilevel"/>
    <w:tmpl w:val="94E000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14650D"/>
    <w:multiLevelType w:val="hybridMultilevel"/>
    <w:tmpl w:val="B8726E70"/>
    <w:lvl w:ilvl="0" w:tplc="C2ACB3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114D7F"/>
    <w:multiLevelType w:val="hybridMultilevel"/>
    <w:tmpl w:val="9CC6CA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B495A2D"/>
    <w:multiLevelType w:val="hybridMultilevel"/>
    <w:tmpl w:val="720A53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FF7DCB"/>
    <w:multiLevelType w:val="hybridMultilevel"/>
    <w:tmpl w:val="438E0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AE5B72"/>
    <w:multiLevelType w:val="hybridMultilevel"/>
    <w:tmpl w:val="0C50D0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3E43A51"/>
    <w:multiLevelType w:val="hybridMultilevel"/>
    <w:tmpl w:val="33BC09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6375"/>
    <w:multiLevelType w:val="hybridMultilevel"/>
    <w:tmpl w:val="95AA0C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4" w15:restartNumberingAfterBreak="0">
    <w:nsid w:val="758A03CA"/>
    <w:multiLevelType w:val="hybridMultilevel"/>
    <w:tmpl w:val="231A23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320D8D"/>
    <w:multiLevelType w:val="hybridMultilevel"/>
    <w:tmpl w:val="01E4C1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FB7749B"/>
    <w:multiLevelType w:val="hybridMultilevel"/>
    <w:tmpl w:val="DB4EB78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8"/>
  </w:num>
  <w:num w:numId="2">
    <w:abstractNumId w:val="24"/>
  </w:num>
  <w:num w:numId="3">
    <w:abstractNumId w:val="19"/>
  </w:num>
  <w:num w:numId="4">
    <w:abstractNumId w:val="30"/>
  </w:num>
  <w:num w:numId="5">
    <w:abstractNumId w:val="13"/>
  </w:num>
  <w:num w:numId="6">
    <w:abstractNumId w:val="11"/>
  </w:num>
  <w:num w:numId="7">
    <w:abstractNumId w:val="34"/>
  </w:num>
  <w:num w:numId="8">
    <w:abstractNumId w:val="25"/>
  </w:num>
  <w:num w:numId="9">
    <w:abstractNumId w:val="14"/>
  </w:num>
  <w:num w:numId="10">
    <w:abstractNumId w:val="46"/>
  </w:num>
  <w:num w:numId="11">
    <w:abstractNumId w:val="20"/>
  </w:num>
  <w:num w:numId="12">
    <w:abstractNumId w:val="6"/>
  </w:num>
  <w:num w:numId="13">
    <w:abstractNumId w:val="4"/>
  </w:num>
  <w:num w:numId="14">
    <w:abstractNumId w:val="27"/>
  </w:num>
  <w:num w:numId="15">
    <w:abstractNumId w:val="3"/>
  </w:num>
  <w:num w:numId="16">
    <w:abstractNumId w:val="36"/>
  </w:num>
  <w:num w:numId="17">
    <w:abstractNumId w:val="37"/>
  </w:num>
  <w:num w:numId="18">
    <w:abstractNumId w:val="7"/>
  </w:num>
  <w:num w:numId="19">
    <w:abstractNumId w:val="2"/>
  </w:num>
  <w:num w:numId="20">
    <w:abstractNumId w:val="45"/>
  </w:num>
  <w:num w:numId="21">
    <w:abstractNumId w:val="35"/>
  </w:num>
  <w:num w:numId="22">
    <w:abstractNumId w:val="31"/>
  </w:num>
  <w:num w:numId="23">
    <w:abstractNumId w:val="43"/>
  </w:num>
  <w:num w:numId="24">
    <w:abstractNumId w:val="1"/>
  </w:num>
  <w:num w:numId="25">
    <w:abstractNumId w:val="8"/>
  </w:num>
  <w:num w:numId="26">
    <w:abstractNumId w:val="42"/>
  </w:num>
  <w:num w:numId="27">
    <w:abstractNumId w:val="16"/>
  </w:num>
  <w:num w:numId="28">
    <w:abstractNumId w:val="32"/>
  </w:num>
  <w:num w:numId="29">
    <w:abstractNumId w:val="0"/>
  </w:num>
  <w:num w:numId="30">
    <w:abstractNumId w:val="38"/>
  </w:num>
  <w:num w:numId="31">
    <w:abstractNumId w:val="29"/>
  </w:num>
  <w:num w:numId="32">
    <w:abstractNumId w:val="9"/>
  </w:num>
  <w:num w:numId="33">
    <w:abstractNumId w:val="18"/>
  </w:num>
  <w:num w:numId="34">
    <w:abstractNumId w:val="39"/>
  </w:num>
  <w:num w:numId="35">
    <w:abstractNumId w:val="40"/>
  </w:num>
  <w:num w:numId="36">
    <w:abstractNumId w:val="26"/>
  </w:num>
  <w:num w:numId="37">
    <w:abstractNumId w:val="22"/>
  </w:num>
  <w:num w:numId="38">
    <w:abstractNumId w:val="5"/>
  </w:num>
  <w:num w:numId="39">
    <w:abstractNumId w:val="17"/>
  </w:num>
  <w:num w:numId="40">
    <w:abstractNumId w:val="28"/>
  </w:num>
  <w:num w:numId="41">
    <w:abstractNumId w:val="12"/>
  </w:num>
  <w:num w:numId="42">
    <w:abstractNumId w:val="33"/>
  </w:num>
  <w:num w:numId="43">
    <w:abstractNumId w:val="49"/>
  </w:num>
  <w:num w:numId="44">
    <w:abstractNumId w:val="15"/>
  </w:num>
  <w:num w:numId="45">
    <w:abstractNumId w:val="44"/>
  </w:num>
  <w:num w:numId="46">
    <w:abstractNumId w:val="23"/>
  </w:num>
  <w:num w:numId="47">
    <w:abstractNumId w:val="41"/>
  </w:num>
  <w:num w:numId="48">
    <w:abstractNumId w:val="10"/>
  </w:num>
  <w:num w:numId="49">
    <w:abstractNumId w:val="21"/>
  </w:num>
  <w:num w:numId="50">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617F"/>
    <w:rsid w:val="000208D5"/>
    <w:rsid w:val="00021435"/>
    <w:rsid w:val="00024F13"/>
    <w:rsid w:val="00034EFF"/>
    <w:rsid w:val="00056234"/>
    <w:rsid w:val="000642A3"/>
    <w:rsid w:val="000673F5"/>
    <w:rsid w:val="000772DC"/>
    <w:rsid w:val="00083069"/>
    <w:rsid w:val="0009344A"/>
    <w:rsid w:val="000B0A0B"/>
    <w:rsid w:val="000B6961"/>
    <w:rsid w:val="000C4A8E"/>
    <w:rsid w:val="000C5F12"/>
    <w:rsid w:val="000C7647"/>
    <w:rsid w:val="000F25D4"/>
    <w:rsid w:val="00106665"/>
    <w:rsid w:val="00124EB6"/>
    <w:rsid w:val="001372E8"/>
    <w:rsid w:val="00172B21"/>
    <w:rsid w:val="00192A1D"/>
    <w:rsid w:val="001B6357"/>
    <w:rsid w:val="001B64CA"/>
    <w:rsid w:val="001E2FED"/>
    <w:rsid w:val="001E5AFE"/>
    <w:rsid w:val="001F5876"/>
    <w:rsid w:val="002553B4"/>
    <w:rsid w:val="00262FC3"/>
    <w:rsid w:val="0028065B"/>
    <w:rsid w:val="00286B6D"/>
    <w:rsid w:val="00292CE7"/>
    <w:rsid w:val="002B0DDD"/>
    <w:rsid w:val="002B59EF"/>
    <w:rsid w:val="002C416D"/>
    <w:rsid w:val="002D263D"/>
    <w:rsid w:val="002E0FF8"/>
    <w:rsid w:val="002E4C6D"/>
    <w:rsid w:val="002F7B68"/>
    <w:rsid w:val="00313725"/>
    <w:rsid w:val="003220AA"/>
    <w:rsid w:val="0033205D"/>
    <w:rsid w:val="00341942"/>
    <w:rsid w:val="0034475B"/>
    <w:rsid w:val="0035540F"/>
    <w:rsid w:val="00360D53"/>
    <w:rsid w:val="00365BA9"/>
    <w:rsid w:val="00365CE4"/>
    <w:rsid w:val="00393FEA"/>
    <w:rsid w:val="00394B27"/>
    <w:rsid w:val="003A3D8B"/>
    <w:rsid w:val="003C1DC4"/>
    <w:rsid w:val="003D4A05"/>
    <w:rsid w:val="003F232C"/>
    <w:rsid w:val="00416DEC"/>
    <w:rsid w:val="00450FA7"/>
    <w:rsid w:val="00452212"/>
    <w:rsid w:val="00462E49"/>
    <w:rsid w:val="0048093F"/>
    <w:rsid w:val="00484C91"/>
    <w:rsid w:val="0048668A"/>
    <w:rsid w:val="004900B0"/>
    <w:rsid w:val="004B6C81"/>
    <w:rsid w:val="004C00C1"/>
    <w:rsid w:val="004C672E"/>
    <w:rsid w:val="004D7FE0"/>
    <w:rsid w:val="004F430F"/>
    <w:rsid w:val="004F6E72"/>
    <w:rsid w:val="00502F10"/>
    <w:rsid w:val="00504A5D"/>
    <w:rsid w:val="005053EA"/>
    <w:rsid w:val="0050616A"/>
    <w:rsid w:val="00511208"/>
    <w:rsid w:val="005164F1"/>
    <w:rsid w:val="0052140E"/>
    <w:rsid w:val="0053186E"/>
    <w:rsid w:val="00544261"/>
    <w:rsid w:val="005514B5"/>
    <w:rsid w:val="005838EA"/>
    <w:rsid w:val="00585773"/>
    <w:rsid w:val="00586816"/>
    <w:rsid w:val="005C579E"/>
    <w:rsid w:val="005C77FC"/>
    <w:rsid w:val="005D04D6"/>
    <w:rsid w:val="005F7827"/>
    <w:rsid w:val="00614513"/>
    <w:rsid w:val="006249FD"/>
    <w:rsid w:val="0063517D"/>
    <w:rsid w:val="00666BD1"/>
    <w:rsid w:val="00672D94"/>
    <w:rsid w:val="0067341E"/>
    <w:rsid w:val="00674051"/>
    <w:rsid w:val="00682798"/>
    <w:rsid w:val="0068782F"/>
    <w:rsid w:val="006A286A"/>
    <w:rsid w:val="006B21CA"/>
    <w:rsid w:val="006C7AB7"/>
    <w:rsid w:val="006D2219"/>
    <w:rsid w:val="00701F1C"/>
    <w:rsid w:val="00706D43"/>
    <w:rsid w:val="007111E2"/>
    <w:rsid w:val="00714F6D"/>
    <w:rsid w:val="00737C08"/>
    <w:rsid w:val="0078136E"/>
    <w:rsid w:val="00785910"/>
    <w:rsid w:val="00785B81"/>
    <w:rsid w:val="00797A9D"/>
    <w:rsid w:val="007A6612"/>
    <w:rsid w:val="007A72B4"/>
    <w:rsid w:val="007C690E"/>
    <w:rsid w:val="007D5680"/>
    <w:rsid w:val="007F5DBD"/>
    <w:rsid w:val="00802FBE"/>
    <w:rsid w:val="008412FD"/>
    <w:rsid w:val="00857E6D"/>
    <w:rsid w:val="00860E63"/>
    <w:rsid w:val="00896408"/>
    <w:rsid w:val="008A0342"/>
    <w:rsid w:val="008B79FA"/>
    <w:rsid w:val="008D69A9"/>
    <w:rsid w:val="00900A98"/>
    <w:rsid w:val="00922798"/>
    <w:rsid w:val="00931200"/>
    <w:rsid w:val="009367BE"/>
    <w:rsid w:val="00942F98"/>
    <w:rsid w:val="00945406"/>
    <w:rsid w:val="00946303"/>
    <w:rsid w:val="009564F5"/>
    <w:rsid w:val="00957ED7"/>
    <w:rsid w:val="009740DC"/>
    <w:rsid w:val="009770FF"/>
    <w:rsid w:val="009A0611"/>
    <w:rsid w:val="009E46CD"/>
    <w:rsid w:val="009F7D8C"/>
    <w:rsid w:val="00A42CFD"/>
    <w:rsid w:val="00A6549D"/>
    <w:rsid w:val="00A92581"/>
    <w:rsid w:val="00AA4C0D"/>
    <w:rsid w:val="00AB48FE"/>
    <w:rsid w:val="00AB5904"/>
    <w:rsid w:val="00AC5D2E"/>
    <w:rsid w:val="00AC643E"/>
    <w:rsid w:val="00AE4794"/>
    <w:rsid w:val="00B03ED8"/>
    <w:rsid w:val="00B06102"/>
    <w:rsid w:val="00B1604D"/>
    <w:rsid w:val="00B216ED"/>
    <w:rsid w:val="00B368D9"/>
    <w:rsid w:val="00B46598"/>
    <w:rsid w:val="00B5007A"/>
    <w:rsid w:val="00B715F8"/>
    <w:rsid w:val="00B72FED"/>
    <w:rsid w:val="00B739EF"/>
    <w:rsid w:val="00B86D40"/>
    <w:rsid w:val="00B9752A"/>
    <w:rsid w:val="00BB2430"/>
    <w:rsid w:val="00BB7B54"/>
    <w:rsid w:val="00BC61C7"/>
    <w:rsid w:val="00BD765F"/>
    <w:rsid w:val="00BE0B7D"/>
    <w:rsid w:val="00BE25D1"/>
    <w:rsid w:val="00BE3E7C"/>
    <w:rsid w:val="00BE4063"/>
    <w:rsid w:val="00BF6ABA"/>
    <w:rsid w:val="00C074E0"/>
    <w:rsid w:val="00C1560A"/>
    <w:rsid w:val="00C25ED8"/>
    <w:rsid w:val="00C27BC3"/>
    <w:rsid w:val="00C50236"/>
    <w:rsid w:val="00C56D9A"/>
    <w:rsid w:val="00C60FA1"/>
    <w:rsid w:val="00C62894"/>
    <w:rsid w:val="00C66E71"/>
    <w:rsid w:val="00C77098"/>
    <w:rsid w:val="00C8496C"/>
    <w:rsid w:val="00C8651A"/>
    <w:rsid w:val="00CA7BC4"/>
    <w:rsid w:val="00CB5A40"/>
    <w:rsid w:val="00CC1CA7"/>
    <w:rsid w:val="00CD1737"/>
    <w:rsid w:val="00CE6CB0"/>
    <w:rsid w:val="00CE7B9C"/>
    <w:rsid w:val="00D03072"/>
    <w:rsid w:val="00D16A42"/>
    <w:rsid w:val="00D43BA3"/>
    <w:rsid w:val="00D44A43"/>
    <w:rsid w:val="00D54895"/>
    <w:rsid w:val="00D577BB"/>
    <w:rsid w:val="00D677A2"/>
    <w:rsid w:val="00D92AB5"/>
    <w:rsid w:val="00DA27DA"/>
    <w:rsid w:val="00DB5084"/>
    <w:rsid w:val="00DB6ED2"/>
    <w:rsid w:val="00DC2E6E"/>
    <w:rsid w:val="00DD11CB"/>
    <w:rsid w:val="00DE1BAA"/>
    <w:rsid w:val="00E0557D"/>
    <w:rsid w:val="00E10C1F"/>
    <w:rsid w:val="00E20E32"/>
    <w:rsid w:val="00E2157C"/>
    <w:rsid w:val="00E25B87"/>
    <w:rsid w:val="00E30C81"/>
    <w:rsid w:val="00E33BAF"/>
    <w:rsid w:val="00E34104"/>
    <w:rsid w:val="00E35E76"/>
    <w:rsid w:val="00E55D5E"/>
    <w:rsid w:val="00E73C4A"/>
    <w:rsid w:val="00E808F7"/>
    <w:rsid w:val="00E83266"/>
    <w:rsid w:val="00EB26FB"/>
    <w:rsid w:val="00EC1F08"/>
    <w:rsid w:val="00EC2F3D"/>
    <w:rsid w:val="00EC4BB6"/>
    <w:rsid w:val="00EE2EAD"/>
    <w:rsid w:val="00EF603E"/>
    <w:rsid w:val="00F04346"/>
    <w:rsid w:val="00F346B4"/>
    <w:rsid w:val="00F512F5"/>
    <w:rsid w:val="00F61675"/>
    <w:rsid w:val="00F618ED"/>
    <w:rsid w:val="00F74C55"/>
    <w:rsid w:val="00F81C1C"/>
    <w:rsid w:val="00F8504A"/>
    <w:rsid w:val="00F92325"/>
    <w:rsid w:val="00F929FB"/>
    <w:rsid w:val="00FA2D6F"/>
    <w:rsid w:val="00FC7919"/>
    <w:rsid w:val="00FD0EBD"/>
    <w:rsid w:val="00FD3D05"/>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A9F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19"/>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20"/>
      </w:numPr>
    </w:pPr>
  </w:style>
  <w:style w:type="paragraph" w:customStyle="1" w:styleId="B1">
    <w:name w:val="B1"/>
    <w:basedOn w:val="List"/>
    <w:link w:val="B1Zchn"/>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styleId="CommentReference">
    <w:name w:val="annotation reference"/>
    <w:basedOn w:val="DefaultParagraphFont"/>
    <w:uiPriority w:val="99"/>
    <w:semiHidden/>
    <w:unhideWhenUsed/>
    <w:rsid w:val="000673F5"/>
    <w:rPr>
      <w:sz w:val="16"/>
      <w:szCs w:val="16"/>
    </w:rPr>
  </w:style>
  <w:style w:type="paragraph" w:styleId="CommentText">
    <w:name w:val="annotation text"/>
    <w:basedOn w:val="Normal"/>
    <w:link w:val="CommentTextChar"/>
    <w:uiPriority w:val="99"/>
    <w:semiHidden/>
    <w:unhideWhenUsed/>
    <w:rsid w:val="000673F5"/>
    <w:rPr>
      <w:szCs w:val="20"/>
    </w:rPr>
  </w:style>
  <w:style w:type="character" w:customStyle="1" w:styleId="CommentTextChar">
    <w:name w:val="Comment Text Char"/>
    <w:basedOn w:val="DefaultParagraphFont"/>
    <w:link w:val="CommentText"/>
    <w:uiPriority w:val="99"/>
    <w:semiHidden/>
    <w:rsid w:val="000673F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0673F5"/>
    <w:rPr>
      <w:b/>
      <w:bCs/>
    </w:rPr>
  </w:style>
  <w:style w:type="character" w:customStyle="1" w:styleId="CommentSubjectChar">
    <w:name w:val="Comment Subject Char"/>
    <w:basedOn w:val="CommentTextChar"/>
    <w:link w:val="CommentSubject"/>
    <w:uiPriority w:val="99"/>
    <w:semiHidden/>
    <w:rsid w:val="000673F5"/>
    <w:rPr>
      <w:rFonts w:ascii="Times New Roman"/>
      <w:b/>
      <w:bCs/>
      <w:sz w:val="20"/>
      <w:szCs w:val="20"/>
    </w:rPr>
  </w:style>
  <w:style w:type="paragraph" w:styleId="BalloonText">
    <w:name w:val="Balloon Text"/>
    <w:basedOn w:val="Normal"/>
    <w:link w:val="BalloonTextChar"/>
    <w:uiPriority w:val="99"/>
    <w:semiHidden/>
    <w:unhideWhenUsed/>
    <w:rsid w:val="00067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E3AF-BACE-474B-9A43-47EB031D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2018-04-06T23:26:00Z</dcterms:created>
  <dcterms:modified xsi:type="dcterms:W3CDTF">2018-04-06T23:26:00Z</dcterms:modified>
</cp:coreProperties>
</file>