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F4FB6" w14:textId="04F8CF5F" w:rsidR="009B0DBB" w:rsidRPr="00E85AA4" w:rsidRDefault="009B0DBB" w:rsidP="009B0DBB">
      <w:pPr>
        <w:pStyle w:val="3GPPHeader"/>
        <w:spacing w:after="60"/>
        <w:rPr>
          <w:sz w:val="32"/>
          <w:szCs w:val="32"/>
          <w:highlight w:val="yellow"/>
          <w:lang w:val="en-US"/>
        </w:rPr>
      </w:pPr>
      <w:r w:rsidRPr="00E85AA4">
        <w:rPr>
          <w:lang w:val="en-US"/>
        </w:rPr>
        <w:t>3GPP TSG-RAN WG1 Meeting #92bis</w:t>
      </w:r>
      <w:r w:rsidRPr="00E85AA4">
        <w:rPr>
          <w:lang w:val="en-US"/>
        </w:rPr>
        <w:tab/>
      </w:r>
      <w:r w:rsidRPr="00E85AA4">
        <w:rPr>
          <w:sz w:val="32"/>
          <w:szCs w:val="32"/>
          <w:lang w:val="en-US"/>
        </w:rPr>
        <w:t>R1-180</w:t>
      </w:r>
      <w:r w:rsidRPr="00911E00">
        <w:rPr>
          <w:sz w:val="32"/>
          <w:szCs w:val="32"/>
          <w:lang w:val="en-US"/>
        </w:rPr>
        <w:t>508</w:t>
      </w:r>
      <w:r>
        <w:rPr>
          <w:sz w:val="32"/>
          <w:szCs w:val="32"/>
          <w:lang w:val="en-US"/>
        </w:rPr>
        <w:t>5</w:t>
      </w:r>
    </w:p>
    <w:p w14:paraId="1651D847" w14:textId="77777777" w:rsidR="009B0DBB" w:rsidRPr="00E85AA4" w:rsidRDefault="009B0DBB" w:rsidP="009B0DBB">
      <w:pPr>
        <w:pStyle w:val="3GPPHeader"/>
        <w:rPr>
          <w:lang w:val="en-US"/>
        </w:rPr>
      </w:pPr>
      <w:r w:rsidRPr="00E85AA4">
        <w:rPr>
          <w:lang w:val="en-US"/>
        </w:rPr>
        <w:t>San</w:t>
      </w:r>
      <w:bookmarkStart w:id="0" w:name="_GoBack"/>
      <w:bookmarkEnd w:id="0"/>
      <w:r w:rsidRPr="00E85AA4">
        <w:rPr>
          <w:lang w:val="en-US"/>
        </w:rPr>
        <w:t>ya, China, 16</w:t>
      </w:r>
      <w:r w:rsidRPr="00E85AA4">
        <w:rPr>
          <w:vertAlign w:val="superscript"/>
          <w:lang w:val="en-US"/>
        </w:rPr>
        <w:t>th</w:t>
      </w:r>
      <w:r w:rsidRPr="00E85AA4">
        <w:rPr>
          <w:lang w:val="en-US"/>
        </w:rPr>
        <w:t xml:space="preserve"> – 20</w:t>
      </w:r>
      <w:r w:rsidRPr="00E85AA4">
        <w:rPr>
          <w:vertAlign w:val="superscript"/>
          <w:lang w:val="en-US"/>
        </w:rPr>
        <w:t>th</w:t>
      </w:r>
      <w:r w:rsidRPr="00E85AA4">
        <w:rPr>
          <w:lang w:val="en-US"/>
        </w:rPr>
        <w:t xml:space="preserve"> April 2018</w:t>
      </w:r>
    </w:p>
    <w:p w14:paraId="5CE2E97E" w14:textId="77777777" w:rsidR="009B0DBB" w:rsidRPr="00E85AA4" w:rsidRDefault="009B0DBB" w:rsidP="009B0DBB">
      <w:pPr>
        <w:pStyle w:val="3GPPHeader"/>
        <w:rPr>
          <w:lang w:val="en-US"/>
        </w:rPr>
      </w:pPr>
    </w:p>
    <w:p w14:paraId="08246E7A" w14:textId="1839A8CC" w:rsidR="009B0DBB" w:rsidRPr="00016940" w:rsidRDefault="009B0DBB" w:rsidP="009B0DBB">
      <w:pPr>
        <w:pStyle w:val="3GPPHeader"/>
        <w:rPr>
          <w:sz w:val="22"/>
          <w:szCs w:val="22"/>
          <w:lang w:val="en-US"/>
        </w:rPr>
      </w:pPr>
      <w:r w:rsidRPr="00016940">
        <w:rPr>
          <w:sz w:val="22"/>
          <w:szCs w:val="22"/>
          <w:lang w:val="en-US"/>
        </w:rPr>
        <w:t>Agenda Item:</w:t>
      </w:r>
      <w:r w:rsidRPr="00016940">
        <w:rPr>
          <w:sz w:val="22"/>
          <w:szCs w:val="22"/>
          <w:lang w:val="en-US"/>
        </w:rPr>
        <w:tab/>
        <w:t>7.7.</w:t>
      </w:r>
      <w:r>
        <w:rPr>
          <w:sz w:val="22"/>
          <w:szCs w:val="22"/>
          <w:lang w:val="en-US"/>
        </w:rPr>
        <w:t>1</w:t>
      </w:r>
    </w:p>
    <w:p w14:paraId="78AF00C7" w14:textId="77777777" w:rsidR="009B0DBB" w:rsidRPr="00E85AA4" w:rsidRDefault="009B0DBB" w:rsidP="009B0DBB">
      <w:pPr>
        <w:pStyle w:val="3GPPHeader"/>
        <w:rPr>
          <w:sz w:val="22"/>
          <w:szCs w:val="22"/>
          <w:lang w:val="en-US"/>
        </w:rPr>
      </w:pPr>
      <w:r w:rsidRPr="00E85AA4">
        <w:rPr>
          <w:sz w:val="22"/>
          <w:szCs w:val="22"/>
          <w:lang w:val="en-US"/>
        </w:rPr>
        <w:t>Source:</w:t>
      </w:r>
      <w:r w:rsidRPr="00E85AA4">
        <w:rPr>
          <w:sz w:val="22"/>
          <w:szCs w:val="22"/>
          <w:lang w:val="en-US"/>
        </w:rPr>
        <w:tab/>
        <w:t>Ericsson</w:t>
      </w:r>
    </w:p>
    <w:p w14:paraId="6CBDD6EA" w14:textId="44D59DA5" w:rsidR="009B0DBB" w:rsidRPr="00E85AA4" w:rsidRDefault="009B0DBB" w:rsidP="009B0DBB">
      <w:pPr>
        <w:pStyle w:val="3GPPHeader"/>
        <w:ind w:left="1701" w:hanging="1701"/>
        <w:rPr>
          <w:sz w:val="22"/>
          <w:szCs w:val="22"/>
          <w:lang w:val="en-US"/>
        </w:rPr>
      </w:pPr>
      <w:r w:rsidRPr="00E85AA4">
        <w:rPr>
          <w:sz w:val="22"/>
          <w:szCs w:val="22"/>
          <w:lang w:val="en-US"/>
        </w:rPr>
        <w:t>Title:</w:t>
      </w:r>
      <w:r w:rsidRPr="00E85AA4">
        <w:rPr>
          <w:sz w:val="22"/>
          <w:szCs w:val="22"/>
          <w:lang w:val="en-US"/>
        </w:rPr>
        <w:tab/>
      </w:r>
      <w:r>
        <w:rPr>
          <w:sz w:val="22"/>
          <w:szCs w:val="22"/>
        </w:rPr>
        <w:t>Physical-layer aspects related to IAB</w:t>
      </w:r>
    </w:p>
    <w:p w14:paraId="49EABC54" w14:textId="65AC5364" w:rsidR="009B0DBB" w:rsidRPr="00E85AA4" w:rsidRDefault="009B0DBB" w:rsidP="009B0DBB">
      <w:pPr>
        <w:pStyle w:val="3GPPHeader"/>
        <w:rPr>
          <w:sz w:val="22"/>
          <w:szCs w:val="22"/>
          <w:lang w:val="en-US"/>
        </w:rPr>
      </w:pPr>
      <w:r w:rsidRPr="00E85AA4">
        <w:rPr>
          <w:sz w:val="22"/>
          <w:szCs w:val="22"/>
          <w:lang w:val="en-US"/>
        </w:rPr>
        <w:t>Document for:</w:t>
      </w:r>
      <w:r w:rsidRPr="00E85AA4">
        <w:rPr>
          <w:sz w:val="22"/>
          <w:szCs w:val="22"/>
          <w:lang w:val="en-US"/>
        </w:rPr>
        <w:tab/>
        <w:t>Discussion</w:t>
      </w:r>
      <w:r>
        <w:rPr>
          <w:sz w:val="22"/>
          <w:szCs w:val="22"/>
          <w:lang w:val="en-US"/>
        </w:rPr>
        <w:t xml:space="preserve"> and decision</w:t>
      </w:r>
    </w:p>
    <w:p w14:paraId="76A9BC2F" w14:textId="0215EC51" w:rsidR="00C24345" w:rsidRDefault="00E90E49" w:rsidP="00A2052C">
      <w:pPr>
        <w:pStyle w:val="Heading1"/>
      </w:pPr>
      <w:r w:rsidRPr="00824F3D">
        <w:t>Introduction</w:t>
      </w:r>
    </w:p>
    <w:p w14:paraId="718DC4C4" w14:textId="3968C97F" w:rsidR="00404853" w:rsidRPr="00404853" w:rsidRDefault="00404853" w:rsidP="00404853">
      <w:r>
        <w:t>Work on the IAB (Integrated Access Backhhaul) S</w:t>
      </w:r>
      <w:r w:rsidR="00AB7883">
        <w:t>tudy Item</w:t>
      </w:r>
      <w:r>
        <w:t xml:space="preserve"> [1] has already be</w:t>
      </w:r>
      <w:r w:rsidR="00AB7883">
        <w:t>gun</w:t>
      </w:r>
      <w:r w:rsidRPr="00404853">
        <w:t xml:space="preserve"> </w:t>
      </w:r>
      <w:r>
        <w:t xml:space="preserve">within RAN2/3. At the January 2018 NR AdHoc meeting, RAN2 came to the following agreements with respect to IAB:  </w:t>
      </w:r>
    </w:p>
    <w:p w14:paraId="66C292F4" w14:textId="77777777" w:rsidR="00404853" w:rsidRDefault="00404853" w:rsidP="00404853">
      <w:pPr>
        <w:pStyle w:val="Doc-text2"/>
      </w:pPr>
    </w:p>
    <w:p w14:paraId="518C8F4E"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Agreements</w:t>
      </w:r>
    </w:p>
    <w:p w14:paraId="1862760F"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 xml:space="preserve">1: </w:t>
      </w:r>
      <w:r>
        <w:tab/>
        <w:t>The Rel.15 study item focuses on IAB with physically fixed relays. Optimization for mobile relays in future releases is not precluded</w:t>
      </w:r>
    </w:p>
    <w:p w14:paraId="1457E54F"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2</w:t>
      </w:r>
      <w:r>
        <w:tab/>
        <w:t xml:space="preserve">Common architecture supports both in-band and out-of-band IAB scenarios. </w:t>
      </w:r>
    </w:p>
    <w:p w14:paraId="0B04C299"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2i</w:t>
      </w:r>
      <w:r>
        <w:tab/>
        <w:t>In-band IAB scenarios including (TDM/FDM/SDM) of access and backhaul links subject to half-duplex constraint at the IAB node are supported (This agreement does not exclude full duplex from being studied by RAN1)</w:t>
      </w:r>
    </w:p>
    <w:p w14:paraId="50AA1237"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2ii</w:t>
      </w:r>
      <w:r>
        <w:tab/>
        <w:t>Out-of-band IAB scenarios are also supported using the same set of RAN features designed for in-band scenarios.  Study whether additional RAN features are needed for out-of-band scenarios</w:t>
      </w:r>
    </w:p>
    <w:p w14:paraId="2789AF62"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3</w:t>
      </w:r>
      <w:r>
        <w:tab/>
        <w:t xml:space="preserve">NR access over NR backhaul is studied with highest priority </w:t>
      </w:r>
    </w:p>
    <w:p w14:paraId="681A0F8D"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3i</w:t>
      </w:r>
      <w:r>
        <w:tab/>
        <w:t>Identify the additional architecture solutions required for LTE access over NR backhaul</w:t>
      </w:r>
    </w:p>
    <w:p w14:paraId="4AD382F7"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3ii</w:t>
      </w:r>
      <w:r>
        <w:tab/>
        <w:t>The IAB design shall at least support the following UEs to connect to a node which is backhauled using IAB:</w:t>
      </w:r>
    </w:p>
    <w:p w14:paraId="2F542967"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b/>
        <w:t>1/</w:t>
      </w:r>
      <w:r>
        <w:tab/>
        <w:t>Rel. 15 NR UE</w:t>
      </w:r>
    </w:p>
    <w:p w14:paraId="4AC52EEE"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b/>
        <w:t>2/</w:t>
      </w:r>
      <w:r>
        <w:tab/>
        <w:t>Legacy LTE UE if IAB supports backhauling of LTE access</w:t>
      </w:r>
    </w:p>
    <w:p w14:paraId="09A64A7D"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4i</w:t>
      </w:r>
      <w:r>
        <w:tab/>
        <w:t>SA and NSA on the access link will be supported (For NSA on the access the relay is applied to the NR SCG path only)</w:t>
      </w:r>
    </w:p>
    <w:p w14:paraId="4B8451B6"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4ii</w:t>
      </w:r>
      <w:r>
        <w:tab/>
        <w:t xml:space="preserve">Both NSA and SA for the backhaul links will be studied. (For both SA and NSA backhaul, we will not study backhaul traffic over the LTE radio interface). </w:t>
      </w:r>
    </w:p>
    <w:p w14:paraId="2E3F84B7"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4iii</w:t>
      </w:r>
      <w:r>
        <w:tab/>
        <w:t>For both 4i and 4ii the priority within the NSA options will be to consider the EN-DC case but this does not preclude study for other NSA options.</w:t>
      </w:r>
    </w:p>
    <w:p w14:paraId="20E93AC8" w14:textId="74800D21" w:rsidR="00404853" w:rsidRPr="00404853" w:rsidRDefault="00404853" w:rsidP="00404853">
      <w:pPr>
        <w:pStyle w:val="Doc-text2"/>
        <w:pBdr>
          <w:top w:val="single" w:sz="4" w:space="1" w:color="auto"/>
          <w:left w:val="single" w:sz="4" w:space="4" w:color="auto"/>
          <w:bottom w:val="single" w:sz="4" w:space="1" w:color="auto"/>
          <w:right w:val="single" w:sz="4" w:space="4" w:color="auto"/>
        </w:pBdr>
      </w:pPr>
      <w:r>
        <w:t>4iv Further study of the possible combinations of SA and NSA access and backhaul is needed to fully determine the scope of what will be studied.</w:t>
      </w:r>
    </w:p>
    <w:p w14:paraId="2E80DDFA" w14:textId="77777777" w:rsidR="00404853" w:rsidRDefault="00404853" w:rsidP="00404853">
      <w:pPr>
        <w:pStyle w:val="Doc-text2"/>
      </w:pPr>
    </w:p>
    <w:p w14:paraId="20D09910"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Agreements</w:t>
      </w:r>
    </w:p>
    <w:p w14:paraId="7D8CBB19"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1: IAB design shall support multiple backhaul hops</w:t>
      </w:r>
    </w:p>
    <w:p w14:paraId="1AF2A871"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b/>
        <w:t>-</w:t>
      </w:r>
      <w:r>
        <w:tab/>
        <w:t>The architecture should not impose limits on the number of backhaul hops.</w:t>
      </w:r>
    </w:p>
    <w:p w14:paraId="6A34C25A"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b/>
        <w:t>-</w:t>
      </w:r>
      <w:r>
        <w:tab/>
        <w:t>The study should consider scalability to hop-count an important KPI.</w:t>
      </w:r>
    </w:p>
    <w:p w14:paraId="0510E598"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ab/>
        <w:t>-</w:t>
      </w:r>
      <w:r>
        <w:tab/>
        <w:t>Single hop is considered a special case of multiple backhaul hops.</w:t>
      </w:r>
    </w:p>
    <w:p w14:paraId="7444A519"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2: Topology adaptation for physically fixed relays is supported to enable robust operation, e.g., mitigate blockage and load variation on backhaul links</w:t>
      </w:r>
    </w:p>
    <w:p w14:paraId="087EA8B8"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3: L2 and L3 relay architectures will be studied. Definitions of L2- and L3-relaying in the context of IAB is FFS</w:t>
      </w:r>
    </w:p>
    <w:p w14:paraId="7E1B5F66"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4: The IAB design should minimize the impact to core network specifications</w:t>
      </w:r>
    </w:p>
    <w:p w14:paraId="7B27D3F9"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5: The study should consider the impact to the core network signalling load as an important KPI</w:t>
      </w:r>
    </w:p>
    <w:p w14:paraId="41FBE47A" w14:textId="77777777" w:rsidR="00404853" w:rsidRDefault="00404853" w:rsidP="00404853">
      <w:pPr>
        <w:pStyle w:val="Doc-text2"/>
        <w:pBdr>
          <w:top w:val="single" w:sz="4" w:space="1" w:color="auto"/>
          <w:left w:val="single" w:sz="4" w:space="4" w:color="auto"/>
          <w:bottom w:val="single" w:sz="4" w:space="1" w:color="auto"/>
          <w:right w:val="single" w:sz="4" w:space="4" w:color="auto"/>
        </w:pBdr>
      </w:pPr>
      <w:r>
        <w:t>6: Strive to maximize reuse of Rel-15 NR specifications for the design of the backhaul link. Enhancement can also be considered.</w:t>
      </w:r>
    </w:p>
    <w:p w14:paraId="37ACB174" w14:textId="50AE3A3C" w:rsidR="00404853" w:rsidRDefault="00AB7883" w:rsidP="00E55E1E">
      <w:r>
        <w:lastRenderedPageBreak/>
        <w:t xml:space="preserve">In this paper we will discuss our view on the physical layer aspect of IAB. </w:t>
      </w:r>
    </w:p>
    <w:p w14:paraId="2E3F1829" w14:textId="77777777" w:rsidR="00404853" w:rsidRPr="00E55E1E" w:rsidRDefault="00404853" w:rsidP="00E55E1E"/>
    <w:p w14:paraId="2A32A878" w14:textId="7DA4D492" w:rsidR="005508F9" w:rsidRPr="00E84600" w:rsidRDefault="005508F9" w:rsidP="005508F9">
      <w:pPr>
        <w:pStyle w:val="Heading1"/>
      </w:pPr>
      <w:r w:rsidRPr="00E84600">
        <w:t>Terminology</w:t>
      </w:r>
    </w:p>
    <w:p w14:paraId="79223EFE" w14:textId="67C4576A" w:rsidR="009567C1" w:rsidRDefault="003F31EE" w:rsidP="009567C1">
      <w:r>
        <w:t xml:space="preserve">In [1], we proposed the following IAB-related terminology, see also </w:t>
      </w:r>
      <w:r w:rsidR="00BD6737">
        <w:fldChar w:fldCharType="begin"/>
      </w:r>
      <w:r w:rsidR="00BD6737">
        <w:instrText xml:space="preserve"> REF _Ref510785492 \h </w:instrText>
      </w:r>
      <w:r w:rsidR="00BD6737">
        <w:fldChar w:fldCharType="separate"/>
      </w:r>
      <w:r w:rsidR="00AA64F2">
        <w:t xml:space="preserve">Figure </w:t>
      </w:r>
      <w:r w:rsidR="00AA64F2">
        <w:rPr>
          <w:noProof/>
        </w:rPr>
        <w:t>2</w:t>
      </w:r>
      <w:r w:rsidR="00AA64F2">
        <w:noBreakHyphen/>
      </w:r>
      <w:r w:rsidR="00AA64F2">
        <w:rPr>
          <w:noProof/>
        </w:rPr>
        <w:t>1</w:t>
      </w:r>
      <w:r w:rsidR="00BD6737">
        <w:fldChar w:fldCharType="end"/>
      </w:r>
      <w:r>
        <w:t xml:space="preserve">.  </w:t>
      </w:r>
    </w:p>
    <w:p w14:paraId="4531314F" w14:textId="75095F6A" w:rsidR="009567C1" w:rsidRDefault="003870D2" w:rsidP="009567C1">
      <w:pPr>
        <w:pStyle w:val="ListParagraph"/>
        <w:numPr>
          <w:ilvl w:val="0"/>
          <w:numId w:val="24"/>
        </w:numPr>
        <w:ind w:left="714" w:hanging="357"/>
        <w:contextualSpacing w:val="0"/>
      </w:pPr>
      <w:r w:rsidRPr="009567C1">
        <w:rPr>
          <w:b/>
        </w:rPr>
        <w:t>IAB donor node (IAB-DN):</w:t>
      </w:r>
      <w:r>
        <w:t xml:space="preserve"> The gNB</w:t>
      </w:r>
      <w:r w:rsidR="00BD6737">
        <w:t>,</w:t>
      </w:r>
      <w:r>
        <w:t xml:space="preserve"> or part of the gNB</w:t>
      </w:r>
      <w:r w:rsidR="00BD6737">
        <w:t>,</w:t>
      </w:r>
      <w:r>
        <w:t xml:space="preserve"> that is using</w:t>
      </w:r>
      <w:r w:rsidR="00AB7883">
        <w:t xml:space="preserve"> IAB to </w:t>
      </w:r>
      <w:r>
        <w:t xml:space="preserve">backhaul other NR nodes </w:t>
      </w:r>
    </w:p>
    <w:p w14:paraId="10052977" w14:textId="2F9C5C82" w:rsidR="00AB7883" w:rsidRDefault="003870D2" w:rsidP="009567C1">
      <w:pPr>
        <w:pStyle w:val="ListParagraph"/>
        <w:numPr>
          <w:ilvl w:val="0"/>
          <w:numId w:val="24"/>
        </w:numPr>
        <w:ind w:left="714" w:hanging="357"/>
        <w:contextualSpacing w:val="0"/>
      </w:pPr>
      <w:r w:rsidRPr="009567C1">
        <w:rPr>
          <w:b/>
        </w:rPr>
        <w:t>IAB node (IAB-N):</w:t>
      </w:r>
      <w:r>
        <w:t xml:space="preserve"> The NR</w:t>
      </w:r>
      <w:r w:rsidR="00AB7883">
        <w:t xml:space="preserve"> </w:t>
      </w:r>
      <w:r>
        <w:t xml:space="preserve">node being backhauled using </w:t>
      </w:r>
      <w:r w:rsidR="00AB7883">
        <w:t>IAB</w:t>
      </w:r>
      <w:r w:rsidR="00977A25">
        <w:t xml:space="preserve"> </w:t>
      </w:r>
      <w:r>
        <w:t xml:space="preserve"> </w:t>
      </w:r>
    </w:p>
    <w:p w14:paraId="1EAC1EEF" w14:textId="5C045B84" w:rsidR="009567C1" w:rsidRDefault="003870D2" w:rsidP="009567C1">
      <w:pPr>
        <w:pStyle w:val="ListParagraph"/>
        <w:numPr>
          <w:ilvl w:val="0"/>
          <w:numId w:val="24"/>
        </w:numPr>
        <w:ind w:left="714" w:hanging="357"/>
        <w:contextualSpacing w:val="0"/>
      </w:pPr>
      <w:r w:rsidRPr="009567C1">
        <w:rPr>
          <w:b/>
        </w:rPr>
        <w:t>IAB backhaul link:</w:t>
      </w:r>
      <w:r>
        <w:t xml:space="preserve"> The</w:t>
      </w:r>
      <w:r w:rsidR="00AB7883">
        <w:t xml:space="preserve"> wireless </w:t>
      </w:r>
      <w:r>
        <w:t xml:space="preserve">link between </w:t>
      </w:r>
      <w:r w:rsidR="00AB7883">
        <w:t xml:space="preserve">IAB nodes or between an </w:t>
      </w:r>
      <w:r>
        <w:t>IAB</w:t>
      </w:r>
      <w:r w:rsidR="00AB7883">
        <w:t xml:space="preserve"> node and</w:t>
      </w:r>
      <w:r>
        <w:t xml:space="preserve"> </w:t>
      </w:r>
      <w:r w:rsidR="00AB7883">
        <w:t xml:space="preserve">an </w:t>
      </w:r>
      <w:r>
        <w:t>IAB</w:t>
      </w:r>
      <w:r w:rsidR="00AB7883">
        <w:t xml:space="preserve"> donor node</w:t>
      </w:r>
      <w:r>
        <w:t xml:space="preserve"> </w:t>
      </w:r>
    </w:p>
    <w:p w14:paraId="371A7E2E" w14:textId="1884F983" w:rsidR="009567C1" w:rsidRDefault="003870D2" w:rsidP="009567C1">
      <w:pPr>
        <w:pStyle w:val="ListParagraph"/>
        <w:numPr>
          <w:ilvl w:val="0"/>
          <w:numId w:val="24"/>
        </w:numPr>
        <w:ind w:left="714" w:hanging="357"/>
        <w:contextualSpacing w:val="0"/>
      </w:pPr>
      <w:r w:rsidRPr="009567C1">
        <w:rPr>
          <w:b/>
        </w:rPr>
        <w:t>IAB access link:</w:t>
      </w:r>
      <w:r>
        <w:t xml:space="preserve"> The </w:t>
      </w:r>
      <w:r w:rsidR="00AB7883">
        <w:t xml:space="preserve">wireless </w:t>
      </w:r>
      <w:r>
        <w:t xml:space="preserve">link between </w:t>
      </w:r>
      <w:r w:rsidR="00AB7883">
        <w:t>an</w:t>
      </w:r>
      <w:r>
        <w:t xml:space="preserve"> IAB</w:t>
      </w:r>
      <w:r w:rsidR="00AB7883">
        <w:t xml:space="preserve"> node and a</w:t>
      </w:r>
      <w:r>
        <w:t xml:space="preserve"> UE</w:t>
      </w:r>
    </w:p>
    <w:p w14:paraId="6601D1E3" w14:textId="77777777" w:rsidR="00E55E1E" w:rsidRDefault="00E55E1E" w:rsidP="003F31EE"/>
    <w:p w14:paraId="572AE9DE" w14:textId="0A5C3DF0" w:rsidR="00E55E1E" w:rsidRDefault="00E55E1E" w:rsidP="008C73D2">
      <w:pPr>
        <w:jc w:val="center"/>
      </w:pPr>
      <w:r w:rsidRPr="00E55E1E">
        <w:rPr>
          <w:noProof/>
        </w:rPr>
        <w:drawing>
          <wp:inline distT="0" distB="0" distL="0" distR="0" wp14:anchorId="32D75D0E" wp14:editId="367286AC">
            <wp:extent cx="3839368" cy="120015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143" cy="1200705"/>
                    </a:xfrm>
                    <a:prstGeom prst="rect">
                      <a:avLst/>
                    </a:prstGeom>
                    <a:noFill/>
                    <a:ln>
                      <a:noFill/>
                    </a:ln>
                  </pic:spPr>
                </pic:pic>
              </a:graphicData>
            </a:graphic>
          </wp:inline>
        </w:drawing>
      </w:r>
    </w:p>
    <w:p w14:paraId="74A7368F" w14:textId="5C3E30DD" w:rsidR="00977A25" w:rsidRDefault="00977A25" w:rsidP="00AB7883">
      <w:pPr>
        <w:pStyle w:val="Caption"/>
      </w:pPr>
      <w:bookmarkStart w:id="1" w:name="_Ref510785492"/>
      <w:r>
        <w:t xml:space="preserve">Figure </w:t>
      </w:r>
      <w:r w:rsidR="001D3883">
        <w:fldChar w:fldCharType="begin"/>
      </w:r>
      <w:r w:rsidR="001D3883">
        <w:instrText xml:space="preserve"> STYLEREF 1 \s </w:instrText>
      </w:r>
      <w:r w:rsidR="001D3883">
        <w:fldChar w:fldCharType="separate"/>
      </w:r>
      <w:r w:rsidR="00AA64F2">
        <w:rPr>
          <w:noProof/>
        </w:rPr>
        <w:t>2</w:t>
      </w:r>
      <w:r w:rsidR="001D3883">
        <w:fldChar w:fldCharType="end"/>
      </w:r>
      <w:r w:rsidR="001D3883">
        <w:noBreakHyphen/>
      </w:r>
      <w:r w:rsidR="001D3883">
        <w:fldChar w:fldCharType="begin"/>
      </w:r>
      <w:r w:rsidR="001D3883">
        <w:instrText xml:space="preserve"> SEQ Figure \* ARABIC \s 1 </w:instrText>
      </w:r>
      <w:r w:rsidR="001D3883">
        <w:fldChar w:fldCharType="separate"/>
      </w:r>
      <w:r w:rsidR="00AA64F2">
        <w:rPr>
          <w:noProof/>
        </w:rPr>
        <w:t>1</w:t>
      </w:r>
      <w:r w:rsidR="001D3883">
        <w:fldChar w:fldCharType="end"/>
      </w:r>
      <w:bookmarkEnd w:id="1"/>
    </w:p>
    <w:p w14:paraId="0617D1B4" w14:textId="77777777" w:rsidR="00AA64F2" w:rsidRDefault="00AA64F2" w:rsidP="00AA64F2">
      <w:r>
        <w:t>Furthermore, we will assume that the IAB-based backhaul network does not include any loops. Consequently, it is possible to define downlink and uplink directions also for the IAB backhaul links.</w:t>
      </w:r>
    </w:p>
    <w:p w14:paraId="5AD4A8C7" w14:textId="77777777" w:rsidR="00AA64F2" w:rsidRDefault="00AA64F2" w:rsidP="00AA64F2">
      <w:pPr>
        <w:pStyle w:val="ListParagraph"/>
        <w:numPr>
          <w:ilvl w:val="0"/>
          <w:numId w:val="22"/>
        </w:numPr>
        <w:ind w:left="714" w:hanging="357"/>
        <w:contextualSpacing w:val="0"/>
      </w:pPr>
      <w:r>
        <w:rPr>
          <w:b/>
        </w:rPr>
        <w:t>Downlink direction of IAB backhaul link</w:t>
      </w:r>
      <w:r w:rsidRPr="00977A25">
        <w:rPr>
          <w:b/>
        </w:rPr>
        <w:t xml:space="preserve">:  </w:t>
      </w:r>
      <w:r>
        <w:t>Direction towards UEs</w:t>
      </w:r>
    </w:p>
    <w:p w14:paraId="77B8926B" w14:textId="3B5C4B0B" w:rsidR="00AA64F2" w:rsidRDefault="00AA64F2" w:rsidP="00AA64F2">
      <w:pPr>
        <w:pStyle w:val="ListParagraph"/>
        <w:numPr>
          <w:ilvl w:val="0"/>
          <w:numId w:val="22"/>
        </w:numPr>
        <w:ind w:left="714" w:hanging="357"/>
        <w:contextualSpacing w:val="0"/>
      </w:pPr>
      <w:r>
        <w:rPr>
          <w:b/>
        </w:rPr>
        <w:t xml:space="preserve">Uplink direction of </w:t>
      </w:r>
      <w:r w:rsidRPr="00977A25">
        <w:rPr>
          <w:b/>
        </w:rPr>
        <w:t xml:space="preserve">IAB </w:t>
      </w:r>
      <w:r>
        <w:rPr>
          <w:b/>
        </w:rPr>
        <w:t>backhaul link</w:t>
      </w:r>
      <w:r w:rsidRPr="00977A25">
        <w:rPr>
          <w:b/>
        </w:rPr>
        <w:t>:</w:t>
      </w:r>
      <w:r>
        <w:t xml:space="preserve"> Direction towards the IAB donor node</w:t>
      </w:r>
    </w:p>
    <w:p w14:paraId="67C6C301" w14:textId="4E69C2A6" w:rsidR="003F31EE" w:rsidRDefault="00977A25" w:rsidP="002F406D">
      <w:r>
        <w:t>Although the above list of definitions includes the definition of an IA</w:t>
      </w:r>
      <w:r w:rsidR="00AB7883">
        <w:t>B</w:t>
      </w:r>
      <w:r>
        <w:t xml:space="preserve"> access link, </w:t>
      </w:r>
      <w:r w:rsidR="000145D6">
        <w:t>t</w:t>
      </w:r>
      <w:r>
        <w:t>hat link should</w:t>
      </w:r>
      <w:r w:rsidR="00BD6737">
        <w:t>, specification-wise,</w:t>
      </w:r>
      <w:r>
        <w:t xml:space="preserve"> be identical to “normal” access link</w:t>
      </w:r>
      <w:r w:rsidR="00BD6737">
        <w:t>s connecting UEs to cells</w:t>
      </w:r>
      <w:r>
        <w:t xml:space="preserve">. In other words, a UE should not know </w:t>
      </w:r>
      <w:r w:rsidR="00AB7883">
        <w:t xml:space="preserve">that </w:t>
      </w:r>
      <w:r>
        <w:t xml:space="preserve">it is accessing the network via </w:t>
      </w:r>
      <w:r w:rsidR="00AB7883">
        <w:t xml:space="preserve">a </w:t>
      </w:r>
      <w:r>
        <w:t>cell created by an IAB</w:t>
      </w:r>
      <w:r w:rsidR="00AB7883">
        <w:t xml:space="preserve"> node</w:t>
      </w:r>
      <w:r>
        <w:t xml:space="preserve">. </w:t>
      </w:r>
    </w:p>
    <w:p w14:paraId="093805EE" w14:textId="24D63773" w:rsidR="00977A25" w:rsidRDefault="00977A25" w:rsidP="009A354A">
      <w:pPr>
        <w:tabs>
          <w:tab w:val="left" w:pos="1134"/>
        </w:tabs>
      </w:pPr>
      <w:r>
        <w:rPr>
          <w:b/>
        </w:rPr>
        <w:t>Proposal</w:t>
      </w:r>
      <w:r w:rsidR="000145D6">
        <w:rPr>
          <w:b/>
        </w:rPr>
        <w:t xml:space="preserve"> 1</w:t>
      </w:r>
      <w:r w:rsidR="002F406D" w:rsidRPr="002F406D">
        <w:rPr>
          <w:b/>
        </w:rPr>
        <w:t>:</w:t>
      </w:r>
      <w:r w:rsidR="009A354A">
        <w:tab/>
      </w:r>
      <w:r w:rsidR="002F406D" w:rsidRPr="008C73D2">
        <w:t>The IAB access link shoul</w:t>
      </w:r>
      <w:r w:rsidR="00AB7883" w:rsidRPr="008C73D2">
        <w:t>d, specification-wise,</w:t>
      </w:r>
      <w:r w:rsidR="002F406D" w:rsidRPr="008C73D2">
        <w:t xml:space="preserve"> </w:t>
      </w:r>
      <w:r w:rsidR="00AB7883" w:rsidRPr="008C73D2">
        <w:t xml:space="preserve">be </w:t>
      </w:r>
      <w:r w:rsidR="002F406D" w:rsidRPr="008C73D2">
        <w:t>identical to normal access links</w:t>
      </w:r>
      <w:r w:rsidR="00AB7883" w:rsidRPr="008C73D2">
        <w:t>.</w:t>
      </w:r>
    </w:p>
    <w:p w14:paraId="551EF35B" w14:textId="77777777" w:rsidR="00977A25" w:rsidRDefault="00977A25" w:rsidP="00977A25">
      <w:r>
        <w:t xml:space="preserve">We also define the following: </w:t>
      </w:r>
    </w:p>
    <w:p w14:paraId="1C4010CF" w14:textId="7373B69A" w:rsidR="00AB7883" w:rsidRDefault="00AB7883" w:rsidP="00AB7883">
      <w:pPr>
        <w:pStyle w:val="ListBullet"/>
        <w:numPr>
          <w:ilvl w:val="0"/>
          <w:numId w:val="23"/>
        </w:numPr>
        <w:rPr>
          <w:lang w:val="en-US"/>
        </w:rPr>
      </w:pPr>
      <w:r w:rsidRPr="00F97453">
        <w:rPr>
          <w:b/>
          <w:lang w:val="en-US"/>
        </w:rPr>
        <w:t xml:space="preserve">IAB </w:t>
      </w:r>
      <w:r>
        <w:rPr>
          <w:b/>
          <w:lang w:val="en-US"/>
        </w:rPr>
        <w:t>tree</w:t>
      </w:r>
      <w:r w:rsidRPr="00E85AA4">
        <w:rPr>
          <w:lang w:val="en-US"/>
        </w:rPr>
        <w:t xml:space="preserve">: </w:t>
      </w:r>
      <w:r w:rsidR="00E17CEB">
        <w:rPr>
          <w:lang w:val="en-US"/>
        </w:rPr>
        <w:t>T</w:t>
      </w:r>
      <w:r w:rsidRPr="00E85AA4">
        <w:rPr>
          <w:lang w:val="en-US"/>
        </w:rPr>
        <w:t>he IAB donor node</w:t>
      </w:r>
      <w:r w:rsidR="000145D6">
        <w:rPr>
          <w:lang w:val="en-US"/>
        </w:rPr>
        <w:t xml:space="preserve"> and the </w:t>
      </w:r>
      <w:r w:rsidRPr="00E85AA4">
        <w:rPr>
          <w:lang w:val="en-US"/>
        </w:rPr>
        <w:t xml:space="preserve"> IAB node(s)</w:t>
      </w:r>
      <w:r>
        <w:rPr>
          <w:lang w:val="en-US"/>
        </w:rPr>
        <w:t xml:space="preserve"> </w:t>
      </w:r>
      <w:r w:rsidRPr="00E85AA4">
        <w:rPr>
          <w:lang w:val="en-US"/>
        </w:rPr>
        <w:t xml:space="preserve">and </w:t>
      </w:r>
      <w:r>
        <w:rPr>
          <w:lang w:val="en-US"/>
        </w:rPr>
        <w:t>UEs</w:t>
      </w:r>
      <w:r w:rsidRPr="00E85AA4">
        <w:rPr>
          <w:lang w:val="en-US"/>
        </w:rPr>
        <w:t xml:space="preserve"> that are managed by th</w:t>
      </w:r>
      <w:r w:rsidR="000145D6">
        <w:rPr>
          <w:lang w:val="en-US"/>
        </w:rPr>
        <w:t xml:space="preserve">at </w:t>
      </w:r>
      <w:r>
        <w:rPr>
          <w:lang w:val="en-US"/>
        </w:rPr>
        <w:t>IAB</w:t>
      </w:r>
      <w:r w:rsidR="000145D6">
        <w:rPr>
          <w:lang w:val="en-US"/>
        </w:rPr>
        <w:t xml:space="preserve"> donor node are in the same IAB tree</w:t>
      </w:r>
    </w:p>
    <w:p w14:paraId="60D198BC" w14:textId="591EE4E3" w:rsidR="00AB7883" w:rsidRPr="00E17CEB" w:rsidRDefault="00AB7883" w:rsidP="00E17CEB">
      <w:pPr>
        <w:pStyle w:val="ListBullet"/>
        <w:numPr>
          <w:ilvl w:val="0"/>
          <w:numId w:val="23"/>
        </w:numPr>
        <w:rPr>
          <w:lang w:val="en-US"/>
        </w:rPr>
      </w:pPr>
      <w:r>
        <w:rPr>
          <w:b/>
          <w:lang w:val="en-US"/>
        </w:rPr>
        <w:t>IAB chain</w:t>
      </w:r>
      <w:r w:rsidRPr="0048541C">
        <w:rPr>
          <w:lang w:val="en-US"/>
        </w:rPr>
        <w:t>:</w:t>
      </w:r>
      <w:r>
        <w:rPr>
          <w:lang w:val="en-US"/>
        </w:rPr>
        <w:t xml:space="preserve"> </w:t>
      </w:r>
      <w:r w:rsidRPr="00E17CEB">
        <w:rPr>
          <w:lang w:val="en-US"/>
        </w:rPr>
        <w:t>IAB</w:t>
      </w:r>
      <w:r w:rsidR="00B0298C" w:rsidRPr="00E17CEB">
        <w:rPr>
          <w:lang w:val="en-US"/>
        </w:rPr>
        <w:t xml:space="preserve"> nodes</w:t>
      </w:r>
      <w:r w:rsidRPr="00E17CEB">
        <w:rPr>
          <w:lang w:val="en-US"/>
        </w:rPr>
        <w:t xml:space="preserve"> that connect the IAB</w:t>
      </w:r>
      <w:r w:rsidR="00B0298C" w:rsidRPr="00E17CEB">
        <w:rPr>
          <w:lang w:val="en-US"/>
        </w:rPr>
        <w:t xml:space="preserve"> donor node</w:t>
      </w:r>
      <w:r w:rsidRPr="00E17CEB">
        <w:rPr>
          <w:lang w:val="en-US"/>
        </w:rPr>
        <w:t xml:space="preserve"> to a certain UE are in the same IAB chain. </w:t>
      </w:r>
    </w:p>
    <w:p w14:paraId="63DD5ECE" w14:textId="2772037E" w:rsidR="00AB7883" w:rsidRPr="00E85AA4" w:rsidRDefault="00AB7883" w:rsidP="00AB7883">
      <w:pPr>
        <w:pStyle w:val="ListBullet"/>
        <w:numPr>
          <w:ilvl w:val="0"/>
          <w:numId w:val="23"/>
        </w:numPr>
        <w:rPr>
          <w:lang w:val="en-US"/>
        </w:rPr>
      </w:pPr>
      <w:r w:rsidRPr="00E85AA4">
        <w:rPr>
          <w:b/>
          <w:lang w:val="en-US"/>
        </w:rPr>
        <w:t>Higher/lower</w:t>
      </w:r>
      <w:r>
        <w:rPr>
          <w:b/>
          <w:lang w:val="en-US"/>
        </w:rPr>
        <w:t>-</w:t>
      </w:r>
      <w:r w:rsidRPr="00F97453">
        <w:rPr>
          <w:b/>
          <w:lang w:val="en-US"/>
        </w:rPr>
        <w:t>level</w:t>
      </w:r>
      <w:r w:rsidRPr="00E85AA4">
        <w:rPr>
          <w:b/>
          <w:lang w:val="en-US"/>
        </w:rPr>
        <w:t xml:space="preserve"> IA</w:t>
      </w:r>
      <w:r w:rsidR="000145D6">
        <w:rPr>
          <w:b/>
          <w:lang w:val="en-US"/>
        </w:rPr>
        <w:t>B node</w:t>
      </w:r>
      <w:r w:rsidRPr="00E85AA4">
        <w:rPr>
          <w:lang w:val="en-US"/>
        </w:rPr>
        <w:t>: for IAB</w:t>
      </w:r>
      <w:r w:rsidR="00B0298C">
        <w:rPr>
          <w:lang w:val="en-US"/>
        </w:rPr>
        <w:t xml:space="preserve"> nodes</w:t>
      </w:r>
      <w:r w:rsidRPr="00E85AA4">
        <w:rPr>
          <w:lang w:val="en-US"/>
        </w:rPr>
        <w:t xml:space="preserve"> in the same IAB chain, the IAB</w:t>
      </w:r>
      <w:r w:rsidR="00B0298C">
        <w:rPr>
          <w:lang w:val="en-US"/>
        </w:rPr>
        <w:t xml:space="preserve"> node</w:t>
      </w:r>
      <w:r w:rsidRPr="00E85AA4">
        <w:rPr>
          <w:lang w:val="en-US"/>
        </w:rPr>
        <w:t xml:space="preserve"> having fewer number of hops to the IAB</w:t>
      </w:r>
      <w:r w:rsidR="00B0298C">
        <w:rPr>
          <w:lang w:val="en-US"/>
        </w:rPr>
        <w:t xml:space="preserve"> donor</w:t>
      </w:r>
      <w:r w:rsidRPr="00E85AA4">
        <w:rPr>
          <w:lang w:val="en-US"/>
        </w:rPr>
        <w:t xml:space="preserve"> </w:t>
      </w:r>
      <w:r w:rsidR="000145D6">
        <w:rPr>
          <w:lang w:val="en-US"/>
        </w:rPr>
        <w:t xml:space="preserve">node </w:t>
      </w:r>
      <w:r w:rsidRPr="00E85AA4">
        <w:rPr>
          <w:lang w:val="en-US"/>
        </w:rPr>
        <w:t>is considered as the higher</w:t>
      </w:r>
      <w:r>
        <w:rPr>
          <w:lang w:val="en-US"/>
        </w:rPr>
        <w:t>-</w:t>
      </w:r>
      <w:r w:rsidRPr="00E85AA4">
        <w:rPr>
          <w:lang w:val="en-US"/>
        </w:rPr>
        <w:t xml:space="preserve">level </w:t>
      </w:r>
      <w:r w:rsidR="000145D6">
        <w:rPr>
          <w:lang w:val="en-US"/>
        </w:rPr>
        <w:t>IAB node l</w:t>
      </w:r>
      <w:r w:rsidRPr="00E85AA4">
        <w:rPr>
          <w:lang w:val="en-US"/>
        </w:rPr>
        <w:t xml:space="preserve">and vice versa. </w:t>
      </w:r>
    </w:p>
    <w:p w14:paraId="568C64A8" w14:textId="6B66CD73" w:rsidR="002A3881" w:rsidRDefault="00E55E1E" w:rsidP="00E55E1E">
      <w:pPr>
        <w:pStyle w:val="Heading1"/>
      </w:pPr>
      <w:r>
        <w:t>IAB spectrum combinations</w:t>
      </w:r>
    </w:p>
    <w:p w14:paraId="14DC7107" w14:textId="4D78C0A3" w:rsidR="00E55E1E" w:rsidRDefault="00E55E1E" w:rsidP="00E55E1E">
      <w:r>
        <w:t>As illustrated in</w:t>
      </w:r>
      <w:r w:rsidR="001D3883">
        <w:t xml:space="preserve"> </w:t>
      </w:r>
      <w:r w:rsidR="001D3883">
        <w:fldChar w:fldCharType="begin"/>
      </w:r>
      <w:r w:rsidR="001D3883">
        <w:instrText xml:space="preserve"> REF _Ref510792722 \h </w:instrText>
      </w:r>
      <w:r w:rsidR="001D3883">
        <w:fldChar w:fldCharType="separate"/>
      </w:r>
      <w:r w:rsidR="00AA64F2">
        <w:t xml:space="preserve">Figure </w:t>
      </w:r>
      <w:r w:rsidR="00AA64F2">
        <w:rPr>
          <w:noProof/>
        </w:rPr>
        <w:t>3</w:t>
      </w:r>
      <w:r w:rsidR="00AA64F2">
        <w:noBreakHyphen/>
      </w:r>
      <w:r w:rsidR="00AA64F2">
        <w:rPr>
          <w:noProof/>
        </w:rPr>
        <w:t>1</w:t>
      </w:r>
      <w:r w:rsidR="001D3883">
        <w:fldChar w:fldCharType="end"/>
      </w:r>
      <w:r>
        <w:t>, different spectrum combinations are relevant for IAB</w:t>
      </w:r>
    </w:p>
    <w:p w14:paraId="67E8C85F" w14:textId="77777777" w:rsidR="00E55E1E" w:rsidRDefault="00E55E1E" w:rsidP="00E55E1E">
      <w:pPr>
        <w:pStyle w:val="ListParagraph"/>
        <w:numPr>
          <w:ilvl w:val="0"/>
          <w:numId w:val="22"/>
        </w:numPr>
      </w:pPr>
      <w:r>
        <w:t xml:space="preserve">Backhaul and access in mmw </w:t>
      </w:r>
    </w:p>
    <w:p w14:paraId="685BD281" w14:textId="77777777" w:rsidR="00E55E1E" w:rsidRDefault="00E55E1E" w:rsidP="00E55E1E">
      <w:pPr>
        <w:pStyle w:val="ListParagraph"/>
        <w:numPr>
          <w:ilvl w:val="1"/>
          <w:numId w:val="22"/>
        </w:numPr>
        <w:spacing w:before="60" w:after="0"/>
        <w:contextualSpacing w:val="0"/>
      </w:pPr>
      <w:r>
        <w:t>within the same band (inband)</w:t>
      </w:r>
    </w:p>
    <w:p w14:paraId="25A79195" w14:textId="0A73FBDB" w:rsidR="00E55E1E" w:rsidRDefault="00E55E1E" w:rsidP="00E55E1E">
      <w:pPr>
        <w:pStyle w:val="ListParagraph"/>
        <w:numPr>
          <w:ilvl w:val="1"/>
          <w:numId w:val="22"/>
        </w:numPr>
        <w:spacing w:before="60" w:after="0"/>
        <w:contextualSpacing w:val="0"/>
      </w:pPr>
      <w:r>
        <w:t>within different bands (outband)</w:t>
      </w:r>
    </w:p>
    <w:p w14:paraId="2888B821" w14:textId="77777777" w:rsidR="00E55E1E" w:rsidRDefault="00E55E1E" w:rsidP="00E55E1E">
      <w:pPr>
        <w:pStyle w:val="ListParagraph"/>
        <w:numPr>
          <w:ilvl w:val="0"/>
          <w:numId w:val="22"/>
        </w:numPr>
        <w:spacing w:before="120" w:after="0"/>
        <w:ind w:left="714" w:hanging="357"/>
        <w:contextualSpacing w:val="0"/>
      </w:pPr>
      <w:r>
        <w:t>Backhaul and access in sub-6</w:t>
      </w:r>
    </w:p>
    <w:p w14:paraId="200C89E8" w14:textId="77777777" w:rsidR="00E55E1E" w:rsidRDefault="00E55E1E" w:rsidP="00E55E1E">
      <w:pPr>
        <w:pStyle w:val="ListParagraph"/>
        <w:numPr>
          <w:ilvl w:val="1"/>
          <w:numId w:val="22"/>
        </w:numPr>
        <w:spacing w:before="60" w:after="0"/>
        <w:ind w:left="1434" w:hanging="357"/>
        <w:contextualSpacing w:val="0"/>
      </w:pPr>
      <w:r>
        <w:t>within the same band (inband)</w:t>
      </w:r>
    </w:p>
    <w:p w14:paraId="1C133A70" w14:textId="77777777" w:rsidR="00E55E1E" w:rsidRDefault="00E55E1E" w:rsidP="00E55E1E">
      <w:pPr>
        <w:pStyle w:val="ListParagraph"/>
        <w:numPr>
          <w:ilvl w:val="1"/>
          <w:numId w:val="22"/>
        </w:numPr>
        <w:spacing w:before="60" w:after="0"/>
        <w:ind w:left="1434" w:hanging="357"/>
        <w:contextualSpacing w:val="0"/>
      </w:pPr>
      <w:r>
        <w:t>within different bands (outband)</w:t>
      </w:r>
    </w:p>
    <w:p w14:paraId="28B59429" w14:textId="5EB161DB" w:rsidR="00E55E1E" w:rsidRDefault="00E55E1E" w:rsidP="00E55E1E">
      <w:pPr>
        <w:pStyle w:val="ListParagraph"/>
        <w:numPr>
          <w:ilvl w:val="0"/>
          <w:numId w:val="22"/>
        </w:numPr>
        <w:spacing w:before="120" w:after="0"/>
        <w:ind w:left="714" w:hanging="357"/>
        <w:contextualSpacing w:val="0"/>
      </w:pPr>
      <w:r>
        <w:t>Backhaul in mmw and access in sub-6</w:t>
      </w:r>
    </w:p>
    <w:p w14:paraId="5603FA28" w14:textId="453E9417" w:rsidR="001D3883" w:rsidRDefault="001D3883" w:rsidP="001D3883">
      <w:pPr>
        <w:spacing w:before="120" w:after="0"/>
      </w:pPr>
      <w:r w:rsidRPr="001D3883">
        <w:rPr>
          <w:noProof/>
        </w:rPr>
        <w:drawing>
          <wp:inline distT="0" distB="0" distL="0" distR="0" wp14:anchorId="0DA2A164" wp14:editId="179A845C">
            <wp:extent cx="5038725" cy="19335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8725" cy="1933575"/>
                    </a:xfrm>
                    <a:prstGeom prst="rect">
                      <a:avLst/>
                    </a:prstGeom>
                    <a:noFill/>
                    <a:ln>
                      <a:noFill/>
                    </a:ln>
                  </pic:spPr>
                </pic:pic>
              </a:graphicData>
            </a:graphic>
          </wp:inline>
        </w:drawing>
      </w:r>
    </w:p>
    <w:p w14:paraId="0CC4191D" w14:textId="3ABBB2B4" w:rsidR="001D3883" w:rsidRDefault="001D3883" w:rsidP="001D3883">
      <w:pPr>
        <w:pStyle w:val="Caption"/>
      </w:pPr>
      <w:bookmarkStart w:id="2" w:name="_Ref510792722"/>
      <w:r>
        <w:t xml:space="preserve">Figure </w:t>
      </w:r>
      <w:r>
        <w:fldChar w:fldCharType="begin"/>
      </w:r>
      <w:r>
        <w:instrText xml:space="preserve"> STYLEREF 1 \s </w:instrText>
      </w:r>
      <w:r>
        <w:fldChar w:fldCharType="separate"/>
      </w:r>
      <w:r w:rsidR="00AA64F2">
        <w:rPr>
          <w:noProof/>
        </w:rPr>
        <w:t>3</w:t>
      </w:r>
      <w:r>
        <w:fldChar w:fldCharType="end"/>
      </w:r>
      <w:r>
        <w:noBreakHyphen/>
      </w:r>
      <w:r>
        <w:fldChar w:fldCharType="begin"/>
      </w:r>
      <w:r>
        <w:instrText xml:space="preserve"> SEQ Figure \* ARABIC \s 1 </w:instrText>
      </w:r>
      <w:r>
        <w:fldChar w:fldCharType="separate"/>
      </w:r>
      <w:r w:rsidR="00AA64F2">
        <w:rPr>
          <w:noProof/>
        </w:rPr>
        <w:t>1</w:t>
      </w:r>
      <w:r>
        <w:fldChar w:fldCharType="end"/>
      </w:r>
      <w:bookmarkEnd w:id="2"/>
    </w:p>
    <w:p w14:paraId="5901A895" w14:textId="12A4FFA4" w:rsidR="00E55E1E" w:rsidRDefault="00E55E1E" w:rsidP="00E55E1E">
      <w:pPr>
        <w:spacing w:before="120" w:after="0"/>
      </w:pPr>
      <w:r>
        <w:t xml:space="preserve">We do not see the combination of backhaul in sub-6 and access in mmw as a relevant IAB spectrum scenario. It can be noted though that, assuming the support for the above </w:t>
      </w:r>
      <w:r w:rsidR="00977A25">
        <w:t xml:space="preserve">listed </w:t>
      </w:r>
      <w:r>
        <w:t>spectrum combinations, the additional support for backhaul in sub-6 and access in mmw would be straightforward.</w:t>
      </w:r>
    </w:p>
    <w:p w14:paraId="770E891A" w14:textId="7AF3DB3E" w:rsidR="003220D3" w:rsidRDefault="003220D3" w:rsidP="00E55E1E">
      <w:pPr>
        <w:spacing w:before="120" w:after="0"/>
      </w:pPr>
      <w:r>
        <w:t xml:space="preserve">If there is a need to prioritize between mmw and sub-6, we believe that backhaul in mmw should have highest priority. </w:t>
      </w:r>
    </w:p>
    <w:p w14:paraId="782ED946" w14:textId="64E1F75F" w:rsidR="00977A25" w:rsidRDefault="00977A25" w:rsidP="009A354A">
      <w:pPr>
        <w:tabs>
          <w:tab w:val="left" w:pos="1134"/>
        </w:tabs>
        <w:spacing w:before="120" w:after="0"/>
      </w:pPr>
      <w:r w:rsidRPr="00977A25">
        <w:rPr>
          <w:b/>
        </w:rPr>
        <w:t>Proposal</w:t>
      </w:r>
      <w:r w:rsidR="000145D6">
        <w:rPr>
          <w:b/>
        </w:rPr>
        <w:t xml:space="preserve"> 2</w:t>
      </w:r>
      <w:r w:rsidRPr="00977A25">
        <w:rPr>
          <w:b/>
        </w:rPr>
        <w:t>:</w:t>
      </w:r>
      <w:r w:rsidR="009A354A">
        <w:tab/>
      </w:r>
      <w:r>
        <w:t>Backhaul in mmw should have highe</w:t>
      </w:r>
      <w:r w:rsidR="000145D6">
        <w:t>st</w:t>
      </w:r>
      <w:r>
        <w:t xml:space="preserve"> priority </w:t>
      </w:r>
    </w:p>
    <w:p w14:paraId="61E4B1AE" w14:textId="77777777" w:rsidR="00E55E1E" w:rsidRPr="00E55E1E" w:rsidRDefault="00E55E1E" w:rsidP="00E55E1E"/>
    <w:p w14:paraId="5AEA2DF0" w14:textId="1DADB853" w:rsidR="003F31EE" w:rsidRDefault="003F31EE" w:rsidP="007269C2">
      <w:pPr>
        <w:pStyle w:val="Heading1"/>
      </w:pPr>
      <w:r>
        <w:t>IAB physical layer design</w:t>
      </w:r>
    </w:p>
    <w:p w14:paraId="2794449C" w14:textId="6D52FA3E" w:rsidR="0038349F" w:rsidRDefault="0038349F" w:rsidP="0038349F">
      <w:pPr>
        <w:pStyle w:val="Heading2"/>
      </w:pPr>
      <w:r>
        <w:t>General principles</w:t>
      </w:r>
    </w:p>
    <w:p w14:paraId="32C915FA" w14:textId="79DB97A5" w:rsidR="00DE699F" w:rsidRDefault="002F406D" w:rsidP="005508F9">
      <w:r>
        <w:t>It is proposed, see e.g. [</w:t>
      </w:r>
      <w:r w:rsidR="00E17CEB">
        <w:t>2</w:t>
      </w:r>
      <w:r>
        <w:t xml:space="preserve">], that IAB should be based on the </w:t>
      </w:r>
      <w:r w:rsidR="00F7091B">
        <w:t xml:space="preserve">already defined </w:t>
      </w:r>
      <w:r>
        <w:t>CU/DU split</w:t>
      </w:r>
      <w:r w:rsidR="00F7091B">
        <w:t>, w</w:t>
      </w:r>
      <w:r w:rsidR="000145D6">
        <w:t>ith</w:t>
      </w:r>
      <w:r w:rsidR="00F7091B">
        <w:t xml:space="preserve"> each IAB</w:t>
      </w:r>
      <w:r w:rsidR="00E17CEB">
        <w:t xml:space="preserve"> node</w:t>
      </w:r>
      <w:r w:rsidR="00F7091B">
        <w:t>, as well as the IAB</w:t>
      </w:r>
      <w:r w:rsidR="00E17CEB">
        <w:t xml:space="preserve"> donor node</w:t>
      </w:r>
      <w:r w:rsidR="00F7091B">
        <w:t>, includ</w:t>
      </w:r>
      <w:r w:rsidR="000145D6">
        <w:t>ing</w:t>
      </w:r>
      <w:r>
        <w:t xml:space="preserve"> </w:t>
      </w:r>
      <w:r w:rsidR="00F7091B">
        <w:t>DU functionality creating cells that can be accessed by UEs as well as IAB</w:t>
      </w:r>
      <w:r w:rsidR="00E17CEB">
        <w:t xml:space="preserve"> nodes</w:t>
      </w:r>
      <w:r w:rsidR="00F7091B">
        <w:t xml:space="preserve"> further down the IAB chain. As illustrated in </w:t>
      </w:r>
      <w:r w:rsidR="00E17CEB">
        <w:fldChar w:fldCharType="begin"/>
      </w:r>
      <w:r w:rsidR="00E17CEB">
        <w:instrText xml:space="preserve"> REF _Ref510786135 \h </w:instrText>
      </w:r>
      <w:r w:rsidR="00E17CEB">
        <w:fldChar w:fldCharType="separate"/>
      </w:r>
      <w:r w:rsidR="00AA64F2">
        <w:t xml:space="preserve">Figure </w:t>
      </w:r>
      <w:r w:rsidR="00AA64F2">
        <w:rPr>
          <w:noProof/>
        </w:rPr>
        <w:t>4</w:t>
      </w:r>
      <w:r w:rsidR="00AA64F2">
        <w:noBreakHyphen/>
      </w:r>
      <w:r w:rsidR="00AA64F2">
        <w:rPr>
          <w:noProof/>
        </w:rPr>
        <w:t>1</w:t>
      </w:r>
      <w:r w:rsidR="00E17CEB">
        <w:fldChar w:fldCharType="end"/>
      </w:r>
      <w:r w:rsidR="00F7091B">
        <w:t>, each I</w:t>
      </w:r>
      <w:r w:rsidR="00E17CEB">
        <w:t>AB node</w:t>
      </w:r>
      <w:r w:rsidR="00F7091B">
        <w:t xml:space="preserve"> is then connecting to the next higher-level node by means of a Mobile Terminating (MT) function</w:t>
      </w:r>
      <w:r w:rsidR="00E17CEB">
        <w:t xml:space="preserve">. </w:t>
      </w:r>
      <w:r>
        <w:t xml:space="preserve"> </w:t>
      </w:r>
    </w:p>
    <w:p w14:paraId="34A16ACA" w14:textId="77777777" w:rsidR="00DE699F" w:rsidRDefault="00DE699F" w:rsidP="005508F9"/>
    <w:p w14:paraId="0EB772CC" w14:textId="71F2964F" w:rsidR="00DE699F" w:rsidRDefault="00DE699F" w:rsidP="00DE699F">
      <w:pPr>
        <w:jc w:val="center"/>
      </w:pPr>
      <w:r w:rsidRPr="00DE699F">
        <w:rPr>
          <w:noProof/>
        </w:rPr>
        <w:drawing>
          <wp:inline distT="0" distB="0" distL="0" distR="0" wp14:anchorId="460E6685" wp14:editId="7D80AB52">
            <wp:extent cx="3642710" cy="946158"/>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3093" cy="948855"/>
                    </a:xfrm>
                    <a:prstGeom prst="rect">
                      <a:avLst/>
                    </a:prstGeom>
                    <a:noFill/>
                    <a:ln>
                      <a:noFill/>
                    </a:ln>
                  </pic:spPr>
                </pic:pic>
              </a:graphicData>
            </a:graphic>
          </wp:inline>
        </w:drawing>
      </w:r>
    </w:p>
    <w:p w14:paraId="027D42C6" w14:textId="257248FD" w:rsidR="00E17CEB" w:rsidRDefault="00E17CEB" w:rsidP="00E17CEB">
      <w:pPr>
        <w:pStyle w:val="Caption"/>
      </w:pPr>
      <w:bookmarkStart w:id="3" w:name="_Ref510786135"/>
      <w:r>
        <w:t xml:space="preserve">Figure </w:t>
      </w:r>
      <w:r w:rsidR="001D3883">
        <w:fldChar w:fldCharType="begin"/>
      </w:r>
      <w:r w:rsidR="001D3883">
        <w:instrText xml:space="preserve"> STYLEREF 1 \s </w:instrText>
      </w:r>
      <w:r w:rsidR="001D3883">
        <w:fldChar w:fldCharType="separate"/>
      </w:r>
      <w:r w:rsidR="00AA64F2">
        <w:rPr>
          <w:noProof/>
        </w:rPr>
        <w:t>4</w:t>
      </w:r>
      <w:r w:rsidR="001D3883">
        <w:fldChar w:fldCharType="end"/>
      </w:r>
      <w:r w:rsidR="001D3883">
        <w:noBreakHyphen/>
      </w:r>
      <w:r w:rsidR="001D3883">
        <w:fldChar w:fldCharType="begin"/>
      </w:r>
      <w:r w:rsidR="001D3883">
        <w:instrText xml:space="preserve"> SEQ Figure \* ARABIC \s 1 </w:instrText>
      </w:r>
      <w:r w:rsidR="001D3883">
        <w:fldChar w:fldCharType="separate"/>
      </w:r>
      <w:r w:rsidR="00AA64F2">
        <w:rPr>
          <w:noProof/>
        </w:rPr>
        <w:t>1</w:t>
      </w:r>
      <w:r w:rsidR="001D3883">
        <w:fldChar w:fldCharType="end"/>
      </w:r>
      <w:bookmarkEnd w:id="3"/>
    </w:p>
    <w:p w14:paraId="14A9671F" w14:textId="69D5675F" w:rsidR="00DE699F" w:rsidRDefault="00DE699F" w:rsidP="005508F9"/>
    <w:p w14:paraId="3AEB9FFF" w14:textId="0A42E277" w:rsidR="00F7091B" w:rsidRDefault="00F7091B" w:rsidP="005508F9">
      <w:r>
        <w:t>It has already been concluded that IAB should strive for maximize the reuse of Rel-15 specifications for the backhaul link. In other words, the MT functionality should as much as possible appear, to the next higher-level node, as a conventional UE. This is especially the ca</w:t>
      </w:r>
      <w:r w:rsidR="00E17CEB">
        <w:t>s</w:t>
      </w:r>
      <w:r>
        <w:t xml:space="preserve">e with regards to the lower-layer protocols. Especially, </w:t>
      </w:r>
      <w:r w:rsidR="00E17CEB">
        <w:t>the Release 15 NR physical layer should be the starting point for the</w:t>
      </w:r>
      <w:r w:rsidR="00E17CEB" w:rsidRPr="00E17CEB">
        <w:t xml:space="preserve"> </w:t>
      </w:r>
      <w:r w:rsidR="00E17CEB">
        <w:t>physical layer of the</w:t>
      </w:r>
      <w:r>
        <w:t xml:space="preserve"> IAB backhaul</w:t>
      </w:r>
      <w:r w:rsidR="00E17CEB">
        <w:t xml:space="preserve"> </w:t>
      </w:r>
      <w:r>
        <w:t>link.</w:t>
      </w:r>
    </w:p>
    <w:p w14:paraId="0A112E9F" w14:textId="0AB5B0BE" w:rsidR="00E17CEB" w:rsidRDefault="00E17CEB" w:rsidP="009A354A">
      <w:pPr>
        <w:tabs>
          <w:tab w:val="left" w:pos="1134"/>
        </w:tabs>
        <w:ind w:left="1134" w:hanging="1134"/>
      </w:pPr>
      <w:r w:rsidRPr="00E17CEB">
        <w:rPr>
          <w:b/>
        </w:rPr>
        <w:t>Proposal</w:t>
      </w:r>
      <w:r w:rsidR="000145D6">
        <w:rPr>
          <w:b/>
        </w:rPr>
        <w:t xml:space="preserve"> 3</w:t>
      </w:r>
      <w:r w:rsidRPr="00E17CEB">
        <w:rPr>
          <w:b/>
        </w:rPr>
        <w:t>:</w:t>
      </w:r>
      <w:r w:rsidR="000145D6">
        <w:tab/>
      </w:r>
      <w:r>
        <w:t>The Release 15 NR physical layer should be the starting point for the</w:t>
      </w:r>
      <w:r w:rsidRPr="00E17CEB">
        <w:t xml:space="preserve"> </w:t>
      </w:r>
      <w:r>
        <w:t>physical layer of the IAB backhaul link</w:t>
      </w:r>
    </w:p>
    <w:p w14:paraId="4B0E27B4" w14:textId="67FD6FF2" w:rsidR="001246DB" w:rsidRDefault="00E17CEB" w:rsidP="005508F9">
      <w:r>
        <w:t>T</w:t>
      </w:r>
      <w:r w:rsidR="00F7091B">
        <w:t>his does not imply that enhancements to the NR physical layer should not be considered as part of the IAB SI</w:t>
      </w:r>
      <w:r w:rsidR="001246DB">
        <w:t>. There are clearly some specific characteristics of the IAB backhaul link that may justify new physical-layer features. As a few examples:</w:t>
      </w:r>
    </w:p>
    <w:p w14:paraId="78B71677" w14:textId="1C3A99CA" w:rsidR="001246DB" w:rsidRDefault="001246DB" w:rsidP="001246DB">
      <w:pPr>
        <w:pStyle w:val="ListParagraph"/>
        <w:numPr>
          <w:ilvl w:val="0"/>
          <w:numId w:val="22"/>
        </w:numPr>
      </w:pPr>
      <w:r>
        <w:t xml:space="preserve">The IAB backhaul link will typically be </w:t>
      </w:r>
      <w:r w:rsidR="000145D6">
        <w:t>more</w:t>
      </w:r>
      <w:r>
        <w:t xml:space="preserve"> stationary link implying potential benefits from</w:t>
      </w:r>
      <w:r w:rsidR="00E17CEB">
        <w:t xml:space="preserve">, for example, </w:t>
      </w:r>
      <w:r>
        <w:t>modified reference signal patterns</w:t>
      </w:r>
      <w:r w:rsidR="000145D6">
        <w:t xml:space="preserve"> with reduced RS overhead</w:t>
      </w:r>
    </w:p>
    <w:p w14:paraId="03E5ABD1" w14:textId="2A9FDE56" w:rsidR="001246DB" w:rsidRDefault="000145D6" w:rsidP="001246DB">
      <w:pPr>
        <w:pStyle w:val="ListParagraph"/>
        <w:numPr>
          <w:ilvl w:val="0"/>
          <w:numId w:val="22"/>
        </w:numPr>
      </w:pPr>
      <w:r>
        <w:t>An</w:t>
      </w:r>
      <w:r w:rsidR="001246DB">
        <w:t xml:space="preserve"> IAB</w:t>
      </w:r>
      <w:r w:rsidR="00E17CEB">
        <w:t xml:space="preserve"> </w:t>
      </w:r>
      <w:r w:rsidR="001246DB">
        <w:t xml:space="preserve">node may allow for </w:t>
      </w:r>
      <w:r>
        <w:t xml:space="preserve">somewhat </w:t>
      </w:r>
      <w:r w:rsidR="001246DB">
        <w:t>higher complexity and somewhat higher energy consumption, compared to a conventional battery-powered device, implying that performance-enhancing features earlier not seen as justified due to complexity and/or energy-consumption reasons, may be justified for the IAB backhaul scenario</w:t>
      </w:r>
    </w:p>
    <w:p w14:paraId="33390E5C" w14:textId="0C507897" w:rsidR="001246DB" w:rsidRDefault="001246DB" w:rsidP="001246DB">
      <w:r>
        <w:t xml:space="preserve">However, these characteristics are not necessarily unique to the IAB scenairo. As an example, future IoT devices may often be stationary. Further, in some IoT applications, the device complexity and energy consumption may not be as critical as for conventional handheld device. </w:t>
      </w:r>
      <w:r>
        <w:rPr>
          <w:rStyle w:val="FootnoteReference"/>
        </w:rPr>
        <w:footnoteReference w:id="1"/>
      </w:r>
    </w:p>
    <w:p w14:paraId="062EE9F0" w14:textId="37E362AA" w:rsidR="001246DB" w:rsidRDefault="001246DB" w:rsidP="001246DB">
      <w:r>
        <w:t xml:space="preserve">As a consequence, physical-layer features considered within the IAB SI should, if agreed upon, not just be included for </w:t>
      </w:r>
      <w:r w:rsidR="007E7FB8">
        <w:t xml:space="preserve">the </w:t>
      </w:r>
      <w:r>
        <w:t xml:space="preserve">IAB backhaul </w:t>
      </w:r>
      <w:r w:rsidR="007E7FB8">
        <w:t xml:space="preserve">link </w:t>
      </w:r>
      <w:r>
        <w:t xml:space="preserve">but should be </w:t>
      </w:r>
      <w:r w:rsidR="007E7FB8">
        <w:t>seen</w:t>
      </w:r>
      <w:r>
        <w:t xml:space="preserve"> as general </w:t>
      </w:r>
      <w:r w:rsidR="007E7FB8">
        <w:t xml:space="preserve">physical-layer </w:t>
      </w:r>
      <w:r>
        <w:t>features</w:t>
      </w:r>
      <w:r w:rsidR="00E17CEB">
        <w:t xml:space="preserve"> </w:t>
      </w:r>
      <w:r w:rsidR="007E7FB8">
        <w:t>applicable also to the access link.</w:t>
      </w:r>
    </w:p>
    <w:p w14:paraId="6A1334E2" w14:textId="2937596C" w:rsidR="001246DB" w:rsidRDefault="001246DB" w:rsidP="009A354A">
      <w:pPr>
        <w:tabs>
          <w:tab w:val="left" w:pos="1134"/>
        </w:tabs>
        <w:ind w:left="1134" w:hanging="1134"/>
      </w:pPr>
      <w:r w:rsidRPr="00E17CEB">
        <w:rPr>
          <w:b/>
        </w:rPr>
        <w:t>Proposal</w:t>
      </w:r>
      <w:r w:rsidR="009A354A">
        <w:rPr>
          <w:b/>
        </w:rPr>
        <w:t xml:space="preserve"> 4</w:t>
      </w:r>
      <w:r w:rsidRPr="00E17CEB">
        <w:rPr>
          <w:b/>
        </w:rPr>
        <w:t>:</w:t>
      </w:r>
      <w:r w:rsidR="009A354A">
        <w:tab/>
      </w:r>
      <w:r>
        <w:t xml:space="preserve">Physical-layer features considered within the IAB SI should, if agreed upon, not just be included for IAB backhaul but </w:t>
      </w:r>
      <w:r w:rsidR="007E7FB8">
        <w:t>should be seen as general physical-layer features applicable also to the access link.</w:t>
      </w:r>
    </w:p>
    <w:p w14:paraId="22BA217C" w14:textId="77777777" w:rsidR="0038349F" w:rsidRDefault="0038349F" w:rsidP="0038349F">
      <w:pPr>
        <w:pStyle w:val="Heading2"/>
      </w:pPr>
      <w:r>
        <w:t>IAB-N initial access</w:t>
      </w:r>
    </w:p>
    <w:p w14:paraId="03D3A8DA" w14:textId="461112FE" w:rsidR="002F406D" w:rsidRDefault="009A354A" w:rsidP="00056D7B">
      <w:r>
        <w:t>W</w:t>
      </w:r>
      <w:r w:rsidR="002F406D">
        <w:t xml:space="preserve">hen initially accessing the network, an IAB node should behave exactly as a normal UE and use already </w:t>
      </w:r>
      <w:r w:rsidR="00345FE8">
        <w:t>existing procedures for synchronization</w:t>
      </w:r>
      <w:r w:rsidR="003220D3">
        <w:t>, acquisition of system information,</w:t>
      </w:r>
      <w:r w:rsidR="00345FE8">
        <w:t xml:space="preserve"> and random access. </w:t>
      </w:r>
      <w:r w:rsidR="00DE699F">
        <w:t xml:space="preserve">At this stage, the node being accessed (a higher-level IAB node or an IAB donor node) would not be aware of that the accessing “UE” is actually an IAB-N. </w:t>
      </w:r>
      <w:r w:rsidR="00345FE8">
        <w:t>Once the “IAB UE” has entered connected state, its function as a IAB</w:t>
      </w:r>
      <w:r w:rsidR="00DE699F">
        <w:t xml:space="preserve"> node</w:t>
      </w:r>
      <w:r w:rsidR="00345FE8">
        <w:t xml:space="preserve">, rather than normal UE, </w:t>
      </w:r>
      <w:r>
        <w:t>can</w:t>
      </w:r>
      <w:r w:rsidR="00345FE8">
        <w:t xml:space="preserve"> be established. </w:t>
      </w:r>
    </w:p>
    <w:p w14:paraId="339FFE6D" w14:textId="6139491D" w:rsidR="00E17CEB" w:rsidRDefault="00E17CEB" w:rsidP="009A354A">
      <w:pPr>
        <w:tabs>
          <w:tab w:val="left" w:pos="1134"/>
        </w:tabs>
      </w:pPr>
      <w:r w:rsidRPr="0038349F">
        <w:rPr>
          <w:b/>
        </w:rPr>
        <w:t>Proposal</w:t>
      </w:r>
      <w:r w:rsidR="009A354A">
        <w:rPr>
          <w:b/>
        </w:rPr>
        <w:t xml:space="preserve"> 5</w:t>
      </w:r>
      <w:r w:rsidRPr="0038349F">
        <w:rPr>
          <w:b/>
        </w:rPr>
        <w:t>:</w:t>
      </w:r>
      <w:r w:rsidR="009A354A">
        <w:tab/>
      </w:r>
      <w:r>
        <w:t xml:space="preserve">At least from a physical layer point-of-view, initial access of an IAB node should be the same as </w:t>
      </w:r>
      <w:r w:rsidR="009A354A">
        <w:tab/>
        <w:t>i</w:t>
      </w:r>
      <w:r>
        <w:t xml:space="preserve">nitial access of a UE. </w:t>
      </w:r>
    </w:p>
    <w:p w14:paraId="250A2F33" w14:textId="744742E6" w:rsidR="003F31EE" w:rsidRDefault="007269C2" w:rsidP="007269C2">
      <w:pPr>
        <w:pStyle w:val="Heading2"/>
      </w:pPr>
      <w:r>
        <w:t xml:space="preserve">Uplink waveform </w:t>
      </w:r>
    </w:p>
    <w:p w14:paraId="47F05EA5" w14:textId="08D4D064" w:rsidR="007269C2" w:rsidRDefault="007269C2" w:rsidP="007269C2">
      <w:r>
        <w:t>NR uplink currently support</w:t>
      </w:r>
      <w:r w:rsidR="009A354A">
        <w:t>s</w:t>
      </w:r>
      <w:r>
        <w:t xml:space="preserve"> t</w:t>
      </w:r>
      <w:r w:rsidR="009A354A">
        <w:t>w</w:t>
      </w:r>
      <w:r>
        <w:t>o waveforms, (conventional) OFDM and DFT-precoded OFDM, where devices have to support both waveforms. Clearly, the arguments for DFT-preco</w:t>
      </w:r>
      <w:r w:rsidR="00B0298C">
        <w:t>ding</w:t>
      </w:r>
      <w:r w:rsidR="009A354A">
        <w:t>.</w:t>
      </w:r>
      <w:r w:rsidR="00B0298C">
        <w:t xml:space="preserve"> in terms of PA efficiency, is not as valid for the IAB backhaul link compared to the access link. Furthermore, the IAB node anyway need</w:t>
      </w:r>
      <w:r w:rsidR="009A354A">
        <w:t>s</w:t>
      </w:r>
      <w:r w:rsidR="00B0298C">
        <w:t xml:space="preserve"> to support OFDM transmission on the access link. Consequently, the IAB study item should focus on </w:t>
      </w:r>
      <w:r>
        <w:t xml:space="preserve">OFDM </w:t>
      </w:r>
      <w:r w:rsidR="00B0298C">
        <w:t xml:space="preserve">for the IAB uplink backhaul link </w:t>
      </w:r>
    </w:p>
    <w:p w14:paraId="17808B6F" w14:textId="43A6CEB6" w:rsidR="007269C2" w:rsidRDefault="007269C2" w:rsidP="009A354A">
      <w:pPr>
        <w:tabs>
          <w:tab w:val="left" w:pos="1134"/>
        </w:tabs>
      </w:pPr>
      <w:r w:rsidRPr="00D47284">
        <w:rPr>
          <w:b/>
        </w:rPr>
        <w:t>Proposal</w:t>
      </w:r>
      <w:r w:rsidR="009A354A">
        <w:rPr>
          <w:b/>
        </w:rPr>
        <w:t xml:space="preserve"> 6</w:t>
      </w:r>
      <w:r w:rsidRPr="00D47284">
        <w:rPr>
          <w:b/>
        </w:rPr>
        <w:t>:</w:t>
      </w:r>
      <w:r w:rsidR="009A354A">
        <w:tab/>
        <w:t xml:space="preserve">The </w:t>
      </w:r>
      <w:r>
        <w:t>IAB study item should focus on OFDM for the uplink IAB backhaul link</w:t>
      </w:r>
    </w:p>
    <w:p w14:paraId="3A4BA8E7" w14:textId="2CE025BD" w:rsidR="00AB7883" w:rsidRDefault="00AB7883" w:rsidP="00B0298C">
      <w:pPr>
        <w:pStyle w:val="Heading1"/>
      </w:pPr>
      <w:r>
        <w:t>Proposals</w:t>
      </w:r>
    </w:p>
    <w:p w14:paraId="28447329" w14:textId="319F9DE3" w:rsidR="009A354A" w:rsidRDefault="009A354A" w:rsidP="009A354A">
      <w:pPr>
        <w:tabs>
          <w:tab w:val="left" w:pos="1134"/>
        </w:tabs>
      </w:pPr>
      <w:r>
        <w:rPr>
          <w:b/>
        </w:rPr>
        <w:t>Proposal 1</w:t>
      </w:r>
      <w:r w:rsidRPr="002F406D">
        <w:rPr>
          <w:b/>
        </w:rPr>
        <w:t>:</w:t>
      </w:r>
      <w:r>
        <w:tab/>
      </w:r>
      <w:r w:rsidRPr="008C73D2">
        <w:t>The IAB access link should, specification-wise, be identical to normal access links.</w:t>
      </w:r>
    </w:p>
    <w:p w14:paraId="01656E28" w14:textId="77777777" w:rsidR="009A354A" w:rsidRDefault="009A354A" w:rsidP="009A354A">
      <w:pPr>
        <w:tabs>
          <w:tab w:val="left" w:pos="1134"/>
        </w:tabs>
        <w:spacing w:before="120" w:after="0"/>
      </w:pPr>
      <w:r w:rsidRPr="00977A25">
        <w:rPr>
          <w:b/>
        </w:rPr>
        <w:t>Proposal</w:t>
      </w:r>
      <w:r>
        <w:rPr>
          <w:b/>
        </w:rPr>
        <w:t xml:space="preserve"> 2</w:t>
      </w:r>
      <w:r w:rsidRPr="00977A25">
        <w:rPr>
          <w:b/>
        </w:rPr>
        <w:t>:</w:t>
      </w:r>
      <w:r>
        <w:tab/>
        <w:t xml:space="preserve">Backhaul in mmw should have highest priority </w:t>
      </w:r>
    </w:p>
    <w:p w14:paraId="7CA293AA" w14:textId="77777777" w:rsidR="009A354A" w:rsidRDefault="009A354A" w:rsidP="009A354A">
      <w:pPr>
        <w:tabs>
          <w:tab w:val="left" w:pos="1134"/>
        </w:tabs>
        <w:spacing w:before="120" w:after="0"/>
        <w:ind w:left="1134" w:hanging="1134"/>
      </w:pPr>
      <w:r w:rsidRPr="00E17CEB">
        <w:rPr>
          <w:b/>
        </w:rPr>
        <w:t>Proposal</w:t>
      </w:r>
      <w:r>
        <w:rPr>
          <w:b/>
        </w:rPr>
        <w:t xml:space="preserve"> 3</w:t>
      </w:r>
      <w:r w:rsidRPr="00E17CEB">
        <w:rPr>
          <w:b/>
        </w:rPr>
        <w:t>:</w:t>
      </w:r>
      <w:r>
        <w:tab/>
        <w:t>The Release 15 NR physical layer should be the starting point for the</w:t>
      </w:r>
      <w:r w:rsidRPr="00E17CEB">
        <w:t xml:space="preserve"> </w:t>
      </w:r>
      <w:r>
        <w:t>physical layer of the IAB backhaul link</w:t>
      </w:r>
    </w:p>
    <w:p w14:paraId="23CEAC0F" w14:textId="77777777" w:rsidR="009A354A" w:rsidRDefault="009A354A" w:rsidP="009A354A">
      <w:pPr>
        <w:tabs>
          <w:tab w:val="left" w:pos="1134"/>
        </w:tabs>
        <w:spacing w:before="120" w:after="0"/>
        <w:ind w:left="1134" w:hanging="1134"/>
      </w:pPr>
      <w:r w:rsidRPr="00E17CEB">
        <w:rPr>
          <w:b/>
        </w:rPr>
        <w:t>Proposal</w:t>
      </w:r>
      <w:r>
        <w:rPr>
          <w:b/>
        </w:rPr>
        <w:t xml:space="preserve"> 4</w:t>
      </w:r>
      <w:r w:rsidRPr="00E17CEB">
        <w:rPr>
          <w:b/>
        </w:rPr>
        <w:t>:</w:t>
      </w:r>
      <w:r>
        <w:tab/>
        <w:t>Physical-layer features considered within the IAB SI should, if agreed upon, not just be included for IAB backhaul but should be seen as general physical-layer features applicable also to the access link.</w:t>
      </w:r>
    </w:p>
    <w:p w14:paraId="7D36573F" w14:textId="77777777" w:rsidR="009A354A" w:rsidRDefault="009A354A" w:rsidP="009A354A">
      <w:pPr>
        <w:tabs>
          <w:tab w:val="left" w:pos="1134"/>
        </w:tabs>
        <w:spacing w:before="120" w:after="0"/>
      </w:pPr>
      <w:r w:rsidRPr="0038349F">
        <w:rPr>
          <w:b/>
        </w:rPr>
        <w:t>Proposal</w:t>
      </w:r>
      <w:r>
        <w:rPr>
          <w:b/>
        </w:rPr>
        <w:t xml:space="preserve"> 5</w:t>
      </w:r>
      <w:r w:rsidRPr="0038349F">
        <w:rPr>
          <w:b/>
        </w:rPr>
        <w:t>:</w:t>
      </w:r>
      <w:r>
        <w:tab/>
        <w:t xml:space="preserve">At least from a physical layer point-of-view, initial access of an IAB node should be the same as </w:t>
      </w:r>
      <w:r>
        <w:tab/>
        <w:t xml:space="preserve">initial access of a UE. </w:t>
      </w:r>
    </w:p>
    <w:p w14:paraId="2B093EB3" w14:textId="4E5FC5FD" w:rsidR="009A354A" w:rsidRDefault="009A354A" w:rsidP="009A354A">
      <w:pPr>
        <w:tabs>
          <w:tab w:val="left" w:pos="1134"/>
        </w:tabs>
        <w:spacing w:before="120" w:after="0"/>
      </w:pPr>
      <w:r w:rsidRPr="00D47284">
        <w:rPr>
          <w:b/>
        </w:rPr>
        <w:t>Proposal</w:t>
      </w:r>
      <w:r>
        <w:rPr>
          <w:b/>
        </w:rPr>
        <w:t xml:space="preserve"> 6</w:t>
      </w:r>
      <w:r w:rsidRPr="00D47284">
        <w:rPr>
          <w:b/>
        </w:rPr>
        <w:t>:</w:t>
      </w:r>
      <w:r>
        <w:tab/>
        <w:t>The IAB study item should focus on OFDM for the uplink IAB backhaul link</w:t>
      </w:r>
    </w:p>
    <w:p w14:paraId="6E65413B" w14:textId="519A384A" w:rsidR="009A354A" w:rsidRDefault="009A354A" w:rsidP="009A354A">
      <w:pPr>
        <w:tabs>
          <w:tab w:val="left" w:pos="1134"/>
        </w:tabs>
        <w:spacing w:before="120" w:after="0"/>
      </w:pPr>
    </w:p>
    <w:p w14:paraId="3A9CF68C" w14:textId="77777777" w:rsidR="009A354A" w:rsidRDefault="009A354A" w:rsidP="009A354A">
      <w:pPr>
        <w:tabs>
          <w:tab w:val="left" w:pos="1134"/>
        </w:tabs>
      </w:pPr>
    </w:p>
    <w:p w14:paraId="01E4E3AE" w14:textId="50FAD893" w:rsidR="00404853" w:rsidRDefault="00404853" w:rsidP="00404853">
      <w:pPr>
        <w:pStyle w:val="Heading1"/>
      </w:pPr>
      <w:r>
        <w:t>References</w:t>
      </w:r>
    </w:p>
    <w:p w14:paraId="0E6DEBC6" w14:textId="643B017B" w:rsidR="00AB7883" w:rsidRDefault="00B0298C" w:rsidP="00AB7883">
      <w:pPr>
        <w:pStyle w:val="Reference"/>
        <w:rPr>
          <w:rFonts w:cs="Arial"/>
          <w:lang w:val="en-US"/>
        </w:rPr>
      </w:pPr>
      <w:bookmarkStart w:id="4" w:name="_Ref509935955"/>
      <w:bookmarkStart w:id="5" w:name="_Ref509846991"/>
      <w:bookmarkStart w:id="6" w:name="_Ref454459437"/>
      <w:bookmarkStart w:id="7" w:name="_Ref174151459"/>
      <w:bookmarkStart w:id="8" w:name="_Ref189809556"/>
      <w:r>
        <w:rPr>
          <w:rFonts w:cs="Arial"/>
          <w:lang w:val="en-US"/>
        </w:rPr>
        <w:t>R1-172290, “Study on Integrated Access and Backhaul for NR”</w:t>
      </w:r>
      <w:bookmarkEnd w:id="4"/>
      <w:r w:rsidR="00AB7883" w:rsidRPr="00E85AA4">
        <w:rPr>
          <w:rFonts w:cs="Arial"/>
          <w:lang w:val="en-US"/>
        </w:rPr>
        <w:t xml:space="preserve"> </w:t>
      </w:r>
    </w:p>
    <w:p w14:paraId="46B4BED9" w14:textId="7F8FD9A2" w:rsidR="00157655" w:rsidRPr="00E85AA4" w:rsidRDefault="00157655" w:rsidP="00AB7883">
      <w:pPr>
        <w:pStyle w:val="Reference"/>
        <w:rPr>
          <w:rFonts w:cs="Arial"/>
          <w:lang w:val="en-US"/>
        </w:rPr>
      </w:pPr>
      <w:r>
        <w:rPr>
          <w:rFonts w:cs="Arial"/>
          <w:lang w:val="en-US"/>
        </w:rPr>
        <w:t>R3-181311, “Functional split between IAB node and other network nodes”</w:t>
      </w:r>
    </w:p>
    <w:bookmarkEnd w:id="5"/>
    <w:bookmarkEnd w:id="6"/>
    <w:bookmarkEnd w:id="7"/>
    <w:bookmarkEnd w:id="8"/>
    <w:p w14:paraId="1F093964" w14:textId="2F669BA6" w:rsidR="00404853" w:rsidRPr="00AB7883" w:rsidRDefault="00404853" w:rsidP="00AB7883">
      <w:pPr>
        <w:rPr>
          <w:lang w:val="en-US"/>
        </w:rPr>
      </w:pPr>
    </w:p>
    <w:sectPr w:rsidR="00404853" w:rsidRPr="00AB788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7E4E7" w14:textId="77777777" w:rsidR="002C11C2" w:rsidRDefault="002C11C2">
      <w:r>
        <w:separator/>
      </w:r>
    </w:p>
  </w:endnote>
  <w:endnote w:type="continuationSeparator" w:id="0">
    <w:p w14:paraId="5E16C8F7" w14:textId="77777777" w:rsidR="002C11C2" w:rsidRDefault="002C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141233E9" w:rsidR="00BD6737" w:rsidRDefault="00BD67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11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11C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F2B37" w14:textId="77777777" w:rsidR="002C11C2" w:rsidRDefault="002C11C2">
      <w:r>
        <w:separator/>
      </w:r>
    </w:p>
  </w:footnote>
  <w:footnote w:type="continuationSeparator" w:id="0">
    <w:p w14:paraId="65E7D81C" w14:textId="77777777" w:rsidR="002C11C2" w:rsidRDefault="002C11C2">
      <w:r>
        <w:continuationSeparator/>
      </w:r>
    </w:p>
  </w:footnote>
  <w:footnote w:id="1">
    <w:p w14:paraId="7E1B1194" w14:textId="0BE37830" w:rsidR="00BD6737" w:rsidRPr="001246DB" w:rsidRDefault="00BD6737">
      <w:pPr>
        <w:pStyle w:val="FootnoteText"/>
        <w:rPr>
          <w:lang w:val="en-US"/>
        </w:rPr>
      </w:pPr>
      <w:r>
        <w:rPr>
          <w:rStyle w:val="FootnoteReference"/>
        </w:rPr>
        <w:footnoteRef/>
      </w:r>
      <w:r>
        <w:t xml:space="preserve"> </w:t>
      </w:r>
      <w:r w:rsidRPr="001246DB">
        <w:rPr>
          <w:lang w:val="en-US"/>
        </w:rPr>
        <w:t xml:space="preserve">Note that we are using </w:t>
      </w:r>
      <w:r>
        <w:rPr>
          <w:lang w:val="en-US"/>
        </w:rPr>
        <w:t>the term IoT in a wider context than the applications assumed to be supported by, for example, NB-IoT.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BD6737" w:rsidRDefault="00BD673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B0466"/>
    <w:multiLevelType w:val="hybridMultilevel"/>
    <w:tmpl w:val="B91C1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5F6100"/>
    <w:multiLevelType w:val="hybridMultilevel"/>
    <w:tmpl w:val="2E70E072"/>
    <w:lvl w:ilvl="0" w:tplc="A6ACC1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B27BC1"/>
    <w:multiLevelType w:val="hybridMultilevel"/>
    <w:tmpl w:val="AEAEB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8E613D"/>
    <w:multiLevelType w:val="hybridMultilevel"/>
    <w:tmpl w:val="BB1CAD60"/>
    <w:lvl w:ilvl="0" w:tplc="A6ACC15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132"/>
    <w:multiLevelType w:val="hybridMultilevel"/>
    <w:tmpl w:val="597090FA"/>
    <w:lvl w:ilvl="0" w:tplc="93189366">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797038"/>
    <w:multiLevelType w:val="hybridMultilevel"/>
    <w:tmpl w:val="C4AEBE9A"/>
    <w:lvl w:ilvl="0" w:tplc="32DA46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9"/>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7"/>
  </w:num>
  <w:num w:numId="17">
    <w:abstractNumId w:val="18"/>
  </w:num>
  <w:num w:numId="18">
    <w:abstractNumId w:val="23"/>
  </w:num>
  <w:num w:numId="19">
    <w:abstractNumId w:val="6"/>
  </w:num>
  <w:num w:numId="20">
    <w:abstractNumId w:val="5"/>
  </w:num>
  <w:num w:numId="21">
    <w:abstractNumId w:val="16"/>
  </w:num>
  <w:num w:numId="22">
    <w:abstractNumId w:val="20"/>
  </w:num>
  <w:num w:numId="23">
    <w:abstractNumId w:val="8"/>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4D9"/>
    <w:rsid w:val="000039F4"/>
    <w:rsid w:val="00006446"/>
    <w:rsid w:val="00006896"/>
    <w:rsid w:val="00007CDC"/>
    <w:rsid w:val="00011B28"/>
    <w:rsid w:val="00013642"/>
    <w:rsid w:val="000145D6"/>
    <w:rsid w:val="00015D15"/>
    <w:rsid w:val="00017DCE"/>
    <w:rsid w:val="0002564D"/>
    <w:rsid w:val="00025ECA"/>
    <w:rsid w:val="000325B8"/>
    <w:rsid w:val="00034C15"/>
    <w:rsid w:val="00036BA1"/>
    <w:rsid w:val="000422E2"/>
    <w:rsid w:val="00042F22"/>
    <w:rsid w:val="000444EF"/>
    <w:rsid w:val="00052A07"/>
    <w:rsid w:val="000534E3"/>
    <w:rsid w:val="0005606A"/>
    <w:rsid w:val="00056D7B"/>
    <w:rsid w:val="00057117"/>
    <w:rsid w:val="00060391"/>
    <w:rsid w:val="000616E7"/>
    <w:rsid w:val="0006487E"/>
    <w:rsid w:val="00065E1A"/>
    <w:rsid w:val="000768B9"/>
    <w:rsid w:val="00077E5F"/>
    <w:rsid w:val="0008036A"/>
    <w:rsid w:val="00081AE6"/>
    <w:rsid w:val="000855EB"/>
    <w:rsid w:val="00085B52"/>
    <w:rsid w:val="000866F2"/>
    <w:rsid w:val="0009009F"/>
    <w:rsid w:val="00091557"/>
    <w:rsid w:val="000924C1"/>
    <w:rsid w:val="000924F0"/>
    <w:rsid w:val="00093474"/>
    <w:rsid w:val="0009510F"/>
    <w:rsid w:val="000A1B7B"/>
    <w:rsid w:val="000A3AE0"/>
    <w:rsid w:val="000A56F2"/>
    <w:rsid w:val="000B2719"/>
    <w:rsid w:val="000B3A8F"/>
    <w:rsid w:val="000B4AB9"/>
    <w:rsid w:val="000B58C3"/>
    <w:rsid w:val="000B61E9"/>
    <w:rsid w:val="000C165A"/>
    <w:rsid w:val="000C2E19"/>
    <w:rsid w:val="000D0D07"/>
    <w:rsid w:val="000D4797"/>
    <w:rsid w:val="000D5AB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6DB"/>
    <w:rsid w:val="00126B4A"/>
    <w:rsid w:val="00132FD0"/>
    <w:rsid w:val="001344C0"/>
    <w:rsid w:val="001346FA"/>
    <w:rsid w:val="00135252"/>
    <w:rsid w:val="00137AB5"/>
    <w:rsid w:val="00137F0B"/>
    <w:rsid w:val="00151E23"/>
    <w:rsid w:val="001526E0"/>
    <w:rsid w:val="00154EC7"/>
    <w:rsid w:val="001551B5"/>
    <w:rsid w:val="00157655"/>
    <w:rsid w:val="001639B5"/>
    <w:rsid w:val="001659C1"/>
    <w:rsid w:val="00173A8E"/>
    <w:rsid w:val="00177795"/>
    <w:rsid w:val="0018143F"/>
    <w:rsid w:val="00190AC1"/>
    <w:rsid w:val="0019341A"/>
    <w:rsid w:val="00197DF9"/>
    <w:rsid w:val="001A1987"/>
    <w:rsid w:val="001A2564"/>
    <w:rsid w:val="001A2825"/>
    <w:rsid w:val="001A6173"/>
    <w:rsid w:val="001A6CBA"/>
    <w:rsid w:val="001B0D97"/>
    <w:rsid w:val="001B5A5D"/>
    <w:rsid w:val="001C1CE5"/>
    <w:rsid w:val="001C3D2A"/>
    <w:rsid w:val="001C7876"/>
    <w:rsid w:val="001D3883"/>
    <w:rsid w:val="001D51BA"/>
    <w:rsid w:val="001D56BB"/>
    <w:rsid w:val="001D6342"/>
    <w:rsid w:val="001D6D53"/>
    <w:rsid w:val="001E58E2"/>
    <w:rsid w:val="001E7AED"/>
    <w:rsid w:val="001F3916"/>
    <w:rsid w:val="001F54C5"/>
    <w:rsid w:val="001F662C"/>
    <w:rsid w:val="001F7074"/>
    <w:rsid w:val="00200490"/>
    <w:rsid w:val="00201F3A"/>
    <w:rsid w:val="00203F96"/>
    <w:rsid w:val="002069B2"/>
    <w:rsid w:val="00207FA3"/>
    <w:rsid w:val="002111AB"/>
    <w:rsid w:val="00214DA8"/>
    <w:rsid w:val="00215423"/>
    <w:rsid w:val="002158FA"/>
    <w:rsid w:val="00220600"/>
    <w:rsid w:val="002224DB"/>
    <w:rsid w:val="00223FCB"/>
    <w:rsid w:val="002252C3"/>
    <w:rsid w:val="00225C54"/>
    <w:rsid w:val="00230765"/>
    <w:rsid w:val="002319E4"/>
    <w:rsid w:val="00235632"/>
    <w:rsid w:val="00235872"/>
    <w:rsid w:val="0023595C"/>
    <w:rsid w:val="00236867"/>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260"/>
    <w:rsid w:val="0029777D"/>
    <w:rsid w:val="002A055E"/>
    <w:rsid w:val="002A1D4E"/>
    <w:rsid w:val="002A2869"/>
    <w:rsid w:val="002A3881"/>
    <w:rsid w:val="002B24D6"/>
    <w:rsid w:val="002C11C2"/>
    <w:rsid w:val="002C41E6"/>
    <w:rsid w:val="002C5E68"/>
    <w:rsid w:val="002C6A87"/>
    <w:rsid w:val="002D071A"/>
    <w:rsid w:val="002D34B2"/>
    <w:rsid w:val="002D7637"/>
    <w:rsid w:val="002E17F2"/>
    <w:rsid w:val="002E5C05"/>
    <w:rsid w:val="002E7CAE"/>
    <w:rsid w:val="002F2771"/>
    <w:rsid w:val="002F37A9"/>
    <w:rsid w:val="002F406D"/>
    <w:rsid w:val="00301408"/>
    <w:rsid w:val="00301CE6"/>
    <w:rsid w:val="0030256B"/>
    <w:rsid w:val="0030501F"/>
    <w:rsid w:val="00307220"/>
    <w:rsid w:val="00307BA1"/>
    <w:rsid w:val="00311702"/>
    <w:rsid w:val="00311E82"/>
    <w:rsid w:val="00313FD6"/>
    <w:rsid w:val="003143BD"/>
    <w:rsid w:val="003203ED"/>
    <w:rsid w:val="00320DC4"/>
    <w:rsid w:val="003220D3"/>
    <w:rsid w:val="00322C9F"/>
    <w:rsid w:val="00324D23"/>
    <w:rsid w:val="00331751"/>
    <w:rsid w:val="00334579"/>
    <w:rsid w:val="00335858"/>
    <w:rsid w:val="00336BDA"/>
    <w:rsid w:val="00341F6D"/>
    <w:rsid w:val="00342BD7"/>
    <w:rsid w:val="00343A07"/>
    <w:rsid w:val="00345FE8"/>
    <w:rsid w:val="00346DB5"/>
    <w:rsid w:val="003477B1"/>
    <w:rsid w:val="0035491B"/>
    <w:rsid w:val="00357380"/>
    <w:rsid w:val="003602D9"/>
    <w:rsid w:val="003604CE"/>
    <w:rsid w:val="00370E47"/>
    <w:rsid w:val="003742AC"/>
    <w:rsid w:val="00377CE1"/>
    <w:rsid w:val="00382707"/>
    <w:rsid w:val="0038349F"/>
    <w:rsid w:val="00385BF0"/>
    <w:rsid w:val="003870D2"/>
    <w:rsid w:val="003939FF"/>
    <w:rsid w:val="003A2223"/>
    <w:rsid w:val="003A2A0F"/>
    <w:rsid w:val="003A45A1"/>
    <w:rsid w:val="003A5B0A"/>
    <w:rsid w:val="003A6BAC"/>
    <w:rsid w:val="003A7EF3"/>
    <w:rsid w:val="003B159C"/>
    <w:rsid w:val="003B369F"/>
    <w:rsid w:val="003B36A3"/>
    <w:rsid w:val="003B460B"/>
    <w:rsid w:val="003B7851"/>
    <w:rsid w:val="003B7FE5"/>
    <w:rsid w:val="003C11C8"/>
    <w:rsid w:val="003C2702"/>
    <w:rsid w:val="003C50D4"/>
    <w:rsid w:val="003C7806"/>
    <w:rsid w:val="003D109F"/>
    <w:rsid w:val="003D2478"/>
    <w:rsid w:val="003D3C45"/>
    <w:rsid w:val="003D5B1F"/>
    <w:rsid w:val="003E15FA"/>
    <w:rsid w:val="003E35FB"/>
    <w:rsid w:val="003E481B"/>
    <w:rsid w:val="003E55E4"/>
    <w:rsid w:val="003E74E3"/>
    <w:rsid w:val="003F05C7"/>
    <w:rsid w:val="003F2CD4"/>
    <w:rsid w:val="003F31EE"/>
    <w:rsid w:val="003F6BBE"/>
    <w:rsid w:val="004000E8"/>
    <w:rsid w:val="00402E2B"/>
    <w:rsid w:val="00404853"/>
    <w:rsid w:val="0040512B"/>
    <w:rsid w:val="00405CA5"/>
    <w:rsid w:val="00407CD3"/>
    <w:rsid w:val="00410134"/>
    <w:rsid w:val="00410B72"/>
    <w:rsid w:val="00410F18"/>
    <w:rsid w:val="0041263E"/>
    <w:rsid w:val="0041320E"/>
    <w:rsid w:val="00413AAC"/>
    <w:rsid w:val="00420368"/>
    <w:rsid w:val="00421105"/>
    <w:rsid w:val="00421CBB"/>
    <w:rsid w:val="004242F4"/>
    <w:rsid w:val="00427248"/>
    <w:rsid w:val="00437447"/>
    <w:rsid w:val="00441A92"/>
    <w:rsid w:val="00444F56"/>
    <w:rsid w:val="00446488"/>
    <w:rsid w:val="0044722E"/>
    <w:rsid w:val="004517AA"/>
    <w:rsid w:val="00452CAC"/>
    <w:rsid w:val="00457565"/>
    <w:rsid w:val="00457B71"/>
    <w:rsid w:val="0046174F"/>
    <w:rsid w:val="004669E2"/>
    <w:rsid w:val="00470C31"/>
    <w:rsid w:val="004734D0"/>
    <w:rsid w:val="0047556B"/>
    <w:rsid w:val="00477768"/>
    <w:rsid w:val="00480FE8"/>
    <w:rsid w:val="00492BC5"/>
    <w:rsid w:val="004964F1"/>
    <w:rsid w:val="004A16BC"/>
    <w:rsid w:val="004A2B94"/>
    <w:rsid w:val="004B7C0C"/>
    <w:rsid w:val="004C10B1"/>
    <w:rsid w:val="004C2DB9"/>
    <w:rsid w:val="004C3898"/>
    <w:rsid w:val="004D36B1"/>
    <w:rsid w:val="004D7EBD"/>
    <w:rsid w:val="004E2680"/>
    <w:rsid w:val="004E28F9"/>
    <w:rsid w:val="004E462E"/>
    <w:rsid w:val="004E56DC"/>
    <w:rsid w:val="004E76F4"/>
    <w:rsid w:val="004F0B4E"/>
    <w:rsid w:val="004F0B6C"/>
    <w:rsid w:val="004F2078"/>
    <w:rsid w:val="004F400E"/>
    <w:rsid w:val="004F4DA3"/>
    <w:rsid w:val="00502DF8"/>
    <w:rsid w:val="00506557"/>
    <w:rsid w:val="0050677A"/>
    <w:rsid w:val="005108D8"/>
    <w:rsid w:val="005116F9"/>
    <w:rsid w:val="005153A7"/>
    <w:rsid w:val="005219CF"/>
    <w:rsid w:val="00534B59"/>
    <w:rsid w:val="00536759"/>
    <w:rsid w:val="00537C62"/>
    <w:rsid w:val="00546970"/>
    <w:rsid w:val="005508F9"/>
    <w:rsid w:val="005509AD"/>
    <w:rsid w:val="00554E19"/>
    <w:rsid w:val="0056121F"/>
    <w:rsid w:val="0056730B"/>
    <w:rsid w:val="00572505"/>
    <w:rsid w:val="005803DE"/>
    <w:rsid w:val="00582809"/>
    <w:rsid w:val="00584864"/>
    <w:rsid w:val="0058798C"/>
    <w:rsid w:val="005900FA"/>
    <w:rsid w:val="005935A4"/>
    <w:rsid w:val="005948C2"/>
    <w:rsid w:val="00594AF9"/>
    <w:rsid w:val="00595DCA"/>
    <w:rsid w:val="00596AD1"/>
    <w:rsid w:val="005975C9"/>
    <w:rsid w:val="0059779B"/>
    <w:rsid w:val="005A209A"/>
    <w:rsid w:val="005A662D"/>
    <w:rsid w:val="005B35D7"/>
    <w:rsid w:val="005B392A"/>
    <w:rsid w:val="005B3AA3"/>
    <w:rsid w:val="005B591A"/>
    <w:rsid w:val="005B6F83"/>
    <w:rsid w:val="005C74FB"/>
    <w:rsid w:val="005D08A5"/>
    <w:rsid w:val="005D1602"/>
    <w:rsid w:val="005E385F"/>
    <w:rsid w:val="005E5B81"/>
    <w:rsid w:val="005F2CB1"/>
    <w:rsid w:val="005F3025"/>
    <w:rsid w:val="005F618C"/>
    <w:rsid w:val="005F70BD"/>
    <w:rsid w:val="006000F2"/>
    <w:rsid w:val="0060283C"/>
    <w:rsid w:val="00604F14"/>
    <w:rsid w:val="00611B83"/>
    <w:rsid w:val="00613257"/>
    <w:rsid w:val="00613481"/>
    <w:rsid w:val="00620A71"/>
    <w:rsid w:val="00620D80"/>
    <w:rsid w:val="006234A6"/>
    <w:rsid w:val="00626BEE"/>
    <w:rsid w:val="00630001"/>
    <w:rsid w:val="006311B3"/>
    <w:rsid w:val="00631CA0"/>
    <w:rsid w:val="0063284C"/>
    <w:rsid w:val="00636398"/>
    <w:rsid w:val="006368D3"/>
    <w:rsid w:val="006377EC"/>
    <w:rsid w:val="0064151F"/>
    <w:rsid w:val="00641533"/>
    <w:rsid w:val="0064208D"/>
    <w:rsid w:val="00643475"/>
    <w:rsid w:val="0064396A"/>
    <w:rsid w:val="006457FA"/>
    <w:rsid w:val="0064624E"/>
    <w:rsid w:val="00650AB9"/>
    <w:rsid w:val="00655733"/>
    <w:rsid w:val="00655ACD"/>
    <w:rsid w:val="006566EE"/>
    <w:rsid w:val="00656A92"/>
    <w:rsid w:val="00656DDE"/>
    <w:rsid w:val="0066011D"/>
    <w:rsid w:val="006607C0"/>
    <w:rsid w:val="006613A6"/>
    <w:rsid w:val="006627A2"/>
    <w:rsid w:val="006634E6"/>
    <w:rsid w:val="006655EE"/>
    <w:rsid w:val="00665EE9"/>
    <w:rsid w:val="00667EE7"/>
    <w:rsid w:val="00670922"/>
    <w:rsid w:val="00670BE1"/>
    <w:rsid w:val="00671AB9"/>
    <w:rsid w:val="00671B0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4D"/>
    <w:rsid w:val="006A7AFF"/>
    <w:rsid w:val="006B056A"/>
    <w:rsid w:val="006B1816"/>
    <w:rsid w:val="006B2099"/>
    <w:rsid w:val="006B50CF"/>
    <w:rsid w:val="006C03B8"/>
    <w:rsid w:val="006C5EC9"/>
    <w:rsid w:val="006C6059"/>
    <w:rsid w:val="006C7522"/>
    <w:rsid w:val="006D433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B3D"/>
    <w:rsid w:val="007269C2"/>
    <w:rsid w:val="00726EA6"/>
    <w:rsid w:val="00727208"/>
    <w:rsid w:val="00727680"/>
    <w:rsid w:val="00727DF8"/>
    <w:rsid w:val="007348B1"/>
    <w:rsid w:val="0073589B"/>
    <w:rsid w:val="007362A6"/>
    <w:rsid w:val="00736D7D"/>
    <w:rsid w:val="00740E58"/>
    <w:rsid w:val="007445A0"/>
    <w:rsid w:val="0074524B"/>
    <w:rsid w:val="00747D8B"/>
    <w:rsid w:val="0075106C"/>
    <w:rsid w:val="00751228"/>
    <w:rsid w:val="00756BAF"/>
    <w:rsid w:val="007571E1"/>
    <w:rsid w:val="007604B2"/>
    <w:rsid w:val="00765281"/>
    <w:rsid w:val="00766BAD"/>
    <w:rsid w:val="007730BD"/>
    <w:rsid w:val="007755F2"/>
    <w:rsid w:val="00776971"/>
    <w:rsid w:val="007803B0"/>
    <w:rsid w:val="0078177E"/>
    <w:rsid w:val="0078304C"/>
    <w:rsid w:val="00783673"/>
    <w:rsid w:val="00785490"/>
    <w:rsid w:val="007925EA"/>
    <w:rsid w:val="00793CD8"/>
    <w:rsid w:val="00793E6C"/>
    <w:rsid w:val="007953CB"/>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B8"/>
    <w:rsid w:val="00803FAE"/>
    <w:rsid w:val="0080605F"/>
    <w:rsid w:val="00807786"/>
    <w:rsid w:val="00811FCB"/>
    <w:rsid w:val="008158D6"/>
    <w:rsid w:val="00817196"/>
    <w:rsid w:val="008235DB"/>
    <w:rsid w:val="00824AB4"/>
    <w:rsid w:val="00824F3D"/>
    <w:rsid w:val="00825C42"/>
    <w:rsid w:val="00825D25"/>
    <w:rsid w:val="00827D6F"/>
    <w:rsid w:val="008376AC"/>
    <w:rsid w:val="008444E8"/>
    <w:rsid w:val="00844E80"/>
    <w:rsid w:val="00846FE7"/>
    <w:rsid w:val="00850B38"/>
    <w:rsid w:val="00850EC5"/>
    <w:rsid w:val="00854F97"/>
    <w:rsid w:val="00856911"/>
    <w:rsid w:val="008677FD"/>
    <w:rsid w:val="008706D4"/>
    <w:rsid w:val="00870F8A"/>
    <w:rsid w:val="008719A4"/>
    <w:rsid w:val="00871D23"/>
    <w:rsid w:val="00873DB0"/>
    <w:rsid w:val="00874312"/>
    <w:rsid w:val="0087437C"/>
    <w:rsid w:val="00875CD7"/>
    <w:rsid w:val="00876B4D"/>
    <w:rsid w:val="00877F18"/>
    <w:rsid w:val="008943F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369"/>
    <w:rsid w:val="008C2017"/>
    <w:rsid w:val="008C27B8"/>
    <w:rsid w:val="008C4958"/>
    <w:rsid w:val="008C4BAA"/>
    <w:rsid w:val="008C5F03"/>
    <w:rsid w:val="008C6AE8"/>
    <w:rsid w:val="008C73D2"/>
    <w:rsid w:val="008C7573"/>
    <w:rsid w:val="008D34F1"/>
    <w:rsid w:val="008D39D8"/>
    <w:rsid w:val="008D6D1A"/>
    <w:rsid w:val="008E065E"/>
    <w:rsid w:val="008E0927"/>
    <w:rsid w:val="008E1542"/>
    <w:rsid w:val="008E1909"/>
    <w:rsid w:val="008F1EAB"/>
    <w:rsid w:val="008F26BD"/>
    <w:rsid w:val="008F33DC"/>
    <w:rsid w:val="008F477F"/>
    <w:rsid w:val="008F4EA2"/>
    <w:rsid w:val="008F62E6"/>
    <w:rsid w:val="00902350"/>
    <w:rsid w:val="0090336B"/>
    <w:rsid w:val="009053AA"/>
    <w:rsid w:val="00906939"/>
    <w:rsid w:val="00910B7D"/>
    <w:rsid w:val="00911DFB"/>
    <w:rsid w:val="009139D9"/>
    <w:rsid w:val="00914AD8"/>
    <w:rsid w:val="00914DB8"/>
    <w:rsid w:val="00916079"/>
    <w:rsid w:val="00917CE9"/>
    <w:rsid w:val="00920BF2"/>
    <w:rsid w:val="00922010"/>
    <w:rsid w:val="00927E4C"/>
    <w:rsid w:val="00931BD9"/>
    <w:rsid w:val="009368F3"/>
    <w:rsid w:val="0093751B"/>
    <w:rsid w:val="00941636"/>
    <w:rsid w:val="00943742"/>
    <w:rsid w:val="00945C05"/>
    <w:rsid w:val="00946945"/>
    <w:rsid w:val="00947713"/>
    <w:rsid w:val="009509A9"/>
    <w:rsid w:val="00950DE7"/>
    <w:rsid w:val="00953920"/>
    <w:rsid w:val="00953D47"/>
    <w:rsid w:val="009567C1"/>
    <w:rsid w:val="0095681E"/>
    <w:rsid w:val="009572D4"/>
    <w:rsid w:val="00961921"/>
    <w:rsid w:val="0096430A"/>
    <w:rsid w:val="0096554B"/>
    <w:rsid w:val="0096584A"/>
    <w:rsid w:val="009658F2"/>
    <w:rsid w:val="00966786"/>
    <w:rsid w:val="00971F08"/>
    <w:rsid w:val="0097603D"/>
    <w:rsid w:val="00976949"/>
    <w:rsid w:val="00977A25"/>
    <w:rsid w:val="00980477"/>
    <w:rsid w:val="00985253"/>
    <w:rsid w:val="009853B3"/>
    <w:rsid w:val="00990630"/>
    <w:rsid w:val="00991761"/>
    <w:rsid w:val="00994DCA"/>
    <w:rsid w:val="009960EC"/>
    <w:rsid w:val="009970DD"/>
    <w:rsid w:val="009A0FBA"/>
    <w:rsid w:val="009A1601"/>
    <w:rsid w:val="009A1BA3"/>
    <w:rsid w:val="009A354A"/>
    <w:rsid w:val="009A462D"/>
    <w:rsid w:val="009A5CBA"/>
    <w:rsid w:val="009B0DBB"/>
    <w:rsid w:val="009B1F30"/>
    <w:rsid w:val="009B3AC2"/>
    <w:rsid w:val="009B4DF4"/>
    <w:rsid w:val="009B564E"/>
    <w:rsid w:val="009B7E87"/>
    <w:rsid w:val="009C403E"/>
    <w:rsid w:val="009D4FF0"/>
    <w:rsid w:val="009D703C"/>
    <w:rsid w:val="009D718F"/>
    <w:rsid w:val="009E00A9"/>
    <w:rsid w:val="009E068F"/>
    <w:rsid w:val="009E09F5"/>
    <w:rsid w:val="009E14E0"/>
    <w:rsid w:val="009E3487"/>
    <w:rsid w:val="009E35DB"/>
    <w:rsid w:val="009E47A3"/>
    <w:rsid w:val="009F08F3"/>
    <w:rsid w:val="009F306A"/>
    <w:rsid w:val="009F344F"/>
    <w:rsid w:val="009F44AD"/>
    <w:rsid w:val="00A02B75"/>
    <w:rsid w:val="00A048A8"/>
    <w:rsid w:val="00A04F49"/>
    <w:rsid w:val="00A13E42"/>
    <w:rsid w:val="00A13E54"/>
    <w:rsid w:val="00A17F63"/>
    <w:rsid w:val="00A2052C"/>
    <w:rsid w:val="00A2193B"/>
    <w:rsid w:val="00A2351A"/>
    <w:rsid w:val="00A264A9"/>
    <w:rsid w:val="00A27785"/>
    <w:rsid w:val="00A30187"/>
    <w:rsid w:val="00A3448A"/>
    <w:rsid w:val="00A36297"/>
    <w:rsid w:val="00A41E2B"/>
    <w:rsid w:val="00A45B74"/>
    <w:rsid w:val="00A50480"/>
    <w:rsid w:val="00A52E1D"/>
    <w:rsid w:val="00A61499"/>
    <w:rsid w:val="00A62A77"/>
    <w:rsid w:val="00A63483"/>
    <w:rsid w:val="00A657D7"/>
    <w:rsid w:val="00A660AC"/>
    <w:rsid w:val="00A66F55"/>
    <w:rsid w:val="00A67E6C"/>
    <w:rsid w:val="00A7129F"/>
    <w:rsid w:val="00A71B99"/>
    <w:rsid w:val="00A739D0"/>
    <w:rsid w:val="00A761D4"/>
    <w:rsid w:val="00A77EC4"/>
    <w:rsid w:val="00A92879"/>
    <w:rsid w:val="00A9442A"/>
    <w:rsid w:val="00AA016F"/>
    <w:rsid w:val="00AA1ED6"/>
    <w:rsid w:val="00AA51D6"/>
    <w:rsid w:val="00AA64F2"/>
    <w:rsid w:val="00AB0BC8"/>
    <w:rsid w:val="00AB11CA"/>
    <w:rsid w:val="00AB14D9"/>
    <w:rsid w:val="00AB3F50"/>
    <w:rsid w:val="00AB4AB8"/>
    <w:rsid w:val="00AB655E"/>
    <w:rsid w:val="00AB7883"/>
    <w:rsid w:val="00AC007F"/>
    <w:rsid w:val="00AC2ECD"/>
    <w:rsid w:val="00AC3119"/>
    <w:rsid w:val="00AC49FB"/>
    <w:rsid w:val="00AC5A10"/>
    <w:rsid w:val="00AD0AA3"/>
    <w:rsid w:val="00AD3F94"/>
    <w:rsid w:val="00AD4A5A"/>
    <w:rsid w:val="00AE1366"/>
    <w:rsid w:val="00AE27AC"/>
    <w:rsid w:val="00AE3743"/>
    <w:rsid w:val="00AE40E0"/>
    <w:rsid w:val="00AE4DBA"/>
    <w:rsid w:val="00AE4F07"/>
    <w:rsid w:val="00AF1C5D"/>
    <w:rsid w:val="00AF247C"/>
    <w:rsid w:val="00AF42D7"/>
    <w:rsid w:val="00AF7F08"/>
    <w:rsid w:val="00B006FE"/>
    <w:rsid w:val="00B007CB"/>
    <w:rsid w:val="00B0298C"/>
    <w:rsid w:val="00B02AA9"/>
    <w:rsid w:val="00B02FA3"/>
    <w:rsid w:val="00B05084"/>
    <w:rsid w:val="00B157F9"/>
    <w:rsid w:val="00B1695B"/>
    <w:rsid w:val="00B16FF4"/>
    <w:rsid w:val="00B17F93"/>
    <w:rsid w:val="00B20256"/>
    <w:rsid w:val="00B20321"/>
    <w:rsid w:val="00B20D09"/>
    <w:rsid w:val="00B22D34"/>
    <w:rsid w:val="00B2763F"/>
    <w:rsid w:val="00B27AAC"/>
    <w:rsid w:val="00B30929"/>
    <w:rsid w:val="00B372AA"/>
    <w:rsid w:val="00B40445"/>
    <w:rsid w:val="00B41888"/>
    <w:rsid w:val="00B45A52"/>
    <w:rsid w:val="00B46175"/>
    <w:rsid w:val="00B53999"/>
    <w:rsid w:val="00B60C2D"/>
    <w:rsid w:val="00B6188F"/>
    <w:rsid w:val="00B664C7"/>
    <w:rsid w:val="00B66A39"/>
    <w:rsid w:val="00B739F6"/>
    <w:rsid w:val="00B7644F"/>
    <w:rsid w:val="00B81A6C"/>
    <w:rsid w:val="00B85DE5"/>
    <w:rsid w:val="00B90F73"/>
    <w:rsid w:val="00B93B59"/>
    <w:rsid w:val="00B9406A"/>
    <w:rsid w:val="00BA2280"/>
    <w:rsid w:val="00BA2A08"/>
    <w:rsid w:val="00BA56D2"/>
    <w:rsid w:val="00BA76E0"/>
    <w:rsid w:val="00BB1C94"/>
    <w:rsid w:val="00BB2A25"/>
    <w:rsid w:val="00BB51E9"/>
    <w:rsid w:val="00BC0FDC"/>
    <w:rsid w:val="00BC1744"/>
    <w:rsid w:val="00BC3053"/>
    <w:rsid w:val="00BC4D2E"/>
    <w:rsid w:val="00BD227E"/>
    <w:rsid w:val="00BD48AC"/>
    <w:rsid w:val="00BD5F1A"/>
    <w:rsid w:val="00BD6737"/>
    <w:rsid w:val="00BE1234"/>
    <w:rsid w:val="00BE2405"/>
    <w:rsid w:val="00BE2FA6"/>
    <w:rsid w:val="00BE333F"/>
    <w:rsid w:val="00BE619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4E7D"/>
    <w:rsid w:val="00C3719D"/>
    <w:rsid w:val="00C432CC"/>
    <w:rsid w:val="00C51C31"/>
    <w:rsid w:val="00C54995"/>
    <w:rsid w:val="00C54D41"/>
    <w:rsid w:val="00C60783"/>
    <w:rsid w:val="00C63B99"/>
    <w:rsid w:val="00C64672"/>
    <w:rsid w:val="00C70697"/>
    <w:rsid w:val="00C72EF4"/>
    <w:rsid w:val="00C75D2F"/>
    <w:rsid w:val="00C767BE"/>
    <w:rsid w:val="00C76E3C"/>
    <w:rsid w:val="00C81568"/>
    <w:rsid w:val="00C87498"/>
    <w:rsid w:val="00C9027A"/>
    <w:rsid w:val="00C9068E"/>
    <w:rsid w:val="00C93C4B"/>
    <w:rsid w:val="00C944AB"/>
    <w:rsid w:val="00C95B40"/>
    <w:rsid w:val="00CA1ED8"/>
    <w:rsid w:val="00CB1F63"/>
    <w:rsid w:val="00CB4865"/>
    <w:rsid w:val="00CB7170"/>
    <w:rsid w:val="00CC040E"/>
    <w:rsid w:val="00CC111F"/>
    <w:rsid w:val="00CC2011"/>
    <w:rsid w:val="00CC2AF0"/>
    <w:rsid w:val="00CC3EA0"/>
    <w:rsid w:val="00CC7B45"/>
    <w:rsid w:val="00CD1188"/>
    <w:rsid w:val="00CD2ED1"/>
    <w:rsid w:val="00CD337B"/>
    <w:rsid w:val="00CE0424"/>
    <w:rsid w:val="00CE7561"/>
    <w:rsid w:val="00CF1354"/>
    <w:rsid w:val="00CF17C8"/>
    <w:rsid w:val="00CF237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47284"/>
    <w:rsid w:val="00D50F97"/>
    <w:rsid w:val="00D546FF"/>
    <w:rsid w:val="00D55AD5"/>
    <w:rsid w:val="00D576CA"/>
    <w:rsid w:val="00D61AF5"/>
    <w:rsid w:val="00D652B5"/>
    <w:rsid w:val="00D66155"/>
    <w:rsid w:val="00D708B0"/>
    <w:rsid w:val="00D77B1D"/>
    <w:rsid w:val="00D8021F"/>
    <w:rsid w:val="00D80383"/>
    <w:rsid w:val="00D823C6"/>
    <w:rsid w:val="00D85D01"/>
    <w:rsid w:val="00D86CA3"/>
    <w:rsid w:val="00D871CE"/>
    <w:rsid w:val="00D87E3D"/>
    <w:rsid w:val="00D9196D"/>
    <w:rsid w:val="00D92982"/>
    <w:rsid w:val="00DA305E"/>
    <w:rsid w:val="00DA5417"/>
    <w:rsid w:val="00DA56E8"/>
    <w:rsid w:val="00DB0A9F"/>
    <w:rsid w:val="00DB377D"/>
    <w:rsid w:val="00DC2D36"/>
    <w:rsid w:val="00DC53EF"/>
    <w:rsid w:val="00DD25A0"/>
    <w:rsid w:val="00DE1D3B"/>
    <w:rsid w:val="00DE23B3"/>
    <w:rsid w:val="00DE3076"/>
    <w:rsid w:val="00DE5608"/>
    <w:rsid w:val="00DE58D0"/>
    <w:rsid w:val="00DE654F"/>
    <w:rsid w:val="00DE699F"/>
    <w:rsid w:val="00DF0B6E"/>
    <w:rsid w:val="00DF15E0"/>
    <w:rsid w:val="00DF37A0"/>
    <w:rsid w:val="00E0774D"/>
    <w:rsid w:val="00E10C76"/>
    <w:rsid w:val="00E110E7"/>
    <w:rsid w:val="00E118FD"/>
    <w:rsid w:val="00E11B20"/>
    <w:rsid w:val="00E17CEB"/>
    <w:rsid w:val="00E17FA2"/>
    <w:rsid w:val="00E22330"/>
    <w:rsid w:val="00E2424E"/>
    <w:rsid w:val="00E30B5A"/>
    <w:rsid w:val="00E3123D"/>
    <w:rsid w:val="00E31461"/>
    <w:rsid w:val="00E31D43"/>
    <w:rsid w:val="00E32608"/>
    <w:rsid w:val="00E34188"/>
    <w:rsid w:val="00E34B6E"/>
    <w:rsid w:val="00E35559"/>
    <w:rsid w:val="00E3723A"/>
    <w:rsid w:val="00E37860"/>
    <w:rsid w:val="00E431B2"/>
    <w:rsid w:val="00E43549"/>
    <w:rsid w:val="00E446F1"/>
    <w:rsid w:val="00E46886"/>
    <w:rsid w:val="00E47AEF"/>
    <w:rsid w:val="00E505AB"/>
    <w:rsid w:val="00E51D4C"/>
    <w:rsid w:val="00E53B75"/>
    <w:rsid w:val="00E54E3B"/>
    <w:rsid w:val="00E55E1E"/>
    <w:rsid w:val="00E57565"/>
    <w:rsid w:val="00E63838"/>
    <w:rsid w:val="00E64434"/>
    <w:rsid w:val="00E67C51"/>
    <w:rsid w:val="00E719D6"/>
    <w:rsid w:val="00E72EFC"/>
    <w:rsid w:val="00E758EC"/>
    <w:rsid w:val="00E8234C"/>
    <w:rsid w:val="00E83AA9"/>
    <w:rsid w:val="00E84600"/>
    <w:rsid w:val="00E85928"/>
    <w:rsid w:val="00E87822"/>
    <w:rsid w:val="00E90395"/>
    <w:rsid w:val="00E90E49"/>
    <w:rsid w:val="00E917F9"/>
    <w:rsid w:val="00E9291C"/>
    <w:rsid w:val="00E93FFE"/>
    <w:rsid w:val="00E94F8A"/>
    <w:rsid w:val="00EA0ABF"/>
    <w:rsid w:val="00EA0F21"/>
    <w:rsid w:val="00EA7A41"/>
    <w:rsid w:val="00EB077B"/>
    <w:rsid w:val="00EB4EA2"/>
    <w:rsid w:val="00EC27C6"/>
    <w:rsid w:val="00EC4207"/>
    <w:rsid w:val="00EC5653"/>
    <w:rsid w:val="00EC71CE"/>
    <w:rsid w:val="00ED1006"/>
    <w:rsid w:val="00ED7156"/>
    <w:rsid w:val="00ED7D98"/>
    <w:rsid w:val="00EF18FE"/>
    <w:rsid w:val="00EF5787"/>
    <w:rsid w:val="00EF60D0"/>
    <w:rsid w:val="00F0528D"/>
    <w:rsid w:val="00F06C67"/>
    <w:rsid w:val="00F06DFD"/>
    <w:rsid w:val="00F071D1"/>
    <w:rsid w:val="00F07533"/>
    <w:rsid w:val="00F10629"/>
    <w:rsid w:val="00F15803"/>
    <w:rsid w:val="00F15FA5"/>
    <w:rsid w:val="00F209B7"/>
    <w:rsid w:val="00F2376F"/>
    <w:rsid w:val="00F243D8"/>
    <w:rsid w:val="00F30828"/>
    <w:rsid w:val="00F313D6"/>
    <w:rsid w:val="00F336C4"/>
    <w:rsid w:val="00F35987"/>
    <w:rsid w:val="00F40F0C"/>
    <w:rsid w:val="00F4766C"/>
    <w:rsid w:val="00F4799F"/>
    <w:rsid w:val="00F507D1"/>
    <w:rsid w:val="00F519CE"/>
    <w:rsid w:val="00F51ADA"/>
    <w:rsid w:val="00F607C5"/>
    <w:rsid w:val="00F60DEA"/>
    <w:rsid w:val="00F6302A"/>
    <w:rsid w:val="00F64C2B"/>
    <w:rsid w:val="00F651BE"/>
    <w:rsid w:val="00F67F53"/>
    <w:rsid w:val="00F703BE"/>
    <w:rsid w:val="00F7091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1F"/>
    <w:rsid w:val="00F97838"/>
    <w:rsid w:val="00FA2BB3"/>
    <w:rsid w:val="00FB0E57"/>
    <w:rsid w:val="00FB4C80"/>
    <w:rsid w:val="00FB5EC9"/>
    <w:rsid w:val="00FB6A6A"/>
    <w:rsid w:val="00FC7429"/>
    <w:rsid w:val="00FD07F6"/>
    <w:rsid w:val="00FD1EC8"/>
    <w:rsid w:val="00FD47ED"/>
    <w:rsid w:val="00FD74DB"/>
    <w:rsid w:val="00FD7660"/>
    <w:rsid w:val="00FE0655"/>
    <w:rsid w:val="00FE2365"/>
    <w:rsid w:val="00FE4160"/>
    <w:rsid w:val="00FE4C7B"/>
    <w:rsid w:val="00FE653B"/>
    <w:rsid w:val="00FE7336"/>
    <w:rsid w:val="00FE787C"/>
    <w:rsid w:val="00FF22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83EF2F57-0383-4431-9F87-710174A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0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00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00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00F2"/>
    <w:pPr>
      <w:numPr>
        <w:ilvl w:val="2"/>
      </w:numPr>
      <w:spacing w:before="120"/>
      <w:outlineLvl w:val="2"/>
    </w:pPr>
    <w:rPr>
      <w:sz w:val="28"/>
      <w:szCs w:val="28"/>
    </w:rPr>
  </w:style>
  <w:style w:type="paragraph" w:styleId="Heading4">
    <w:name w:val="heading 4"/>
    <w:basedOn w:val="Heading3"/>
    <w:next w:val="Normal"/>
    <w:qFormat/>
    <w:rsid w:val="006000F2"/>
    <w:pPr>
      <w:numPr>
        <w:ilvl w:val="3"/>
      </w:numPr>
      <w:outlineLvl w:val="3"/>
    </w:pPr>
    <w:rPr>
      <w:sz w:val="24"/>
      <w:szCs w:val="24"/>
    </w:rPr>
  </w:style>
  <w:style w:type="paragraph" w:styleId="Heading5">
    <w:name w:val="heading 5"/>
    <w:basedOn w:val="Heading4"/>
    <w:next w:val="Normal"/>
    <w:qFormat/>
    <w:rsid w:val="006000F2"/>
    <w:pPr>
      <w:numPr>
        <w:ilvl w:val="4"/>
      </w:numPr>
      <w:outlineLvl w:val="4"/>
    </w:pPr>
    <w:rPr>
      <w:sz w:val="22"/>
      <w:szCs w:val="22"/>
    </w:rPr>
  </w:style>
  <w:style w:type="paragraph" w:styleId="Heading6">
    <w:name w:val="heading 6"/>
    <w:basedOn w:val="Normal"/>
    <w:next w:val="Normal"/>
    <w:qFormat/>
    <w:rsid w:val="006000F2"/>
    <w:pPr>
      <w:keepNext/>
      <w:keepLines/>
      <w:numPr>
        <w:ilvl w:val="5"/>
        <w:numId w:val="1"/>
      </w:numPr>
      <w:spacing w:before="120"/>
      <w:outlineLvl w:val="5"/>
    </w:pPr>
    <w:rPr>
      <w:rFonts w:cs="Arial"/>
    </w:rPr>
  </w:style>
  <w:style w:type="paragraph" w:styleId="Heading7">
    <w:name w:val="heading 7"/>
    <w:basedOn w:val="Normal"/>
    <w:next w:val="Normal"/>
    <w:qFormat/>
    <w:rsid w:val="006000F2"/>
    <w:pPr>
      <w:keepNext/>
      <w:keepLines/>
      <w:numPr>
        <w:ilvl w:val="6"/>
        <w:numId w:val="1"/>
      </w:numPr>
      <w:spacing w:before="120"/>
      <w:outlineLvl w:val="6"/>
    </w:pPr>
    <w:rPr>
      <w:rFonts w:cs="Arial"/>
    </w:rPr>
  </w:style>
  <w:style w:type="paragraph" w:styleId="Heading8">
    <w:name w:val="heading 8"/>
    <w:basedOn w:val="Heading7"/>
    <w:next w:val="Normal"/>
    <w:qFormat/>
    <w:rsid w:val="006000F2"/>
    <w:pPr>
      <w:numPr>
        <w:ilvl w:val="7"/>
      </w:numPr>
      <w:outlineLvl w:val="7"/>
    </w:pPr>
  </w:style>
  <w:style w:type="paragraph" w:styleId="Heading9">
    <w:name w:val="heading 9"/>
    <w:basedOn w:val="Heading8"/>
    <w:next w:val="Normal"/>
    <w:qFormat/>
    <w:rsid w:val="006000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00F2"/>
    <w:pPr>
      <w:spacing w:before="180"/>
      <w:ind w:left="2693" w:hanging="2693"/>
    </w:pPr>
    <w:rPr>
      <w:b w:val="0"/>
      <w:bCs/>
    </w:rPr>
  </w:style>
  <w:style w:type="paragraph" w:styleId="TOC1">
    <w:name w:val="toc 1"/>
    <w:aliases w:val="Observation TOC2"/>
    <w:uiPriority w:val="39"/>
    <w:rsid w:val="006000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00F2"/>
    <w:pPr>
      <w:keepNext/>
      <w:keepLines/>
      <w:spacing w:before="180"/>
      <w:jc w:val="center"/>
    </w:pPr>
  </w:style>
  <w:style w:type="paragraph" w:styleId="Caption">
    <w:name w:val="caption"/>
    <w:basedOn w:val="Normal"/>
    <w:next w:val="Normal"/>
    <w:qFormat/>
    <w:rsid w:val="006000F2"/>
    <w:pPr>
      <w:spacing w:after="240"/>
      <w:jc w:val="center"/>
    </w:pPr>
    <w:rPr>
      <w:b/>
      <w:bCs/>
    </w:rPr>
  </w:style>
  <w:style w:type="paragraph" w:styleId="TOC5">
    <w:name w:val="toc 5"/>
    <w:aliases w:val="Observation TOC"/>
    <w:basedOn w:val="TOC4"/>
    <w:semiHidden/>
    <w:rsid w:val="006000F2"/>
    <w:pPr>
      <w:tabs>
        <w:tab w:val="right" w:pos="1701"/>
      </w:tabs>
      <w:ind w:left="1701" w:hanging="1701"/>
    </w:pPr>
  </w:style>
  <w:style w:type="paragraph" w:styleId="TOC4">
    <w:name w:val="toc 4"/>
    <w:basedOn w:val="TOC3"/>
    <w:semiHidden/>
    <w:rsid w:val="006000F2"/>
    <w:pPr>
      <w:ind w:left="1418" w:hanging="1418"/>
    </w:pPr>
  </w:style>
  <w:style w:type="paragraph" w:styleId="TOC3">
    <w:name w:val="toc 3"/>
    <w:basedOn w:val="TOC2"/>
    <w:semiHidden/>
    <w:rsid w:val="006000F2"/>
    <w:pPr>
      <w:ind w:left="1134" w:hanging="1134"/>
    </w:pPr>
  </w:style>
  <w:style w:type="paragraph" w:styleId="TOC2">
    <w:name w:val="toc 2"/>
    <w:basedOn w:val="TOC1"/>
    <w:semiHidden/>
    <w:rsid w:val="006000F2"/>
    <w:pPr>
      <w:keepNext w:val="0"/>
      <w:spacing w:before="0"/>
      <w:ind w:left="851" w:hanging="851"/>
    </w:pPr>
    <w:rPr>
      <w:szCs w:val="20"/>
    </w:rPr>
  </w:style>
  <w:style w:type="paragraph" w:styleId="Index2">
    <w:name w:val="index 2"/>
    <w:basedOn w:val="Index1"/>
    <w:semiHidden/>
    <w:rsid w:val="006000F2"/>
    <w:pPr>
      <w:ind w:left="284"/>
    </w:pPr>
  </w:style>
  <w:style w:type="paragraph" w:styleId="Index1">
    <w:name w:val="index 1"/>
    <w:basedOn w:val="Normal"/>
    <w:semiHidden/>
    <w:rsid w:val="006000F2"/>
    <w:pPr>
      <w:keepLines/>
      <w:spacing w:after="0"/>
    </w:pPr>
  </w:style>
  <w:style w:type="paragraph" w:styleId="DocumentMap">
    <w:name w:val="Document Map"/>
    <w:basedOn w:val="Normal"/>
    <w:semiHidden/>
    <w:rsid w:val="006000F2"/>
    <w:pPr>
      <w:shd w:val="clear" w:color="auto" w:fill="000080"/>
    </w:pPr>
    <w:rPr>
      <w:rFonts w:ascii="Tahoma" w:hAnsi="Tahoma" w:cs="Tahoma"/>
    </w:rPr>
  </w:style>
  <w:style w:type="paragraph" w:styleId="ListNumber2">
    <w:name w:val="List Number 2"/>
    <w:basedOn w:val="ListNumber"/>
    <w:rsid w:val="006000F2"/>
    <w:pPr>
      <w:ind w:left="851"/>
    </w:pPr>
  </w:style>
  <w:style w:type="paragraph" w:styleId="ListNumber">
    <w:name w:val="List Number"/>
    <w:basedOn w:val="List"/>
    <w:rsid w:val="006000F2"/>
  </w:style>
  <w:style w:type="paragraph" w:styleId="List">
    <w:name w:val="List"/>
    <w:basedOn w:val="Normal"/>
    <w:rsid w:val="006000F2"/>
    <w:pPr>
      <w:ind w:left="568" w:hanging="284"/>
    </w:pPr>
  </w:style>
  <w:style w:type="paragraph" w:styleId="Header">
    <w:name w:val="header"/>
    <w:rsid w:val="006000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00F2"/>
    <w:rPr>
      <w:b/>
      <w:bCs/>
      <w:position w:val="6"/>
      <w:sz w:val="16"/>
      <w:szCs w:val="16"/>
    </w:rPr>
  </w:style>
  <w:style w:type="paragraph" w:styleId="FootnoteText">
    <w:name w:val="footnote text"/>
    <w:basedOn w:val="Normal"/>
    <w:semiHidden/>
    <w:rsid w:val="006000F2"/>
    <w:pPr>
      <w:keepLines/>
      <w:spacing w:after="0"/>
      <w:ind w:left="454" w:hanging="454"/>
    </w:pPr>
    <w:rPr>
      <w:sz w:val="16"/>
      <w:szCs w:val="16"/>
    </w:rPr>
  </w:style>
  <w:style w:type="paragraph" w:customStyle="1" w:styleId="3GPPHeader">
    <w:name w:val="3GPP_Header"/>
    <w:basedOn w:val="Normal"/>
    <w:rsid w:val="006000F2"/>
    <w:pPr>
      <w:tabs>
        <w:tab w:val="left" w:pos="1701"/>
        <w:tab w:val="right" w:pos="9639"/>
      </w:tabs>
      <w:spacing w:after="240"/>
    </w:pPr>
    <w:rPr>
      <w:b/>
      <w:sz w:val="24"/>
    </w:rPr>
  </w:style>
  <w:style w:type="paragraph" w:styleId="TOC9">
    <w:name w:val="toc 9"/>
    <w:basedOn w:val="TOC8"/>
    <w:semiHidden/>
    <w:rsid w:val="006000F2"/>
    <w:pPr>
      <w:ind w:left="1418" w:hanging="1418"/>
    </w:pPr>
  </w:style>
  <w:style w:type="paragraph" w:styleId="TOC6">
    <w:name w:val="toc 6"/>
    <w:basedOn w:val="TOC5"/>
    <w:next w:val="Normal"/>
    <w:semiHidden/>
    <w:rsid w:val="006000F2"/>
    <w:pPr>
      <w:ind w:left="1985" w:hanging="1985"/>
    </w:pPr>
  </w:style>
  <w:style w:type="paragraph" w:styleId="TOC7">
    <w:name w:val="toc 7"/>
    <w:basedOn w:val="TOC6"/>
    <w:next w:val="Normal"/>
    <w:semiHidden/>
    <w:rsid w:val="006000F2"/>
    <w:pPr>
      <w:ind w:left="2268" w:hanging="2268"/>
    </w:pPr>
  </w:style>
  <w:style w:type="paragraph" w:styleId="ListBullet2">
    <w:name w:val="List Bullet 2"/>
    <w:basedOn w:val="ListBullet"/>
    <w:rsid w:val="006000F2"/>
    <w:pPr>
      <w:numPr>
        <w:numId w:val="6"/>
      </w:numPr>
    </w:pPr>
  </w:style>
  <w:style w:type="paragraph" w:styleId="ListBullet">
    <w:name w:val="List Bullet"/>
    <w:basedOn w:val="BodyText"/>
    <w:rsid w:val="006000F2"/>
    <w:pPr>
      <w:numPr>
        <w:numId w:val="5"/>
      </w:numPr>
    </w:pPr>
  </w:style>
  <w:style w:type="paragraph" w:styleId="ListBullet3">
    <w:name w:val="List Bullet 3"/>
    <w:basedOn w:val="ListBullet2"/>
    <w:rsid w:val="006000F2"/>
    <w:pPr>
      <w:numPr>
        <w:numId w:val="7"/>
      </w:numPr>
    </w:pPr>
  </w:style>
  <w:style w:type="paragraph" w:customStyle="1" w:styleId="EQ">
    <w:name w:val="EQ"/>
    <w:basedOn w:val="Normal"/>
    <w:next w:val="Normal"/>
    <w:rsid w:val="006000F2"/>
    <w:pPr>
      <w:keepLines/>
      <w:tabs>
        <w:tab w:val="center" w:pos="4536"/>
        <w:tab w:val="right" w:pos="9072"/>
      </w:tabs>
      <w:spacing w:after="180"/>
      <w:jc w:val="left"/>
    </w:pPr>
    <w:rPr>
      <w:noProof/>
      <w:lang w:eastAsia="en-US"/>
    </w:rPr>
  </w:style>
  <w:style w:type="paragraph" w:styleId="List2">
    <w:name w:val="List 2"/>
    <w:basedOn w:val="List"/>
    <w:rsid w:val="006000F2"/>
    <w:pPr>
      <w:ind w:left="851"/>
    </w:pPr>
  </w:style>
  <w:style w:type="paragraph" w:styleId="List3">
    <w:name w:val="List 3"/>
    <w:basedOn w:val="List2"/>
    <w:rsid w:val="006000F2"/>
    <w:pPr>
      <w:ind w:left="1135"/>
    </w:pPr>
  </w:style>
  <w:style w:type="paragraph" w:styleId="List4">
    <w:name w:val="List 4"/>
    <w:basedOn w:val="List3"/>
    <w:rsid w:val="006000F2"/>
    <w:pPr>
      <w:ind w:left="1418"/>
    </w:pPr>
  </w:style>
  <w:style w:type="paragraph" w:styleId="List5">
    <w:name w:val="List 5"/>
    <w:basedOn w:val="List4"/>
    <w:rsid w:val="006000F2"/>
    <w:pPr>
      <w:ind w:left="1702"/>
    </w:pPr>
  </w:style>
  <w:style w:type="paragraph" w:customStyle="1" w:styleId="EditorsNote">
    <w:name w:val="Editor's Note"/>
    <w:basedOn w:val="Normal"/>
    <w:rsid w:val="006000F2"/>
    <w:pPr>
      <w:keepLines/>
      <w:spacing w:after="180"/>
      <w:ind w:left="1135" w:hanging="851"/>
      <w:jc w:val="left"/>
    </w:pPr>
    <w:rPr>
      <w:color w:val="FF0000"/>
      <w:lang w:eastAsia="en-US"/>
    </w:rPr>
  </w:style>
  <w:style w:type="paragraph" w:styleId="ListBullet4">
    <w:name w:val="List Bullet 4"/>
    <w:basedOn w:val="ListBullet3"/>
    <w:rsid w:val="006000F2"/>
    <w:pPr>
      <w:numPr>
        <w:numId w:val="8"/>
      </w:numPr>
    </w:pPr>
  </w:style>
  <w:style w:type="paragraph" w:styleId="ListBullet5">
    <w:name w:val="List Bullet 5"/>
    <w:basedOn w:val="ListBullet4"/>
    <w:rsid w:val="006000F2"/>
    <w:pPr>
      <w:numPr>
        <w:numId w:val="4"/>
      </w:numPr>
    </w:pPr>
  </w:style>
  <w:style w:type="paragraph" w:styleId="Footer">
    <w:name w:val="footer"/>
    <w:basedOn w:val="Header"/>
    <w:semiHidden/>
    <w:rsid w:val="006000F2"/>
    <w:pPr>
      <w:jc w:val="center"/>
    </w:pPr>
    <w:rPr>
      <w:i/>
      <w:iCs/>
    </w:rPr>
  </w:style>
  <w:style w:type="paragraph" w:customStyle="1" w:styleId="Reference">
    <w:name w:val="Reference"/>
    <w:basedOn w:val="Normal"/>
    <w:link w:val="ReferenceChar"/>
    <w:qFormat/>
    <w:rsid w:val="006000F2"/>
    <w:pPr>
      <w:numPr>
        <w:numId w:val="2"/>
      </w:numPr>
    </w:pPr>
  </w:style>
  <w:style w:type="paragraph" w:styleId="BalloonText">
    <w:name w:val="Balloon Text"/>
    <w:basedOn w:val="Normal"/>
    <w:semiHidden/>
    <w:rsid w:val="006000F2"/>
    <w:rPr>
      <w:rFonts w:ascii="Tahoma" w:hAnsi="Tahoma" w:cs="Tahoma"/>
      <w:sz w:val="16"/>
      <w:szCs w:val="16"/>
    </w:rPr>
  </w:style>
  <w:style w:type="character" w:styleId="PageNumber">
    <w:name w:val="page number"/>
    <w:basedOn w:val="DefaultParagraphFont"/>
    <w:semiHidden/>
    <w:rsid w:val="006000F2"/>
  </w:style>
  <w:style w:type="paragraph" w:styleId="BodyText">
    <w:name w:val="Body Text"/>
    <w:basedOn w:val="Normal"/>
    <w:link w:val="BodyTextChar"/>
    <w:rsid w:val="006000F2"/>
  </w:style>
  <w:style w:type="character" w:styleId="Hyperlink">
    <w:name w:val="Hyperlink"/>
    <w:uiPriority w:val="99"/>
    <w:rsid w:val="006000F2"/>
    <w:rPr>
      <w:color w:val="0000FF"/>
      <w:u w:val="single"/>
      <w:lang w:val="en-GB"/>
    </w:rPr>
  </w:style>
  <w:style w:type="character" w:styleId="FollowedHyperlink">
    <w:name w:val="FollowedHyperlink"/>
    <w:semiHidden/>
    <w:rsid w:val="006000F2"/>
    <w:rPr>
      <w:color w:val="FF0000"/>
      <w:u w:val="single"/>
    </w:rPr>
  </w:style>
  <w:style w:type="character" w:styleId="CommentReference">
    <w:name w:val="annotation reference"/>
    <w:semiHidden/>
    <w:rsid w:val="006000F2"/>
    <w:rPr>
      <w:sz w:val="16"/>
      <w:szCs w:val="16"/>
    </w:rPr>
  </w:style>
  <w:style w:type="paragraph" w:styleId="CommentText">
    <w:name w:val="annotation text"/>
    <w:basedOn w:val="Normal"/>
    <w:semiHidden/>
    <w:rsid w:val="006000F2"/>
  </w:style>
  <w:style w:type="paragraph" w:styleId="CommentSubject">
    <w:name w:val="annotation subject"/>
    <w:basedOn w:val="CommentText"/>
    <w:next w:val="CommentText"/>
    <w:semiHidden/>
    <w:rsid w:val="006000F2"/>
    <w:rPr>
      <w:b/>
      <w:bCs/>
    </w:rPr>
  </w:style>
  <w:style w:type="character" w:customStyle="1" w:styleId="Heading1Char">
    <w:name w:val="Heading 1 Char"/>
    <w:link w:val="Heading1"/>
    <w:rsid w:val="006000F2"/>
    <w:rPr>
      <w:rFonts w:ascii="Arial" w:hAnsi="Arial" w:cs="Arial"/>
      <w:sz w:val="36"/>
      <w:szCs w:val="36"/>
      <w:lang w:val="en-GB" w:eastAsia="zh-CN"/>
    </w:rPr>
  </w:style>
  <w:style w:type="paragraph" w:customStyle="1" w:styleId="B1">
    <w:name w:val="B1"/>
    <w:basedOn w:val="List"/>
    <w:rsid w:val="006000F2"/>
    <w:pPr>
      <w:spacing w:after="180"/>
      <w:jc w:val="left"/>
    </w:pPr>
    <w:rPr>
      <w:lang w:eastAsia="en-US"/>
    </w:rPr>
  </w:style>
  <w:style w:type="paragraph" w:customStyle="1" w:styleId="B2">
    <w:name w:val="B2"/>
    <w:basedOn w:val="List2"/>
    <w:rsid w:val="006000F2"/>
    <w:pPr>
      <w:spacing w:after="180"/>
      <w:jc w:val="left"/>
    </w:pPr>
    <w:rPr>
      <w:lang w:eastAsia="en-US"/>
    </w:rPr>
  </w:style>
  <w:style w:type="paragraph" w:customStyle="1" w:styleId="B3">
    <w:name w:val="B3"/>
    <w:basedOn w:val="List3"/>
    <w:rsid w:val="006000F2"/>
    <w:pPr>
      <w:spacing w:after="180"/>
      <w:jc w:val="left"/>
    </w:pPr>
    <w:rPr>
      <w:lang w:eastAsia="en-US"/>
    </w:rPr>
  </w:style>
  <w:style w:type="paragraph" w:customStyle="1" w:styleId="B4">
    <w:name w:val="B4"/>
    <w:basedOn w:val="List4"/>
    <w:rsid w:val="006000F2"/>
    <w:pPr>
      <w:spacing w:after="180"/>
      <w:jc w:val="left"/>
    </w:pPr>
    <w:rPr>
      <w:lang w:eastAsia="en-US"/>
    </w:rPr>
  </w:style>
  <w:style w:type="paragraph" w:customStyle="1" w:styleId="Proposal">
    <w:name w:val="Proposal"/>
    <w:basedOn w:val="Normal"/>
    <w:rsid w:val="006000F2"/>
    <w:pPr>
      <w:numPr>
        <w:numId w:val="3"/>
      </w:numPr>
      <w:tabs>
        <w:tab w:val="clear" w:pos="1304"/>
        <w:tab w:val="left" w:pos="1701"/>
      </w:tabs>
      <w:ind w:left="1701" w:hanging="1701"/>
    </w:pPr>
    <w:rPr>
      <w:b/>
      <w:bCs/>
    </w:rPr>
  </w:style>
  <w:style w:type="character" w:customStyle="1" w:styleId="BodyTextChar">
    <w:name w:val="Body Text Char"/>
    <w:link w:val="BodyText"/>
    <w:rsid w:val="006000F2"/>
    <w:rPr>
      <w:rFonts w:ascii="Arial" w:hAnsi="Arial"/>
      <w:lang w:val="en-GB" w:eastAsia="zh-CN"/>
    </w:rPr>
  </w:style>
  <w:style w:type="paragraph" w:customStyle="1" w:styleId="B5">
    <w:name w:val="B5"/>
    <w:basedOn w:val="List5"/>
    <w:rsid w:val="006000F2"/>
    <w:pPr>
      <w:spacing w:after="180"/>
      <w:jc w:val="left"/>
    </w:pPr>
    <w:rPr>
      <w:lang w:eastAsia="en-US"/>
    </w:rPr>
  </w:style>
  <w:style w:type="paragraph" w:customStyle="1" w:styleId="EX">
    <w:name w:val="EX"/>
    <w:basedOn w:val="Normal"/>
    <w:rsid w:val="006000F2"/>
    <w:pPr>
      <w:keepLines/>
      <w:spacing w:after="180"/>
      <w:ind w:left="1702" w:hanging="1418"/>
      <w:jc w:val="left"/>
    </w:pPr>
    <w:rPr>
      <w:lang w:eastAsia="en-US"/>
    </w:rPr>
  </w:style>
  <w:style w:type="paragraph" w:customStyle="1" w:styleId="EW">
    <w:name w:val="EW"/>
    <w:basedOn w:val="EX"/>
    <w:rsid w:val="006000F2"/>
    <w:pPr>
      <w:spacing w:after="0"/>
    </w:pPr>
  </w:style>
  <w:style w:type="paragraph" w:customStyle="1" w:styleId="TAL">
    <w:name w:val="TAL"/>
    <w:basedOn w:val="Normal"/>
    <w:rsid w:val="006000F2"/>
    <w:pPr>
      <w:keepNext/>
      <w:keepLines/>
      <w:spacing w:after="0"/>
      <w:jc w:val="left"/>
    </w:pPr>
    <w:rPr>
      <w:sz w:val="18"/>
      <w:lang w:eastAsia="en-US"/>
    </w:rPr>
  </w:style>
  <w:style w:type="paragraph" w:customStyle="1" w:styleId="TAC">
    <w:name w:val="TAC"/>
    <w:basedOn w:val="TAL"/>
    <w:rsid w:val="006000F2"/>
    <w:pPr>
      <w:jc w:val="center"/>
    </w:pPr>
  </w:style>
  <w:style w:type="paragraph" w:customStyle="1" w:styleId="TAH">
    <w:name w:val="TAH"/>
    <w:basedOn w:val="TAC"/>
    <w:rsid w:val="006000F2"/>
    <w:rPr>
      <w:b/>
    </w:rPr>
  </w:style>
  <w:style w:type="paragraph" w:customStyle="1" w:styleId="TAN">
    <w:name w:val="TAN"/>
    <w:basedOn w:val="TAL"/>
    <w:rsid w:val="006000F2"/>
    <w:pPr>
      <w:ind w:left="851" w:hanging="851"/>
    </w:pPr>
  </w:style>
  <w:style w:type="paragraph" w:customStyle="1" w:styleId="TAR">
    <w:name w:val="TAR"/>
    <w:basedOn w:val="TAL"/>
    <w:rsid w:val="006000F2"/>
    <w:pPr>
      <w:jc w:val="right"/>
    </w:pPr>
  </w:style>
  <w:style w:type="paragraph" w:customStyle="1" w:styleId="TH">
    <w:name w:val="TH"/>
    <w:basedOn w:val="Normal"/>
    <w:rsid w:val="006000F2"/>
    <w:pPr>
      <w:keepNext/>
      <w:keepLines/>
      <w:spacing w:before="60" w:after="180"/>
      <w:jc w:val="center"/>
    </w:pPr>
    <w:rPr>
      <w:b/>
      <w:lang w:eastAsia="en-US"/>
    </w:rPr>
  </w:style>
  <w:style w:type="paragraph" w:customStyle="1" w:styleId="TF">
    <w:name w:val="TF"/>
    <w:basedOn w:val="TH"/>
    <w:rsid w:val="006000F2"/>
    <w:pPr>
      <w:keepNext w:val="0"/>
      <w:spacing w:before="0" w:after="240"/>
    </w:pPr>
  </w:style>
  <w:style w:type="paragraph" w:customStyle="1" w:styleId="TT">
    <w:name w:val="TT"/>
    <w:basedOn w:val="Heading1"/>
    <w:next w:val="Normal"/>
    <w:rsid w:val="006000F2"/>
    <w:pPr>
      <w:numPr>
        <w:numId w:val="0"/>
      </w:numPr>
      <w:ind w:left="1134" w:hanging="1134"/>
      <w:outlineLvl w:val="9"/>
    </w:pPr>
    <w:rPr>
      <w:rFonts w:cs="Times New Roman"/>
      <w:szCs w:val="20"/>
      <w:lang w:eastAsia="en-US"/>
    </w:rPr>
  </w:style>
  <w:style w:type="paragraph" w:customStyle="1" w:styleId="ZA">
    <w:name w:val="ZA"/>
    <w:rsid w:val="00600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0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00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00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00F2"/>
  </w:style>
  <w:style w:type="paragraph" w:customStyle="1" w:styleId="ZH">
    <w:name w:val="ZH"/>
    <w:rsid w:val="006000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0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00F2"/>
    <w:pPr>
      <w:framePr w:hRule="auto" w:wrap="notBeside" w:y="852"/>
    </w:pPr>
    <w:rPr>
      <w:i w:val="0"/>
      <w:sz w:val="40"/>
    </w:rPr>
  </w:style>
  <w:style w:type="paragraph" w:customStyle="1" w:styleId="ZU">
    <w:name w:val="ZU"/>
    <w:rsid w:val="00600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00F2"/>
    <w:pPr>
      <w:framePr w:wrap="notBeside" w:y="16161"/>
    </w:pPr>
  </w:style>
  <w:style w:type="paragraph" w:customStyle="1" w:styleId="FP">
    <w:name w:val="FP"/>
    <w:basedOn w:val="Normal"/>
    <w:rsid w:val="006000F2"/>
    <w:pPr>
      <w:spacing w:after="0"/>
      <w:jc w:val="left"/>
    </w:pPr>
    <w:rPr>
      <w:lang w:eastAsia="en-US"/>
    </w:rPr>
  </w:style>
  <w:style w:type="paragraph" w:customStyle="1" w:styleId="Observation">
    <w:name w:val="Observation"/>
    <w:basedOn w:val="Proposal"/>
    <w:qFormat/>
    <w:rsid w:val="006000F2"/>
    <w:pPr>
      <w:numPr>
        <w:numId w:val="13"/>
      </w:numPr>
      <w:ind w:left="1701" w:hanging="1701"/>
    </w:pPr>
  </w:style>
  <w:style w:type="paragraph" w:styleId="TableofFigures">
    <w:name w:val="table of figures"/>
    <w:basedOn w:val="Normal"/>
    <w:next w:val="Normal"/>
    <w:uiPriority w:val="99"/>
    <w:rsid w:val="006000F2"/>
    <w:pPr>
      <w:ind w:left="1418" w:hanging="1418"/>
      <w:jc w:val="left"/>
    </w:pPr>
    <w:rPr>
      <w:b/>
    </w:rPr>
  </w:style>
  <w:style w:type="paragraph" w:customStyle="1" w:styleId="Doc-text2">
    <w:name w:val="Doc-text2"/>
    <w:basedOn w:val="Normal"/>
    <w:link w:val="Doc-text2Char"/>
    <w:qFormat/>
    <w:rsid w:val="006000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00F2"/>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DE23B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Doc-titleChar">
    <w:name w:val="Doc-title Char"/>
    <w:link w:val="Doc-title"/>
    <w:locked/>
    <w:rsid w:val="00584864"/>
    <w:rPr>
      <w:rFonts w:ascii="Arial" w:eastAsia="MS Mincho" w:hAnsi="Arial" w:cs="Arial"/>
      <w:noProof/>
      <w:szCs w:val="24"/>
    </w:rPr>
  </w:style>
  <w:style w:type="paragraph" w:customStyle="1" w:styleId="Doc-title">
    <w:name w:val="Doc-title"/>
    <w:basedOn w:val="Normal"/>
    <w:next w:val="Doc-text2"/>
    <w:link w:val="Doc-titleChar"/>
    <w:qFormat/>
    <w:rsid w:val="00584864"/>
    <w:pPr>
      <w:overflowPunct/>
      <w:autoSpaceDE/>
      <w:autoSpaceDN/>
      <w:adjustRightInd/>
      <w:spacing w:before="60" w:after="0"/>
      <w:ind w:left="1259" w:hanging="1259"/>
      <w:jc w:val="left"/>
      <w:textAlignment w:val="auto"/>
    </w:pPr>
    <w:rPr>
      <w:rFonts w:eastAsia="MS Mincho" w:cs="Arial"/>
      <w:noProof/>
      <w:szCs w:val="24"/>
      <w:lang w:val="en-US" w:eastAsia="en-US"/>
    </w:rPr>
  </w:style>
  <w:style w:type="table" w:styleId="TableGrid">
    <w:name w:val="Table Grid"/>
    <w:basedOn w:val="TableNormal"/>
    <w:rsid w:val="0006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B788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653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0376110">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738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5NUHHDQN7SK2-1476151046-15259</_dlc_DocId>
    <_dlc_DocIdUrl xmlns="f166a696-7b5b-4ccd-9f0c-ffde0cceec81">
      <Url>https://ericsson.sharepoint.com/sites/star/_layouts/15/DocIdRedir.aspx?ID=5NUHHDQN7SK2-1476151046-15259</Url>
      <Description>5NUHHDQN7SK2-1476151046-15259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96CA661C-EB1D-446D-BF52-186160A7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168</TotalTime>
  <Pages>5</Pages>
  <Words>1501</Words>
  <Characters>8557</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Ericsson</vt:lpstr>
      <vt:lpstr>Introduction</vt:lpstr>
      <vt:lpstr>Terminology</vt:lpstr>
      <vt:lpstr>IAB spectrum combinations</vt:lpstr>
      <vt:lpstr>IAB physical layer design</vt:lpstr>
      <vt:lpstr>    General principles</vt:lpstr>
      <vt:lpstr>    IAB-N initial access</vt:lpstr>
      <vt:lpstr>    Uplink waveform </vt:lpstr>
      <vt:lpstr>Proposals</vt:lpstr>
      <vt:lpstr>References</vt:lpstr>
    </vt:vector>
  </TitlesOfParts>
  <Company>Ericsson</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dc:description/>
  <cp:lastModifiedBy>Erik Dahlman</cp:lastModifiedBy>
  <cp:revision>7</cp:revision>
  <cp:lastPrinted>2018-04-06T15:08:00Z</cp:lastPrinted>
  <dcterms:created xsi:type="dcterms:W3CDTF">2018-04-06T13:46:00Z</dcterms:created>
  <dcterms:modified xsi:type="dcterms:W3CDTF">2018-04-06T19:58:00Z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be1d3b10-542c-4bd9-95ae-a7b039638023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