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A75E11"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1;visibility:hidden">
            <w10:anchorlock/>
          </v:shape>
        </w:pict>
      </w:r>
      <w:r w:rsidR="00C80772" w:rsidRPr="00E15480">
        <w:rPr>
          <w:b/>
          <w:kern w:val="2"/>
          <w:lang w:eastAsia="zh-CN"/>
        </w:rPr>
        <w:t>3GPP TSG RAN WG1</w:t>
      </w:r>
      <w:r w:rsidR="00C80772">
        <w:rPr>
          <w:rFonts w:hint="eastAsia"/>
          <w:b/>
          <w:kern w:val="2"/>
          <w:lang w:eastAsia="zh-CN"/>
        </w:rPr>
        <w:t xml:space="preserve"> </w:t>
      </w:r>
      <w:r w:rsidR="00C80772">
        <w:rPr>
          <w:b/>
          <w:kern w:val="2"/>
          <w:lang w:eastAsia="zh-CN"/>
        </w:rPr>
        <w:t>Meeting #</w:t>
      </w:r>
      <w:r w:rsidR="00C80772">
        <w:rPr>
          <w:rFonts w:hint="eastAsia"/>
          <w:b/>
          <w:kern w:val="2"/>
          <w:lang w:eastAsia="zh-CN"/>
        </w:rPr>
        <w:t>92bis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F6135A" w:rsidRPr="00F6135A">
        <w:rPr>
          <w:b/>
          <w:kern w:val="2"/>
          <w:lang w:eastAsia="zh-CN"/>
        </w:rPr>
        <w:t>-1804299</w:t>
      </w:r>
    </w:p>
    <w:p w:rsidR="009C0564" w:rsidRPr="00CF195E" w:rsidRDefault="00C80772" w:rsidP="00CF195E">
      <w:pPr>
        <w:jc w:val="left"/>
        <w:rPr>
          <w:b/>
          <w:kern w:val="2"/>
          <w:lang w:eastAsia="zh-CN"/>
        </w:rPr>
      </w:pPr>
      <w:r>
        <w:rPr>
          <w:b/>
          <w:kern w:val="2"/>
          <w:lang w:eastAsia="zh-CN"/>
        </w:rPr>
        <w:t>Sanya</w:t>
      </w:r>
      <w:r w:rsidRPr="00E15480">
        <w:rPr>
          <w:b/>
          <w:kern w:val="2"/>
          <w:lang w:eastAsia="zh-CN"/>
        </w:rPr>
        <w:t xml:space="preserve">, </w:t>
      </w:r>
      <w:r>
        <w:rPr>
          <w:b/>
          <w:kern w:val="2"/>
          <w:lang w:eastAsia="zh-CN"/>
        </w:rPr>
        <w:t>China</w:t>
      </w:r>
      <w:r w:rsidRPr="00E15480">
        <w:rPr>
          <w:b/>
          <w:kern w:val="2"/>
          <w:lang w:eastAsia="zh-CN"/>
        </w:rPr>
        <w:t xml:space="preserve">, </w:t>
      </w:r>
      <w:r>
        <w:rPr>
          <w:b/>
          <w:kern w:val="2"/>
          <w:lang w:eastAsia="zh-CN"/>
        </w:rPr>
        <w:t>April</w:t>
      </w:r>
      <w:r w:rsidRPr="00D95C34">
        <w:rPr>
          <w:b/>
          <w:kern w:val="2"/>
          <w:lang w:eastAsia="zh-CN"/>
        </w:rPr>
        <w:t xml:space="preserve"> </w:t>
      </w:r>
      <w:r>
        <w:rPr>
          <w:b/>
          <w:kern w:val="2"/>
          <w:lang w:eastAsia="zh-CN"/>
        </w:rPr>
        <w:t>16</w:t>
      </w:r>
      <w:r>
        <w:rPr>
          <w:b/>
          <w:kern w:val="2"/>
          <w:vertAlign w:val="superscript"/>
          <w:lang w:eastAsia="zh-CN"/>
        </w:rPr>
        <w:t>th</w:t>
      </w:r>
      <w:r w:rsidRPr="00D95C34">
        <w:rPr>
          <w:b/>
          <w:kern w:val="2"/>
          <w:lang w:eastAsia="zh-CN"/>
        </w:rPr>
        <w:t xml:space="preserve"> –</w:t>
      </w:r>
      <w:r>
        <w:rPr>
          <w:b/>
          <w:kern w:val="2"/>
          <w:lang w:eastAsia="zh-CN"/>
        </w:rPr>
        <w:t>April</w:t>
      </w:r>
      <w:r w:rsidRPr="00D95C34">
        <w:rPr>
          <w:b/>
          <w:kern w:val="2"/>
          <w:lang w:eastAsia="zh-CN"/>
        </w:rPr>
        <w:t xml:space="preserve"> </w:t>
      </w:r>
      <w:r>
        <w:rPr>
          <w:b/>
          <w:kern w:val="2"/>
          <w:lang w:eastAsia="zh-CN"/>
        </w:rPr>
        <w:t>20</w:t>
      </w:r>
      <w:r>
        <w:rPr>
          <w:b/>
          <w:kern w:val="2"/>
          <w:vertAlign w:val="superscript"/>
          <w:lang w:eastAsia="zh-CN"/>
        </w:rPr>
        <w:t>th</w:t>
      </w:r>
      <w:r>
        <w:rPr>
          <w:b/>
          <w:kern w:val="2"/>
          <w:lang w:eastAsia="zh-CN"/>
        </w:rPr>
        <w:t xml:space="preserve">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C80772">
        <w:rPr>
          <w:b/>
          <w:kern w:val="2"/>
          <w:lang w:eastAsia="zh-CN"/>
        </w:rPr>
        <w:t xml:space="preserve">     </w:t>
      </w:r>
      <w:r w:rsidR="00C80772">
        <w:rPr>
          <w:rFonts w:hint="eastAsia"/>
          <w:b/>
          <w:kern w:val="2"/>
          <w:lang w:eastAsia="zh-CN"/>
        </w:rPr>
        <w:t>7.9</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63B04">
        <w:rPr>
          <w:b/>
          <w:kern w:val="2"/>
          <w:lang w:eastAsia="zh-CN"/>
        </w:rPr>
        <w:t xml:space="preserve">, </w:t>
      </w:r>
      <w:r w:rsidR="00D63B04" w:rsidRPr="00D63B04">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C506B" w:rsidRPr="00DC506B">
        <w:rPr>
          <w:b/>
          <w:kern w:val="2"/>
          <w:lang w:eastAsia="zh-CN"/>
        </w:rPr>
        <w:t>On UE Antenna model in eV2X Evaluation Methodology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8F72CC" w:rsidRDefault="009C0564" w:rsidP="00C12BC1">
      <w:pPr>
        <w:pStyle w:val="Heading1"/>
      </w:pPr>
      <w:bookmarkStart w:id="0" w:name="_Ref124589705"/>
      <w:bookmarkStart w:id="1" w:name="_Ref129681862"/>
      <w:r w:rsidRPr="00CF195E">
        <w:t>Introduction</w:t>
      </w:r>
      <w:bookmarkEnd w:id="0"/>
      <w:bookmarkEnd w:id="1"/>
    </w:p>
    <w:p w:rsidR="00622F06" w:rsidRDefault="00622F06" w:rsidP="00622F06">
      <w:pPr>
        <w:rPr>
          <w:rFonts w:eastAsia="MS Mincho"/>
          <w:lang w:eastAsia="ja-JP"/>
        </w:rPr>
      </w:pPr>
      <w:r>
        <w:rPr>
          <w:rFonts w:eastAsia="MS Mincho"/>
          <w:lang w:eastAsia="ja-JP"/>
        </w:rPr>
        <w:t>During</w:t>
      </w:r>
      <w:r w:rsidRPr="00B833D5">
        <w:rPr>
          <w:rFonts w:eastAsia="MS Mincho"/>
          <w:lang w:eastAsia="ja-JP"/>
        </w:rPr>
        <w:t xml:space="preserve"> the </w:t>
      </w:r>
      <w:r>
        <w:rPr>
          <w:rFonts w:eastAsia="MS Mincho"/>
          <w:lang w:eastAsia="ja-JP"/>
        </w:rPr>
        <w:t xml:space="preserve">RAN plenary meeting in West Palm Beach, the Study Item on evaluation methodology of new V2X use cases for LTE and NR was agreed </w:t>
      </w:r>
      <w:r>
        <w:rPr>
          <w:rFonts w:eastAsia="MS Mincho"/>
          <w:lang w:eastAsia="ja-JP"/>
        </w:rPr>
        <w:fldChar w:fldCharType="begin"/>
      </w:r>
      <w:r>
        <w:rPr>
          <w:rFonts w:eastAsia="MS Mincho"/>
          <w:lang w:eastAsia="ja-JP"/>
        </w:rPr>
        <w:instrText xml:space="preserve"> REF _Ref492282945 \r \h </w:instrText>
      </w:r>
      <w:r>
        <w:rPr>
          <w:rFonts w:eastAsia="MS Mincho"/>
          <w:lang w:eastAsia="ja-JP"/>
        </w:rPr>
      </w:r>
      <w:r>
        <w:rPr>
          <w:rFonts w:eastAsia="MS Mincho"/>
          <w:lang w:eastAsia="ja-JP"/>
        </w:rPr>
        <w:fldChar w:fldCharType="separate"/>
      </w:r>
      <w:r w:rsidR="00BD0679">
        <w:rPr>
          <w:rFonts w:eastAsia="MS Mincho"/>
          <w:lang w:eastAsia="ja-JP"/>
        </w:rPr>
        <w:t>[1]</w:t>
      </w:r>
      <w:r>
        <w:rPr>
          <w:rFonts w:eastAsia="MS Mincho"/>
          <w:lang w:eastAsia="ja-JP"/>
        </w:rPr>
        <w:fldChar w:fldCharType="end"/>
      </w:r>
      <w:r>
        <w:rPr>
          <w:rFonts w:eastAsia="MS Mincho"/>
          <w:lang w:eastAsia="ja-JP"/>
        </w:rPr>
        <w:t>. One of the objectives of the SI is to investigate “</w:t>
      </w:r>
      <w:r w:rsidRPr="00667ABA">
        <w:rPr>
          <w:rFonts w:eastAsia="MS Mincho"/>
          <w:lang w:eastAsia="ja-JP"/>
        </w:rPr>
        <w:t>Sidelink channel model for spectrum above 6 GHz</w:t>
      </w:r>
      <w:r>
        <w:rPr>
          <w:rFonts w:eastAsia="MS Mincho"/>
          <w:lang w:eastAsia="ja-JP"/>
        </w:rPr>
        <w:t xml:space="preserve">.” </w:t>
      </w:r>
    </w:p>
    <w:p w:rsidR="00C1200B" w:rsidRDefault="00C1200B" w:rsidP="00622F06">
      <w:pPr>
        <w:rPr>
          <w:kern w:val="2"/>
          <w:lang w:val="en-GB" w:eastAsia="zh-CN"/>
        </w:rPr>
      </w:pPr>
      <w:r>
        <w:rPr>
          <w:kern w:val="2"/>
          <w:lang w:val="en-GB" w:eastAsia="zh-CN"/>
        </w:rPr>
        <w:t>In RAN1 #92, the following agreement was reached for the antenna model</w:t>
      </w:r>
      <w:r w:rsidR="00C203E8">
        <w:rPr>
          <w:kern w:val="2"/>
          <w:lang w:val="en-GB" w:eastAsia="zh-CN"/>
        </w:rPr>
        <w:t xml:space="preserve"> </w:t>
      </w:r>
      <w:r w:rsidR="00C203E8">
        <w:rPr>
          <w:kern w:val="2"/>
          <w:lang w:val="en-GB" w:eastAsia="zh-CN"/>
        </w:rPr>
        <w:fldChar w:fldCharType="begin"/>
      </w:r>
      <w:r w:rsidR="00C203E8">
        <w:rPr>
          <w:kern w:val="2"/>
          <w:lang w:val="en-GB" w:eastAsia="zh-CN"/>
        </w:rPr>
        <w:instrText xml:space="preserve"> REF _Ref508977799 \n \h </w:instrText>
      </w:r>
      <w:r w:rsidR="00C203E8">
        <w:rPr>
          <w:kern w:val="2"/>
          <w:lang w:val="en-GB" w:eastAsia="zh-CN"/>
        </w:rPr>
      </w:r>
      <w:r w:rsidR="00C203E8">
        <w:rPr>
          <w:kern w:val="2"/>
          <w:lang w:val="en-GB" w:eastAsia="zh-CN"/>
        </w:rPr>
        <w:fldChar w:fldCharType="separate"/>
      </w:r>
      <w:r w:rsidR="00BD0679">
        <w:rPr>
          <w:kern w:val="2"/>
          <w:lang w:val="en-GB" w:eastAsia="zh-CN"/>
        </w:rPr>
        <w:t>[2]</w:t>
      </w:r>
      <w:r w:rsidR="00C203E8">
        <w:rPr>
          <w:kern w:val="2"/>
          <w:lang w:val="en-GB" w:eastAsia="zh-CN"/>
        </w:rPr>
        <w:fldChar w:fldCharType="end"/>
      </w:r>
      <w:r>
        <w:rPr>
          <w:kern w:val="2"/>
          <w:lang w:val="en-GB" w:eastAsia="zh-CN"/>
        </w:rPr>
        <w:t>:</w:t>
      </w:r>
    </w:p>
    <w:p w:rsidR="00C1200B" w:rsidRDefault="00C1200B" w:rsidP="00C1200B">
      <w:pPr>
        <w:pStyle w:val="BodyText"/>
        <w:widowControl w:val="0"/>
        <w:numPr>
          <w:ilvl w:val="0"/>
          <w:numId w:val="38"/>
        </w:numPr>
        <w:adjustRightInd/>
        <w:snapToGrid/>
        <w:spacing w:after="180" w:line="276" w:lineRule="auto"/>
        <w:ind w:left="940"/>
        <w:rPr>
          <w:kern w:val="2"/>
          <w:sz w:val="22"/>
          <w:szCs w:val="22"/>
          <w:lang w:val="en-GB" w:eastAsia="zh-CN"/>
        </w:rPr>
      </w:pPr>
      <w:r w:rsidRPr="00C1200B">
        <w:rPr>
          <w:kern w:val="2"/>
          <w:sz w:val="22"/>
          <w:szCs w:val="22"/>
          <w:lang w:val="en-GB" w:eastAsia="zh-CN"/>
        </w:rPr>
        <w:t xml:space="preserve">“For both below and above 6 GHz, </w:t>
      </w:r>
      <w:r w:rsidRPr="00C1200B">
        <w:rPr>
          <w:rFonts w:hint="eastAsia"/>
          <w:kern w:val="2"/>
          <w:sz w:val="22"/>
          <w:szCs w:val="22"/>
          <w:lang w:val="en-GB" w:eastAsia="zh-CN"/>
        </w:rPr>
        <w:t xml:space="preserve">an option for </w:t>
      </w:r>
      <w:r w:rsidRPr="00C1200B">
        <w:rPr>
          <w:kern w:val="2"/>
          <w:sz w:val="22"/>
          <w:szCs w:val="22"/>
          <w:lang w:val="en-GB" w:eastAsia="zh-CN"/>
        </w:rPr>
        <w:t>“</w:t>
      </w:r>
      <w:r w:rsidRPr="00C1200B">
        <w:rPr>
          <w:rFonts w:hint="eastAsia"/>
          <w:kern w:val="2"/>
          <w:sz w:val="22"/>
          <w:szCs w:val="22"/>
          <w:lang w:val="en-GB" w:eastAsia="zh-CN"/>
        </w:rPr>
        <w:t>collocated antenna case</w:t>
      </w:r>
      <w:r w:rsidRPr="00C1200B">
        <w:rPr>
          <w:kern w:val="2"/>
          <w:sz w:val="22"/>
          <w:szCs w:val="22"/>
          <w:lang w:val="en-GB" w:eastAsia="zh-CN"/>
        </w:rPr>
        <w:t>” is supported.</w:t>
      </w:r>
      <w:r w:rsidRPr="00C1200B">
        <w:rPr>
          <w:rFonts w:hint="eastAsia"/>
          <w:kern w:val="2"/>
          <w:sz w:val="22"/>
          <w:szCs w:val="22"/>
          <w:lang w:val="en-GB" w:eastAsia="zh-CN"/>
        </w:rPr>
        <w:t xml:space="preserve"> Note that this can be revised based on input from other organizations.</w:t>
      </w:r>
      <w:r w:rsidRPr="00C1200B">
        <w:rPr>
          <w:kern w:val="2"/>
          <w:sz w:val="22"/>
          <w:szCs w:val="22"/>
          <w:lang w:val="en-GB" w:eastAsia="zh-CN"/>
        </w:rPr>
        <w:t>”</w:t>
      </w:r>
    </w:p>
    <w:p w:rsidR="0092143A" w:rsidRDefault="00C1200B" w:rsidP="00C1200B">
      <w:pPr>
        <w:pStyle w:val="BodyText"/>
        <w:widowControl w:val="0"/>
        <w:adjustRightInd/>
        <w:snapToGrid/>
        <w:spacing w:after="180" w:line="276" w:lineRule="auto"/>
        <w:rPr>
          <w:kern w:val="2"/>
          <w:sz w:val="22"/>
          <w:szCs w:val="22"/>
          <w:lang w:val="en-GB" w:eastAsia="zh-CN"/>
        </w:rPr>
      </w:pPr>
      <w:r>
        <w:rPr>
          <w:kern w:val="2"/>
          <w:sz w:val="22"/>
          <w:szCs w:val="22"/>
          <w:lang w:val="en-GB" w:eastAsia="zh-CN"/>
        </w:rPr>
        <w:t>In addition to above, in this contribution we argue that,</w:t>
      </w:r>
      <w:r w:rsidR="0092143A" w:rsidRPr="0092143A">
        <w:rPr>
          <w:kern w:val="2"/>
          <w:sz w:val="22"/>
          <w:szCs w:val="22"/>
          <w:lang w:val="en-GB" w:eastAsia="zh-CN"/>
        </w:rPr>
        <w:t xml:space="preserve"> </w:t>
      </w:r>
      <w:r w:rsidR="0092143A">
        <w:rPr>
          <w:kern w:val="2"/>
          <w:sz w:val="22"/>
          <w:szCs w:val="22"/>
          <w:lang w:val="en-GB" w:eastAsia="zh-CN"/>
        </w:rPr>
        <w:t>for some advanced use cases, the distributed antenna case needs to be considered as well. The key reasons for this are as follows:</w:t>
      </w:r>
    </w:p>
    <w:p w:rsidR="00C1200B" w:rsidRDefault="0092143A" w:rsidP="0092143A">
      <w:pPr>
        <w:pStyle w:val="BodyText"/>
        <w:widowControl w:val="0"/>
        <w:numPr>
          <w:ilvl w:val="0"/>
          <w:numId w:val="40"/>
        </w:numPr>
        <w:adjustRightInd/>
        <w:snapToGrid/>
        <w:spacing w:after="180" w:line="276" w:lineRule="auto"/>
        <w:rPr>
          <w:kern w:val="2"/>
          <w:sz w:val="22"/>
          <w:szCs w:val="22"/>
          <w:lang w:val="en-GB" w:eastAsia="zh-CN"/>
        </w:rPr>
      </w:pPr>
      <w:r>
        <w:rPr>
          <w:kern w:val="2"/>
          <w:sz w:val="22"/>
          <w:szCs w:val="22"/>
          <w:lang w:val="en-GB" w:eastAsia="zh-CN"/>
        </w:rPr>
        <w:t>S</w:t>
      </w:r>
      <w:r w:rsidR="00C1200B">
        <w:rPr>
          <w:kern w:val="2"/>
          <w:sz w:val="22"/>
          <w:szCs w:val="22"/>
          <w:lang w:val="en-GB" w:eastAsia="zh-CN"/>
        </w:rPr>
        <w:t xml:space="preserve">ignificantly different channels </w:t>
      </w:r>
      <w:r>
        <w:rPr>
          <w:kern w:val="2"/>
          <w:sz w:val="22"/>
          <w:szCs w:val="22"/>
          <w:lang w:val="en-GB" w:eastAsia="zh-CN"/>
        </w:rPr>
        <w:t>experienced when antennas are mounted on different locations on the vehicle</w:t>
      </w:r>
    </w:p>
    <w:p w:rsidR="0092143A" w:rsidRDefault="0092143A" w:rsidP="0092143A">
      <w:pPr>
        <w:pStyle w:val="BodyText"/>
        <w:widowControl w:val="0"/>
        <w:numPr>
          <w:ilvl w:val="0"/>
          <w:numId w:val="40"/>
        </w:numPr>
        <w:adjustRightInd/>
        <w:snapToGrid/>
        <w:spacing w:after="180" w:line="276" w:lineRule="auto"/>
        <w:rPr>
          <w:kern w:val="2"/>
          <w:sz w:val="22"/>
          <w:szCs w:val="22"/>
          <w:lang w:val="en-GB" w:eastAsia="zh-CN"/>
        </w:rPr>
      </w:pPr>
      <w:r>
        <w:rPr>
          <w:kern w:val="2"/>
          <w:sz w:val="22"/>
          <w:szCs w:val="22"/>
          <w:lang w:val="en-GB" w:eastAsia="zh-CN"/>
        </w:rPr>
        <w:t xml:space="preserve">To investigate the </w:t>
      </w:r>
      <w:r w:rsidR="005742C8">
        <w:rPr>
          <w:kern w:val="2"/>
          <w:sz w:val="22"/>
          <w:szCs w:val="22"/>
          <w:lang w:val="en-GB" w:eastAsia="zh-CN"/>
        </w:rPr>
        <w:t xml:space="preserve">reliability </w:t>
      </w:r>
      <w:r>
        <w:rPr>
          <w:kern w:val="2"/>
          <w:sz w:val="22"/>
          <w:szCs w:val="22"/>
          <w:lang w:val="en-GB" w:eastAsia="zh-CN"/>
        </w:rPr>
        <w:t xml:space="preserve">gains due to fully decorrelated channels, which can also experience different shadow fading </w:t>
      </w:r>
    </w:p>
    <w:p w:rsidR="0092143A" w:rsidRDefault="005742C8" w:rsidP="0092143A">
      <w:pPr>
        <w:pStyle w:val="BodyText"/>
        <w:widowControl w:val="0"/>
        <w:numPr>
          <w:ilvl w:val="0"/>
          <w:numId w:val="40"/>
        </w:numPr>
        <w:adjustRightInd/>
        <w:snapToGrid/>
        <w:spacing w:after="180" w:line="276" w:lineRule="auto"/>
        <w:rPr>
          <w:kern w:val="2"/>
          <w:sz w:val="22"/>
          <w:szCs w:val="22"/>
          <w:lang w:val="en-GB" w:eastAsia="zh-CN"/>
        </w:rPr>
      </w:pPr>
      <w:r>
        <w:rPr>
          <w:kern w:val="2"/>
          <w:sz w:val="22"/>
          <w:szCs w:val="22"/>
          <w:lang w:val="en-GB" w:eastAsia="zh-CN"/>
        </w:rPr>
        <w:t>To investigate application-specific antenna placements (e.g., bumper-mounted antennas) that can be used for use cases such as platooning.</w:t>
      </w:r>
    </w:p>
    <w:p w:rsidR="00157FC3" w:rsidRDefault="00DE41A7" w:rsidP="00CF195E">
      <w:pPr>
        <w:pStyle w:val="Heading1"/>
      </w:pPr>
      <w:bookmarkStart w:id="2" w:name="_Ref129681832"/>
      <w:r>
        <w:t xml:space="preserve">V2V channel </w:t>
      </w:r>
      <w:r w:rsidR="00300A36">
        <w:t>measurements</w:t>
      </w:r>
      <w:r>
        <w:t xml:space="preserve"> – results for different antenna placement</w:t>
      </w:r>
    </w:p>
    <w:p w:rsidR="00DE41A7" w:rsidRDefault="00DE41A7" w:rsidP="00DE41A7">
      <w:pPr>
        <w:rPr>
          <w:lang w:val="en-GB"/>
        </w:rPr>
      </w:pPr>
      <w:r>
        <w:rPr>
          <w:lang w:val="en-GB"/>
        </w:rPr>
        <w:t xml:space="preserve">Five channel measurement campaigns (indicated as C1-C5) related to vehicle blockage and one (indicated as C6) related to building blockage have been carried out in the campus of the Technische Universität Ilmenau, Germany, at carrier frequencies of 6.75, 30 and </w:t>
      </w:r>
      <w:r>
        <w:rPr>
          <w:rFonts w:hint="eastAsia"/>
          <w:lang w:val="en-GB"/>
        </w:rPr>
        <w:t>60 GHz</w:t>
      </w:r>
      <w:r>
        <w:rPr>
          <w:lang w:val="en-GB"/>
        </w:rPr>
        <w:t xml:space="preserve">. A dual-polarized ultra-wideband multi-channel sounder was used, </w:t>
      </w:r>
      <w:r>
        <w:rPr>
          <w:rFonts w:hint="eastAsia"/>
          <w:lang w:val="en-GB"/>
        </w:rPr>
        <w:t>which</w:t>
      </w:r>
      <w:r>
        <w:rPr>
          <w:lang w:val="en-GB"/>
        </w:rPr>
        <w:t xml:space="preserve"> offers after back to back calibration a null-to-null bandwidth of 5.1 GHz. The spatial characterization of the environment has been done by automatically rotating dual-polarized horn antennas with 30° HPBW in 30° steps, covering the whole azimuth range at </w:t>
      </w:r>
      <w:r w:rsidRPr="008E4B5D">
        <w:rPr>
          <w:lang w:val="en-GB"/>
        </w:rPr>
        <w:t xml:space="preserve">transmitter </w:t>
      </w:r>
      <w:r>
        <w:rPr>
          <w:rFonts w:hint="eastAsia"/>
          <w:lang w:val="en-GB"/>
        </w:rPr>
        <w:t>(</w:t>
      </w:r>
      <w:r>
        <w:rPr>
          <w:lang w:val="en-GB"/>
        </w:rPr>
        <w:t>Tx</w:t>
      </w:r>
      <w:r>
        <w:rPr>
          <w:rFonts w:hint="eastAsia"/>
          <w:lang w:val="en-GB"/>
        </w:rPr>
        <w:t>)</w:t>
      </w:r>
      <w:r>
        <w:rPr>
          <w:lang w:val="en-GB"/>
        </w:rPr>
        <w:t xml:space="preserve"> and </w:t>
      </w:r>
      <w:r>
        <w:rPr>
          <w:rFonts w:hint="eastAsia"/>
          <w:lang w:val="en-GB"/>
        </w:rPr>
        <w:t>receiver (</w:t>
      </w:r>
      <w:r>
        <w:rPr>
          <w:lang w:val="en-GB"/>
        </w:rPr>
        <w:t>Rx</w:t>
      </w:r>
      <w:r>
        <w:rPr>
          <w:rFonts w:hint="eastAsia"/>
          <w:lang w:val="en-GB"/>
        </w:rPr>
        <w:t>)</w:t>
      </w:r>
      <w:r>
        <w:rPr>
          <w:lang w:val="en-GB"/>
        </w:rPr>
        <w:t>. On the other hand, a single elevation of 0° was measured at both sides.</w:t>
      </w:r>
      <w:r>
        <w:rPr>
          <w:rFonts w:hint="eastAsia"/>
          <w:b/>
          <w:i/>
          <w:lang w:val="en-GB"/>
        </w:rPr>
        <w:t xml:space="preserve"> </w:t>
      </w:r>
      <w:r>
        <w:rPr>
          <w:lang w:val="en-GB"/>
        </w:rPr>
        <w:t xml:space="preserve">The scenario was a “T” intersection in an urban environment with parked cars, multi-story buildings, and lampposts as shown in </w:t>
      </w:r>
      <w:r>
        <w:rPr>
          <w:lang w:val="en-GB"/>
        </w:rPr>
        <w:fldChar w:fldCharType="begin"/>
      </w:r>
      <w:r>
        <w:rPr>
          <w:lang w:val="en-GB"/>
        </w:rPr>
        <w:instrText xml:space="preserve"> REF _Ref505077076 \h </w:instrText>
      </w:r>
      <w:r>
        <w:rPr>
          <w:lang w:val="en-GB"/>
        </w:rPr>
      </w:r>
      <w:r>
        <w:rPr>
          <w:lang w:val="en-GB"/>
        </w:rPr>
        <w:fldChar w:fldCharType="separate"/>
      </w:r>
      <w:r w:rsidR="00BD0679">
        <w:t xml:space="preserve">Figure </w:t>
      </w:r>
      <w:r w:rsidR="00BD0679">
        <w:rPr>
          <w:noProof/>
        </w:rPr>
        <w:t>1</w:t>
      </w:r>
      <w:r>
        <w:rPr>
          <w:lang w:val="en-GB"/>
        </w:rPr>
        <w:fldChar w:fldCharType="end"/>
      </w:r>
      <w:r>
        <w:rPr>
          <w:lang w:val="en-GB"/>
        </w:rPr>
        <w:t xml:space="preserve">. </w:t>
      </w:r>
    </w:p>
    <w:p w:rsidR="003E3232" w:rsidRDefault="003E3232" w:rsidP="00DE41A7">
      <w:pPr>
        <w:rPr>
          <w:lang w:val="en-GB"/>
        </w:rPr>
      </w:pPr>
      <w:r>
        <w:rPr>
          <w:lang w:val="en-GB"/>
        </w:rPr>
        <w:t>Two</w:t>
      </w:r>
      <w:r w:rsidR="00DE41A7">
        <w:rPr>
          <w:lang w:val="en-GB"/>
        </w:rPr>
        <w:t xml:space="preserve"> parked cars were present during the measurements to increase the scattering effects. A third car, denominated blocking vehicle, was located in 15 different positions (Position 1-15</w:t>
      </w:r>
      <w:r w:rsidR="00DE41A7" w:rsidRPr="00BE32BC">
        <w:rPr>
          <w:lang w:val="en-GB"/>
        </w:rPr>
        <w:t xml:space="preserve"> </w:t>
      </w:r>
      <w:r w:rsidR="00DE41A7">
        <w:rPr>
          <w:lang w:val="en-GB"/>
        </w:rPr>
        <w:t xml:space="preserve">as indicated in </w:t>
      </w:r>
      <w:r w:rsidR="00DE41A7">
        <w:rPr>
          <w:lang w:val="en-GB"/>
        </w:rPr>
        <w:fldChar w:fldCharType="begin"/>
      </w:r>
      <w:r w:rsidR="00DE41A7">
        <w:rPr>
          <w:lang w:val="en-GB"/>
        </w:rPr>
        <w:instrText xml:space="preserve"> REF _Ref505077076 \h </w:instrText>
      </w:r>
      <w:r w:rsidR="00DE41A7">
        <w:rPr>
          <w:lang w:val="en-GB"/>
        </w:rPr>
      </w:r>
      <w:r w:rsidR="00DE41A7">
        <w:rPr>
          <w:lang w:val="en-GB"/>
        </w:rPr>
        <w:fldChar w:fldCharType="separate"/>
      </w:r>
      <w:r w:rsidR="00BD0679">
        <w:t xml:space="preserve">Figure </w:t>
      </w:r>
      <w:r w:rsidR="00BD0679">
        <w:rPr>
          <w:noProof/>
        </w:rPr>
        <w:t>1</w:t>
      </w:r>
      <w:r w:rsidR="00DE41A7">
        <w:rPr>
          <w:lang w:val="en-GB"/>
        </w:rPr>
        <w:fldChar w:fldCharType="end"/>
      </w:r>
      <w:r w:rsidR="00DE41A7">
        <w:rPr>
          <w:lang w:val="en-GB"/>
        </w:rPr>
        <w:t xml:space="preserve">.) emulating an overtaking situation. </w:t>
      </w:r>
    </w:p>
    <w:p w:rsidR="00DE41A7" w:rsidRDefault="00DE41A7" w:rsidP="00DE41A7">
      <w:pPr>
        <w:rPr>
          <w:lang w:val="en-GB"/>
        </w:rPr>
      </w:pPr>
      <w:r>
        <w:rPr>
          <w:lang w:val="en-GB"/>
        </w:rPr>
        <w:t>The antennas were located at two possible heights, emulating two possible antenna locations at cars: 1)</w:t>
      </w:r>
      <w:r w:rsidRPr="00C81EA1">
        <w:rPr>
          <w:lang w:val="en-GB"/>
        </w:rPr>
        <w:t xml:space="preserve"> </w:t>
      </w:r>
      <w:r>
        <w:rPr>
          <w:lang w:val="en-GB"/>
        </w:rPr>
        <w:t>Rooftop level antennas</w:t>
      </w:r>
      <w:r w:rsidRPr="00642602">
        <w:t xml:space="preserve"> </w:t>
      </w:r>
      <w:r w:rsidRPr="00642602">
        <w:rPr>
          <w:lang w:val="en-GB"/>
        </w:rPr>
        <w:t>(1</w:t>
      </w:r>
      <w:r>
        <w:rPr>
          <w:lang w:val="en-GB"/>
        </w:rPr>
        <w:t>.</w:t>
      </w:r>
      <w:r w:rsidRPr="00642602">
        <w:rPr>
          <w:lang w:val="en-GB"/>
        </w:rPr>
        <w:t>55m for the 30 GHz and 60 GHz bands, and 1</w:t>
      </w:r>
      <w:r>
        <w:rPr>
          <w:lang w:val="en-GB"/>
        </w:rPr>
        <w:t>.</w:t>
      </w:r>
      <w:r w:rsidRPr="00642602">
        <w:rPr>
          <w:lang w:val="en-GB"/>
        </w:rPr>
        <w:t>66m for the 6</w:t>
      </w:r>
      <w:r>
        <w:rPr>
          <w:lang w:val="en-GB"/>
        </w:rPr>
        <w:t>.</w:t>
      </w:r>
      <w:r w:rsidRPr="00642602">
        <w:rPr>
          <w:lang w:val="en-GB"/>
        </w:rPr>
        <w:t>75 GHz band)</w:t>
      </w:r>
      <w:r>
        <w:rPr>
          <w:lang w:val="en-GB"/>
        </w:rPr>
        <w:t>; 2) Bumper level antennas (0.</w:t>
      </w:r>
      <w:r w:rsidRPr="00C81EA1">
        <w:rPr>
          <w:lang w:val="en-GB"/>
        </w:rPr>
        <w:t>75m for the 30 GHz and 60 GHz bands, a</w:t>
      </w:r>
      <w:r>
        <w:rPr>
          <w:lang w:val="en-GB"/>
        </w:rPr>
        <w:t xml:space="preserve">nd 0.86m for the 6.75 GHz band). </w:t>
      </w:r>
      <w:r w:rsidR="003E3232">
        <w:rPr>
          <w:lang w:val="en-GB"/>
        </w:rPr>
        <w:t xml:space="preserve">We focus on two </w:t>
      </w:r>
      <w:r>
        <w:rPr>
          <w:lang w:val="en-GB"/>
        </w:rPr>
        <w:t>following configurations</w:t>
      </w:r>
      <w:r w:rsidR="003E3232">
        <w:rPr>
          <w:lang w:val="en-GB"/>
        </w:rPr>
        <w:t xml:space="preserve">: </w:t>
      </w:r>
      <w:r>
        <w:rPr>
          <w:lang w:val="en-GB"/>
        </w:rPr>
        <w:t xml:space="preserve">C1 – Rooftop antennas and small blocker; </w:t>
      </w:r>
      <w:r w:rsidR="003E3232">
        <w:rPr>
          <w:lang w:val="en-GB"/>
        </w:rPr>
        <w:t>and</w:t>
      </w:r>
      <w:r>
        <w:rPr>
          <w:lang w:val="en-GB"/>
        </w:rPr>
        <w:t xml:space="preserve"> C3 – Bumper antennas and small blocker.</w:t>
      </w:r>
      <w:r w:rsidR="003E3232">
        <w:rPr>
          <w:lang w:val="en-GB"/>
        </w:rPr>
        <w:t xml:space="preserve"> Further details on the measurements are available in </w:t>
      </w:r>
      <w:r w:rsidR="003E3232">
        <w:rPr>
          <w:lang w:val="en-GB"/>
        </w:rPr>
        <w:fldChar w:fldCharType="begin"/>
      </w:r>
      <w:r w:rsidR="003E3232">
        <w:rPr>
          <w:lang w:val="en-GB"/>
        </w:rPr>
        <w:instrText xml:space="preserve"> REF _Ref505765225 \n \h </w:instrText>
      </w:r>
      <w:r w:rsidR="003E3232">
        <w:rPr>
          <w:lang w:val="en-GB"/>
        </w:rPr>
      </w:r>
      <w:r w:rsidR="003E3232">
        <w:rPr>
          <w:lang w:val="en-GB"/>
        </w:rPr>
        <w:fldChar w:fldCharType="separate"/>
      </w:r>
      <w:r w:rsidR="00BD0679">
        <w:rPr>
          <w:lang w:val="en-GB"/>
        </w:rPr>
        <w:t>[3]</w:t>
      </w:r>
      <w:r w:rsidR="003E3232">
        <w:rPr>
          <w:lang w:val="en-GB"/>
        </w:rPr>
        <w:fldChar w:fldCharType="end"/>
      </w:r>
      <w:r w:rsidR="003E3232">
        <w:rPr>
          <w:lang w:val="en-GB"/>
        </w:rPr>
        <w:t>.</w:t>
      </w:r>
    </w:p>
    <w:p w:rsidR="00DE41A7" w:rsidRDefault="00A75E11" w:rsidP="00DE41A7">
      <w:pPr>
        <w:jc w:val="cente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80.8pt;height:229.8pt;visibility:visible">
            <v:imagedata r:id="rId8" o:title=""/>
          </v:shape>
        </w:pict>
      </w:r>
    </w:p>
    <w:p w:rsidR="00DE41A7" w:rsidRDefault="00DE41A7" w:rsidP="00DE41A7">
      <w:pPr>
        <w:pStyle w:val="Caption"/>
      </w:pPr>
      <w:bookmarkStart w:id="3" w:name="_Ref505077076"/>
      <w:r>
        <w:t xml:space="preserve">Figure </w:t>
      </w:r>
      <w:r>
        <w:fldChar w:fldCharType="begin"/>
      </w:r>
      <w:r>
        <w:instrText xml:space="preserve"> SEQ Figure \* ARABIC </w:instrText>
      </w:r>
      <w:r>
        <w:fldChar w:fldCharType="separate"/>
      </w:r>
      <w:r w:rsidR="00BD0679">
        <w:rPr>
          <w:noProof/>
        </w:rPr>
        <w:t>1</w:t>
      </w:r>
      <w:r>
        <w:fldChar w:fldCharType="end"/>
      </w:r>
      <w:bookmarkEnd w:id="3"/>
      <w:r>
        <w:t>. Measur</w:t>
      </w:r>
      <w:r w:rsidR="003E3232">
        <w:t xml:space="preserve">ement scenario and set up of C1 and </w:t>
      </w:r>
      <w:r>
        <w:t>C3 in the campus of TU Ilmenau.</w:t>
      </w:r>
      <w:r w:rsidR="003E3232">
        <w:t xml:space="preserve"> Note that the only difference between C1 and C3 is the location of the antenna (C1 – antenna at roof height; C3 – antenna at bumper height).</w:t>
      </w:r>
    </w:p>
    <w:p w:rsidR="00DE41A7" w:rsidRPr="00E51FD6" w:rsidRDefault="00475EAF" w:rsidP="003E3232">
      <w:pPr>
        <w:pStyle w:val="Heading2"/>
        <w:rPr>
          <w:lang w:eastAsia="zh-CN"/>
        </w:rPr>
      </w:pPr>
      <w:r>
        <w:rPr>
          <w:lang w:eastAsia="zh-CN"/>
        </w:rPr>
        <w:t>Comparison of v</w:t>
      </w:r>
      <w:r w:rsidR="003E3232">
        <w:rPr>
          <w:lang w:eastAsia="zh-CN"/>
        </w:rPr>
        <w:t xml:space="preserve">ehicle blockage </w:t>
      </w:r>
      <w:r w:rsidR="00DE41A7" w:rsidRPr="00E51FD6">
        <w:rPr>
          <w:lang w:eastAsia="zh-CN"/>
        </w:rPr>
        <w:t xml:space="preserve">loss </w:t>
      </w:r>
      <w:r w:rsidR="003E3232">
        <w:rPr>
          <w:lang w:eastAsia="zh-CN"/>
        </w:rPr>
        <w:t>for different antenna positions</w:t>
      </w:r>
    </w:p>
    <w:p w:rsidR="00DE41A7" w:rsidRDefault="00DE41A7" w:rsidP="00DE41A7">
      <w:pPr>
        <w:rPr>
          <w:lang w:val="en-GB" w:eastAsia="zh-CN"/>
        </w:rPr>
      </w:pPr>
      <w:r w:rsidRPr="005455F4">
        <w:rPr>
          <w:lang w:val="en-GB" w:eastAsia="zh-CN"/>
        </w:rPr>
        <w:t xml:space="preserve">The received power for the different positions and measured bands with the synthetic omni-directional </w:t>
      </w:r>
      <w:r w:rsidR="0082166F">
        <w:rPr>
          <w:lang w:val="en-GB" w:eastAsia="zh-CN"/>
        </w:rPr>
        <w:t xml:space="preserve">antenna of scenarios C1 </w:t>
      </w:r>
      <w:r>
        <w:rPr>
          <w:lang w:val="en-GB" w:eastAsia="zh-CN"/>
        </w:rPr>
        <w:t>and C3</w:t>
      </w:r>
      <w:r w:rsidRPr="005455F4">
        <w:rPr>
          <w:lang w:val="en-GB" w:eastAsia="zh-CN"/>
        </w:rPr>
        <w:t xml:space="preserve"> are shown in</w:t>
      </w:r>
      <w:r>
        <w:rPr>
          <w:lang w:val="en-GB" w:eastAsia="zh-CN"/>
        </w:rPr>
        <w:t xml:space="preserve"> </w:t>
      </w:r>
      <w:r>
        <w:rPr>
          <w:lang w:val="en-GB" w:eastAsia="zh-CN"/>
        </w:rPr>
        <w:fldChar w:fldCharType="begin"/>
      </w:r>
      <w:r>
        <w:rPr>
          <w:lang w:val="en-GB" w:eastAsia="zh-CN"/>
        </w:rPr>
        <w:instrText xml:space="preserve"> REF _Ref501555932 \h </w:instrText>
      </w:r>
      <w:r>
        <w:rPr>
          <w:lang w:val="en-GB" w:eastAsia="zh-CN"/>
        </w:rPr>
      </w:r>
      <w:r>
        <w:rPr>
          <w:lang w:val="en-GB" w:eastAsia="zh-CN"/>
        </w:rPr>
        <w:fldChar w:fldCharType="separate"/>
      </w:r>
      <w:r w:rsidR="00BD0679">
        <w:t xml:space="preserve">Figure </w:t>
      </w:r>
      <w:r w:rsidR="00BD0679">
        <w:rPr>
          <w:noProof/>
        </w:rPr>
        <w:t>2</w:t>
      </w:r>
      <w:r>
        <w:rPr>
          <w:lang w:val="en-GB" w:eastAsia="zh-CN"/>
        </w:rPr>
        <w:fldChar w:fldCharType="end"/>
      </w:r>
      <w:r w:rsidR="00603CF8">
        <w:rPr>
          <w:lang w:val="en-GB" w:eastAsia="zh-CN"/>
        </w:rPr>
        <w:t xml:space="preserve"> </w:t>
      </w:r>
      <w:r>
        <w:rPr>
          <w:lang w:val="en-GB" w:eastAsia="zh-CN"/>
        </w:rPr>
        <w:t xml:space="preserve">and </w:t>
      </w:r>
      <w:r>
        <w:rPr>
          <w:lang w:val="en-GB" w:eastAsia="zh-CN"/>
        </w:rPr>
        <w:fldChar w:fldCharType="begin"/>
      </w:r>
      <w:r>
        <w:rPr>
          <w:lang w:val="en-GB" w:eastAsia="zh-CN"/>
        </w:rPr>
        <w:instrText xml:space="preserve"> REF _Ref501556044 \h </w:instrText>
      </w:r>
      <w:r>
        <w:rPr>
          <w:lang w:val="en-GB" w:eastAsia="zh-CN"/>
        </w:rPr>
      </w:r>
      <w:r>
        <w:rPr>
          <w:lang w:val="en-GB" w:eastAsia="zh-CN"/>
        </w:rPr>
        <w:fldChar w:fldCharType="separate"/>
      </w:r>
      <w:r w:rsidR="00BD0679">
        <w:t xml:space="preserve">Figure </w:t>
      </w:r>
      <w:r w:rsidR="00BD0679">
        <w:rPr>
          <w:noProof/>
        </w:rPr>
        <w:t>3</w:t>
      </w:r>
      <w:r>
        <w:rPr>
          <w:lang w:val="en-GB" w:eastAsia="zh-CN"/>
        </w:rPr>
        <w:fldChar w:fldCharType="end"/>
      </w:r>
      <w:r w:rsidRPr="005455F4">
        <w:rPr>
          <w:lang w:val="en-GB" w:eastAsia="zh-CN"/>
        </w:rPr>
        <w:t xml:space="preserve">. The received power is normalized to the </w:t>
      </w:r>
      <w:r>
        <w:rPr>
          <w:lang w:val="en-GB" w:eastAsia="zh-CN"/>
        </w:rPr>
        <w:t>LOS position</w:t>
      </w:r>
      <w:r w:rsidR="00AD60C6">
        <w:rPr>
          <w:lang w:val="en-GB" w:eastAsia="zh-CN"/>
        </w:rPr>
        <w:t xml:space="preserve">, </w:t>
      </w:r>
      <w:r>
        <w:rPr>
          <w:lang w:val="en-GB" w:eastAsia="zh-CN"/>
        </w:rPr>
        <w:t>i.e.</w:t>
      </w:r>
      <w:r w:rsidR="00AD60C6">
        <w:rPr>
          <w:lang w:val="en-GB" w:eastAsia="zh-CN"/>
        </w:rPr>
        <w:t>,</w:t>
      </w:r>
      <w:r>
        <w:rPr>
          <w:lang w:val="en-GB" w:eastAsia="zh-CN"/>
        </w:rPr>
        <w:t xml:space="preserve"> without the blocking vehicle but with the two parked cars</w:t>
      </w:r>
      <w:r w:rsidRPr="005455F4">
        <w:rPr>
          <w:lang w:val="en-GB" w:eastAsia="zh-CN"/>
        </w:rPr>
        <w:t>.</w:t>
      </w:r>
      <w:r>
        <w:rPr>
          <w:lang w:val="en-GB" w:eastAsia="zh-CN"/>
        </w:rPr>
        <w:t xml:space="preserve"> First, it can be observed that </w:t>
      </w:r>
      <w:r w:rsidRPr="001A6B54">
        <w:rPr>
          <w:b/>
          <w:lang w:val="en-GB" w:eastAsia="zh-CN"/>
        </w:rPr>
        <w:t>with rooftop antennas, in general, the higher the frequency, the higher the blockage loss</w:t>
      </w:r>
      <w:r>
        <w:rPr>
          <w:lang w:val="en-GB" w:eastAsia="zh-CN"/>
        </w:rPr>
        <w:t xml:space="preserve">. However, interestingly, </w:t>
      </w:r>
      <w:r w:rsidRPr="001A6B54">
        <w:rPr>
          <w:b/>
          <w:lang w:val="en-GB" w:eastAsia="zh-CN"/>
        </w:rPr>
        <w:t>with bumper antennas, a reverse trend is observed</w:t>
      </w:r>
      <w:r>
        <w:rPr>
          <w:lang w:val="en-GB" w:eastAsia="zh-CN"/>
        </w:rPr>
        <w:t>, i.e. 60 GHz has the lowest blockage loss. This may be explained by the ground reflection at 60 GHz that may well propagate below the blocking vehicle, when bumper antennas are used. When the blocking vehicle is in the middle of the Tx and Rx, the lowest blockage loss can be observed for all frequencies. Furthermore, at this specific position, 30 GHz and 60 GHz have lower blockage loss than 6.75 GHz. Especially with bumper antennas, 60 GHz has even no blockage loss at this position. Finally, the highest blockage losses at all frequencies are observed at positions where the blocking vehicle is closest either to the Tx or the Rx.</w:t>
      </w:r>
    </w:p>
    <w:p w:rsidR="00AD60C6" w:rsidRPr="005455F4" w:rsidRDefault="00AD60C6" w:rsidP="00DE41A7">
      <w:pPr>
        <w:rPr>
          <w:lang w:val="en-GB" w:eastAsia="zh-CN"/>
        </w:rPr>
      </w:pPr>
    </w:p>
    <w:p w:rsidR="00DE41A7" w:rsidRDefault="003365CF" w:rsidP="00DE41A7">
      <w:pPr>
        <w:jc w:val="center"/>
      </w:pPr>
      <w:r>
        <w:rPr>
          <w:noProof/>
        </w:rPr>
        <w:pict>
          <v:shape id="_x0000_i1026" type="#_x0000_t75" style="width:300.6pt;height:162.6pt;visibility:visible">
            <v:imagedata r:id="rId9" o:title=""/>
          </v:shape>
        </w:pict>
      </w:r>
    </w:p>
    <w:p w:rsidR="00DE41A7" w:rsidRDefault="00DE41A7" w:rsidP="00DE41A7">
      <w:pPr>
        <w:pStyle w:val="Caption"/>
      </w:pPr>
      <w:bookmarkStart w:id="4" w:name="_Ref501555932"/>
      <w:r>
        <w:t xml:space="preserve">Figure </w:t>
      </w:r>
      <w:r>
        <w:fldChar w:fldCharType="begin"/>
      </w:r>
      <w:r>
        <w:instrText xml:space="preserve"> SEQ Figure \* ARABIC </w:instrText>
      </w:r>
      <w:r>
        <w:fldChar w:fldCharType="separate"/>
      </w:r>
      <w:r w:rsidR="00BD0679">
        <w:rPr>
          <w:noProof/>
        </w:rPr>
        <w:t>2</w:t>
      </w:r>
      <w:r>
        <w:fldChar w:fldCharType="end"/>
      </w:r>
      <w:bookmarkEnd w:id="4"/>
      <w:r>
        <w:t>. Received power in the different Positions in scenario C1, at 6.75, 30 and 60 GHz.</w:t>
      </w:r>
    </w:p>
    <w:p w:rsidR="00DE41A7" w:rsidRDefault="00DE41A7" w:rsidP="00DE41A7"/>
    <w:p w:rsidR="00DE41A7" w:rsidRDefault="003365CF" w:rsidP="00DE41A7">
      <w:pPr>
        <w:jc w:val="center"/>
      </w:pPr>
      <w:r>
        <w:rPr>
          <w:noProof/>
        </w:rPr>
        <w:lastRenderedPageBreak/>
        <w:pict>
          <v:shape id="_x0000_i1027" type="#_x0000_t75" style="width:300.6pt;height:165pt;visibility:visible">
            <v:imagedata r:id="rId10" o:title=""/>
          </v:shape>
        </w:pict>
      </w:r>
    </w:p>
    <w:p w:rsidR="00DE41A7" w:rsidRDefault="00DE41A7" w:rsidP="00DE41A7">
      <w:pPr>
        <w:pStyle w:val="Caption"/>
      </w:pPr>
      <w:bookmarkStart w:id="5" w:name="_Ref501556044"/>
      <w:r>
        <w:t xml:space="preserve">Figure </w:t>
      </w:r>
      <w:r>
        <w:fldChar w:fldCharType="begin"/>
      </w:r>
      <w:r>
        <w:instrText xml:space="preserve"> SEQ Figure \* ARABIC </w:instrText>
      </w:r>
      <w:r>
        <w:fldChar w:fldCharType="separate"/>
      </w:r>
      <w:r w:rsidR="00BD0679">
        <w:rPr>
          <w:noProof/>
        </w:rPr>
        <w:t>3</w:t>
      </w:r>
      <w:r>
        <w:fldChar w:fldCharType="end"/>
      </w:r>
      <w:bookmarkEnd w:id="5"/>
      <w:r>
        <w:t>. Received power in the different Positions in scenario C3, at 6.75, 30 and 60 GHz.</w:t>
      </w:r>
    </w:p>
    <w:p w:rsidR="00DE41A7" w:rsidRDefault="00DE41A7" w:rsidP="00DE41A7">
      <w:pPr>
        <w:rPr>
          <w:b/>
          <w:lang w:val="en-GB" w:eastAsia="zh-CN"/>
        </w:rPr>
      </w:pPr>
      <w:r>
        <w:rPr>
          <w:lang w:val="en-GB" w:eastAsia="zh-CN"/>
        </w:rPr>
        <w:fldChar w:fldCharType="begin"/>
      </w:r>
      <w:r>
        <w:rPr>
          <w:lang w:val="en-GB" w:eastAsia="zh-CN"/>
        </w:rPr>
        <w:instrText xml:space="preserve"> REF _Ref505610348 \h </w:instrText>
      </w:r>
      <w:r>
        <w:rPr>
          <w:lang w:val="en-GB" w:eastAsia="zh-CN"/>
        </w:rPr>
      </w:r>
      <w:r>
        <w:rPr>
          <w:lang w:val="en-GB" w:eastAsia="zh-CN"/>
        </w:rPr>
        <w:fldChar w:fldCharType="separate"/>
      </w:r>
      <w:r w:rsidR="00BD0679">
        <w:t xml:space="preserve">Table </w:t>
      </w:r>
      <w:r w:rsidR="00BD0679">
        <w:rPr>
          <w:noProof/>
        </w:rPr>
        <w:t>1</w:t>
      </w:r>
      <w:r>
        <w:rPr>
          <w:lang w:val="en-GB" w:eastAsia="zh-CN"/>
        </w:rPr>
        <w:fldChar w:fldCharType="end"/>
      </w:r>
      <w:r>
        <w:rPr>
          <w:lang w:val="en-GB" w:eastAsia="zh-CN"/>
        </w:rPr>
        <w:t xml:space="preserve">, </w:t>
      </w:r>
      <w:r>
        <w:rPr>
          <w:lang w:val="en-GB" w:eastAsia="zh-CN"/>
        </w:rPr>
        <w:fldChar w:fldCharType="begin"/>
      </w:r>
      <w:r>
        <w:rPr>
          <w:lang w:val="en-GB" w:eastAsia="zh-CN"/>
        </w:rPr>
        <w:instrText xml:space="preserve"> REF _Ref505610376 \h </w:instrText>
      </w:r>
      <w:r>
        <w:rPr>
          <w:lang w:val="en-GB" w:eastAsia="zh-CN"/>
        </w:rPr>
      </w:r>
      <w:r>
        <w:rPr>
          <w:lang w:val="en-GB" w:eastAsia="zh-CN"/>
        </w:rPr>
        <w:fldChar w:fldCharType="separate"/>
      </w:r>
      <w:r w:rsidR="00BD0679">
        <w:t xml:space="preserve">Table </w:t>
      </w:r>
      <w:r w:rsidR="00BD0679">
        <w:rPr>
          <w:noProof/>
        </w:rPr>
        <w:t>2</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_Ref505610383 \h </w:instrText>
      </w:r>
      <w:r>
        <w:rPr>
          <w:lang w:val="en-GB" w:eastAsia="zh-CN"/>
        </w:rPr>
      </w:r>
      <w:r>
        <w:rPr>
          <w:lang w:val="en-GB" w:eastAsia="zh-CN"/>
        </w:rPr>
        <w:fldChar w:fldCharType="separate"/>
      </w:r>
      <w:r w:rsidR="00BD0679">
        <w:t xml:space="preserve">Table </w:t>
      </w:r>
      <w:r w:rsidR="00BD0679">
        <w:rPr>
          <w:noProof/>
        </w:rPr>
        <w:t>3</w:t>
      </w:r>
      <w:r>
        <w:rPr>
          <w:lang w:val="en-GB" w:eastAsia="zh-CN"/>
        </w:rPr>
        <w:fldChar w:fldCharType="end"/>
      </w:r>
      <w:r>
        <w:rPr>
          <w:lang w:val="en-GB" w:eastAsia="zh-CN"/>
        </w:rPr>
        <w:t xml:space="preserve"> summarize the maximum-, minimum- and the mean blockage loss of different frequencies, blocking vehicle sizes and different antenna positions, respectively.</w:t>
      </w:r>
      <w:r w:rsidR="001A6B54">
        <w:rPr>
          <w:lang w:val="en-GB" w:eastAsia="zh-CN"/>
        </w:rPr>
        <w:t xml:space="preserve"> Again, considerably different patterns can be observed for rooftop and bumper antennas: i) for </w:t>
      </w:r>
      <w:r w:rsidR="001A6B54" w:rsidRPr="001A6B54">
        <w:rPr>
          <w:lang w:val="en-GB" w:eastAsia="zh-CN"/>
        </w:rPr>
        <w:t xml:space="preserve">rooftop antenna, </w:t>
      </w:r>
      <w:r w:rsidR="001A6B54" w:rsidRPr="001A6B54">
        <w:rPr>
          <w:b/>
          <w:lang w:val="en-GB" w:eastAsia="zh-CN"/>
        </w:rPr>
        <w:t xml:space="preserve">maximum blockage loss increases </w:t>
      </w:r>
      <w:r w:rsidR="001A6B54" w:rsidRPr="001A6B54">
        <w:rPr>
          <w:lang w:val="en-GB" w:eastAsia="zh-CN"/>
        </w:rPr>
        <w:t>with frequency</w:t>
      </w:r>
      <w:r w:rsidR="001A6B54">
        <w:rPr>
          <w:lang w:val="en-GB" w:eastAsia="zh-CN"/>
        </w:rPr>
        <w:t xml:space="preserve">; for bumper antenna, </w:t>
      </w:r>
      <w:r w:rsidR="001A6B54" w:rsidRPr="001A6B54">
        <w:rPr>
          <w:b/>
          <w:lang w:val="en-GB" w:eastAsia="zh-CN"/>
        </w:rPr>
        <w:t xml:space="preserve">maximum blockage loss decreases </w:t>
      </w:r>
      <w:r w:rsidR="001A6B54">
        <w:rPr>
          <w:lang w:val="en-GB" w:eastAsia="zh-CN"/>
        </w:rPr>
        <w:t xml:space="preserve">with frequency; ii) </w:t>
      </w:r>
      <w:r w:rsidR="00C070E4">
        <w:rPr>
          <w:lang w:val="en-GB" w:eastAsia="zh-CN"/>
        </w:rPr>
        <w:t xml:space="preserve">for </w:t>
      </w:r>
      <w:r w:rsidR="00C070E4" w:rsidRPr="001A6B54">
        <w:rPr>
          <w:lang w:val="en-GB" w:eastAsia="zh-CN"/>
        </w:rPr>
        <w:t xml:space="preserve">rooftop antenna, </w:t>
      </w:r>
      <w:r w:rsidR="00C070E4" w:rsidRPr="00C070E4">
        <w:rPr>
          <w:b/>
          <w:lang w:val="en-GB" w:eastAsia="zh-CN"/>
        </w:rPr>
        <w:t>minimum blockage loss is</w:t>
      </w:r>
      <w:r w:rsidR="00C070E4">
        <w:rPr>
          <w:lang w:val="en-GB" w:eastAsia="zh-CN"/>
        </w:rPr>
        <w:t xml:space="preserve"> more or less </w:t>
      </w:r>
      <w:r w:rsidR="00C070E4" w:rsidRPr="00C070E4">
        <w:rPr>
          <w:b/>
          <w:lang w:val="en-GB" w:eastAsia="zh-CN"/>
        </w:rPr>
        <w:t>constant</w:t>
      </w:r>
      <w:r w:rsidR="00C070E4">
        <w:rPr>
          <w:lang w:val="en-GB" w:eastAsia="zh-CN"/>
        </w:rPr>
        <w:t xml:space="preserve">, whereas for bumper antenna, </w:t>
      </w:r>
      <w:r w:rsidR="00C070E4" w:rsidRPr="00C070E4">
        <w:rPr>
          <w:b/>
          <w:lang w:val="en-GB" w:eastAsia="zh-CN"/>
        </w:rPr>
        <w:t>minimum loss decreases considerably</w:t>
      </w:r>
      <w:r w:rsidR="00C070E4">
        <w:rPr>
          <w:lang w:val="en-GB" w:eastAsia="zh-CN"/>
        </w:rPr>
        <w:t xml:space="preserve"> with frequency; iii) for </w:t>
      </w:r>
      <w:r w:rsidR="00C070E4" w:rsidRPr="001A6B54">
        <w:rPr>
          <w:lang w:val="en-GB" w:eastAsia="zh-CN"/>
        </w:rPr>
        <w:t>rooftop antenna</w:t>
      </w:r>
      <w:r w:rsidR="00C070E4">
        <w:rPr>
          <w:lang w:val="en-GB" w:eastAsia="zh-CN"/>
        </w:rPr>
        <w:t xml:space="preserve">, </w:t>
      </w:r>
      <w:r w:rsidR="00C070E4" w:rsidRPr="00C070E4">
        <w:rPr>
          <w:b/>
          <w:lang w:val="en-GB" w:eastAsia="zh-CN"/>
        </w:rPr>
        <w:t>mean blockage loss increases</w:t>
      </w:r>
      <w:r w:rsidR="00C070E4">
        <w:rPr>
          <w:lang w:val="en-GB" w:eastAsia="zh-CN"/>
        </w:rPr>
        <w:t xml:space="preserve">, whereas for bumper antenna </w:t>
      </w:r>
      <w:r w:rsidR="00C070E4" w:rsidRPr="00C070E4">
        <w:rPr>
          <w:b/>
          <w:lang w:val="en-GB" w:eastAsia="zh-CN"/>
        </w:rPr>
        <w:t>mean blockage loss reduces with frequency</w:t>
      </w:r>
      <w:r w:rsidR="00C070E4">
        <w:rPr>
          <w:b/>
          <w:lang w:val="en-GB" w:eastAsia="zh-CN"/>
        </w:rPr>
        <w:t>.</w:t>
      </w:r>
    </w:p>
    <w:p w:rsidR="00C070E4" w:rsidRDefault="00C070E4" w:rsidP="00DE41A7">
      <w:pPr>
        <w:rPr>
          <w:b/>
          <w:lang w:val="en-GB" w:eastAsia="zh-CN"/>
        </w:rPr>
      </w:pPr>
    </w:p>
    <w:p w:rsidR="00C070E4" w:rsidRPr="005742C8" w:rsidRDefault="00C070E4" w:rsidP="00C070E4">
      <w:pPr>
        <w:rPr>
          <w:b/>
          <w:kern w:val="2"/>
          <w:lang w:val="en-GB" w:eastAsia="zh-CN"/>
        </w:rPr>
      </w:pPr>
      <w:r>
        <w:rPr>
          <w:b/>
          <w:kern w:val="2"/>
          <w:lang w:val="en-GB" w:eastAsia="zh-CN"/>
        </w:rPr>
        <w:t xml:space="preserve">Observation </w:t>
      </w:r>
      <w:r w:rsidRPr="005742C8">
        <w:rPr>
          <w:b/>
          <w:kern w:val="2"/>
          <w:lang w:val="en-GB" w:eastAsia="zh-CN"/>
        </w:rPr>
        <w:t xml:space="preserve">1: </w:t>
      </w:r>
      <w:r>
        <w:rPr>
          <w:b/>
          <w:kern w:val="2"/>
          <w:lang w:val="en-GB" w:eastAsia="zh-CN"/>
        </w:rPr>
        <w:t xml:space="preserve">Even when the scenario is exactly the same, </w:t>
      </w:r>
      <w:r w:rsidR="009D3378">
        <w:rPr>
          <w:b/>
          <w:kern w:val="2"/>
          <w:lang w:val="en-GB" w:eastAsia="zh-CN"/>
        </w:rPr>
        <w:t xml:space="preserve">antennas mounted at different locations on the vehicle </w:t>
      </w:r>
      <w:r>
        <w:rPr>
          <w:b/>
          <w:kern w:val="2"/>
          <w:lang w:val="en-GB" w:eastAsia="zh-CN"/>
        </w:rPr>
        <w:t>exhibit considerably different blockage loss.</w:t>
      </w:r>
      <w:r w:rsidRPr="003C5769">
        <w:rPr>
          <w:b/>
          <w:kern w:val="2"/>
          <w:lang w:val="en-GB" w:eastAsia="zh-CN"/>
        </w:rPr>
        <w:t xml:space="preserve"> </w:t>
      </w:r>
    </w:p>
    <w:p w:rsidR="00C070E4" w:rsidRDefault="00C070E4" w:rsidP="00DE41A7">
      <w:pPr>
        <w:rPr>
          <w:lang w:val="en-GB" w:eastAsia="zh-CN"/>
        </w:rPr>
      </w:pPr>
    </w:p>
    <w:p w:rsidR="00DE41A7" w:rsidRDefault="00DE41A7" w:rsidP="00DE41A7">
      <w:pPr>
        <w:pStyle w:val="Caption"/>
      </w:pPr>
      <w:bookmarkStart w:id="6" w:name="_Ref505610348"/>
      <w:r>
        <w:t xml:space="preserve">Table </w:t>
      </w:r>
      <w:r>
        <w:fldChar w:fldCharType="begin"/>
      </w:r>
      <w:r>
        <w:instrText xml:space="preserve"> SEQ Table \* ARABIC </w:instrText>
      </w:r>
      <w:r>
        <w:fldChar w:fldCharType="separate"/>
      </w:r>
      <w:r w:rsidR="00BD0679">
        <w:rPr>
          <w:noProof/>
        </w:rPr>
        <w:t>1</w:t>
      </w:r>
      <w:r>
        <w:fldChar w:fldCharType="end"/>
      </w:r>
      <w:bookmarkEnd w:id="6"/>
      <w:r>
        <w:t>. Maximum blockage loss under different conditions and at different frequencies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2383"/>
        <w:gridCol w:w="2383"/>
        <w:gridCol w:w="2384"/>
      </w:tblGrid>
      <w:tr w:rsidR="00DE41A7" w:rsidRPr="00827E96" w:rsidTr="00594EC4">
        <w:tc>
          <w:tcPr>
            <w:tcW w:w="2383" w:type="dxa"/>
            <w:shd w:val="clear" w:color="auto" w:fill="auto"/>
          </w:tcPr>
          <w:p w:rsidR="00DE41A7" w:rsidRPr="00827E96" w:rsidRDefault="00DE41A7" w:rsidP="00594EC4">
            <w:pPr>
              <w:rPr>
                <w:lang w:val="en-GB" w:eastAsia="zh-CN"/>
              </w:rPr>
            </w:pPr>
          </w:p>
        </w:tc>
        <w:tc>
          <w:tcPr>
            <w:tcW w:w="2383" w:type="dxa"/>
            <w:shd w:val="clear" w:color="auto" w:fill="auto"/>
          </w:tcPr>
          <w:p w:rsidR="00DE41A7" w:rsidRPr="00827E96" w:rsidRDefault="00DE41A7" w:rsidP="00594EC4">
            <w:pPr>
              <w:rPr>
                <w:lang w:val="en-GB" w:eastAsia="zh-CN"/>
              </w:rPr>
            </w:pPr>
            <w:r w:rsidRPr="00827E96">
              <w:rPr>
                <w:lang w:val="en-GB" w:eastAsia="zh-CN"/>
              </w:rPr>
              <w:t>6.75 GHz</w:t>
            </w:r>
          </w:p>
        </w:tc>
        <w:tc>
          <w:tcPr>
            <w:tcW w:w="2383" w:type="dxa"/>
            <w:shd w:val="clear" w:color="auto" w:fill="auto"/>
          </w:tcPr>
          <w:p w:rsidR="00DE41A7" w:rsidRPr="00827E96" w:rsidRDefault="00DE41A7" w:rsidP="00594EC4">
            <w:pPr>
              <w:rPr>
                <w:lang w:val="en-GB" w:eastAsia="zh-CN"/>
              </w:rPr>
            </w:pPr>
            <w:r w:rsidRPr="00827E96">
              <w:rPr>
                <w:lang w:val="en-GB" w:eastAsia="zh-CN"/>
              </w:rPr>
              <w:t>30 GHz</w:t>
            </w:r>
          </w:p>
        </w:tc>
        <w:tc>
          <w:tcPr>
            <w:tcW w:w="2384" w:type="dxa"/>
            <w:shd w:val="clear" w:color="auto" w:fill="auto"/>
          </w:tcPr>
          <w:p w:rsidR="00DE41A7" w:rsidRPr="00827E96" w:rsidRDefault="00DE41A7" w:rsidP="00594EC4">
            <w:pPr>
              <w:rPr>
                <w:lang w:val="en-GB" w:eastAsia="zh-CN"/>
              </w:rPr>
            </w:pPr>
            <w:r w:rsidRPr="00827E96">
              <w:rPr>
                <w:lang w:val="en-GB" w:eastAsia="zh-CN"/>
              </w:rPr>
              <w:t>60 GHz</w:t>
            </w:r>
          </w:p>
        </w:tc>
      </w:tr>
      <w:tr w:rsidR="00DE41A7" w:rsidRPr="00827E96" w:rsidTr="00594EC4">
        <w:tc>
          <w:tcPr>
            <w:tcW w:w="2383" w:type="dxa"/>
            <w:shd w:val="clear" w:color="auto" w:fill="auto"/>
          </w:tcPr>
          <w:p w:rsidR="00DE41A7" w:rsidRPr="00827E96" w:rsidRDefault="00DE41A7" w:rsidP="00594EC4">
            <w:pPr>
              <w:rPr>
                <w:lang w:val="en-GB" w:eastAsia="zh-CN"/>
              </w:rPr>
            </w:pPr>
            <w:r>
              <w:rPr>
                <w:lang w:val="en-GB" w:eastAsia="zh-CN"/>
              </w:rPr>
              <w:t xml:space="preserve">C1: </w:t>
            </w:r>
            <w:r w:rsidRPr="00827E96">
              <w:rPr>
                <w:lang w:val="en-GB" w:eastAsia="zh-CN"/>
              </w:rPr>
              <w:t>Rooftop; Small blocker</w:t>
            </w:r>
          </w:p>
        </w:tc>
        <w:tc>
          <w:tcPr>
            <w:tcW w:w="2383" w:type="dxa"/>
            <w:shd w:val="clear" w:color="auto" w:fill="auto"/>
            <w:vAlign w:val="bottom"/>
          </w:tcPr>
          <w:p w:rsidR="00DE41A7" w:rsidRPr="00827E96" w:rsidRDefault="00DE41A7" w:rsidP="00594EC4">
            <w:pPr>
              <w:rPr>
                <w:kern w:val="2"/>
                <w:lang w:val="en-GB" w:eastAsia="zh-CN"/>
              </w:rPr>
            </w:pPr>
            <w:r>
              <w:t>7.69</w:t>
            </w:r>
          </w:p>
        </w:tc>
        <w:tc>
          <w:tcPr>
            <w:tcW w:w="2383" w:type="dxa"/>
            <w:shd w:val="clear" w:color="auto" w:fill="auto"/>
            <w:vAlign w:val="bottom"/>
          </w:tcPr>
          <w:p w:rsidR="00DE41A7" w:rsidRPr="00827E96" w:rsidRDefault="00DE41A7" w:rsidP="00594EC4">
            <w:pPr>
              <w:rPr>
                <w:kern w:val="2"/>
                <w:lang w:val="en-GB" w:eastAsia="zh-CN"/>
              </w:rPr>
            </w:pPr>
            <w:r>
              <w:t>9.56</w:t>
            </w:r>
          </w:p>
        </w:tc>
        <w:tc>
          <w:tcPr>
            <w:tcW w:w="2384" w:type="dxa"/>
            <w:shd w:val="clear" w:color="auto" w:fill="auto"/>
            <w:vAlign w:val="bottom"/>
          </w:tcPr>
          <w:p w:rsidR="00DE41A7" w:rsidRPr="00827E96" w:rsidRDefault="00DE41A7" w:rsidP="00594EC4">
            <w:pPr>
              <w:rPr>
                <w:kern w:val="2"/>
                <w:lang w:val="en-GB" w:eastAsia="zh-CN"/>
              </w:rPr>
            </w:pPr>
            <w:r>
              <w:t>10.72</w:t>
            </w:r>
          </w:p>
        </w:tc>
      </w:tr>
      <w:tr w:rsidR="00DE41A7" w:rsidRPr="00827E96" w:rsidTr="00594EC4">
        <w:tc>
          <w:tcPr>
            <w:tcW w:w="2383" w:type="dxa"/>
            <w:shd w:val="clear" w:color="auto" w:fill="auto"/>
          </w:tcPr>
          <w:p w:rsidR="00DE41A7" w:rsidRPr="00827E96" w:rsidRDefault="00DE41A7" w:rsidP="00594EC4">
            <w:pPr>
              <w:rPr>
                <w:lang w:val="en-GB" w:eastAsia="zh-CN"/>
              </w:rPr>
            </w:pPr>
            <w:r>
              <w:rPr>
                <w:lang w:val="en-GB" w:eastAsia="zh-CN"/>
              </w:rPr>
              <w:t xml:space="preserve">C3: </w:t>
            </w:r>
            <w:r w:rsidRPr="00827E96">
              <w:rPr>
                <w:lang w:val="en-GB" w:eastAsia="zh-CN"/>
              </w:rPr>
              <w:t>Bumper; Small blocker</w:t>
            </w:r>
          </w:p>
        </w:tc>
        <w:tc>
          <w:tcPr>
            <w:tcW w:w="2383" w:type="dxa"/>
            <w:shd w:val="clear" w:color="auto" w:fill="auto"/>
            <w:vAlign w:val="bottom"/>
          </w:tcPr>
          <w:p w:rsidR="00DE41A7" w:rsidRPr="00827E96" w:rsidRDefault="00DE41A7" w:rsidP="00594EC4">
            <w:pPr>
              <w:rPr>
                <w:kern w:val="2"/>
                <w:lang w:val="en-GB" w:eastAsia="zh-CN"/>
              </w:rPr>
            </w:pPr>
            <w:r>
              <w:t>15.78</w:t>
            </w:r>
          </w:p>
        </w:tc>
        <w:tc>
          <w:tcPr>
            <w:tcW w:w="2383" w:type="dxa"/>
            <w:shd w:val="clear" w:color="auto" w:fill="auto"/>
            <w:vAlign w:val="bottom"/>
          </w:tcPr>
          <w:p w:rsidR="00DE41A7" w:rsidRPr="00827E96" w:rsidRDefault="00DE41A7" w:rsidP="00594EC4">
            <w:pPr>
              <w:rPr>
                <w:kern w:val="2"/>
                <w:lang w:val="en-GB" w:eastAsia="zh-CN"/>
              </w:rPr>
            </w:pPr>
            <w:r>
              <w:t>15.64</w:t>
            </w:r>
          </w:p>
        </w:tc>
        <w:tc>
          <w:tcPr>
            <w:tcW w:w="2384" w:type="dxa"/>
            <w:shd w:val="clear" w:color="auto" w:fill="auto"/>
            <w:vAlign w:val="bottom"/>
          </w:tcPr>
          <w:p w:rsidR="00DE41A7" w:rsidRPr="00827E96" w:rsidRDefault="00DE41A7" w:rsidP="00594EC4">
            <w:pPr>
              <w:rPr>
                <w:kern w:val="2"/>
                <w:lang w:val="en-GB" w:eastAsia="zh-CN"/>
              </w:rPr>
            </w:pPr>
            <w:r>
              <w:t>15.20</w:t>
            </w:r>
          </w:p>
        </w:tc>
      </w:tr>
    </w:tbl>
    <w:p w:rsidR="00DE41A7" w:rsidRDefault="00DE41A7" w:rsidP="00DE41A7">
      <w:pPr>
        <w:pStyle w:val="Caption"/>
      </w:pPr>
    </w:p>
    <w:p w:rsidR="00DE41A7" w:rsidRDefault="00DE41A7" w:rsidP="00DE41A7">
      <w:pPr>
        <w:pStyle w:val="Caption"/>
      </w:pPr>
      <w:bookmarkStart w:id="7" w:name="_Ref505610376"/>
      <w:r>
        <w:t xml:space="preserve">Table </w:t>
      </w:r>
      <w:r>
        <w:fldChar w:fldCharType="begin"/>
      </w:r>
      <w:r>
        <w:instrText xml:space="preserve"> SEQ Table \* ARABIC </w:instrText>
      </w:r>
      <w:r>
        <w:fldChar w:fldCharType="separate"/>
      </w:r>
      <w:r w:rsidR="00BD0679">
        <w:rPr>
          <w:noProof/>
        </w:rPr>
        <w:t>2</w:t>
      </w:r>
      <w:r>
        <w:fldChar w:fldCharType="end"/>
      </w:r>
      <w:bookmarkEnd w:id="7"/>
      <w:r>
        <w:t>. Minimum blockage loss under different conditions and at different frequencies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2383"/>
        <w:gridCol w:w="2383"/>
        <w:gridCol w:w="2384"/>
      </w:tblGrid>
      <w:tr w:rsidR="00DE41A7" w:rsidRPr="00827E96" w:rsidTr="00594EC4">
        <w:tc>
          <w:tcPr>
            <w:tcW w:w="2383" w:type="dxa"/>
            <w:shd w:val="clear" w:color="auto" w:fill="auto"/>
          </w:tcPr>
          <w:p w:rsidR="00DE41A7" w:rsidRPr="00827E96" w:rsidRDefault="00DE41A7" w:rsidP="00594EC4">
            <w:pPr>
              <w:rPr>
                <w:lang w:val="en-GB" w:eastAsia="zh-CN"/>
              </w:rPr>
            </w:pPr>
          </w:p>
        </w:tc>
        <w:tc>
          <w:tcPr>
            <w:tcW w:w="2383" w:type="dxa"/>
            <w:shd w:val="clear" w:color="auto" w:fill="auto"/>
          </w:tcPr>
          <w:p w:rsidR="00DE41A7" w:rsidRPr="00827E96" w:rsidRDefault="00DE41A7" w:rsidP="00594EC4">
            <w:pPr>
              <w:rPr>
                <w:lang w:val="en-GB" w:eastAsia="zh-CN"/>
              </w:rPr>
            </w:pPr>
            <w:r w:rsidRPr="00827E96">
              <w:rPr>
                <w:lang w:val="en-GB" w:eastAsia="zh-CN"/>
              </w:rPr>
              <w:t>6.75 GHz</w:t>
            </w:r>
          </w:p>
        </w:tc>
        <w:tc>
          <w:tcPr>
            <w:tcW w:w="2383" w:type="dxa"/>
            <w:shd w:val="clear" w:color="auto" w:fill="auto"/>
          </w:tcPr>
          <w:p w:rsidR="00DE41A7" w:rsidRPr="00827E96" w:rsidRDefault="00DE41A7" w:rsidP="00594EC4">
            <w:pPr>
              <w:rPr>
                <w:lang w:val="en-GB" w:eastAsia="zh-CN"/>
              </w:rPr>
            </w:pPr>
            <w:r w:rsidRPr="00827E96">
              <w:rPr>
                <w:lang w:val="en-GB" w:eastAsia="zh-CN"/>
              </w:rPr>
              <w:t>30 GHz</w:t>
            </w:r>
          </w:p>
        </w:tc>
        <w:tc>
          <w:tcPr>
            <w:tcW w:w="2384" w:type="dxa"/>
            <w:shd w:val="clear" w:color="auto" w:fill="auto"/>
          </w:tcPr>
          <w:p w:rsidR="00DE41A7" w:rsidRPr="00827E96" w:rsidRDefault="00DE41A7" w:rsidP="00594EC4">
            <w:pPr>
              <w:rPr>
                <w:lang w:val="en-GB" w:eastAsia="zh-CN"/>
              </w:rPr>
            </w:pPr>
            <w:r w:rsidRPr="00827E96">
              <w:rPr>
                <w:lang w:val="en-GB" w:eastAsia="zh-CN"/>
              </w:rPr>
              <w:t>60 GHz</w:t>
            </w:r>
          </w:p>
        </w:tc>
      </w:tr>
      <w:tr w:rsidR="00DE41A7" w:rsidRPr="00827E96" w:rsidTr="00594EC4">
        <w:tc>
          <w:tcPr>
            <w:tcW w:w="2383" w:type="dxa"/>
            <w:shd w:val="clear" w:color="auto" w:fill="auto"/>
          </w:tcPr>
          <w:p w:rsidR="00DE41A7" w:rsidRPr="00827E96" w:rsidRDefault="00DE41A7" w:rsidP="00594EC4">
            <w:pPr>
              <w:rPr>
                <w:lang w:val="en-GB" w:eastAsia="zh-CN"/>
              </w:rPr>
            </w:pPr>
            <w:r>
              <w:rPr>
                <w:lang w:val="en-GB" w:eastAsia="zh-CN"/>
              </w:rPr>
              <w:t xml:space="preserve">C1: </w:t>
            </w:r>
            <w:r w:rsidRPr="00827E96">
              <w:rPr>
                <w:lang w:val="en-GB" w:eastAsia="zh-CN"/>
              </w:rPr>
              <w:t>Rooftop; Small blocker</w:t>
            </w:r>
          </w:p>
        </w:tc>
        <w:tc>
          <w:tcPr>
            <w:tcW w:w="2383" w:type="dxa"/>
            <w:shd w:val="clear" w:color="auto" w:fill="auto"/>
            <w:vAlign w:val="bottom"/>
          </w:tcPr>
          <w:p w:rsidR="00DE41A7" w:rsidRPr="00827E96" w:rsidRDefault="00DE41A7" w:rsidP="00594EC4">
            <w:pPr>
              <w:rPr>
                <w:kern w:val="2"/>
                <w:lang w:val="en-GB" w:eastAsia="zh-CN"/>
              </w:rPr>
            </w:pPr>
            <w:r>
              <w:t>4.34</w:t>
            </w:r>
          </w:p>
        </w:tc>
        <w:tc>
          <w:tcPr>
            <w:tcW w:w="2383" w:type="dxa"/>
            <w:shd w:val="clear" w:color="auto" w:fill="auto"/>
            <w:vAlign w:val="bottom"/>
          </w:tcPr>
          <w:p w:rsidR="00DE41A7" w:rsidRPr="00827E96" w:rsidRDefault="00DE41A7" w:rsidP="00594EC4">
            <w:pPr>
              <w:rPr>
                <w:kern w:val="2"/>
                <w:lang w:val="en-GB" w:eastAsia="zh-CN"/>
              </w:rPr>
            </w:pPr>
            <w:r>
              <w:t>4.09</w:t>
            </w:r>
          </w:p>
        </w:tc>
        <w:tc>
          <w:tcPr>
            <w:tcW w:w="2384" w:type="dxa"/>
            <w:shd w:val="clear" w:color="auto" w:fill="auto"/>
            <w:vAlign w:val="bottom"/>
          </w:tcPr>
          <w:p w:rsidR="00DE41A7" w:rsidRPr="00827E96" w:rsidRDefault="00DE41A7" w:rsidP="00594EC4">
            <w:pPr>
              <w:rPr>
                <w:kern w:val="2"/>
                <w:lang w:val="en-GB" w:eastAsia="zh-CN"/>
              </w:rPr>
            </w:pPr>
            <w:r>
              <w:t>3.59</w:t>
            </w:r>
          </w:p>
        </w:tc>
      </w:tr>
      <w:tr w:rsidR="00DE41A7" w:rsidRPr="00827E96" w:rsidTr="00594EC4">
        <w:tc>
          <w:tcPr>
            <w:tcW w:w="2383" w:type="dxa"/>
            <w:shd w:val="clear" w:color="auto" w:fill="auto"/>
          </w:tcPr>
          <w:p w:rsidR="00DE41A7" w:rsidRPr="00827E96" w:rsidRDefault="00DE41A7" w:rsidP="00594EC4">
            <w:pPr>
              <w:rPr>
                <w:lang w:val="en-GB" w:eastAsia="zh-CN"/>
              </w:rPr>
            </w:pPr>
            <w:r>
              <w:rPr>
                <w:lang w:val="en-GB" w:eastAsia="zh-CN"/>
              </w:rPr>
              <w:t xml:space="preserve">C3: </w:t>
            </w:r>
            <w:r w:rsidRPr="00827E96">
              <w:rPr>
                <w:lang w:val="en-GB" w:eastAsia="zh-CN"/>
              </w:rPr>
              <w:t>Bumper; Small blocker</w:t>
            </w:r>
          </w:p>
        </w:tc>
        <w:tc>
          <w:tcPr>
            <w:tcW w:w="2383" w:type="dxa"/>
            <w:shd w:val="clear" w:color="auto" w:fill="auto"/>
            <w:vAlign w:val="bottom"/>
          </w:tcPr>
          <w:p w:rsidR="00DE41A7" w:rsidRPr="00827E96" w:rsidRDefault="00DE41A7" w:rsidP="00594EC4">
            <w:pPr>
              <w:rPr>
                <w:kern w:val="2"/>
                <w:lang w:val="en-GB" w:eastAsia="zh-CN"/>
              </w:rPr>
            </w:pPr>
            <w:r>
              <w:t>10.28</w:t>
            </w:r>
          </w:p>
        </w:tc>
        <w:tc>
          <w:tcPr>
            <w:tcW w:w="2383" w:type="dxa"/>
            <w:shd w:val="clear" w:color="auto" w:fill="auto"/>
            <w:vAlign w:val="bottom"/>
          </w:tcPr>
          <w:p w:rsidR="00DE41A7" w:rsidRPr="00827E96" w:rsidRDefault="00DE41A7" w:rsidP="00594EC4">
            <w:pPr>
              <w:rPr>
                <w:kern w:val="2"/>
                <w:lang w:val="en-GB" w:eastAsia="zh-CN"/>
              </w:rPr>
            </w:pPr>
            <w:r>
              <w:t>5.94</w:t>
            </w:r>
          </w:p>
        </w:tc>
        <w:tc>
          <w:tcPr>
            <w:tcW w:w="2384" w:type="dxa"/>
            <w:shd w:val="clear" w:color="auto" w:fill="auto"/>
            <w:vAlign w:val="bottom"/>
          </w:tcPr>
          <w:p w:rsidR="00DE41A7" w:rsidRPr="00827E96" w:rsidRDefault="00DE41A7" w:rsidP="00594EC4">
            <w:pPr>
              <w:rPr>
                <w:kern w:val="2"/>
                <w:lang w:val="en-GB" w:eastAsia="zh-CN"/>
              </w:rPr>
            </w:pPr>
            <w:r>
              <w:t>-0.62</w:t>
            </w:r>
          </w:p>
        </w:tc>
      </w:tr>
    </w:tbl>
    <w:p w:rsidR="00DE41A7" w:rsidRDefault="00DE41A7" w:rsidP="00DE41A7">
      <w:pPr>
        <w:pStyle w:val="Caption"/>
      </w:pPr>
    </w:p>
    <w:p w:rsidR="00DE41A7" w:rsidRDefault="00DE41A7" w:rsidP="00DE41A7">
      <w:pPr>
        <w:pStyle w:val="Caption"/>
      </w:pPr>
      <w:bookmarkStart w:id="8" w:name="_Ref505610383"/>
      <w:r>
        <w:t xml:space="preserve">Table </w:t>
      </w:r>
      <w:r>
        <w:fldChar w:fldCharType="begin"/>
      </w:r>
      <w:r>
        <w:instrText xml:space="preserve"> SEQ Table \* ARABIC </w:instrText>
      </w:r>
      <w:r>
        <w:fldChar w:fldCharType="separate"/>
      </w:r>
      <w:r w:rsidR="00BD0679">
        <w:rPr>
          <w:noProof/>
        </w:rPr>
        <w:t>3</w:t>
      </w:r>
      <w:r>
        <w:fldChar w:fldCharType="end"/>
      </w:r>
      <w:bookmarkEnd w:id="8"/>
      <w:r>
        <w:t>. Mean blockage loss under different conditions and at different frequencies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2383"/>
        <w:gridCol w:w="2383"/>
        <w:gridCol w:w="2384"/>
      </w:tblGrid>
      <w:tr w:rsidR="00DE41A7" w:rsidRPr="00827E96" w:rsidTr="00594EC4">
        <w:tc>
          <w:tcPr>
            <w:tcW w:w="2383" w:type="dxa"/>
            <w:shd w:val="clear" w:color="auto" w:fill="auto"/>
          </w:tcPr>
          <w:p w:rsidR="00DE41A7" w:rsidRPr="00827E96" w:rsidRDefault="00DE41A7" w:rsidP="00594EC4">
            <w:pPr>
              <w:rPr>
                <w:lang w:val="en-GB" w:eastAsia="zh-CN"/>
              </w:rPr>
            </w:pPr>
          </w:p>
        </w:tc>
        <w:tc>
          <w:tcPr>
            <w:tcW w:w="2383" w:type="dxa"/>
            <w:shd w:val="clear" w:color="auto" w:fill="auto"/>
          </w:tcPr>
          <w:p w:rsidR="00DE41A7" w:rsidRPr="00827E96" w:rsidRDefault="00DE41A7" w:rsidP="00594EC4">
            <w:pPr>
              <w:rPr>
                <w:lang w:val="en-GB" w:eastAsia="zh-CN"/>
              </w:rPr>
            </w:pPr>
            <w:r w:rsidRPr="00827E96">
              <w:rPr>
                <w:lang w:val="en-GB" w:eastAsia="zh-CN"/>
              </w:rPr>
              <w:t>6.75 GHz</w:t>
            </w:r>
          </w:p>
        </w:tc>
        <w:tc>
          <w:tcPr>
            <w:tcW w:w="2383" w:type="dxa"/>
            <w:shd w:val="clear" w:color="auto" w:fill="auto"/>
          </w:tcPr>
          <w:p w:rsidR="00DE41A7" w:rsidRPr="00827E96" w:rsidRDefault="00DE41A7" w:rsidP="00594EC4">
            <w:pPr>
              <w:rPr>
                <w:lang w:val="en-GB" w:eastAsia="zh-CN"/>
              </w:rPr>
            </w:pPr>
            <w:r w:rsidRPr="00827E96">
              <w:rPr>
                <w:lang w:val="en-GB" w:eastAsia="zh-CN"/>
              </w:rPr>
              <w:t>30 GHz</w:t>
            </w:r>
          </w:p>
        </w:tc>
        <w:tc>
          <w:tcPr>
            <w:tcW w:w="2384" w:type="dxa"/>
            <w:shd w:val="clear" w:color="auto" w:fill="auto"/>
          </w:tcPr>
          <w:p w:rsidR="00DE41A7" w:rsidRPr="00827E96" w:rsidRDefault="00DE41A7" w:rsidP="00594EC4">
            <w:pPr>
              <w:rPr>
                <w:lang w:val="en-GB" w:eastAsia="zh-CN"/>
              </w:rPr>
            </w:pPr>
            <w:r w:rsidRPr="00827E96">
              <w:rPr>
                <w:lang w:val="en-GB" w:eastAsia="zh-CN"/>
              </w:rPr>
              <w:t>60 GHz</w:t>
            </w:r>
          </w:p>
        </w:tc>
      </w:tr>
      <w:tr w:rsidR="00DE41A7" w:rsidRPr="00827E96" w:rsidTr="00594EC4">
        <w:tc>
          <w:tcPr>
            <w:tcW w:w="2383" w:type="dxa"/>
            <w:shd w:val="clear" w:color="auto" w:fill="auto"/>
          </w:tcPr>
          <w:p w:rsidR="00DE41A7" w:rsidRPr="00827E96" w:rsidRDefault="00DE41A7" w:rsidP="00594EC4">
            <w:pPr>
              <w:rPr>
                <w:lang w:val="en-GB" w:eastAsia="zh-CN"/>
              </w:rPr>
            </w:pPr>
            <w:r>
              <w:rPr>
                <w:lang w:val="en-GB" w:eastAsia="zh-CN"/>
              </w:rPr>
              <w:t xml:space="preserve">C1: </w:t>
            </w:r>
            <w:r w:rsidRPr="00827E96">
              <w:rPr>
                <w:lang w:val="en-GB" w:eastAsia="zh-CN"/>
              </w:rPr>
              <w:t>Rooftop; Small blocker</w:t>
            </w:r>
          </w:p>
        </w:tc>
        <w:tc>
          <w:tcPr>
            <w:tcW w:w="2383" w:type="dxa"/>
            <w:shd w:val="clear" w:color="auto" w:fill="auto"/>
            <w:vAlign w:val="bottom"/>
          </w:tcPr>
          <w:p w:rsidR="00DE41A7" w:rsidRPr="00827E96" w:rsidRDefault="00DE41A7" w:rsidP="00594EC4">
            <w:pPr>
              <w:rPr>
                <w:kern w:val="2"/>
                <w:lang w:val="en-GB" w:eastAsia="zh-CN"/>
              </w:rPr>
            </w:pPr>
            <w:r>
              <w:t>5.40</w:t>
            </w:r>
          </w:p>
        </w:tc>
        <w:tc>
          <w:tcPr>
            <w:tcW w:w="2383" w:type="dxa"/>
            <w:shd w:val="clear" w:color="auto" w:fill="auto"/>
            <w:vAlign w:val="bottom"/>
          </w:tcPr>
          <w:p w:rsidR="00DE41A7" w:rsidRPr="00827E96" w:rsidRDefault="00DE41A7" w:rsidP="00594EC4">
            <w:pPr>
              <w:rPr>
                <w:kern w:val="2"/>
                <w:lang w:val="en-GB" w:eastAsia="zh-CN"/>
              </w:rPr>
            </w:pPr>
            <w:r>
              <w:t>6.29</w:t>
            </w:r>
          </w:p>
        </w:tc>
        <w:tc>
          <w:tcPr>
            <w:tcW w:w="2384" w:type="dxa"/>
            <w:shd w:val="clear" w:color="auto" w:fill="auto"/>
            <w:vAlign w:val="bottom"/>
          </w:tcPr>
          <w:p w:rsidR="00DE41A7" w:rsidRPr="00827E96" w:rsidRDefault="00DE41A7" w:rsidP="00594EC4">
            <w:pPr>
              <w:rPr>
                <w:kern w:val="2"/>
                <w:lang w:val="en-GB" w:eastAsia="zh-CN"/>
              </w:rPr>
            </w:pPr>
            <w:r>
              <w:t>8.25</w:t>
            </w:r>
          </w:p>
        </w:tc>
      </w:tr>
      <w:tr w:rsidR="00DE41A7" w:rsidRPr="00827E96" w:rsidTr="00594EC4">
        <w:tc>
          <w:tcPr>
            <w:tcW w:w="2383" w:type="dxa"/>
            <w:shd w:val="clear" w:color="auto" w:fill="auto"/>
          </w:tcPr>
          <w:p w:rsidR="00DE41A7" w:rsidRPr="00827E96" w:rsidRDefault="00DE41A7" w:rsidP="00594EC4">
            <w:pPr>
              <w:rPr>
                <w:lang w:val="en-GB" w:eastAsia="zh-CN"/>
              </w:rPr>
            </w:pPr>
            <w:r>
              <w:rPr>
                <w:lang w:val="en-GB" w:eastAsia="zh-CN"/>
              </w:rPr>
              <w:t xml:space="preserve">C3: </w:t>
            </w:r>
            <w:r w:rsidRPr="00827E96">
              <w:rPr>
                <w:lang w:val="en-GB" w:eastAsia="zh-CN"/>
              </w:rPr>
              <w:t>Bumper; Small blocker</w:t>
            </w:r>
          </w:p>
        </w:tc>
        <w:tc>
          <w:tcPr>
            <w:tcW w:w="2383" w:type="dxa"/>
            <w:shd w:val="clear" w:color="auto" w:fill="auto"/>
            <w:vAlign w:val="bottom"/>
          </w:tcPr>
          <w:p w:rsidR="00DE41A7" w:rsidRPr="00827E96" w:rsidRDefault="00DE41A7" w:rsidP="00594EC4">
            <w:pPr>
              <w:rPr>
                <w:kern w:val="2"/>
                <w:lang w:val="en-GB" w:eastAsia="zh-CN"/>
              </w:rPr>
            </w:pPr>
            <w:r>
              <w:t>12.04</w:t>
            </w:r>
          </w:p>
        </w:tc>
        <w:tc>
          <w:tcPr>
            <w:tcW w:w="2383" w:type="dxa"/>
            <w:shd w:val="clear" w:color="auto" w:fill="auto"/>
            <w:vAlign w:val="bottom"/>
          </w:tcPr>
          <w:p w:rsidR="00DE41A7" w:rsidRPr="00827E96" w:rsidRDefault="00DE41A7" w:rsidP="00594EC4">
            <w:pPr>
              <w:rPr>
                <w:kern w:val="2"/>
                <w:lang w:val="en-GB" w:eastAsia="zh-CN"/>
              </w:rPr>
            </w:pPr>
            <w:r>
              <w:t>9.90</w:t>
            </w:r>
          </w:p>
        </w:tc>
        <w:tc>
          <w:tcPr>
            <w:tcW w:w="2384" w:type="dxa"/>
            <w:shd w:val="clear" w:color="auto" w:fill="auto"/>
            <w:vAlign w:val="bottom"/>
          </w:tcPr>
          <w:p w:rsidR="00DE41A7" w:rsidRPr="00827E96" w:rsidRDefault="00DE41A7" w:rsidP="00594EC4">
            <w:pPr>
              <w:rPr>
                <w:kern w:val="2"/>
                <w:lang w:val="en-GB" w:eastAsia="zh-CN"/>
              </w:rPr>
            </w:pPr>
            <w:r>
              <w:t>7.12</w:t>
            </w:r>
          </w:p>
        </w:tc>
      </w:tr>
    </w:tbl>
    <w:p w:rsidR="00475EAF" w:rsidRPr="00E51FD6" w:rsidRDefault="00475EAF" w:rsidP="00475EAF">
      <w:pPr>
        <w:pStyle w:val="Heading2"/>
        <w:rPr>
          <w:lang w:eastAsia="zh-CN"/>
        </w:rPr>
      </w:pPr>
      <w:r>
        <w:rPr>
          <w:lang w:eastAsia="zh-CN"/>
        </w:rPr>
        <w:lastRenderedPageBreak/>
        <w:t xml:space="preserve">Comparison of </w:t>
      </w:r>
      <w:r>
        <w:rPr>
          <w:lang w:val="en-GB" w:eastAsia="zh-CN"/>
        </w:rPr>
        <w:t>fast fading results</w:t>
      </w:r>
      <w:r>
        <w:rPr>
          <w:lang w:eastAsia="zh-CN"/>
        </w:rPr>
        <w:t xml:space="preserve"> for different antenna positions</w:t>
      </w:r>
    </w:p>
    <w:p w:rsidR="00475EAF" w:rsidRPr="008B6F9A" w:rsidRDefault="00475EAF" w:rsidP="00475EAF">
      <w:pPr>
        <w:rPr>
          <w:kern w:val="2"/>
          <w:lang w:val="en-GB" w:eastAsia="zh-CN"/>
        </w:rPr>
      </w:pPr>
      <w:r>
        <w:rPr>
          <w:kern w:val="2"/>
          <w:lang w:val="en-GB" w:eastAsia="zh-CN"/>
        </w:rPr>
        <w:t>For each measurement campaign, the following fast fading parameters are calc</w:t>
      </w:r>
      <w:r w:rsidR="00792C8A">
        <w:rPr>
          <w:kern w:val="2"/>
          <w:lang w:val="en-GB" w:eastAsia="zh-CN"/>
        </w:rPr>
        <w:t xml:space="preserve">ulated at each frequency: DS, </w:t>
      </w:r>
      <w:r>
        <w:rPr>
          <w:kern w:val="2"/>
          <w:lang w:val="en-GB" w:eastAsia="zh-CN"/>
        </w:rPr>
        <w:t>K-factor, ASA and ASD.</w:t>
      </w:r>
    </w:p>
    <w:p w:rsidR="00475EAF" w:rsidRDefault="00475EAF" w:rsidP="00475EAF">
      <w:pPr>
        <w:rPr>
          <w:lang w:val="en-GB"/>
        </w:rPr>
      </w:pPr>
      <w:r w:rsidRPr="004639F1">
        <w:rPr>
          <w:lang w:val="en-GB"/>
        </w:rPr>
        <w:t xml:space="preserve">The results of the </w:t>
      </w:r>
      <w:r>
        <w:rPr>
          <w:lang w:val="en-GB"/>
        </w:rPr>
        <w:t>campaigns</w:t>
      </w:r>
      <w:r w:rsidRPr="004639F1">
        <w:rPr>
          <w:lang w:val="en-GB"/>
        </w:rPr>
        <w:t xml:space="preserve"> C1 and C3 are </w:t>
      </w:r>
      <w:r>
        <w:rPr>
          <w:lang w:val="en-GB"/>
        </w:rPr>
        <w:t xml:space="preserve">divided into LOS case and non-LOS due to vehicle blockage (NLOSv) case and </w:t>
      </w:r>
      <w:r w:rsidRPr="004639F1">
        <w:rPr>
          <w:lang w:val="en-GB"/>
        </w:rPr>
        <w:t>summarized in the tables below.</w:t>
      </w:r>
    </w:p>
    <w:p w:rsidR="00792C8A" w:rsidRDefault="00792C8A" w:rsidP="00475EAF">
      <w:pPr>
        <w:rPr>
          <w:lang w:val="en-GB"/>
        </w:rPr>
      </w:pPr>
      <w:r>
        <w:rPr>
          <w:lang w:val="en-GB"/>
        </w:rPr>
        <w:t>Across parameters and LOS and NLOSv cases, the fast fading parameters differ between roof (C1) and bumper (C3) antenna locations. Delay spread is reduced in LOS channels for bumper location. On the other side, K-factor increases considerably in case of bumper location. The least difference, although still noticeable, can be observed in case of ASA/ASD results.</w:t>
      </w:r>
    </w:p>
    <w:p w:rsidR="004F7121" w:rsidRPr="009B1FBB" w:rsidRDefault="004F7121" w:rsidP="004F7121">
      <w:pPr>
        <w:rPr>
          <w:lang w:val="en-GB"/>
        </w:rPr>
      </w:pPr>
      <w:r w:rsidRPr="009B1FBB">
        <w:rPr>
          <w:lang w:val="en-GB"/>
        </w:rPr>
        <w:t xml:space="preserve">Comparing the </w:t>
      </w:r>
      <w:r>
        <w:rPr>
          <w:lang w:val="en-GB"/>
        </w:rPr>
        <w:t xml:space="preserve">overall </w:t>
      </w:r>
      <w:r w:rsidRPr="009B1FBB">
        <w:rPr>
          <w:lang w:val="en-GB"/>
        </w:rPr>
        <w:t xml:space="preserve">results in </w:t>
      </w:r>
      <w:r>
        <w:rPr>
          <w:lang w:val="en-GB"/>
        </w:rPr>
        <w:fldChar w:fldCharType="begin"/>
      </w:r>
      <w:r>
        <w:rPr>
          <w:lang w:val="en-GB"/>
        </w:rPr>
        <w:instrText xml:space="preserve"> REF _Ref505610348 \h </w:instrText>
      </w:r>
      <w:r>
        <w:rPr>
          <w:lang w:val="en-GB"/>
        </w:rPr>
      </w:r>
      <w:r>
        <w:rPr>
          <w:lang w:val="en-GB"/>
        </w:rPr>
        <w:fldChar w:fldCharType="separate"/>
      </w:r>
      <w:r>
        <w:t xml:space="preserve">Table </w:t>
      </w:r>
      <w:r>
        <w:rPr>
          <w:noProof/>
        </w:rPr>
        <w:t>1</w:t>
      </w:r>
      <w:r>
        <w:rPr>
          <w:lang w:val="en-GB"/>
        </w:rPr>
        <w:fldChar w:fldCharType="end"/>
      </w:r>
      <w:r>
        <w:rPr>
          <w:lang w:val="en-GB"/>
        </w:rPr>
        <w:t>-</w:t>
      </w:r>
      <w:r>
        <w:rPr>
          <w:lang w:val="en-GB"/>
        </w:rPr>
        <w:fldChar w:fldCharType="begin"/>
      </w:r>
      <w:r>
        <w:rPr>
          <w:lang w:val="en-GB"/>
        </w:rPr>
        <w:instrText xml:space="preserve"> REF _Ref509302188 \h </w:instrText>
      </w:r>
      <w:r>
        <w:rPr>
          <w:lang w:val="en-GB"/>
        </w:rPr>
      </w:r>
      <w:r>
        <w:rPr>
          <w:lang w:val="en-GB"/>
        </w:rPr>
        <w:fldChar w:fldCharType="separate"/>
      </w:r>
      <w:r>
        <w:t xml:space="preserve">Table </w:t>
      </w:r>
      <w:r>
        <w:rPr>
          <w:noProof/>
        </w:rPr>
        <w:t>5</w:t>
      </w:r>
      <w:r>
        <w:rPr>
          <w:lang w:val="en-GB"/>
        </w:rPr>
        <w:fldChar w:fldCharType="end"/>
      </w:r>
      <w:r>
        <w:rPr>
          <w:lang w:val="en-GB"/>
        </w:rPr>
        <w:t>, the</w:t>
      </w:r>
      <w:r w:rsidRPr="009B1FBB">
        <w:rPr>
          <w:lang w:val="en-GB"/>
        </w:rPr>
        <w:t xml:space="preserve"> fading environment </w:t>
      </w:r>
      <w:r>
        <w:rPr>
          <w:lang w:val="en-GB"/>
        </w:rPr>
        <w:t xml:space="preserve">experienced by bumper antenna </w:t>
      </w:r>
      <w:r w:rsidRPr="009B1FBB">
        <w:rPr>
          <w:lang w:val="en-GB"/>
        </w:rPr>
        <w:t xml:space="preserve">is </w:t>
      </w:r>
      <w:r>
        <w:rPr>
          <w:lang w:val="en-GB"/>
        </w:rPr>
        <w:t xml:space="preserve">distinct. In terms of blockage loss, the bumper antenna experiences </w:t>
      </w:r>
      <w:r w:rsidRPr="009B1FBB">
        <w:rPr>
          <w:lang w:val="en-GB"/>
        </w:rPr>
        <w:t xml:space="preserve">more challenging </w:t>
      </w:r>
      <w:r>
        <w:rPr>
          <w:lang w:val="en-GB"/>
        </w:rPr>
        <w:t>environment with higher variation of blockage loss. In terms of fast fading, the results indicate the bumper antenna could experience specific properties (e.g., more efficient beamforming in high frequencies due to stronger ground reflection path).</w:t>
      </w:r>
    </w:p>
    <w:p w:rsidR="004F7121" w:rsidRDefault="004F7121" w:rsidP="00475EAF">
      <w:pPr>
        <w:rPr>
          <w:lang w:val="en-GB"/>
        </w:rPr>
      </w:pPr>
    </w:p>
    <w:p w:rsidR="00475EAF" w:rsidRDefault="00475EAF" w:rsidP="00475EAF">
      <w:pPr>
        <w:pStyle w:val="Caption"/>
        <w:keepNext/>
      </w:pPr>
      <w:bookmarkStart w:id="9" w:name="_Ref509302186"/>
      <w:r>
        <w:t xml:space="preserve">Table </w:t>
      </w:r>
      <w:r>
        <w:fldChar w:fldCharType="begin"/>
      </w:r>
      <w:r>
        <w:instrText xml:space="preserve"> SEQ Table \* ARABIC </w:instrText>
      </w:r>
      <w:r>
        <w:fldChar w:fldCharType="separate"/>
      </w:r>
      <w:r w:rsidR="00BD0679">
        <w:rPr>
          <w:noProof/>
        </w:rPr>
        <w:t>4</w:t>
      </w:r>
      <w:r>
        <w:fldChar w:fldCharType="end"/>
      </w:r>
      <w:bookmarkEnd w:id="9"/>
      <w:r>
        <w:t xml:space="preserve"> </w:t>
      </w:r>
      <w:r w:rsidR="005000F4">
        <w:t>Fast fading r</w:t>
      </w:r>
      <w:r>
        <w:t xml:space="preserve">esults </w:t>
      </w:r>
      <w:r w:rsidR="009B1FBB">
        <w:t>for rooftop antenna (</w:t>
      </w:r>
      <w:r>
        <w:t>C1</w:t>
      </w:r>
      <w:r w:rsidR="009B1FBB">
        <w:t>)</w:t>
      </w:r>
    </w:p>
    <w:tbl>
      <w:tblPr>
        <w:tblW w:w="8249" w:type="dxa"/>
        <w:tblInd w:w="108" w:type="dxa"/>
        <w:tblLook w:val="04A0" w:firstRow="1" w:lastRow="0" w:firstColumn="1" w:lastColumn="0" w:noHBand="0" w:noVBand="1"/>
      </w:tblPr>
      <w:tblGrid>
        <w:gridCol w:w="423"/>
        <w:gridCol w:w="710"/>
        <w:gridCol w:w="653"/>
        <w:gridCol w:w="563"/>
        <w:gridCol w:w="563"/>
        <w:gridCol w:w="653"/>
        <w:gridCol w:w="563"/>
        <w:gridCol w:w="563"/>
        <w:gridCol w:w="653"/>
        <w:gridCol w:w="563"/>
        <w:gridCol w:w="563"/>
        <w:gridCol w:w="653"/>
        <w:gridCol w:w="563"/>
        <w:gridCol w:w="563"/>
      </w:tblGrid>
      <w:tr w:rsidR="00792C8A" w:rsidRPr="004639F1" w:rsidTr="00792C8A">
        <w:trPr>
          <w:trHeight w:val="628"/>
        </w:trPr>
        <w:tc>
          <w:tcPr>
            <w:tcW w:w="42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710"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C1 Campaign</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DS [ns]</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K-factor [dB]</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ASA [deg]</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ASD [deg]</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r>
      <w:tr w:rsidR="00792C8A" w:rsidRPr="004639F1" w:rsidTr="00792C8A">
        <w:trPr>
          <w:trHeight w:val="418"/>
        </w:trPr>
        <w:tc>
          <w:tcPr>
            <w:tcW w:w="423" w:type="dxa"/>
            <w:tcBorders>
              <w:top w:val="nil"/>
              <w:left w:val="single" w:sz="4" w:space="0" w:color="auto"/>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710"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6.75GHz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30GHz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60GHz</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6.75GHz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30GHz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60GHz</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6.75GHz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30GHz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60GHz</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6.75GHz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30GHz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60GHz</w:t>
            </w:r>
          </w:p>
        </w:tc>
      </w:tr>
      <w:tr w:rsidR="00792C8A" w:rsidRPr="004639F1" w:rsidTr="00792C8A">
        <w:trPr>
          <w:trHeight w:val="208"/>
        </w:trPr>
        <w:tc>
          <w:tcPr>
            <w:tcW w:w="423" w:type="dxa"/>
            <w:tcBorders>
              <w:top w:val="nil"/>
              <w:left w:val="single" w:sz="4" w:space="0" w:color="auto"/>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Avg</w:t>
            </w:r>
          </w:p>
        </w:tc>
        <w:tc>
          <w:tcPr>
            <w:tcW w:w="710"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LOS</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18.95</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17.52</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15.84</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2.74</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3.36</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3.90</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27.63</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26.14</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17.32</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26.91</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24.11</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15.08</w:t>
            </w:r>
          </w:p>
        </w:tc>
      </w:tr>
      <w:tr w:rsidR="00792C8A" w:rsidRPr="004639F1" w:rsidTr="00792C8A">
        <w:trPr>
          <w:trHeight w:val="208"/>
        </w:trPr>
        <w:tc>
          <w:tcPr>
            <w:tcW w:w="423" w:type="dxa"/>
            <w:tcBorders>
              <w:top w:val="nil"/>
              <w:left w:val="single" w:sz="4" w:space="0" w:color="auto"/>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p>
        </w:tc>
        <w:tc>
          <w:tcPr>
            <w:tcW w:w="710"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NLOSv</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33.35</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35.86</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32.50</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-0.51</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0.57</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0.09</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37.33</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39.50</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34.77</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32.20</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34.06</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30.12</w:t>
            </w:r>
          </w:p>
        </w:tc>
      </w:tr>
      <w:tr w:rsidR="00792C8A" w:rsidRPr="004639F1" w:rsidTr="00792C8A">
        <w:trPr>
          <w:trHeight w:val="208"/>
        </w:trPr>
        <w:tc>
          <w:tcPr>
            <w:tcW w:w="423" w:type="dxa"/>
            <w:tcBorders>
              <w:top w:val="nil"/>
              <w:left w:val="single" w:sz="4" w:space="0" w:color="auto"/>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Std</w:t>
            </w:r>
          </w:p>
        </w:tc>
        <w:tc>
          <w:tcPr>
            <w:tcW w:w="710"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LOS</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1.92</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2.02</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5.71</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0.52</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0.47</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1.27</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0.81</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0.49</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0.48</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2.81</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1.05</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0.31</w:t>
            </w:r>
          </w:p>
        </w:tc>
      </w:tr>
      <w:tr w:rsidR="00792C8A" w:rsidRPr="004639F1" w:rsidTr="00792C8A">
        <w:trPr>
          <w:trHeight w:val="208"/>
        </w:trPr>
        <w:tc>
          <w:tcPr>
            <w:tcW w:w="423" w:type="dxa"/>
            <w:tcBorders>
              <w:top w:val="single" w:sz="4" w:space="0" w:color="auto"/>
              <w:left w:val="single" w:sz="4" w:space="0" w:color="auto"/>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left"/>
              <w:rPr>
                <w:rFonts w:eastAsia="Times New Roman"/>
                <w:sz w:val="12"/>
                <w:szCs w:val="12"/>
                <w:lang w:eastAsia="zh-CN"/>
              </w:rPr>
            </w:pPr>
          </w:p>
        </w:tc>
        <w:tc>
          <w:tcPr>
            <w:tcW w:w="710" w:type="dxa"/>
            <w:tcBorders>
              <w:top w:val="single" w:sz="4" w:space="0" w:color="auto"/>
              <w:left w:val="nil"/>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NLOSv</w:t>
            </w:r>
          </w:p>
        </w:tc>
        <w:tc>
          <w:tcPr>
            <w:tcW w:w="653" w:type="dxa"/>
            <w:tcBorders>
              <w:top w:val="single" w:sz="4" w:space="0" w:color="auto"/>
              <w:left w:val="nil"/>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2.53</w:t>
            </w:r>
          </w:p>
        </w:tc>
        <w:tc>
          <w:tcPr>
            <w:tcW w:w="563" w:type="dxa"/>
            <w:tcBorders>
              <w:top w:val="single" w:sz="4" w:space="0" w:color="auto"/>
              <w:left w:val="nil"/>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5.68</w:t>
            </w:r>
          </w:p>
        </w:tc>
        <w:tc>
          <w:tcPr>
            <w:tcW w:w="563" w:type="dxa"/>
            <w:tcBorders>
              <w:top w:val="single" w:sz="4" w:space="0" w:color="auto"/>
              <w:left w:val="nil"/>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5.93</w:t>
            </w:r>
          </w:p>
        </w:tc>
        <w:tc>
          <w:tcPr>
            <w:tcW w:w="653" w:type="dxa"/>
            <w:tcBorders>
              <w:top w:val="single" w:sz="4" w:space="0" w:color="auto"/>
              <w:left w:val="nil"/>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1.51</w:t>
            </w:r>
          </w:p>
        </w:tc>
        <w:tc>
          <w:tcPr>
            <w:tcW w:w="563" w:type="dxa"/>
            <w:tcBorders>
              <w:top w:val="single" w:sz="4" w:space="0" w:color="auto"/>
              <w:left w:val="nil"/>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1.48</w:t>
            </w:r>
          </w:p>
        </w:tc>
        <w:tc>
          <w:tcPr>
            <w:tcW w:w="563" w:type="dxa"/>
            <w:tcBorders>
              <w:top w:val="single" w:sz="4" w:space="0" w:color="auto"/>
              <w:left w:val="nil"/>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2.68</w:t>
            </w:r>
          </w:p>
        </w:tc>
        <w:tc>
          <w:tcPr>
            <w:tcW w:w="653" w:type="dxa"/>
            <w:tcBorders>
              <w:top w:val="single" w:sz="4" w:space="0" w:color="auto"/>
              <w:left w:val="nil"/>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2.64</w:t>
            </w:r>
          </w:p>
        </w:tc>
        <w:tc>
          <w:tcPr>
            <w:tcW w:w="563" w:type="dxa"/>
            <w:tcBorders>
              <w:top w:val="single" w:sz="4" w:space="0" w:color="auto"/>
              <w:left w:val="nil"/>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4.19</w:t>
            </w:r>
          </w:p>
        </w:tc>
        <w:tc>
          <w:tcPr>
            <w:tcW w:w="563" w:type="dxa"/>
            <w:tcBorders>
              <w:top w:val="single" w:sz="4" w:space="0" w:color="auto"/>
              <w:left w:val="nil"/>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9.06</w:t>
            </w:r>
          </w:p>
        </w:tc>
        <w:tc>
          <w:tcPr>
            <w:tcW w:w="653" w:type="dxa"/>
            <w:tcBorders>
              <w:top w:val="single" w:sz="4" w:space="0" w:color="auto"/>
              <w:left w:val="nil"/>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4.21</w:t>
            </w:r>
          </w:p>
        </w:tc>
        <w:tc>
          <w:tcPr>
            <w:tcW w:w="563" w:type="dxa"/>
            <w:tcBorders>
              <w:top w:val="single" w:sz="4" w:space="0" w:color="auto"/>
              <w:left w:val="nil"/>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4.31</w:t>
            </w:r>
          </w:p>
        </w:tc>
        <w:tc>
          <w:tcPr>
            <w:tcW w:w="563" w:type="dxa"/>
            <w:tcBorders>
              <w:top w:val="single" w:sz="4" w:space="0" w:color="auto"/>
              <w:left w:val="nil"/>
              <w:bottom w:val="single" w:sz="4" w:space="0" w:color="auto"/>
              <w:right w:val="single" w:sz="4" w:space="0" w:color="auto"/>
            </w:tcBorders>
            <w:shd w:val="clear" w:color="auto" w:fill="auto"/>
            <w:vAlign w:val="bottom"/>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5.21</w:t>
            </w:r>
          </w:p>
        </w:tc>
      </w:tr>
    </w:tbl>
    <w:p w:rsidR="00475EAF" w:rsidRDefault="00475EAF" w:rsidP="00475EAF">
      <w:pPr>
        <w:pStyle w:val="Caption"/>
        <w:keepNext/>
      </w:pPr>
    </w:p>
    <w:p w:rsidR="00475EAF" w:rsidRDefault="00475EAF" w:rsidP="00475EAF">
      <w:pPr>
        <w:pStyle w:val="Caption"/>
        <w:keepNext/>
      </w:pPr>
    </w:p>
    <w:p w:rsidR="00475EAF" w:rsidRPr="004639F1" w:rsidRDefault="00475EAF" w:rsidP="00475EAF">
      <w:pPr>
        <w:pStyle w:val="Caption"/>
        <w:keepNext/>
      </w:pPr>
      <w:bookmarkStart w:id="10" w:name="_Ref509302188"/>
      <w:r>
        <w:t xml:space="preserve">Table </w:t>
      </w:r>
      <w:r>
        <w:fldChar w:fldCharType="begin"/>
      </w:r>
      <w:r>
        <w:instrText xml:space="preserve"> SEQ Table \* ARABIC </w:instrText>
      </w:r>
      <w:r>
        <w:fldChar w:fldCharType="separate"/>
      </w:r>
      <w:r w:rsidR="00BD0679">
        <w:rPr>
          <w:noProof/>
        </w:rPr>
        <w:t>5</w:t>
      </w:r>
      <w:r>
        <w:fldChar w:fldCharType="end"/>
      </w:r>
      <w:bookmarkEnd w:id="10"/>
      <w:r w:rsidR="005000F4">
        <w:t xml:space="preserve"> Fast fading results</w:t>
      </w:r>
      <w:r>
        <w:t xml:space="preserve"> </w:t>
      </w:r>
      <w:r w:rsidR="009B1FBB">
        <w:t>for bumper antenna (</w:t>
      </w:r>
      <w:r>
        <w:t>C3</w:t>
      </w:r>
      <w:r w:rsidR="009B1FBB">
        <w:t>)</w:t>
      </w:r>
    </w:p>
    <w:tbl>
      <w:tblPr>
        <w:tblW w:w="8249" w:type="dxa"/>
        <w:tblInd w:w="108" w:type="dxa"/>
        <w:tblLook w:val="04A0" w:firstRow="1" w:lastRow="0" w:firstColumn="1" w:lastColumn="0" w:noHBand="0" w:noVBand="1"/>
      </w:tblPr>
      <w:tblGrid>
        <w:gridCol w:w="423"/>
        <w:gridCol w:w="710"/>
        <w:gridCol w:w="653"/>
        <w:gridCol w:w="563"/>
        <w:gridCol w:w="563"/>
        <w:gridCol w:w="653"/>
        <w:gridCol w:w="563"/>
        <w:gridCol w:w="563"/>
        <w:gridCol w:w="653"/>
        <w:gridCol w:w="563"/>
        <w:gridCol w:w="563"/>
        <w:gridCol w:w="653"/>
        <w:gridCol w:w="563"/>
        <w:gridCol w:w="563"/>
      </w:tblGrid>
      <w:tr w:rsidR="00792C8A" w:rsidRPr="004639F1" w:rsidTr="00792C8A">
        <w:trPr>
          <w:trHeight w:val="458"/>
        </w:trPr>
        <w:tc>
          <w:tcPr>
            <w:tcW w:w="42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710"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C3 Campaign</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DS [ns]</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K-factor [dB]</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ASA [deg]</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ASD [deg]</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563" w:type="dxa"/>
            <w:tcBorders>
              <w:top w:val="single" w:sz="4" w:space="0" w:color="auto"/>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r>
      <w:tr w:rsidR="00792C8A" w:rsidRPr="004639F1" w:rsidTr="00792C8A">
        <w:trPr>
          <w:trHeight w:val="350"/>
        </w:trPr>
        <w:tc>
          <w:tcPr>
            <w:tcW w:w="423" w:type="dxa"/>
            <w:tcBorders>
              <w:top w:val="nil"/>
              <w:left w:val="single" w:sz="4" w:space="0" w:color="auto"/>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710"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6.75GHz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30GHz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60GHz</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6.75GHz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30GHz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60GHz</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6.75GHz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30GHz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60GHz</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6.75GHz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xml:space="preserve">30GHz </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60GHz</w:t>
            </w:r>
          </w:p>
        </w:tc>
      </w:tr>
      <w:tr w:rsidR="00792C8A" w:rsidRPr="004639F1" w:rsidTr="00792C8A">
        <w:trPr>
          <w:trHeight w:val="351"/>
        </w:trPr>
        <w:tc>
          <w:tcPr>
            <w:tcW w:w="423" w:type="dxa"/>
            <w:tcBorders>
              <w:top w:val="nil"/>
              <w:left w:val="single" w:sz="4" w:space="0" w:color="auto"/>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Avg</w:t>
            </w:r>
          </w:p>
        </w:tc>
        <w:tc>
          <w:tcPr>
            <w:tcW w:w="710"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LOS</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9.33</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11.87</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17.58</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5.80</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6.49</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5.11</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24.53</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24.05</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20.69</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24.27</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22.41</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18.05</w:t>
            </w:r>
          </w:p>
        </w:tc>
      </w:tr>
      <w:tr w:rsidR="00792C8A" w:rsidRPr="004639F1" w:rsidTr="00792C8A">
        <w:trPr>
          <w:trHeight w:val="350"/>
        </w:trPr>
        <w:tc>
          <w:tcPr>
            <w:tcW w:w="423" w:type="dxa"/>
            <w:tcBorders>
              <w:top w:val="nil"/>
              <w:left w:val="single" w:sz="4" w:space="0" w:color="auto"/>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710"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NLOSv</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34.28</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30.53</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27.03</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-1.55</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0.68</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0.23</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47.66</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35.76</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27.03</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28.43</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30.80</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27.77</w:t>
            </w:r>
          </w:p>
        </w:tc>
      </w:tr>
      <w:tr w:rsidR="00792C8A" w:rsidRPr="004639F1" w:rsidTr="00792C8A">
        <w:trPr>
          <w:trHeight w:val="351"/>
        </w:trPr>
        <w:tc>
          <w:tcPr>
            <w:tcW w:w="423" w:type="dxa"/>
            <w:tcBorders>
              <w:top w:val="nil"/>
              <w:left w:val="single" w:sz="4" w:space="0" w:color="auto"/>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Std</w:t>
            </w:r>
          </w:p>
        </w:tc>
        <w:tc>
          <w:tcPr>
            <w:tcW w:w="710"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LOS</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1.24</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1.69</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4.54</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0.17</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0.25</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0.69</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2.35</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1.96</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5.37</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0.23</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0.72</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2.28</w:t>
            </w:r>
          </w:p>
        </w:tc>
      </w:tr>
      <w:tr w:rsidR="00792C8A" w:rsidRPr="004639F1" w:rsidTr="00792C8A">
        <w:trPr>
          <w:trHeight w:val="368"/>
        </w:trPr>
        <w:tc>
          <w:tcPr>
            <w:tcW w:w="423" w:type="dxa"/>
            <w:tcBorders>
              <w:top w:val="nil"/>
              <w:left w:val="single" w:sz="4" w:space="0" w:color="auto"/>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 </w:t>
            </w:r>
          </w:p>
        </w:tc>
        <w:tc>
          <w:tcPr>
            <w:tcW w:w="710"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left"/>
              <w:rPr>
                <w:rFonts w:eastAsia="Times New Roman"/>
                <w:sz w:val="12"/>
                <w:szCs w:val="12"/>
                <w:lang w:eastAsia="zh-CN"/>
              </w:rPr>
            </w:pPr>
            <w:r w:rsidRPr="004639F1">
              <w:rPr>
                <w:rFonts w:eastAsia="Times New Roman"/>
                <w:sz w:val="12"/>
                <w:szCs w:val="12"/>
                <w:lang w:eastAsia="zh-CN"/>
              </w:rPr>
              <w:t>NLOSv</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8.18</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8.58</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12.02</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2.61</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3.90</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4.51</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10.26</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6.88</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11.59</w:t>
            </w:r>
          </w:p>
        </w:tc>
        <w:tc>
          <w:tcPr>
            <w:tcW w:w="65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8.49</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3.39</w:t>
            </w:r>
          </w:p>
        </w:tc>
        <w:tc>
          <w:tcPr>
            <w:tcW w:w="563" w:type="dxa"/>
            <w:tcBorders>
              <w:top w:val="nil"/>
              <w:left w:val="nil"/>
              <w:bottom w:val="single" w:sz="4" w:space="0" w:color="auto"/>
              <w:right w:val="single" w:sz="4" w:space="0" w:color="auto"/>
            </w:tcBorders>
            <w:shd w:val="clear" w:color="auto" w:fill="auto"/>
            <w:vAlign w:val="bottom"/>
            <w:hideMark/>
          </w:tcPr>
          <w:p w:rsidR="00792C8A" w:rsidRPr="004639F1" w:rsidRDefault="00792C8A" w:rsidP="00594EC4">
            <w:pPr>
              <w:autoSpaceDE/>
              <w:autoSpaceDN/>
              <w:adjustRightInd/>
              <w:snapToGrid/>
              <w:spacing w:after="0"/>
              <w:jc w:val="right"/>
              <w:rPr>
                <w:rFonts w:eastAsia="Times New Roman"/>
                <w:sz w:val="12"/>
                <w:szCs w:val="12"/>
                <w:lang w:eastAsia="zh-CN"/>
              </w:rPr>
            </w:pPr>
            <w:r w:rsidRPr="004639F1">
              <w:rPr>
                <w:rFonts w:eastAsia="Times New Roman"/>
                <w:sz w:val="12"/>
                <w:szCs w:val="12"/>
                <w:lang w:eastAsia="zh-CN"/>
              </w:rPr>
              <w:t>10.69</w:t>
            </w:r>
          </w:p>
        </w:tc>
      </w:tr>
    </w:tbl>
    <w:p w:rsidR="00DE41A7" w:rsidRDefault="00DE41A7" w:rsidP="00DE41A7"/>
    <w:p w:rsidR="004F7121" w:rsidRDefault="004F7121" w:rsidP="009D3378">
      <w:pPr>
        <w:rPr>
          <w:b/>
          <w:kern w:val="2"/>
          <w:lang w:val="en-GB" w:eastAsia="zh-CN"/>
        </w:rPr>
      </w:pPr>
    </w:p>
    <w:p w:rsidR="009D3378" w:rsidRPr="005742C8" w:rsidRDefault="009D3378" w:rsidP="009D3378">
      <w:pPr>
        <w:rPr>
          <w:b/>
          <w:kern w:val="2"/>
          <w:lang w:val="en-GB" w:eastAsia="zh-CN"/>
        </w:rPr>
      </w:pPr>
      <w:r>
        <w:rPr>
          <w:b/>
          <w:kern w:val="2"/>
          <w:lang w:val="en-GB" w:eastAsia="zh-CN"/>
        </w:rPr>
        <w:t>Observation 2</w:t>
      </w:r>
      <w:r w:rsidRPr="005742C8">
        <w:rPr>
          <w:b/>
          <w:kern w:val="2"/>
          <w:lang w:val="en-GB" w:eastAsia="zh-CN"/>
        </w:rPr>
        <w:t xml:space="preserve">: </w:t>
      </w:r>
      <w:r>
        <w:rPr>
          <w:b/>
          <w:kern w:val="2"/>
          <w:lang w:val="en-GB" w:eastAsia="zh-CN"/>
        </w:rPr>
        <w:t xml:space="preserve">Fast fading results are considerably different in case antennas </w:t>
      </w:r>
      <w:r w:rsidR="003365CF">
        <w:rPr>
          <w:b/>
          <w:kern w:val="2"/>
          <w:lang w:val="en-GB" w:eastAsia="zh-CN"/>
        </w:rPr>
        <w:t xml:space="preserve">are </w:t>
      </w:r>
      <w:r>
        <w:rPr>
          <w:b/>
          <w:kern w:val="2"/>
          <w:lang w:val="en-GB" w:eastAsia="zh-CN"/>
        </w:rPr>
        <w:t>mounted at different locations on the vehicle.</w:t>
      </w:r>
      <w:r w:rsidRPr="003C5769">
        <w:rPr>
          <w:b/>
          <w:kern w:val="2"/>
          <w:lang w:val="en-GB" w:eastAsia="zh-CN"/>
        </w:rPr>
        <w:t xml:space="preserve"> </w:t>
      </w:r>
    </w:p>
    <w:p w:rsidR="005D0813" w:rsidRDefault="006E7406" w:rsidP="005D0813">
      <w:pPr>
        <w:pStyle w:val="Heading1"/>
      </w:pPr>
      <w:r w:rsidRPr="00CF195E">
        <w:t>Conclusions</w:t>
      </w:r>
    </w:p>
    <w:p w:rsidR="005D0813" w:rsidRDefault="005D0813" w:rsidP="005D0813">
      <w:pPr>
        <w:spacing w:before="240"/>
      </w:pPr>
      <w:r>
        <w:t xml:space="preserve">In this contribution we provide our views </w:t>
      </w:r>
      <w:r w:rsidRPr="00A21D9E">
        <w:t>regarding the</w:t>
      </w:r>
      <w:r>
        <w:t xml:space="preserve"> channel models and distributed antenna panels </w:t>
      </w:r>
      <w:r w:rsidRPr="00A21D9E">
        <w:t>to support various</w:t>
      </w:r>
      <w:r>
        <w:t xml:space="preserve"> advanced</w:t>
      </w:r>
      <w:r w:rsidRPr="00A21D9E">
        <w:t xml:space="preserve"> V2X services</w:t>
      </w:r>
      <w:r>
        <w:t xml:space="preserve">. Based on the discussion the following </w:t>
      </w:r>
      <w:r w:rsidR="00D50FED">
        <w:t xml:space="preserve">observations and </w:t>
      </w:r>
      <w:r>
        <w:t xml:space="preserve">proposal </w:t>
      </w:r>
      <w:r w:rsidR="00D50FED">
        <w:t>are</w:t>
      </w:r>
      <w:r>
        <w:t xml:space="preserve"> made:</w:t>
      </w:r>
    </w:p>
    <w:p w:rsidR="005D0813" w:rsidRDefault="005D0813" w:rsidP="005D0813">
      <w:pPr>
        <w:rPr>
          <w:b/>
          <w:kern w:val="2"/>
          <w:lang w:val="en-GB" w:eastAsia="zh-CN"/>
        </w:rPr>
      </w:pPr>
      <w:r>
        <w:rPr>
          <w:b/>
          <w:kern w:val="2"/>
          <w:lang w:val="en-GB" w:eastAsia="zh-CN"/>
        </w:rPr>
        <w:t xml:space="preserve">Observation </w:t>
      </w:r>
      <w:r w:rsidRPr="005742C8">
        <w:rPr>
          <w:b/>
          <w:kern w:val="2"/>
          <w:lang w:val="en-GB" w:eastAsia="zh-CN"/>
        </w:rPr>
        <w:t xml:space="preserve">1: </w:t>
      </w:r>
      <w:r>
        <w:rPr>
          <w:b/>
          <w:kern w:val="2"/>
          <w:lang w:val="en-GB" w:eastAsia="zh-CN"/>
        </w:rPr>
        <w:t>Even when the scenario is exactly the same, antennas mounted at different locations on the vehicle exhibit considerably different blockage loss.</w:t>
      </w:r>
      <w:r w:rsidRPr="003C5769">
        <w:rPr>
          <w:b/>
          <w:kern w:val="2"/>
          <w:lang w:val="en-GB" w:eastAsia="zh-CN"/>
        </w:rPr>
        <w:t xml:space="preserve"> </w:t>
      </w:r>
    </w:p>
    <w:p w:rsidR="005D0813" w:rsidRPr="005742C8" w:rsidRDefault="005D0813" w:rsidP="005D0813">
      <w:pPr>
        <w:rPr>
          <w:b/>
          <w:kern w:val="2"/>
          <w:lang w:val="en-GB" w:eastAsia="zh-CN"/>
        </w:rPr>
      </w:pPr>
      <w:r>
        <w:rPr>
          <w:b/>
          <w:kern w:val="2"/>
          <w:lang w:val="en-GB" w:eastAsia="zh-CN"/>
        </w:rPr>
        <w:lastRenderedPageBreak/>
        <w:t>Observation 2</w:t>
      </w:r>
      <w:r w:rsidRPr="005742C8">
        <w:rPr>
          <w:b/>
          <w:kern w:val="2"/>
          <w:lang w:val="en-GB" w:eastAsia="zh-CN"/>
        </w:rPr>
        <w:t xml:space="preserve">: </w:t>
      </w:r>
      <w:r>
        <w:rPr>
          <w:b/>
          <w:kern w:val="2"/>
          <w:lang w:val="en-GB" w:eastAsia="zh-CN"/>
        </w:rPr>
        <w:t xml:space="preserve">Fast fading results are considerably different in case antennas </w:t>
      </w:r>
      <w:r w:rsidR="003365CF">
        <w:rPr>
          <w:b/>
          <w:kern w:val="2"/>
          <w:lang w:val="en-GB" w:eastAsia="zh-CN"/>
        </w:rPr>
        <w:t xml:space="preserve">are </w:t>
      </w:r>
      <w:r>
        <w:rPr>
          <w:b/>
          <w:kern w:val="2"/>
          <w:lang w:val="en-GB" w:eastAsia="zh-CN"/>
        </w:rPr>
        <w:t>mounted at different locations on the vehicle.</w:t>
      </w:r>
      <w:r w:rsidRPr="003C5769">
        <w:rPr>
          <w:b/>
          <w:kern w:val="2"/>
          <w:lang w:val="en-GB" w:eastAsia="zh-CN"/>
        </w:rPr>
        <w:t xml:space="preserve"> </w:t>
      </w:r>
    </w:p>
    <w:p w:rsidR="005D0813" w:rsidRPr="005D0813" w:rsidRDefault="005D0813" w:rsidP="005D0813">
      <w:pPr>
        <w:rPr>
          <w:kern w:val="2"/>
          <w:lang w:val="en-GB" w:eastAsia="zh-CN"/>
        </w:rPr>
      </w:pPr>
    </w:p>
    <w:p w:rsidR="006B1FD5" w:rsidRPr="005742C8" w:rsidRDefault="005742C8" w:rsidP="006B1FD5">
      <w:pPr>
        <w:rPr>
          <w:b/>
          <w:kern w:val="2"/>
          <w:lang w:val="en-GB" w:eastAsia="zh-CN"/>
        </w:rPr>
      </w:pPr>
      <w:r w:rsidRPr="005742C8">
        <w:rPr>
          <w:b/>
          <w:kern w:val="2"/>
          <w:lang w:val="en-GB" w:eastAsia="zh-CN"/>
        </w:rPr>
        <w:t xml:space="preserve">Proposal 1: </w:t>
      </w:r>
      <w:r w:rsidR="003C5769" w:rsidRPr="003C5769">
        <w:rPr>
          <w:b/>
          <w:kern w:val="2"/>
          <w:lang w:val="en-GB" w:eastAsia="zh-CN"/>
        </w:rPr>
        <w:t xml:space="preserve">For both below and above 6 GHz, </w:t>
      </w:r>
      <w:r w:rsidR="003C5769">
        <w:rPr>
          <w:b/>
          <w:kern w:val="2"/>
          <w:lang w:val="en-GB" w:eastAsia="zh-CN"/>
        </w:rPr>
        <w:t xml:space="preserve">support </w:t>
      </w:r>
      <w:r w:rsidR="003C5769" w:rsidRPr="003C5769">
        <w:rPr>
          <w:b/>
          <w:kern w:val="2"/>
          <w:lang w:val="en-GB" w:eastAsia="zh-CN"/>
        </w:rPr>
        <w:t>an option for “</w:t>
      </w:r>
      <w:r w:rsidR="007A3D08">
        <w:rPr>
          <w:b/>
          <w:kern w:val="2"/>
          <w:lang w:val="en-GB" w:eastAsia="zh-CN"/>
        </w:rPr>
        <w:t>multiple</w:t>
      </w:r>
      <w:r w:rsidR="004F7121" w:rsidRPr="00245C63">
        <w:rPr>
          <w:b/>
          <w:kern w:val="2"/>
          <w:lang w:val="en-GB" w:eastAsia="zh-CN"/>
        </w:rPr>
        <w:t xml:space="preserve"> </w:t>
      </w:r>
      <w:r w:rsidR="003C5769" w:rsidRPr="003C5769">
        <w:rPr>
          <w:b/>
          <w:kern w:val="2"/>
          <w:lang w:val="en-GB" w:eastAsia="zh-CN"/>
        </w:rPr>
        <w:t xml:space="preserve">antenna </w:t>
      </w:r>
      <w:r w:rsidR="002A66C7">
        <w:rPr>
          <w:b/>
          <w:kern w:val="2"/>
          <w:lang w:val="en-GB" w:eastAsia="zh-CN"/>
        </w:rPr>
        <w:t xml:space="preserve">location </w:t>
      </w:r>
      <w:r w:rsidR="003C5769" w:rsidRPr="003C5769">
        <w:rPr>
          <w:b/>
          <w:kern w:val="2"/>
          <w:lang w:val="en-GB" w:eastAsia="zh-CN"/>
        </w:rPr>
        <w:t>case”</w:t>
      </w:r>
      <w:r w:rsidR="003C5769">
        <w:rPr>
          <w:b/>
          <w:kern w:val="2"/>
          <w:lang w:val="en-GB" w:eastAsia="zh-CN"/>
        </w:rPr>
        <w:t>.</w:t>
      </w:r>
      <w:r w:rsidR="003C5769" w:rsidRPr="003C5769">
        <w:rPr>
          <w:b/>
          <w:kern w:val="2"/>
          <w:lang w:val="en-GB" w:eastAsia="zh-CN"/>
        </w:rPr>
        <w:t xml:space="preserve"> </w:t>
      </w:r>
    </w:p>
    <w:p w:rsidR="001D780E" w:rsidRPr="00CF195E" w:rsidRDefault="001D780E" w:rsidP="00CF195E">
      <w:pPr>
        <w:pStyle w:val="Heading1"/>
        <w:numPr>
          <w:ilvl w:val="0"/>
          <w:numId w:val="0"/>
        </w:numPr>
        <w:ind w:left="432" w:hanging="432"/>
      </w:pPr>
      <w:bookmarkStart w:id="11" w:name="_Ref124589665"/>
      <w:bookmarkStart w:id="12" w:name="_Ref71620620"/>
      <w:bookmarkStart w:id="13" w:name="_Ref124671424"/>
      <w:r w:rsidRPr="00CF195E">
        <w:t>References</w:t>
      </w:r>
    </w:p>
    <w:p w:rsidR="000E3FCF" w:rsidRPr="000E3FCF" w:rsidRDefault="000E3FCF" w:rsidP="000E3FCF">
      <w:pPr>
        <w:numPr>
          <w:ilvl w:val="0"/>
          <w:numId w:val="41"/>
        </w:numPr>
        <w:tabs>
          <w:tab w:val="left" w:pos="567"/>
        </w:tabs>
        <w:ind w:left="567" w:hanging="567"/>
        <w:rPr>
          <w:rFonts w:eastAsia="MS Mincho"/>
          <w:lang w:eastAsia="ja-JP"/>
        </w:rPr>
      </w:pPr>
      <w:bookmarkStart w:id="14" w:name="_Ref492282945"/>
      <w:bookmarkStart w:id="15" w:name="_Ref167612671"/>
      <w:bookmarkEnd w:id="11"/>
      <w:bookmarkEnd w:id="12"/>
      <w:bookmarkEnd w:id="13"/>
      <w:r w:rsidRPr="00B833D5">
        <w:rPr>
          <w:kern w:val="2"/>
          <w:lang w:val="en-GB" w:eastAsia="zh-CN"/>
        </w:rPr>
        <w:t>RP-17</w:t>
      </w:r>
      <w:r>
        <w:rPr>
          <w:kern w:val="2"/>
          <w:lang w:val="en-GB" w:eastAsia="zh-CN"/>
        </w:rPr>
        <w:t>1093, Study on evaluation methodology of new V2X use cases for LTE and NR, West Palm Beach, USA, June 5 – 8, 2017.</w:t>
      </w:r>
      <w:bookmarkEnd w:id="14"/>
    </w:p>
    <w:p w:rsidR="000E3FCF" w:rsidRDefault="000E3FCF" w:rsidP="000E3FCF">
      <w:pPr>
        <w:numPr>
          <w:ilvl w:val="0"/>
          <w:numId w:val="41"/>
        </w:numPr>
        <w:tabs>
          <w:tab w:val="left" w:pos="567"/>
        </w:tabs>
        <w:ind w:left="567" w:hanging="567"/>
        <w:rPr>
          <w:rFonts w:eastAsia="MS Mincho"/>
          <w:lang w:eastAsia="ja-JP"/>
        </w:rPr>
      </w:pPr>
      <w:bookmarkStart w:id="16" w:name="_Ref508977799"/>
      <w:r w:rsidRPr="000E3FCF">
        <w:rPr>
          <w:rFonts w:eastAsia="MS Mincho"/>
          <w:lang w:eastAsia="ja-JP"/>
        </w:rPr>
        <w:t>RAN1 Chairman’s Notes</w:t>
      </w:r>
      <w:r>
        <w:rPr>
          <w:rFonts w:eastAsia="MS Mincho"/>
          <w:lang w:eastAsia="ja-JP"/>
        </w:rPr>
        <w:t xml:space="preserve">, </w:t>
      </w:r>
      <w:r w:rsidRPr="000E3FCF">
        <w:rPr>
          <w:rFonts w:eastAsia="MS Mincho"/>
          <w:lang w:eastAsia="ja-JP"/>
        </w:rPr>
        <w:t>3GPP TSG RAN WG1 M</w:t>
      </w:r>
      <w:r w:rsidR="002E5EA2">
        <w:rPr>
          <w:rFonts w:eastAsia="MS Mincho"/>
          <w:lang w:eastAsia="ja-JP"/>
        </w:rPr>
        <w:t>eeting #92, Athens, Greece, Feb</w:t>
      </w:r>
      <w:r w:rsidRPr="000E3FCF">
        <w:rPr>
          <w:rFonts w:eastAsia="MS Mincho"/>
          <w:lang w:eastAsia="ja-JP"/>
        </w:rPr>
        <w:t>r</w:t>
      </w:r>
      <w:r w:rsidR="002E5EA2">
        <w:rPr>
          <w:rFonts w:eastAsia="MS Mincho"/>
          <w:lang w:eastAsia="ja-JP"/>
        </w:rPr>
        <w:t>u</w:t>
      </w:r>
      <w:bookmarkStart w:id="17" w:name="_GoBack"/>
      <w:bookmarkEnd w:id="17"/>
      <w:r w:rsidRPr="000E3FCF">
        <w:rPr>
          <w:rFonts w:eastAsia="MS Mincho"/>
          <w:lang w:eastAsia="ja-JP"/>
        </w:rPr>
        <w:t>ary 26th – March 2nd, 2018</w:t>
      </w:r>
      <w:bookmarkEnd w:id="16"/>
    </w:p>
    <w:p w:rsidR="00DE41A7" w:rsidRDefault="00DE41A7" w:rsidP="00DE41A7">
      <w:pPr>
        <w:numPr>
          <w:ilvl w:val="0"/>
          <w:numId w:val="41"/>
        </w:numPr>
        <w:tabs>
          <w:tab w:val="left" w:pos="567"/>
        </w:tabs>
        <w:ind w:left="567" w:hanging="567"/>
        <w:rPr>
          <w:kern w:val="2"/>
          <w:lang w:val="en-GB" w:eastAsia="zh-CN"/>
        </w:rPr>
      </w:pPr>
      <w:bookmarkStart w:id="18" w:name="_Ref505765225"/>
      <w:r>
        <w:rPr>
          <w:rFonts w:eastAsia="MS Mincho"/>
          <w:lang w:eastAsia="ja-JP"/>
        </w:rPr>
        <w:t>R1-</w:t>
      </w:r>
      <w:r w:rsidRPr="00174F44">
        <w:rPr>
          <w:kern w:val="2"/>
          <w:lang w:val="en-GB" w:eastAsia="zh-CN"/>
        </w:rPr>
        <w:t>1801398</w:t>
      </w:r>
      <w:r>
        <w:rPr>
          <w:kern w:val="2"/>
          <w:lang w:val="en-GB" w:eastAsia="zh-CN"/>
        </w:rPr>
        <w:t>, Huawei, HiSilicon, “</w:t>
      </w:r>
      <w:r w:rsidRPr="00EB69BD">
        <w:rPr>
          <w:kern w:val="2"/>
          <w:lang w:val="en-GB" w:eastAsia="zh-CN"/>
        </w:rPr>
        <w:t>V2X sidelink measurement results</w:t>
      </w:r>
      <w:r>
        <w:rPr>
          <w:kern w:val="2"/>
          <w:lang w:val="en-GB" w:eastAsia="zh-CN"/>
        </w:rPr>
        <w:t xml:space="preserve">”, Athens, Greece, </w:t>
      </w:r>
      <w:r w:rsidRPr="00EB69BD">
        <w:rPr>
          <w:kern w:val="2"/>
          <w:lang w:val="en-GB" w:eastAsia="zh-CN"/>
        </w:rPr>
        <w:t>February 26 – March 2, 2</w:t>
      </w:r>
      <w:r w:rsidRPr="00A272D2">
        <w:rPr>
          <w:kern w:val="2"/>
          <w:lang w:val="en-GB" w:eastAsia="zh-CN"/>
        </w:rPr>
        <w:t>018.</w:t>
      </w:r>
      <w:bookmarkEnd w:id="18"/>
    </w:p>
    <w:p w:rsidR="00B84370" w:rsidRDefault="00B84370" w:rsidP="00B84370">
      <w:pPr>
        <w:numPr>
          <w:ilvl w:val="0"/>
          <w:numId w:val="41"/>
        </w:numPr>
        <w:tabs>
          <w:tab w:val="left" w:pos="567"/>
        </w:tabs>
        <w:rPr>
          <w:kern w:val="2"/>
          <w:lang w:val="en-GB" w:eastAsia="zh-CN"/>
        </w:rPr>
      </w:pPr>
      <w:bookmarkStart w:id="19" w:name="_Ref509311313"/>
      <w:r w:rsidRPr="00A13676">
        <w:rPr>
          <w:kern w:val="2"/>
          <w:lang w:val="en-GB" w:eastAsia="zh-CN"/>
        </w:rPr>
        <w:t>3GPP TS 38.214 V15.0.0 (2017-12)</w:t>
      </w:r>
      <w:bookmarkEnd w:id="19"/>
    </w:p>
    <w:bookmarkEnd w:id="2"/>
    <w:bookmarkEnd w:id="15"/>
    <w:p w:rsidR="00B84370" w:rsidRPr="00A272D2" w:rsidRDefault="00B84370" w:rsidP="00B84370">
      <w:pPr>
        <w:tabs>
          <w:tab w:val="left" w:pos="567"/>
        </w:tabs>
        <w:rPr>
          <w:kern w:val="2"/>
          <w:lang w:val="en-GB" w:eastAsia="zh-CN"/>
        </w:rPr>
      </w:pPr>
    </w:p>
    <w:sectPr w:rsidR="00B84370" w:rsidRPr="00A272D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E11" w:rsidRDefault="00A75E11">
      <w:r>
        <w:separator/>
      </w:r>
    </w:p>
  </w:endnote>
  <w:endnote w:type="continuationSeparator" w:id="0">
    <w:p w:rsidR="00A75E11" w:rsidRDefault="00A75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E11" w:rsidRDefault="00A75E11">
      <w:r>
        <w:separator/>
      </w:r>
    </w:p>
  </w:footnote>
  <w:footnote w:type="continuationSeparator" w:id="0">
    <w:p w:rsidR="00A75E11" w:rsidRDefault="00A75E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CA307C9"/>
    <w:multiLevelType w:val="hybridMultilevel"/>
    <w:tmpl w:val="541AD748"/>
    <w:lvl w:ilvl="0" w:tplc="0790936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82347"/>
    <w:multiLevelType w:val="hybridMultilevel"/>
    <w:tmpl w:val="05A86446"/>
    <w:lvl w:ilvl="0" w:tplc="62EC54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6A65A67"/>
    <w:multiLevelType w:val="hybridMultilevel"/>
    <w:tmpl w:val="D2468802"/>
    <w:lvl w:ilvl="0" w:tplc="B72A5308">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B0940FE"/>
    <w:multiLevelType w:val="hybridMultilevel"/>
    <w:tmpl w:val="2D90419C"/>
    <w:lvl w:ilvl="0" w:tplc="4418BDBE">
      <w:start w:val="1"/>
      <w:numFmt w:val="bullet"/>
      <w:lvlText w:val=""/>
      <w:lvlJc w:val="left"/>
      <w:pPr>
        <w:ind w:left="368" w:hanging="400"/>
      </w:pPr>
      <w:rPr>
        <w:rFonts w:ascii="Wingdings" w:hAnsi="Wingdings" w:hint="default"/>
      </w:rPr>
    </w:lvl>
    <w:lvl w:ilvl="1" w:tplc="04090003">
      <w:start w:val="1"/>
      <w:numFmt w:val="bullet"/>
      <w:lvlText w:val=""/>
      <w:lvlJc w:val="left"/>
      <w:pPr>
        <w:ind w:left="768" w:hanging="400"/>
      </w:pPr>
      <w:rPr>
        <w:rFonts w:ascii="Wingdings" w:hAnsi="Wingdings" w:hint="default"/>
      </w:rPr>
    </w:lvl>
    <w:lvl w:ilvl="2" w:tplc="04090005" w:tentative="1">
      <w:start w:val="1"/>
      <w:numFmt w:val="bullet"/>
      <w:lvlText w:val=""/>
      <w:lvlJc w:val="left"/>
      <w:pPr>
        <w:ind w:left="1168" w:hanging="400"/>
      </w:pPr>
      <w:rPr>
        <w:rFonts w:ascii="Wingdings" w:hAnsi="Wingdings" w:hint="default"/>
      </w:rPr>
    </w:lvl>
    <w:lvl w:ilvl="3" w:tplc="04090001" w:tentative="1">
      <w:start w:val="1"/>
      <w:numFmt w:val="bullet"/>
      <w:lvlText w:val=""/>
      <w:lvlJc w:val="left"/>
      <w:pPr>
        <w:ind w:left="1568" w:hanging="400"/>
      </w:pPr>
      <w:rPr>
        <w:rFonts w:ascii="Wingdings" w:hAnsi="Wingdings" w:hint="default"/>
      </w:rPr>
    </w:lvl>
    <w:lvl w:ilvl="4" w:tplc="04090003" w:tentative="1">
      <w:start w:val="1"/>
      <w:numFmt w:val="bullet"/>
      <w:lvlText w:val=""/>
      <w:lvlJc w:val="left"/>
      <w:pPr>
        <w:ind w:left="1968" w:hanging="400"/>
      </w:pPr>
      <w:rPr>
        <w:rFonts w:ascii="Wingdings" w:hAnsi="Wingdings" w:hint="default"/>
      </w:rPr>
    </w:lvl>
    <w:lvl w:ilvl="5" w:tplc="04090005" w:tentative="1">
      <w:start w:val="1"/>
      <w:numFmt w:val="bullet"/>
      <w:lvlText w:val=""/>
      <w:lvlJc w:val="left"/>
      <w:pPr>
        <w:ind w:left="2368" w:hanging="400"/>
      </w:pPr>
      <w:rPr>
        <w:rFonts w:ascii="Wingdings" w:hAnsi="Wingdings" w:hint="default"/>
      </w:rPr>
    </w:lvl>
    <w:lvl w:ilvl="6" w:tplc="04090001" w:tentative="1">
      <w:start w:val="1"/>
      <w:numFmt w:val="bullet"/>
      <w:lvlText w:val=""/>
      <w:lvlJc w:val="left"/>
      <w:pPr>
        <w:ind w:left="2768" w:hanging="400"/>
      </w:pPr>
      <w:rPr>
        <w:rFonts w:ascii="Wingdings" w:hAnsi="Wingdings" w:hint="default"/>
      </w:rPr>
    </w:lvl>
    <w:lvl w:ilvl="7" w:tplc="04090003" w:tentative="1">
      <w:start w:val="1"/>
      <w:numFmt w:val="bullet"/>
      <w:lvlText w:val=""/>
      <w:lvlJc w:val="left"/>
      <w:pPr>
        <w:ind w:left="3168" w:hanging="400"/>
      </w:pPr>
      <w:rPr>
        <w:rFonts w:ascii="Wingdings" w:hAnsi="Wingdings" w:hint="default"/>
      </w:rPr>
    </w:lvl>
    <w:lvl w:ilvl="8" w:tplc="04090005" w:tentative="1">
      <w:start w:val="1"/>
      <w:numFmt w:val="bullet"/>
      <w:lvlText w:val=""/>
      <w:lvlJc w:val="left"/>
      <w:pPr>
        <w:ind w:left="3568" w:hanging="40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0"/>
  </w:num>
  <w:num w:numId="3">
    <w:abstractNumId w:val="19"/>
  </w:num>
  <w:num w:numId="4">
    <w:abstractNumId w:val="17"/>
  </w:num>
  <w:num w:numId="5">
    <w:abstractNumId w:val="10"/>
  </w:num>
  <w:num w:numId="6">
    <w:abstractNumId w:val="31"/>
  </w:num>
  <w:num w:numId="7">
    <w:abstractNumId w:val="18"/>
  </w:num>
  <w:num w:numId="8">
    <w:abstractNumId w:val="24"/>
  </w:num>
  <w:num w:numId="9">
    <w:abstractNumId w:val="29"/>
  </w:num>
  <w:num w:numId="10">
    <w:abstractNumId w:val="30"/>
  </w:num>
  <w:num w:numId="11">
    <w:abstractNumId w:val="33"/>
  </w:num>
  <w:num w:numId="12">
    <w:abstractNumId w:val="15"/>
  </w:num>
  <w:num w:numId="13">
    <w:abstractNumId w:val="26"/>
  </w:num>
  <w:num w:numId="14">
    <w:abstractNumId w:val="25"/>
  </w:num>
  <w:num w:numId="15">
    <w:abstractNumId w:val="22"/>
  </w:num>
  <w:num w:numId="16">
    <w:abstractNumId w:val="13"/>
  </w:num>
  <w:num w:numId="17">
    <w:abstractNumId w:val="21"/>
  </w:num>
  <w:num w:numId="18">
    <w:abstractNumId w:val="14"/>
  </w:num>
  <w:num w:numId="19">
    <w:abstractNumId w:val="12"/>
  </w:num>
  <w:num w:numId="20">
    <w:abstractNumId w:val="28"/>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27"/>
  </w:num>
  <w:num w:numId="39">
    <w:abstractNumId w:val="16"/>
  </w:num>
  <w:num w:numId="40">
    <w:abstractNumId w:val="9"/>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3939"/>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3FC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27316"/>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B45"/>
    <w:rsid w:val="00177FC1"/>
    <w:rsid w:val="001815A2"/>
    <w:rsid w:val="00181FC1"/>
    <w:rsid w:val="00183034"/>
    <w:rsid w:val="001830F7"/>
    <w:rsid w:val="00183EE6"/>
    <w:rsid w:val="0018588A"/>
    <w:rsid w:val="00187252"/>
    <w:rsid w:val="00191C91"/>
    <w:rsid w:val="00192DD9"/>
    <w:rsid w:val="00193926"/>
    <w:rsid w:val="00194339"/>
    <w:rsid w:val="00194848"/>
    <w:rsid w:val="001958EA"/>
    <w:rsid w:val="00195E0E"/>
    <w:rsid w:val="001A180D"/>
    <w:rsid w:val="001A1BAC"/>
    <w:rsid w:val="001A23CE"/>
    <w:rsid w:val="001A2C89"/>
    <w:rsid w:val="001A673E"/>
    <w:rsid w:val="001A6B54"/>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D60"/>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C63"/>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6C7"/>
    <w:rsid w:val="002A6F25"/>
    <w:rsid w:val="002A6FD3"/>
    <w:rsid w:val="002B0A7D"/>
    <w:rsid w:val="002B1A69"/>
    <w:rsid w:val="002B2723"/>
    <w:rsid w:val="002B303A"/>
    <w:rsid w:val="002B3C65"/>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5EA2"/>
    <w:rsid w:val="002E63D9"/>
    <w:rsid w:val="002E640E"/>
    <w:rsid w:val="002F0C28"/>
    <w:rsid w:val="002F3CDE"/>
    <w:rsid w:val="002F5DD6"/>
    <w:rsid w:val="002F5FEA"/>
    <w:rsid w:val="002F63E7"/>
    <w:rsid w:val="002F7BE3"/>
    <w:rsid w:val="002F7E6A"/>
    <w:rsid w:val="00300165"/>
    <w:rsid w:val="00300A36"/>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365CF"/>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769"/>
    <w:rsid w:val="003C5E6B"/>
    <w:rsid w:val="003C7AD7"/>
    <w:rsid w:val="003D0FC3"/>
    <w:rsid w:val="003D2C1D"/>
    <w:rsid w:val="003D2C34"/>
    <w:rsid w:val="003D3DDD"/>
    <w:rsid w:val="003D5CBF"/>
    <w:rsid w:val="003D66D2"/>
    <w:rsid w:val="003E07AE"/>
    <w:rsid w:val="003E14FC"/>
    <w:rsid w:val="003E2976"/>
    <w:rsid w:val="003E3232"/>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1B9A"/>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5EA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3BD4"/>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121"/>
    <w:rsid w:val="004F7528"/>
    <w:rsid w:val="004F7BCA"/>
    <w:rsid w:val="004F7D89"/>
    <w:rsid w:val="005000F4"/>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2C8"/>
    <w:rsid w:val="005743DE"/>
    <w:rsid w:val="00574F3F"/>
    <w:rsid w:val="0057562C"/>
    <w:rsid w:val="005759F6"/>
    <w:rsid w:val="00575E3E"/>
    <w:rsid w:val="005765F5"/>
    <w:rsid w:val="00576D6C"/>
    <w:rsid w:val="00577A2E"/>
    <w:rsid w:val="00580E48"/>
    <w:rsid w:val="00580F0A"/>
    <w:rsid w:val="00581246"/>
    <w:rsid w:val="005822F9"/>
    <w:rsid w:val="00582C3A"/>
    <w:rsid w:val="00582E1A"/>
    <w:rsid w:val="00583147"/>
    <w:rsid w:val="00584416"/>
    <w:rsid w:val="00584B39"/>
    <w:rsid w:val="00585028"/>
    <w:rsid w:val="005854D1"/>
    <w:rsid w:val="00585F5B"/>
    <w:rsid w:val="0058620A"/>
    <w:rsid w:val="00586ABF"/>
    <w:rsid w:val="00587FC0"/>
    <w:rsid w:val="005906AD"/>
    <w:rsid w:val="00590DA6"/>
    <w:rsid w:val="00591C7D"/>
    <w:rsid w:val="00592B03"/>
    <w:rsid w:val="00593AB9"/>
    <w:rsid w:val="00594ABB"/>
    <w:rsid w:val="00594D1C"/>
    <w:rsid w:val="00594E36"/>
    <w:rsid w:val="00594EC4"/>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7F4"/>
    <w:rsid w:val="005B2B77"/>
    <w:rsid w:val="005B3D4A"/>
    <w:rsid w:val="005B4D87"/>
    <w:rsid w:val="005B7DD1"/>
    <w:rsid w:val="005C00A0"/>
    <w:rsid w:val="005C28FA"/>
    <w:rsid w:val="005C40F4"/>
    <w:rsid w:val="005C43BE"/>
    <w:rsid w:val="005C44F3"/>
    <w:rsid w:val="005C712D"/>
    <w:rsid w:val="005C7C75"/>
    <w:rsid w:val="005D0813"/>
    <w:rsid w:val="005D0E4F"/>
    <w:rsid w:val="005D1E32"/>
    <w:rsid w:val="005D206B"/>
    <w:rsid w:val="005D22B7"/>
    <w:rsid w:val="005D2BDE"/>
    <w:rsid w:val="005D3D76"/>
    <w:rsid w:val="005D411E"/>
    <w:rsid w:val="005D4578"/>
    <w:rsid w:val="005D4EFA"/>
    <w:rsid w:val="005D55BA"/>
    <w:rsid w:val="005D5ADB"/>
    <w:rsid w:val="005D648A"/>
    <w:rsid w:val="005D7684"/>
    <w:rsid w:val="005D7E0D"/>
    <w:rsid w:val="005E234A"/>
    <w:rsid w:val="005E35CC"/>
    <w:rsid w:val="005E371E"/>
    <w:rsid w:val="005E53F9"/>
    <w:rsid w:val="005E775D"/>
    <w:rsid w:val="005F0A43"/>
    <w:rsid w:val="005F21F2"/>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CF8"/>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2F06"/>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406"/>
    <w:rsid w:val="006E7652"/>
    <w:rsid w:val="006E799D"/>
    <w:rsid w:val="006F0593"/>
    <w:rsid w:val="006F1064"/>
    <w:rsid w:val="006F1EB7"/>
    <w:rsid w:val="006F52E5"/>
    <w:rsid w:val="006F6066"/>
    <w:rsid w:val="006F6850"/>
    <w:rsid w:val="006F707E"/>
    <w:rsid w:val="006F71DD"/>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106"/>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6CC3"/>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505"/>
    <w:rsid w:val="0078285F"/>
    <w:rsid w:val="00783207"/>
    <w:rsid w:val="00783E1D"/>
    <w:rsid w:val="0078483B"/>
    <w:rsid w:val="00784EED"/>
    <w:rsid w:val="00785900"/>
    <w:rsid w:val="00786958"/>
    <w:rsid w:val="00786E71"/>
    <w:rsid w:val="0079162F"/>
    <w:rsid w:val="00792C8A"/>
    <w:rsid w:val="00794924"/>
    <w:rsid w:val="007A0BC2"/>
    <w:rsid w:val="007A1F44"/>
    <w:rsid w:val="007A23FF"/>
    <w:rsid w:val="007A295B"/>
    <w:rsid w:val="007A3424"/>
    <w:rsid w:val="007A35EF"/>
    <w:rsid w:val="007A3D08"/>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166F"/>
    <w:rsid w:val="008221B3"/>
    <w:rsid w:val="0082248E"/>
    <w:rsid w:val="00824FDF"/>
    <w:rsid w:val="00825125"/>
    <w:rsid w:val="008257CC"/>
    <w:rsid w:val="008274BF"/>
    <w:rsid w:val="00827FFC"/>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0AB"/>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43A"/>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9AC"/>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66783"/>
    <w:rsid w:val="009709F8"/>
    <w:rsid w:val="00972929"/>
    <w:rsid w:val="00972F91"/>
    <w:rsid w:val="00973827"/>
    <w:rsid w:val="009742D3"/>
    <w:rsid w:val="00974C30"/>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1FBB"/>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3378"/>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0FDF"/>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1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E4D"/>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60C6"/>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437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679"/>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166"/>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070E4"/>
    <w:rsid w:val="00C1112B"/>
    <w:rsid w:val="00C11A88"/>
    <w:rsid w:val="00C1200B"/>
    <w:rsid w:val="00C12012"/>
    <w:rsid w:val="00C12874"/>
    <w:rsid w:val="00C12BC1"/>
    <w:rsid w:val="00C13BDA"/>
    <w:rsid w:val="00C13FFD"/>
    <w:rsid w:val="00C14632"/>
    <w:rsid w:val="00C16C30"/>
    <w:rsid w:val="00C203E8"/>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18E"/>
    <w:rsid w:val="00C62CD5"/>
    <w:rsid w:val="00C636E6"/>
    <w:rsid w:val="00C639D6"/>
    <w:rsid w:val="00C63F8E"/>
    <w:rsid w:val="00C647FB"/>
    <w:rsid w:val="00C654E0"/>
    <w:rsid w:val="00C67298"/>
    <w:rsid w:val="00C67EAB"/>
    <w:rsid w:val="00C70DFF"/>
    <w:rsid w:val="00C75A6B"/>
    <w:rsid w:val="00C763B6"/>
    <w:rsid w:val="00C7644F"/>
    <w:rsid w:val="00C768F6"/>
    <w:rsid w:val="00C80073"/>
    <w:rsid w:val="00C80772"/>
    <w:rsid w:val="00C80DEA"/>
    <w:rsid w:val="00C823FD"/>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71F"/>
    <w:rsid w:val="00CF195E"/>
    <w:rsid w:val="00CF19DA"/>
    <w:rsid w:val="00CF1C7F"/>
    <w:rsid w:val="00CF1CC0"/>
    <w:rsid w:val="00CF24F8"/>
    <w:rsid w:val="00CF2653"/>
    <w:rsid w:val="00CF4247"/>
    <w:rsid w:val="00CF5263"/>
    <w:rsid w:val="00CF60B5"/>
    <w:rsid w:val="00CF7D9D"/>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7284"/>
    <w:rsid w:val="00D437D8"/>
    <w:rsid w:val="00D44994"/>
    <w:rsid w:val="00D45DF3"/>
    <w:rsid w:val="00D46174"/>
    <w:rsid w:val="00D47DD0"/>
    <w:rsid w:val="00D50183"/>
    <w:rsid w:val="00D50FED"/>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04"/>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7B5"/>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06B"/>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41A7"/>
    <w:rsid w:val="00DE52E3"/>
    <w:rsid w:val="00DE7C00"/>
    <w:rsid w:val="00DF03E9"/>
    <w:rsid w:val="00DF03ED"/>
    <w:rsid w:val="00DF04EE"/>
    <w:rsid w:val="00DF0BF4"/>
    <w:rsid w:val="00DF179D"/>
    <w:rsid w:val="00DF1E9C"/>
    <w:rsid w:val="00DF2791"/>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270F0"/>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77E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5FC0"/>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35A"/>
    <w:rsid w:val="00F61FD8"/>
    <w:rsid w:val="00F62DBF"/>
    <w:rsid w:val="00F641FC"/>
    <w:rsid w:val="00F647F7"/>
    <w:rsid w:val="00F6583C"/>
    <w:rsid w:val="00F6589A"/>
    <w:rsid w:val="00F67113"/>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D0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656D57-C5A4-4618-B644-B6B0F9E50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spacing w:before="120"/>
      <w:outlineLvl w:val="1"/>
    </w:pPr>
    <w:rPr>
      <w:b/>
      <w:bCs/>
      <w:sz w:val="24"/>
    </w:rPr>
  </w:style>
  <w:style w:type="paragraph" w:styleId="Heading3">
    <w:name w:val="heading 3"/>
    <w:basedOn w:val="Normal"/>
    <w:next w:val="Normal"/>
    <w:link w:val="Heading3Char"/>
    <w:qFormat/>
    <w:pPr>
      <w:keepNext/>
      <w:numPr>
        <w:ilvl w:val="2"/>
        <w:numId w:val="3"/>
      </w:numPr>
      <w:tabs>
        <w:tab w:val="clear" w:pos="720"/>
      </w:tabs>
      <w:spacing w:before="120"/>
      <w:outlineLvl w:val="2"/>
    </w:pPr>
    <w:rPr>
      <w:b/>
      <w:lang w:val="x-none" w:eastAsia="x-none"/>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题注 Char Char Char Char Char,题注 Char Char Char Char Char Char Char Char Char,题注 Char Char Char Char1,题注 Char Char Char Char Char Char Char Char1,Caption Char1 Char Char,cap Char Char1 Char,Caption Char Char1 Char Char,题注1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customStyle="1" w:styleId="Heading3Char">
    <w:name w:val="Heading 3 Char"/>
    <w:link w:val="Heading3"/>
    <w:rsid w:val="00475EAF"/>
    <w:rPr>
      <w:b/>
      <w:sz w:val="22"/>
      <w:szCs w:val="22"/>
    </w:rPr>
  </w:style>
  <w:style w:type="character" w:styleId="CommentReference">
    <w:name w:val="annotation reference"/>
    <w:rsid w:val="005B27F4"/>
    <w:rPr>
      <w:kern w:val="2"/>
      <w:sz w:val="16"/>
      <w:szCs w:val="16"/>
      <w:lang w:val="en-GB" w:eastAsia="zh-CN" w:bidi="ar-SA"/>
    </w:rPr>
  </w:style>
  <w:style w:type="paragraph" w:styleId="CommentText">
    <w:name w:val="annotation text"/>
    <w:basedOn w:val="Normal"/>
    <w:link w:val="CommentTextChar"/>
    <w:rsid w:val="005B27F4"/>
    <w:rPr>
      <w:kern w:val="2"/>
      <w:sz w:val="20"/>
      <w:szCs w:val="20"/>
      <w:lang w:val="en-GB"/>
    </w:rPr>
  </w:style>
  <w:style w:type="character" w:customStyle="1" w:styleId="CommentTextChar">
    <w:name w:val="Comment Text Char"/>
    <w:link w:val="CommentText"/>
    <w:rsid w:val="005B27F4"/>
    <w:rPr>
      <w:kern w:val="2"/>
      <w:lang w:val="en-GB" w:eastAsia="en-US" w:bidi="ar-SA"/>
    </w:rPr>
  </w:style>
  <w:style w:type="paragraph" w:styleId="CommentSubject">
    <w:name w:val="annotation subject"/>
    <w:basedOn w:val="CommentText"/>
    <w:next w:val="CommentText"/>
    <w:link w:val="CommentSubjectChar"/>
    <w:rsid w:val="005B27F4"/>
    <w:rPr>
      <w:b/>
      <w:bCs/>
    </w:rPr>
  </w:style>
  <w:style w:type="character" w:customStyle="1" w:styleId="CommentSubjectChar">
    <w:name w:val="Comment Subject Char"/>
    <w:link w:val="CommentSubject"/>
    <w:rsid w:val="005B27F4"/>
    <w:rPr>
      <w:b/>
      <w:bCs/>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03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8E190-A111-49D0-B9A6-CBB5ECF4A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1467</Words>
  <Characters>8367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philippe sartori</cp:lastModifiedBy>
  <cp:revision>4</cp:revision>
  <cp:lastPrinted>2007-06-18T22:08:00Z</cp:lastPrinted>
  <dcterms:created xsi:type="dcterms:W3CDTF">2018-04-05T15:28:00Z</dcterms:created>
  <dcterms:modified xsi:type="dcterms:W3CDTF">2018-04-06T14:15:00Z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(3)+jOI77Lw6njqFQ2uKRWKyWvpcIlPyDC5ocyI92LQupFFmrivNDH8zG2k05O36ZtZUInR1gOS
dcU+lOyRQcv3Otmf9/j/uYcpnwR8kQidGXU0+c43CBgJnrSbpHRYpEKysZZFC3p6oezvoMux
u9LkroYbGJnfqte8Ea14cBuje7k0Czs7dZxN1zfYhSToUUCAeK4IBizNB6pfrtekgdtOjewa
+gxBrZAtQfuKN78IZI</vt:lpwstr>
  </property>
  <property fmtid="{D5CDD505-2E9C-101B-9397-08002B2CF9AE}" pid="13" name="_2015_ms_pID_725343_00">
    <vt:lpwstr>_2015_ms_pID_725343</vt:lpwstr>
  </property>
  <property fmtid="{D5CDD505-2E9C-101B-9397-08002B2CF9AE}" pid="14" name="_2015_ms_pID_7253431">
    <vt:lpwstr>ZAIu5SkfnsnaNu1My4MMXXpXjnVNMOOw8Ey2s0uyCPQZ3tLxLGwu/n
ifjbrKJu2VZ4SmKiSX6qcgIa5lFTSq7fcJRewEFBgRc/iwdhcdU3T71BYHnNg4ShST6weBZT
LrSe+g5931WrVL8it0XfUWMQmSpnYwM3NTCosXTgd+TFhnFiiXl00kbAO2ZDYxWpnWIaifNl
BFL+zkOa5zA1V+juhK5XJriQ8jSL5I7vjQhx</vt:lpwstr>
  </property>
  <property fmtid="{D5CDD505-2E9C-101B-9397-08002B2CF9AE}" pid="15" name="_2015_ms_pID_7253431_00">
    <vt:lpwstr>_2015_ms_pID_7253431</vt:lpwstr>
  </property>
  <property fmtid="{D5CDD505-2E9C-101B-9397-08002B2CF9AE}" pid="16" name="_2015_ms_pID_7253432">
    <vt:lpwstr>3/SemfZm8cAc7wnHjyU5wIMCy/RDQV7ktMZ3
wq5ZrsTW1pBFwk/m5DDLQgVbGqEqfg==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1522846136</vt:lpwstr>
  </property>
</Properties>
</file>