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EF6" w:rsidRPr="00155E5A" w:rsidRDefault="00865EF6" w:rsidP="00865EF6">
      <w:pPr>
        <w:tabs>
          <w:tab w:val="center" w:pos="4536"/>
          <w:tab w:val="right" w:pos="9639"/>
          <w:tab w:val="right" w:pos="9781"/>
        </w:tabs>
        <w:ind w:right="-58"/>
        <w:rPr>
          <w:rFonts w:ascii="Arial" w:hAnsi="Arial" w:cs="Arial"/>
          <w:b/>
          <w:bCs/>
          <w:sz w:val="24"/>
          <w:lang w:eastAsia="ja-JP"/>
        </w:rPr>
      </w:pPr>
      <w:r w:rsidRPr="00155E5A">
        <w:rPr>
          <w:rFonts w:ascii="Arial" w:hAnsi="Arial" w:cs="Arial"/>
          <w:b/>
          <w:bCs/>
          <w:sz w:val="24"/>
        </w:rPr>
        <w:t>3GPP TSG RAN WG1 Meeting</w:t>
      </w:r>
      <w:r>
        <w:rPr>
          <w:rFonts w:ascii="Arial" w:hAnsi="Arial" w:cs="Arial"/>
          <w:b/>
          <w:bCs/>
          <w:sz w:val="24"/>
        </w:rPr>
        <w:t xml:space="preserve"> </w:t>
      </w:r>
      <w:r w:rsidR="00A1597D">
        <w:rPr>
          <w:rFonts w:ascii="Arial" w:hAnsi="Arial" w:cs="Arial"/>
          <w:b/>
          <w:bCs/>
          <w:sz w:val="24"/>
        </w:rPr>
        <w:t>#9</w:t>
      </w:r>
      <w:r w:rsidR="00450363">
        <w:rPr>
          <w:rFonts w:ascii="Arial" w:hAnsi="Arial" w:cs="Arial"/>
          <w:b/>
          <w:bCs/>
          <w:sz w:val="24"/>
        </w:rPr>
        <w:t>1</w:t>
      </w:r>
      <w:r w:rsidRPr="00155E5A">
        <w:rPr>
          <w:rFonts w:ascii="Arial" w:hAnsi="Arial" w:cs="Arial"/>
          <w:b/>
          <w:bCs/>
          <w:sz w:val="24"/>
        </w:rPr>
        <w:tab/>
      </w:r>
      <w:r>
        <w:rPr>
          <w:rFonts w:ascii="Arial" w:hAnsi="Arial" w:cs="Arial"/>
          <w:b/>
          <w:bCs/>
          <w:sz w:val="24"/>
        </w:rPr>
        <w:tab/>
      </w:r>
      <w:r w:rsidR="00057761" w:rsidRPr="00057761">
        <w:rPr>
          <w:rFonts w:ascii="Arial" w:hAnsi="Arial" w:cs="Arial"/>
          <w:b/>
          <w:bCs/>
          <w:sz w:val="24"/>
        </w:rPr>
        <w:t>R1-1720911</w:t>
      </w:r>
    </w:p>
    <w:p w:rsidR="00865EF6" w:rsidRPr="00155E5A" w:rsidRDefault="00450363" w:rsidP="00865EF6">
      <w:pPr>
        <w:tabs>
          <w:tab w:val="center" w:pos="4536"/>
          <w:tab w:val="right" w:pos="9072"/>
        </w:tabs>
        <w:rPr>
          <w:rFonts w:ascii="Arial" w:hAnsi="Arial" w:cs="Arial"/>
          <w:b/>
          <w:bCs/>
          <w:sz w:val="24"/>
          <w:lang w:eastAsia="ja-JP"/>
        </w:rPr>
      </w:pPr>
      <w:r>
        <w:rPr>
          <w:rFonts w:ascii="Arial" w:hAnsi="Arial" w:cs="Arial"/>
          <w:b/>
          <w:bCs/>
          <w:sz w:val="24"/>
          <w:lang w:eastAsia="ja-JP"/>
        </w:rPr>
        <w:t>Reno</w:t>
      </w:r>
      <w:r w:rsidR="00865EF6" w:rsidRPr="00155E5A">
        <w:rPr>
          <w:rFonts w:ascii="Arial" w:hAnsi="Arial" w:cs="Arial"/>
          <w:b/>
          <w:bCs/>
          <w:sz w:val="24"/>
        </w:rPr>
        <w:t xml:space="preserve">, </w:t>
      </w:r>
      <w:r>
        <w:rPr>
          <w:rFonts w:ascii="Arial" w:hAnsi="Arial" w:cs="Arial"/>
          <w:b/>
          <w:bCs/>
          <w:sz w:val="24"/>
        </w:rPr>
        <w:t>USA</w:t>
      </w:r>
      <w:r w:rsidR="00865EF6" w:rsidRPr="00155E5A">
        <w:rPr>
          <w:rFonts w:ascii="Arial" w:hAnsi="Arial" w:cs="Arial"/>
          <w:b/>
          <w:bCs/>
          <w:sz w:val="24"/>
        </w:rPr>
        <w:t xml:space="preserve">, </w:t>
      </w:r>
      <w:r>
        <w:rPr>
          <w:rFonts w:ascii="Arial" w:hAnsi="Arial" w:cs="Arial"/>
          <w:b/>
          <w:bCs/>
          <w:sz w:val="24"/>
        </w:rPr>
        <w:t xml:space="preserve">November </w:t>
      </w:r>
      <w:r>
        <w:rPr>
          <w:rFonts w:ascii="Arial" w:hAnsi="Arial" w:cs="Arial"/>
          <w:b/>
          <w:bCs/>
          <w:sz w:val="24"/>
          <w:lang w:eastAsia="ja-JP"/>
        </w:rPr>
        <w:t>27</w:t>
      </w:r>
      <w:r w:rsidR="00865EF6">
        <w:rPr>
          <w:rFonts w:ascii="Arial" w:hAnsi="Arial" w:cs="Arial"/>
          <w:b/>
          <w:bCs/>
          <w:sz w:val="24"/>
          <w:vertAlign w:val="superscript"/>
        </w:rPr>
        <w:t>th</w:t>
      </w:r>
      <w:r w:rsidR="00865EF6" w:rsidRPr="00155E5A">
        <w:rPr>
          <w:rFonts w:ascii="Arial" w:hAnsi="Arial" w:cs="Arial" w:hint="eastAsia"/>
          <w:b/>
          <w:bCs/>
          <w:sz w:val="24"/>
        </w:rPr>
        <w:t xml:space="preserve"> </w:t>
      </w:r>
      <w:r w:rsidR="00865EF6">
        <w:rPr>
          <w:rFonts w:ascii="Arial" w:hAnsi="Arial" w:cs="Arial"/>
          <w:b/>
          <w:bCs/>
          <w:sz w:val="24"/>
        </w:rPr>
        <w:t>–</w:t>
      </w:r>
      <w:r w:rsidR="00865EF6" w:rsidRPr="00155E5A">
        <w:rPr>
          <w:rFonts w:ascii="Arial" w:hAnsi="Arial" w:cs="Arial"/>
          <w:b/>
          <w:bCs/>
          <w:sz w:val="24"/>
        </w:rPr>
        <w:t xml:space="preserve"> </w:t>
      </w:r>
      <w:r>
        <w:rPr>
          <w:rFonts w:ascii="Arial" w:hAnsi="Arial" w:cs="Arial"/>
          <w:b/>
          <w:bCs/>
          <w:sz w:val="24"/>
        </w:rPr>
        <w:t xml:space="preserve">December </w:t>
      </w:r>
      <w:r w:rsidR="00A1597D">
        <w:rPr>
          <w:rFonts w:ascii="Arial" w:hAnsi="Arial" w:cs="Arial"/>
          <w:b/>
          <w:bCs/>
          <w:sz w:val="24"/>
          <w:lang w:eastAsia="ja-JP"/>
        </w:rPr>
        <w:t>1</w:t>
      </w:r>
      <w:r>
        <w:rPr>
          <w:rFonts w:ascii="Arial" w:hAnsi="Arial" w:cs="Arial"/>
          <w:b/>
          <w:bCs/>
          <w:sz w:val="24"/>
          <w:vertAlign w:val="superscript"/>
        </w:rPr>
        <w:t>st</w:t>
      </w:r>
      <w:r>
        <w:rPr>
          <w:rFonts w:ascii="Arial" w:hAnsi="Arial" w:cs="Arial"/>
          <w:b/>
          <w:bCs/>
          <w:sz w:val="24"/>
        </w:rPr>
        <w:t xml:space="preserve">, </w:t>
      </w:r>
      <w:r w:rsidR="00865EF6" w:rsidRPr="00155E5A">
        <w:rPr>
          <w:rFonts w:ascii="Arial" w:hAnsi="Arial" w:cs="Arial"/>
          <w:b/>
          <w:bCs/>
          <w:sz w:val="24"/>
        </w:rPr>
        <w:t>201</w:t>
      </w:r>
      <w:r w:rsidR="00865EF6" w:rsidRPr="00155E5A">
        <w:rPr>
          <w:rFonts w:ascii="Arial" w:hAnsi="Arial" w:cs="Arial" w:hint="eastAsia"/>
          <w:b/>
          <w:bCs/>
          <w:sz w:val="24"/>
          <w:lang w:eastAsia="ja-JP"/>
        </w:rPr>
        <w:t>7</w:t>
      </w:r>
    </w:p>
    <w:p w:rsidR="00865EF6" w:rsidRPr="00253327" w:rsidRDefault="00865EF6" w:rsidP="00865EF6">
      <w:pPr>
        <w:widowControl w:val="0"/>
        <w:spacing w:after="0"/>
        <w:jc w:val="center"/>
        <w:rPr>
          <w:rFonts w:ascii="Arial" w:hAnsi="Arial"/>
          <w:b/>
          <w:i/>
          <w:sz w:val="18"/>
        </w:rPr>
      </w:pPr>
    </w:p>
    <w:p w:rsidR="00865EF6" w:rsidRPr="00253327" w:rsidRDefault="00865EF6" w:rsidP="00865EF6">
      <w:pPr>
        <w:tabs>
          <w:tab w:val="left" w:pos="1985"/>
        </w:tabs>
        <w:rPr>
          <w:rFonts w:ascii="Arial" w:hAnsi="Arial"/>
          <w:b/>
          <w:sz w:val="24"/>
          <w:lang w:val="en-US"/>
        </w:rPr>
      </w:pPr>
      <w:r w:rsidRPr="00253327">
        <w:rPr>
          <w:rFonts w:ascii="Arial" w:hAnsi="Arial"/>
          <w:b/>
          <w:sz w:val="24"/>
          <w:lang w:val="en-US"/>
        </w:rPr>
        <w:t>Agenda item:</w:t>
      </w:r>
      <w:r w:rsidRPr="00253327">
        <w:rPr>
          <w:rFonts w:ascii="Arial" w:hAnsi="Arial"/>
          <w:b/>
          <w:sz w:val="24"/>
          <w:lang w:val="en-US"/>
        </w:rPr>
        <w:tab/>
      </w:r>
      <w:r w:rsidR="00A1597D" w:rsidRPr="00B40A00">
        <w:rPr>
          <w:rFonts w:ascii="Arial" w:hAnsi="Arial"/>
          <w:b/>
          <w:sz w:val="24"/>
          <w:lang w:val="en-US"/>
        </w:rPr>
        <w:t>7</w:t>
      </w:r>
      <w:r w:rsidR="00B40A00" w:rsidRPr="00B40A00">
        <w:rPr>
          <w:rFonts w:ascii="Arial" w:hAnsi="Arial"/>
          <w:b/>
          <w:sz w:val="24"/>
          <w:lang w:val="en-US"/>
        </w:rPr>
        <w:t>.3.3.7</w:t>
      </w:r>
    </w:p>
    <w:p w:rsidR="00865EF6" w:rsidRPr="00253327" w:rsidRDefault="00865EF6" w:rsidP="00865EF6">
      <w:pPr>
        <w:tabs>
          <w:tab w:val="left" w:pos="1985"/>
        </w:tabs>
        <w:rPr>
          <w:rFonts w:ascii="Arial" w:hAnsi="Arial"/>
          <w:b/>
          <w:sz w:val="24"/>
          <w:lang w:val="en-US"/>
        </w:rPr>
      </w:pPr>
      <w:r w:rsidRPr="00253327">
        <w:rPr>
          <w:rFonts w:ascii="Arial" w:hAnsi="Arial"/>
          <w:b/>
          <w:sz w:val="24"/>
          <w:lang w:val="en-US"/>
        </w:rPr>
        <w:t xml:space="preserve">Source: </w:t>
      </w:r>
      <w:r w:rsidRPr="00253327">
        <w:rPr>
          <w:rFonts w:ascii="Arial" w:hAnsi="Arial"/>
          <w:b/>
          <w:sz w:val="24"/>
          <w:lang w:val="en-US"/>
        </w:rPr>
        <w:tab/>
      </w:r>
      <w:proofErr w:type="spellStart"/>
      <w:r w:rsidRPr="00253327">
        <w:rPr>
          <w:rFonts w:ascii="Arial" w:hAnsi="Arial"/>
          <w:b/>
          <w:sz w:val="24"/>
          <w:lang w:val="en-US"/>
        </w:rPr>
        <w:t>Sequans</w:t>
      </w:r>
      <w:proofErr w:type="spellEnd"/>
      <w:r w:rsidRPr="00253327">
        <w:rPr>
          <w:rFonts w:ascii="Arial" w:hAnsi="Arial"/>
          <w:b/>
          <w:sz w:val="24"/>
          <w:lang w:val="en-US"/>
        </w:rPr>
        <w:t xml:space="preserve"> Communications</w:t>
      </w:r>
    </w:p>
    <w:p w:rsidR="00865EF6" w:rsidRPr="00FF59F1" w:rsidRDefault="00865EF6" w:rsidP="00865EF6">
      <w:pPr>
        <w:tabs>
          <w:tab w:val="left" w:pos="1985"/>
        </w:tabs>
        <w:ind w:left="1980" w:hanging="1980"/>
        <w:rPr>
          <w:rFonts w:ascii="Arial" w:hAnsi="Arial"/>
          <w:b/>
          <w:sz w:val="24"/>
          <w:lang w:val="en-US"/>
        </w:rPr>
      </w:pPr>
      <w:r w:rsidRPr="00FF59F1">
        <w:rPr>
          <w:rFonts w:ascii="Arial" w:hAnsi="Arial"/>
          <w:b/>
          <w:sz w:val="24"/>
          <w:lang w:val="en-US"/>
        </w:rPr>
        <w:t xml:space="preserve">Title: </w:t>
      </w:r>
      <w:r w:rsidRPr="00FF59F1">
        <w:rPr>
          <w:rFonts w:ascii="Arial" w:hAnsi="Arial"/>
          <w:b/>
          <w:sz w:val="24"/>
          <w:lang w:val="en-US"/>
        </w:rPr>
        <w:tab/>
      </w:r>
      <w:r w:rsidR="00450363">
        <w:rPr>
          <w:rFonts w:ascii="Arial" w:hAnsi="Arial"/>
          <w:b/>
          <w:sz w:val="24"/>
          <w:lang w:val="en-US"/>
        </w:rPr>
        <w:t>Enhancements</w:t>
      </w:r>
      <w:r w:rsidR="00A1597D">
        <w:rPr>
          <w:rFonts w:ascii="Arial" w:hAnsi="Arial"/>
          <w:b/>
          <w:sz w:val="24"/>
          <w:lang w:val="en-US"/>
        </w:rPr>
        <w:t xml:space="preserve"> for DL preemption</w:t>
      </w:r>
    </w:p>
    <w:p w:rsidR="00865EF6" w:rsidRPr="00FF59F1" w:rsidRDefault="00B40A00" w:rsidP="00865EF6">
      <w:pPr>
        <w:tabs>
          <w:tab w:val="left" w:pos="1985"/>
        </w:tabs>
        <w:ind w:left="1980" w:hanging="1980"/>
        <w:rPr>
          <w:rFonts w:ascii="Arial" w:hAnsi="Arial"/>
          <w:b/>
          <w:sz w:val="24"/>
          <w:lang w:val="en-US"/>
        </w:rPr>
      </w:pPr>
      <w:r>
        <w:rPr>
          <w:rFonts w:ascii="Arial" w:hAnsi="Arial"/>
          <w:b/>
          <w:sz w:val="24"/>
          <w:lang w:val="en-US"/>
        </w:rPr>
        <w:t>Document for:</w:t>
      </w:r>
      <w:r>
        <w:rPr>
          <w:rFonts w:ascii="Arial" w:hAnsi="Arial"/>
          <w:b/>
          <w:sz w:val="24"/>
          <w:lang w:val="en-US"/>
        </w:rPr>
        <w:tab/>
        <w:t>Discussion</w:t>
      </w:r>
    </w:p>
    <w:p w:rsidR="00FF59F1" w:rsidRPr="00FF59F1" w:rsidRDefault="00FF59F1" w:rsidP="00FF59F1">
      <w:pPr>
        <w:keepNext/>
        <w:keepLines/>
        <w:numPr>
          <w:ilvl w:val="0"/>
          <w:numId w:val="1"/>
        </w:numPr>
        <w:pBdr>
          <w:top w:val="single" w:sz="12" w:space="3" w:color="auto"/>
        </w:pBdr>
        <w:spacing w:before="240"/>
        <w:outlineLvl w:val="0"/>
        <w:rPr>
          <w:rFonts w:ascii="Arial" w:hAnsi="Arial"/>
          <w:sz w:val="36"/>
          <w:lang w:val="en-US"/>
        </w:rPr>
      </w:pPr>
      <w:r w:rsidRPr="00FF59F1">
        <w:rPr>
          <w:rFonts w:ascii="Arial" w:hAnsi="Arial"/>
          <w:sz w:val="36"/>
          <w:lang w:val="en-US"/>
        </w:rPr>
        <w:t>Introduction</w:t>
      </w:r>
    </w:p>
    <w:p w:rsidR="001E1018" w:rsidRPr="00BE1D44" w:rsidRDefault="001E1018" w:rsidP="000A5B46">
      <w:pPr>
        <w:autoSpaceDN w:val="0"/>
        <w:spacing w:after="0"/>
        <w:jc w:val="both"/>
        <w:rPr>
          <w:color w:val="000000"/>
          <w:szCs w:val="22"/>
        </w:rPr>
      </w:pPr>
      <w:r w:rsidRPr="002A29E5">
        <w:rPr>
          <w:szCs w:val="22"/>
          <w:lang w:val="en-US"/>
        </w:rPr>
        <w:t xml:space="preserve">In this contribution </w:t>
      </w:r>
      <w:r w:rsidR="006E416D">
        <w:rPr>
          <w:lang w:val="en-US"/>
        </w:rPr>
        <w:t>(</w:t>
      </w:r>
      <w:r w:rsidR="006E416D" w:rsidRPr="00081A61">
        <w:rPr>
          <w:lang w:val="en-US"/>
        </w:rPr>
        <w:t>revised from</w:t>
      </w:r>
      <w:r w:rsidR="006E416D">
        <w:rPr>
          <w:lang w:val="en-US"/>
        </w:rPr>
        <w:t xml:space="preserve"> </w:t>
      </w:r>
      <w:r w:rsidR="006E416D" w:rsidRPr="006E416D">
        <w:rPr>
          <w:lang w:val="en-US"/>
        </w:rPr>
        <w:t>[1</w:t>
      </w:r>
      <w:r w:rsidR="006E416D">
        <w:rPr>
          <w:lang w:val="en-US"/>
        </w:rPr>
        <w:t xml:space="preserve">]) </w:t>
      </w:r>
      <w:r w:rsidRPr="002A29E5">
        <w:rPr>
          <w:szCs w:val="22"/>
          <w:lang w:val="en-US"/>
        </w:rPr>
        <w:t xml:space="preserve">we </w:t>
      </w:r>
      <w:r w:rsidR="004D1106" w:rsidRPr="002A29E5">
        <w:rPr>
          <w:szCs w:val="22"/>
          <w:lang w:val="en-US"/>
        </w:rPr>
        <w:t xml:space="preserve">provide </w:t>
      </w:r>
      <w:r w:rsidR="004D1106" w:rsidRPr="002A29E5">
        <w:rPr>
          <w:color w:val="000000"/>
          <w:szCs w:val="22"/>
        </w:rPr>
        <w:t>our views</w:t>
      </w:r>
      <w:r w:rsidR="00D92DB5" w:rsidRPr="002A29E5">
        <w:rPr>
          <w:color w:val="000000"/>
          <w:szCs w:val="22"/>
        </w:rPr>
        <w:t xml:space="preserve"> on</w:t>
      </w:r>
      <w:r w:rsidR="00C73BF7" w:rsidRPr="002A29E5">
        <w:rPr>
          <w:color w:val="000000"/>
          <w:szCs w:val="22"/>
        </w:rPr>
        <w:t xml:space="preserve"> </w:t>
      </w:r>
      <w:r w:rsidR="00057761">
        <w:rPr>
          <w:color w:val="000000"/>
          <w:szCs w:val="22"/>
        </w:rPr>
        <w:t>possible</w:t>
      </w:r>
      <w:r w:rsidR="00645652">
        <w:rPr>
          <w:color w:val="000000"/>
          <w:szCs w:val="22"/>
        </w:rPr>
        <w:t xml:space="preserve"> enhancements </w:t>
      </w:r>
      <w:r w:rsidR="00AA744E" w:rsidRPr="002A29E5">
        <w:rPr>
          <w:color w:val="000000"/>
          <w:szCs w:val="22"/>
        </w:rPr>
        <w:t>for preemption-based data multiplexing</w:t>
      </w:r>
      <w:r w:rsidR="00292133">
        <w:rPr>
          <w:color w:val="000000"/>
          <w:szCs w:val="22"/>
        </w:rPr>
        <w:t xml:space="preserve"> in DL</w:t>
      </w:r>
      <w:r w:rsidR="00AA744E" w:rsidRPr="002A29E5">
        <w:rPr>
          <w:color w:val="000000"/>
          <w:szCs w:val="22"/>
        </w:rPr>
        <w:t xml:space="preserve">. </w:t>
      </w:r>
      <w:r w:rsidR="00645652">
        <w:rPr>
          <w:color w:val="000000"/>
          <w:szCs w:val="22"/>
        </w:rPr>
        <w:t>T</w:t>
      </w:r>
      <w:r w:rsidR="00ED6B0C">
        <w:rPr>
          <w:color w:val="000000"/>
          <w:szCs w:val="22"/>
        </w:rPr>
        <w:t>he need to address the issues</w:t>
      </w:r>
      <w:r w:rsidR="00645652">
        <w:rPr>
          <w:color w:val="000000"/>
          <w:szCs w:val="22"/>
        </w:rPr>
        <w:t xml:space="preserve"> arising with considered option</w:t>
      </w:r>
      <w:r w:rsidR="00ED6B0C">
        <w:rPr>
          <w:color w:val="000000"/>
          <w:szCs w:val="22"/>
        </w:rPr>
        <w:t xml:space="preserve"> for reference DL resource determination</w:t>
      </w:r>
      <w:r w:rsidR="00645652">
        <w:rPr>
          <w:color w:val="000000"/>
          <w:szCs w:val="22"/>
        </w:rPr>
        <w:t xml:space="preserve"> is discussed first</w:t>
      </w:r>
      <w:r w:rsidRPr="002A29E5">
        <w:rPr>
          <w:szCs w:val="22"/>
          <w:lang w:val="en-US"/>
        </w:rPr>
        <w:t>.</w:t>
      </w:r>
      <w:r w:rsidR="004D1106" w:rsidRPr="002A29E5">
        <w:rPr>
          <w:szCs w:val="22"/>
          <w:lang w:val="en-US"/>
        </w:rPr>
        <w:t xml:space="preserve"> </w:t>
      </w:r>
      <w:r w:rsidR="001608ED" w:rsidRPr="002A29E5">
        <w:rPr>
          <w:szCs w:val="22"/>
          <w:lang w:val="en-US"/>
        </w:rPr>
        <w:t xml:space="preserve">Then, </w:t>
      </w:r>
      <w:r w:rsidR="002A29E5" w:rsidRPr="002A29E5">
        <w:rPr>
          <w:szCs w:val="22"/>
          <w:lang w:val="en-US"/>
        </w:rPr>
        <w:t xml:space="preserve">we argue on appropriate </w:t>
      </w:r>
      <w:r w:rsidR="001608ED" w:rsidRPr="002A29E5">
        <w:rPr>
          <w:szCs w:val="22"/>
          <w:lang w:val="en-US"/>
        </w:rPr>
        <w:t>HARQ</w:t>
      </w:r>
      <w:r w:rsidR="002A29E5" w:rsidRPr="002A29E5">
        <w:rPr>
          <w:szCs w:val="22"/>
          <w:lang w:val="en-US"/>
        </w:rPr>
        <w:t xml:space="preserve"> operation </w:t>
      </w:r>
      <w:r w:rsidR="001608ED" w:rsidRPr="002A29E5">
        <w:rPr>
          <w:szCs w:val="22"/>
          <w:lang w:val="en-US"/>
        </w:rPr>
        <w:t xml:space="preserve">in case preemption indication is configured. </w:t>
      </w:r>
      <w:r w:rsidR="00645652">
        <w:rPr>
          <w:szCs w:val="22"/>
          <w:lang w:val="en-US"/>
        </w:rPr>
        <w:t>F</w:t>
      </w:r>
      <w:r w:rsidR="001608ED" w:rsidRPr="002A29E5">
        <w:rPr>
          <w:szCs w:val="22"/>
          <w:lang w:val="en-US"/>
        </w:rPr>
        <w:t>inally</w:t>
      </w:r>
      <w:r w:rsidR="00645652">
        <w:rPr>
          <w:szCs w:val="22"/>
          <w:lang w:val="en-US"/>
        </w:rPr>
        <w:t>, we</w:t>
      </w:r>
      <w:r w:rsidR="00821C82" w:rsidRPr="002A29E5">
        <w:rPr>
          <w:szCs w:val="22"/>
          <w:lang w:val="en-US"/>
        </w:rPr>
        <w:t xml:space="preserve"> </w:t>
      </w:r>
      <w:r w:rsidR="00821C82" w:rsidRPr="002A29E5">
        <w:rPr>
          <w:color w:val="000000"/>
          <w:szCs w:val="22"/>
        </w:rPr>
        <w:t>discuss</w:t>
      </w:r>
      <w:r w:rsidR="0004051B" w:rsidRPr="002A29E5">
        <w:rPr>
          <w:color w:val="000000"/>
          <w:szCs w:val="22"/>
        </w:rPr>
        <w:t xml:space="preserve"> </w:t>
      </w:r>
      <w:r w:rsidR="00571412" w:rsidRPr="002A29E5">
        <w:rPr>
          <w:color w:val="000000"/>
          <w:szCs w:val="22"/>
        </w:rPr>
        <w:t xml:space="preserve">subsequent </w:t>
      </w:r>
      <w:r w:rsidR="00C73BF7" w:rsidRPr="002A29E5">
        <w:rPr>
          <w:szCs w:val="22"/>
          <w:lang w:val="en-US"/>
        </w:rPr>
        <w:t xml:space="preserve">transmission </w:t>
      </w:r>
      <w:r w:rsidR="008A057E" w:rsidRPr="002A29E5">
        <w:rPr>
          <w:szCs w:val="22"/>
          <w:lang w:val="en-US"/>
        </w:rPr>
        <w:t>mechanism</w:t>
      </w:r>
      <w:r w:rsidR="00571412" w:rsidRPr="002A29E5">
        <w:rPr>
          <w:szCs w:val="22"/>
          <w:lang w:val="en-US"/>
        </w:rPr>
        <w:t xml:space="preserve"> </w:t>
      </w:r>
      <w:r w:rsidR="0004051B" w:rsidRPr="002A29E5">
        <w:rPr>
          <w:szCs w:val="22"/>
          <w:lang w:val="en-US"/>
        </w:rPr>
        <w:t xml:space="preserve">to </w:t>
      </w:r>
      <w:r w:rsidR="00650267" w:rsidRPr="002A29E5">
        <w:rPr>
          <w:szCs w:val="22"/>
          <w:lang w:val="en-US"/>
        </w:rPr>
        <w:t xml:space="preserve">improve </w:t>
      </w:r>
      <w:r w:rsidR="0004051B" w:rsidRPr="002A29E5">
        <w:rPr>
          <w:szCs w:val="22"/>
          <w:lang w:val="en-US"/>
        </w:rPr>
        <w:t>recover</w:t>
      </w:r>
      <w:r w:rsidR="00650267" w:rsidRPr="002A29E5">
        <w:rPr>
          <w:szCs w:val="22"/>
          <w:lang w:val="en-US"/>
        </w:rPr>
        <w:t>ing of</w:t>
      </w:r>
      <w:r w:rsidR="0004051B" w:rsidRPr="002A29E5">
        <w:rPr>
          <w:szCs w:val="22"/>
          <w:lang w:val="en-US"/>
        </w:rPr>
        <w:t xml:space="preserve"> </w:t>
      </w:r>
      <w:r w:rsidR="00361BB5" w:rsidRPr="002A29E5">
        <w:rPr>
          <w:szCs w:val="22"/>
          <w:lang w:val="en-US"/>
        </w:rPr>
        <w:t xml:space="preserve">data </w:t>
      </w:r>
      <w:r w:rsidR="0004051B" w:rsidRPr="002A29E5">
        <w:rPr>
          <w:szCs w:val="22"/>
          <w:lang w:val="en-US"/>
        </w:rPr>
        <w:t>impacted</w:t>
      </w:r>
      <w:r w:rsidR="00C73BF7" w:rsidRPr="002A29E5">
        <w:rPr>
          <w:szCs w:val="22"/>
          <w:lang w:val="en-US"/>
        </w:rPr>
        <w:t xml:space="preserve"> </w:t>
      </w:r>
      <w:r w:rsidR="00361BB5" w:rsidRPr="002A29E5">
        <w:rPr>
          <w:szCs w:val="22"/>
          <w:lang w:val="en-US"/>
        </w:rPr>
        <w:t>by preemption</w:t>
      </w:r>
      <w:r w:rsidR="00571412" w:rsidRPr="002A29E5">
        <w:rPr>
          <w:szCs w:val="22"/>
          <w:lang w:val="en-US"/>
        </w:rPr>
        <w:t xml:space="preserve"> before </w:t>
      </w:r>
      <w:r w:rsidR="00361BB5" w:rsidRPr="002A29E5">
        <w:rPr>
          <w:szCs w:val="22"/>
          <w:lang w:val="en-US"/>
        </w:rPr>
        <w:t>ACK/NACK</w:t>
      </w:r>
      <w:r w:rsidR="00571412" w:rsidRPr="002A29E5">
        <w:rPr>
          <w:szCs w:val="22"/>
          <w:lang w:val="en-US"/>
        </w:rPr>
        <w:t xml:space="preserve"> feedback</w:t>
      </w:r>
      <w:r w:rsidR="004D1106" w:rsidRPr="002A29E5">
        <w:rPr>
          <w:color w:val="000000"/>
          <w:szCs w:val="22"/>
        </w:rPr>
        <w:t>.</w:t>
      </w:r>
    </w:p>
    <w:p w:rsidR="00B117E8" w:rsidRDefault="00450363" w:rsidP="00450363">
      <w:pPr>
        <w:pStyle w:val="Heading1"/>
      </w:pPr>
      <w:r w:rsidRPr="00450363">
        <w:t>Determination of reference DL resource for preemption</w:t>
      </w:r>
    </w:p>
    <w:p w:rsidR="00450363" w:rsidRPr="00BE1D44" w:rsidRDefault="00450363" w:rsidP="00450363">
      <w:pPr>
        <w:spacing w:after="60"/>
        <w:jc w:val="both"/>
        <w:rPr>
          <w:szCs w:val="22"/>
          <w:lang w:val="en-US"/>
        </w:rPr>
      </w:pPr>
      <w:r>
        <w:rPr>
          <w:szCs w:val="22"/>
          <w:lang w:val="en-US"/>
        </w:rPr>
        <w:t>In</w:t>
      </w:r>
      <w:r w:rsidRPr="00BE1D44">
        <w:rPr>
          <w:szCs w:val="22"/>
          <w:lang w:val="en-US"/>
        </w:rPr>
        <w:t xml:space="preserve"> </w:t>
      </w:r>
      <w:r>
        <w:rPr>
          <w:szCs w:val="22"/>
          <w:lang w:val="en-US"/>
        </w:rPr>
        <w:t xml:space="preserve">RAN1#90bis </w:t>
      </w:r>
      <w:r w:rsidRPr="00BE1D44">
        <w:rPr>
          <w:szCs w:val="22"/>
          <w:lang w:val="en-US"/>
        </w:rPr>
        <w:t xml:space="preserve">meeting, </w:t>
      </w:r>
      <w:r>
        <w:rPr>
          <w:szCs w:val="22"/>
          <w:lang w:val="en-US"/>
        </w:rPr>
        <w:t xml:space="preserve">the following were agreed regarding RDR determination for </w:t>
      </w:r>
      <w:r w:rsidRPr="00BE1D44">
        <w:rPr>
          <w:szCs w:val="22"/>
          <w:lang w:val="en-US"/>
        </w:rPr>
        <w:t>preemption</w:t>
      </w:r>
      <w:r>
        <w:rPr>
          <w:szCs w:val="22"/>
          <w:lang w:val="en-US"/>
        </w:rPr>
        <w:t xml:space="preserve"> indication</w:t>
      </w:r>
      <w:r w:rsidRPr="00BE1D44">
        <w:rPr>
          <w:szCs w:val="22"/>
          <w:lang w:val="en-US"/>
        </w:rPr>
        <w:t xml:space="preserve"> in DL </w:t>
      </w:r>
      <w:r w:rsidRPr="006E416D">
        <w:rPr>
          <w:szCs w:val="22"/>
          <w:lang w:val="en-US"/>
        </w:rPr>
        <w:t>[</w:t>
      </w:r>
      <w:r w:rsidR="006E416D" w:rsidRPr="006E416D">
        <w:rPr>
          <w:szCs w:val="22"/>
          <w:lang w:val="en-US"/>
        </w:rPr>
        <w:t>2</w:t>
      </w:r>
      <w:r w:rsidRPr="006E416D">
        <w:rPr>
          <w:szCs w:val="22"/>
          <w:lang w:val="en-US"/>
        </w:rPr>
        <w:t>]:</w:t>
      </w:r>
    </w:p>
    <w:p w:rsidR="00450363" w:rsidRPr="005F7134" w:rsidRDefault="00450363" w:rsidP="00450363">
      <w:pPr>
        <w:spacing w:after="60"/>
        <w:rPr>
          <w:szCs w:val="22"/>
          <w:lang w:eastAsia="ja-JP"/>
        </w:rPr>
      </w:pPr>
      <w:r w:rsidRPr="005F7134">
        <w:rPr>
          <w:rFonts w:hint="eastAsia"/>
          <w:szCs w:val="22"/>
          <w:highlight w:val="green"/>
          <w:lang w:eastAsia="ja-JP"/>
        </w:rPr>
        <w:t>Agreements:</w:t>
      </w:r>
    </w:p>
    <w:p w:rsidR="005F7134" w:rsidRPr="005F7134" w:rsidRDefault="005F7134" w:rsidP="005F7134">
      <w:pPr>
        <w:numPr>
          <w:ilvl w:val="3"/>
          <w:numId w:val="38"/>
        </w:numPr>
        <w:spacing w:after="0"/>
        <w:jc w:val="both"/>
        <w:rPr>
          <w:i/>
          <w:lang w:val="en-US"/>
        </w:rPr>
      </w:pPr>
      <w:r w:rsidRPr="005F7134">
        <w:rPr>
          <w:i/>
          <w:lang w:val="en-US"/>
        </w:rPr>
        <w:t xml:space="preserve">The </w:t>
      </w:r>
      <w:r w:rsidRPr="005F7134">
        <w:rPr>
          <w:i/>
          <w:u w:val="single"/>
          <w:lang w:val="en-US"/>
        </w:rPr>
        <w:t>time duration</w:t>
      </w:r>
      <w:r w:rsidRPr="005F7134">
        <w:rPr>
          <w:i/>
          <w:lang w:val="en-US"/>
        </w:rPr>
        <w:t xml:space="preserve"> of the reference downlink resource for pre-emption indication equals to the monitoring periodicity of the group-common DCI carrying the pre-emption indication </w:t>
      </w:r>
    </w:p>
    <w:p w:rsidR="005F7134" w:rsidRPr="005F7134" w:rsidRDefault="005F7134" w:rsidP="005F7134">
      <w:pPr>
        <w:numPr>
          <w:ilvl w:val="4"/>
          <w:numId w:val="38"/>
        </w:numPr>
        <w:spacing w:after="0"/>
        <w:jc w:val="both"/>
        <w:rPr>
          <w:i/>
          <w:lang w:val="en-US"/>
        </w:rPr>
      </w:pPr>
      <w:r w:rsidRPr="005F7134">
        <w:rPr>
          <w:i/>
          <w:lang w:val="en-US"/>
        </w:rPr>
        <w:t>In TDD, at least the semi-statically configured UL symbols are excluded from the reference downlink resource</w:t>
      </w:r>
    </w:p>
    <w:p w:rsidR="005F7134" w:rsidRPr="005F7134" w:rsidRDefault="005F7134" w:rsidP="005F7134">
      <w:pPr>
        <w:numPr>
          <w:ilvl w:val="5"/>
          <w:numId w:val="38"/>
        </w:numPr>
        <w:spacing w:after="0"/>
        <w:jc w:val="both"/>
        <w:rPr>
          <w:i/>
          <w:lang w:val="en-US"/>
        </w:rPr>
      </w:pPr>
      <w:r w:rsidRPr="005F7134">
        <w:rPr>
          <w:i/>
          <w:lang w:val="en-US"/>
        </w:rPr>
        <w:t>Note: This means the reference downlink resource only includes the DL or unknown symbols given by semi-static configuration within the semi-statically configured time duration of the reference downlink resource.</w:t>
      </w:r>
    </w:p>
    <w:p w:rsidR="005F7134" w:rsidRPr="005F7134" w:rsidRDefault="005F7134" w:rsidP="005F7134">
      <w:pPr>
        <w:numPr>
          <w:ilvl w:val="4"/>
          <w:numId w:val="38"/>
        </w:numPr>
        <w:spacing w:after="0"/>
        <w:jc w:val="both"/>
        <w:rPr>
          <w:i/>
          <w:lang w:val="en-US"/>
        </w:rPr>
      </w:pPr>
      <w:r w:rsidRPr="005F7134">
        <w:rPr>
          <w:i/>
          <w:lang w:val="en-US"/>
        </w:rPr>
        <w:t>FFS for the handling of reserved resource especially at RE level</w:t>
      </w:r>
    </w:p>
    <w:p w:rsidR="005F7134" w:rsidRPr="005F7134" w:rsidRDefault="005F7134" w:rsidP="005F7134">
      <w:pPr>
        <w:spacing w:after="60"/>
        <w:rPr>
          <w:szCs w:val="22"/>
          <w:lang w:eastAsia="ja-JP"/>
        </w:rPr>
      </w:pPr>
      <w:r w:rsidRPr="005F7134">
        <w:rPr>
          <w:rFonts w:hint="eastAsia"/>
          <w:szCs w:val="22"/>
          <w:highlight w:val="green"/>
          <w:lang w:eastAsia="ja-JP"/>
        </w:rPr>
        <w:t>Agreements:</w:t>
      </w:r>
    </w:p>
    <w:p w:rsidR="005F7134" w:rsidRPr="005F7134" w:rsidRDefault="005F7134" w:rsidP="005F7134">
      <w:pPr>
        <w:numPr>
          <w:ilvl w:val="3"/>
          <w:numId w:val="38"/>
        </w:numPr>
        <w:spacing w:after="0"/>
        <w:jc w:val="both"/>
        <w:rPr>
          <w:i/>
        </w:rPr>
      </w:pPr>
      <w:r w:rsidRPr="005F7134">
        <w:rPr>
          <w:i/>
        </w:rPr>
        <w:t xml:space="preserve">No </w:t>
      </w:r>
      <w:proofErr w:type="spellStart"/>
      <w:r w:rsidRPr="005F7134">
        <w:rPr>
          <w:i/>
        </w:rPr>
        <w:t>concensus</w:t>
      </w:r>
      <w:proofErr w:type="spellEnd"/>
      <w:r w:rsidRPr="005F7134">
        <w:rPr>
          <w:i/>
        </w:rPr>
        <w:t xml:space="preserve"> to introduce an explicit RRC configuration for frequency region of the reference downlink resource for pre</w:t>
      </w:r>
      <w:r w:rsidRPr="005F7134">
        <w:rPr>
          <w:rFonts w:hint="eastAsia"/>
          <w:i/>
        </w:rPr>
        <w:t>-</w:t>
      </w:r>
      <w:r w:rsidRPr="005F7134">
        <w:rPr>
          <w:i/>
        </w:rPr>
        <w:t>emption indication in Rel-15</w:t>
      </w:r>
    </w:p>
    <w:p w:rsidR="005F7134" w:rsidRPr="005F7134" w:rsidRDefault="005F7134" w:rsidP="005F7134">
      <w:pPr>
        <w:numPr>
          <w:ilvl w:val="3"/>
          <w:numId w:val="38"/>
        </w:numPr>
        <w:spacing w:after="0"/>
        <w:jc w:val="both"/>
        <w:rPr>
          <w:i/>
        </w:rPr>
      </w:pPr>
      <w:r w:rsidRPr="005F7134">
        <w:rPr>
          <w:i/>
        </w:rPr>
        <w:t xml:space="preserve">(working assumption) the </w:t>
      </w:r>
      <w:r w:rsidRPr="005F7134">
        <w:rPr>
          <w:i/>
          <w:u w:val="single"/>
        </w:rPr>
        <w:t>frequency region</w:t>
      </w:r>
      <w:r w:rsidRPr="005F7134">
        <w:rPr>
          <w:i/>
        </w:rPr>
        <w:t xml:space="preserve"> of the reference downlink resource for pre-emption indication is the active DL BWP</w:t>
      </w:r>
    </w:p>
    <w:p w:rsidR="005F7134" w:rsidRPr="005F7134" w:rsidRDefault="005F7134" w:rsidP="005F7134">
      <w:pPr>
        <w:spacing w:after="60"/>
        <w:rPr>
          <w:szCs w:val="22"/>
          <w:lang w:eastAsia="ja-JP"/>
        </w:rPr>
      </w:pPr>
      <w:r w:rsidRPr="005F7134">
        <w:rPr>
          <w:rFonts w:hint="eastAsia"/>
          <w:szCs w:val="22"/>
          <w:highlight w:val="green"/>
          <w:lang w:eastAsia="ja-JP"/>
        </w:rPr>
        <w:t>Agreements:</w:t>
      </w:r>
    </w:p>
    <w:p w:rsidR="005F7134" w:rsidRPr="005F7134" w:rsidRDefault="005F7134" w:rsidP="005F7134">
      <w:pPr>
        <w:numPr>
          <w:ilvl w:val="0"/>
          <w:numId w:val="44"/>
        </w:numPr>
        <w:spacing w:after="0"/>
        <w:jc w:val="both"/>
        <w:rPr>
          <w:i/>
          <w:lang w:val="en-US"/>
        </w:rPr>
      </w:pPr>
      <w:r w:rsidRPr="005F7134">
        <w:rPr>
          <w:i/>
          <w:lang w:val="en-US"/>
        </w:rPr>
        <w:t>A fixed payload size (excluding CRC and potential reserved bits) of the group-common DCI carrying the downlink pre-emption indication (PI), in the format of a bitmap is used to indicate preempted resources within the semi-statically configured DL reference resource</w:t>
      </w:r>
    </w:p>
    <w:p w:rsidR="005F7134" w:rsidRPr="005F7134" w:rsidRDefault="005F7134" w:rsidP="005F7134">
      <w:pPr>
        <w:numPr>
          <w:ilvl w:val="1"/>
          <w:numId w:val="44"/>
        </w:numPr>
        <w:spacing w:after="0"/>
        <w:jc w:val="both"/>
        <w:rPr>
          <w:i/>
          <w:lang w:val="en-US"/>
        </w:rPr>
      </w:pPr>
      <w:r w:rsidRPr="005F7134">
        <w:rPr>
          <w:i/>
          <w:lang w:val="en-US"/>
        </w:rPr>
        <w:t>The bitmap indicates for one or more frequency domain parts (N&gt;=1) and/or one or more time domain parts (M&gt;=1)</w:t>
      </w:r>
    </w:p>
    <w:p w:rsidR="005F7134" w:rsidRPr="005F7134" w:rsidRDefault="005F7134" w:rsidP="005F7134">
      <w:pPr>
        <w:numPr>
          <w:ilvl w:val="2"/>
          <w:numId w:val="44"/>
        </w:numPr>
        <w:spacing w:after="0"/>
        <w:jc w:val="both"/>
        <w:rPr>
          <w:i/>
          <w:lang w:val="en-US"/>
        </w:rPr>
      </w:pPr>
      <w:r w:rsidRPr="005F7134">
        <w:rPr>
          <w:i/>
          <w:lang w:val="en-US"/>
        </w:rPr>
        <w:t>There is no RRC configuration involved in determining the frequency or time-domain parts</w:t>
      </w:r>
    </w:p>
    <w:p w:rsidR="005F7134" w:rsidRPr="005F7134" w:rsidRDefault="005F7134" w:rsidP="005F7134">
      <w:pPr>
        <w:numPr>
          <w:ilvl w:val="1"/>
          <w:numId w:val="44"/>
        </w:numPr>
        <w:spacing w:after="0"/>
        <w:jc w:val="both"/>
        <w:rPr>
          <w:i/>
          <w:lang w:val="en-US"/>
        </w:rPr>
      </w:pPr>
      <w:r w:rsidRPr="005F7134">
        <w:rPr>
          <w:i/>
          <w:lang w:val="en-US"/>
        </w:rPr>
        <w:t>The following combinations are supported and predefined {M, N} = {14, 1}, {7, 2}</w:t>
      </w:r>
    </w:p>
    <w:p w:rsidR="005F7134" w:rsidRPr="005F7134" w:rsidRDefault="005F7134" w:rsidP="005F7134">
      <w:pPr>
        <w:numPr>
          <w:ilvl w:val="1"/>
          <w:numId w:val="44"/>
        </w:numPr>
        <w:spacing w:after="0"/>
        <w:jc w:val="both"/>
        <w:rPr>
          <w:i/>
          <w:lang w:val="en-US"/>
        </w:rPr>
      </w:pPr>
      <w:r w:rsidRPr="005F7134">
        <w:rPr>
          <w:rFonts w:hint="eastAsia"/>
          <w:i/>
          <w:lang w:val="en-US"/>
        </w:rPr>
        <w:t xml:space="preserve">A combination of {M,N} from this set of possible {M,N} is </w:t>
      </w:r>
      <w:r w:rsidRPr="005F7134">
        <w:rPr>
          <w:i/>
          <w:lang w:val="en-US"/>
        </w:rPr>
        <w:t>indicated 1</w:t>
      </w:r>
      <w:r w:rsidRPr="005F7134">
        <w:rPr>
          <w:rFonts w:hint="eastAsia"/>
          <w:i/>
          <w:lang w:val="en-US"/>
        </w:rPr>
        <w:t>bit</w:t>
      </w:r>
      <w:r w:rsidRPr="005F7134">
        <w:rPr>
          <w:i/>
          <w:lang w:val="en-US"/>
        </w:rPr>
        <w:t xml:space="preserve"> by RRC configuration for a UE</w:t>
      </w:r>
    </w:p>
    <w:p w:rsidR="005F7134" w:rsidRPr="005F7134" w:rsidRDefault="005F7134" w:rsidP="005F7134">
      <w:pPr>
        <w:spacing w:after="0"/>
        <w:jc w:val="both"/>
        <w:rPr>
          <w:szCs w:val="22"/>
          <w:lang w:val="en-US"/>
        </w:rPr>
      </w:pPr>
    </w:p>
    <w:p w:rsidR="00450363" w:rsidRDefault="00450363" w:rsidP="005F7134">
      <w:pPr>
        <w:spacing w:after="0"/>
        <w:jc w:val="both"/>
        <w:rPr>
          <w:szCs w:val="22"/>
          <w:lang w:val="en-US"/>
        </w:rPr>
      </w:pPr>
      <w:r>
        <w:rPr>
          <w:szCs w:val="22"/>
          <w:lang w:val="en-US"/>
        </w:rPr>
        <w:t xml:space="preserve">Moreover, regarding BWP operation, the following was agreed </w:t>
      </w:r>
      <w:r w:rsidR="005F7134">
        <w:rPr>
          <w:szCs w:val="22"/>
          <w:lang w:val="en-US"/>
        </w:rPr>
        <w:t>In</w:t>
      </w:r>
      <w:r w:rsidR="005F7134" w:rsidRPr="00BE1D44">
        <w:rPr>
          <w:szCs w:val="22"/>
          <w:lang w:val="en-US"/>
        </w:rPr>
        <w:t xml:space="preserve"> </w:t>
      </w:r>
      <w:r w:rsidR="005F7134">
        <w:rPr>
          <w:szCs w:val="22"/>
          <w:lang w:val="en-US"/>
        </w:rPr>
        <w:t xml:space="preserve">RAN1_AH_NR#3 </w:t>
      </w:r>
      <w:r w:rsidR="005F7134" w:rsidRPr="00BE1D44">
        <w:rPr>
          <w:szCs w:val="22"/>
          <w:lang w:val="en-US"/>
        </w:rPr>
        <w:t>meeting</w:t>
      </w:r>
      <w:r w:rsidR="005F7134">
        <w:rPr>
          <w:szCs w:val="22"/>
          <w:lang w:val="en-US"/>
        </w:rPr>
        <w:t xml:space="preserve"> </w:t>
      </w:r>
      <w:r w:rsidR="005F7134" w:rsidRPr="006E416D">
        <w:rPr>
          <w:szCs w:val="22"/>
          <w:lang w:val="en-US"/>
        </w:rPr>
        <w:t>[</w:t>
      </w:r>
      <w:r w:rsidR="006E416D" w:rsidRPr="006E416D">
        <w:rPr>
          <w:szCs w:val="22"/>
          <w:lang w:val="en-US"/>
        </w:rPr>
        <w:t>3</w:t>
      </w:r>
      <w:r w:rsidR="005F7134" w:rsidRPr="006E416D">
        <w:rPr>
          <w:szCs w:val="22"/>
          <w:lang w:val="en-US"/>
        </w:rPr>
        <w:t>]</w:t>
      </w:r>
      <w:r w:rsidRPr="006E416D">
        <w:rPr>
          <w:szCs w:val="22"/>
          <w:lang w:val="en-US"/>
        </w:rPr>
        <w:t>:</w:t>
      </w:r>
    </w:p>
    <w:p w:rsidR="00450363" w:rsidRPr="00B97E19" w:rsidRDefault="00450363" w:rsidP="00450363">
      <w:pPr>
        <w:spacing w:after="60"/>
        <w:rPr>
          <w:b/>
          <w:szCs w:val="22"/>
          <w:u w:val="single"/>
          <w:lang w:eastAsia="ja-JP"/>
        </w:rPr>
      </w:pPr>
      <w:r w:rsidRPr="00B97E19">
        <w:rPr>
          <w:rFonts w:hint="eastAsia"/>
          <w:b/>
          <w:szCs w:val="22"/>
          <w:highlight w:val="green"/>
          <w:u w:val="single"/>
          <w:lang w:eastAsia="ja-JP"/>
        </w:rPr>
        <w:t>Agreements:</w:t>
      </w:r>
    </w:p>
    <w:p w:rsidR="00450363" w:rsidRPr="00B97E19" w:rsidRDefault="00450363" w:rsidP="00450363">
      <w:pPr>
        <w:numPr>
          <w:ilvl w:val="0"/>
          <w:numId w:val="39"/>
        </w:numPr>
        <w:tabs>
          <w:tab w:val="left" w:pos="720"/>
          <w:tab w:val="left" w:pos="1440"/>
        </w:tabs>
        <w:spacing w:after="0"/>
        <w:rPr>
          <w:rFonts w:eastAsia="Batang"/>
          <w:i/>
          <w:szCs w:val="22"/>
        </w:rPr>
      </w:pPr>
      <w:r w:rsidRPr="00B97E19">
        <w:rPr>
          <w:rFonts w:eastAsia="Batang"/>
          <w:i/>
          <w:szCs w:val="22"/>
        </w:rPr>
        <w:lastRenderedPageBreak/>
        <w:t>NR supports the case that a single scheduling DCI can switch the UE’s active BWP from one to another (of the same link direction) within a given serving cell</w:t>
      </w:r>
    </w:p>
    <w:p w:rsidR="00450363" w:rsidRPr="00450363" w:rsidRDefault="00450363" w:rsidP="005F7134">
      <w:pPr>
        <w:numPr>
          <w:ilvl w:val="1"/>
          <w:numId w:val="39"/>
        </w:numPr>
        <w:tabs>
          <w:tab w:val="left" w:pos="1440"/>
        </w:tabs>
        <w:spacing w:after="0"/>
        <w:rPr>
          <w:rFonts w:eastAsia="Batang"/>
          <w:i/>
          <w:szCs w:val="22"/>
          <w:lang w:val="en-US" w:eastAsia="zh-TW"/>
        </w:rPr>
      </w:pPr>
      <w:r w:rsidRPr="00B97E19">
        <w:rPr>
          <w:rFonts w:eastAsia="Batang"/>
          <w:i/>
          <w:szCs w:val="22"/>
          <w:lang w:val="en-US" w:eastAsia="zh-TW"/>
        </w:rPr>
        <w:t>FFS whether &amp; how for active BWP switching only without scheduling (including the case of UL scheduling without UL-SCH)</w:t>
      </w:r>
    </w:p>
    <w:p w:rsidR="005F7134" w:rsidRDefault="005F7134" w:rsidP="005F7134">
      <w:pPr>
        <w:spacing w:after="0"/>
        <w:ind w:firstLine="720"/>
      </w:pPr>
    </w:p>
    <w:p w:rsidR="00F51441" w:rsidRDefault="00F51441" w:rsidP="00107EF2">
      <w:pPr>
        <w:spacing w:after="120"/>
      </w:pPr>
      <w:r w:rsidRPr="00ED5954">
        <w:t xml:space="preserve">The two </w:t>
      </w:r>
      <w:r w:rsidR="00ED5954">
        <w:t xml:space="preserve">semi-static </w:t>
      </w:r>
      <w:r w:rsidRPr="00ED5954">
        <w:t>options currently</w:t>
      </w:r>
      <w:r w:rsidRPr="00F51441">
        <w:t xml:space="preserve"> considered have </w:t>
      </w:r>
      <w:r w:rsidR="00ED5954">
        <w:t>several issues:</w:t>
      </w:r>
    </w:p>
    <w:p w:rsidR="008648CA" w:rsidRPr="008648CA" w:rsidRDefault="008648CA" w:rsidP="008648CA">
      <w:pPr>
        <w:spacing w:after="0"/>
        <w:jc w:val="both"/>
        <w:rPr>
          <w:u w:val="single"/>
          <w:lang w:val="en-US"/>
        </w:rPr>
      </w:pPr>
      <w:r w:rsidRPr="008648CA">
        <w:rPr>
          <w:i/>
          <w:iCs/>
          <w:u w:val="single"/>
          <w:lang w:val="en-US"/>
        </w:rPr>
        <w:t>RDR implicitly determined from active BWP</w:t>
      </w:r>
    </w:p>
    <w:p w:rsidR="008648CA" w:rsidRPr="008648CA" w:rsidRDefault="008648CA" w:rsidP="008648CA">
      <w:pPr>
        <w:numPr>
          <w:ilvl w:val="0"/>
          <w:numId w:val="40"/>
        </w:numPr>
        <w:spacing w:after="0"/>
        <w:ind w:left="360"/>
        <w:jc w:val="both"/>
        <w:rPr>
          <w:lang w:val="en-US"/>
        </w:rPr>
      </w:pPr>
      <w:r w:rsidRPr="008648CA">
        <w:rPr>
          <w:lang w:val="en-US"/>
        </w:rPr>
        <w:t xml:space="preserve">When active BWPs of different UEs are </w:t>
      </w:r>
      <w:r w:rsidR="0040485C">
        <w:rPr>
          <w:lang w:val="en-US"/>
        </w:rPr>
        <w:t xml:space="preserve">different but </w:t>
      </w:r>
      <w:r w:rsidRPr="008648CA">
        <w:rPr>
          <w:lang w:val="en-US"/>
        </w:rPr>
        <w:t>partially overlapping:</w:t>
      </w:r>
    </w:p>
    <w:p w:rsidR="0040485C" w:rsidRDefault="008648CA" w:rsidP="0040485C">
      <w:pPr>
        <w:numPr>
          <w:ilvl w:val="0"/>
          <w:numId w:val="42"/>
        </w:numPr>
        <w:spacing w:after="0"/>
        <w:ind w:left="720"/>
        <w:jc w:val="both"/>
        <w:rPr>
          <w:lang w:val="en-US"/>
        </w:rPr>
      </w:pPr>
      <w:r w:rsidRPr="008648CA">
        <w:rPr>
          <w:lang w:val="en-US"/>
        </w:rPr>
        <w:t xml:space="preserve">It will not be possible for </w:t>
      </w:r>
      <w:r w:rsidR="0040485C">
        <w:rPr>
          <w:lang w:val="en-US"/>
        </w:rPr>
        <w:t>such</w:t>
      </w:r>
      <w:r w:rsidRPr="008648CA">
        <w:rPr>
          <w:lang w:val="en-US"/>
        </w:rPr>
        <w:t xml:space="preserve"> UEs to share the same GC-DCI carrying </w:t>
      </w:r>
      <w:r w:rsidR="0040485C">
        <w:rPr>
          <w:lang w:val="en-US"/>
        </w:rPr>
        <w:t>preemption indication</w:t>
      </w:r>
      <w:r w:rsidRPr="008648CA">
        <w:rPr>
          <w:lang w:val="en-US"/>
        </w:rPr>
        <w:t xml:space="preserve"> as they will have different understanding of RDR. Thus, </w:t>
      </w:r>
      <w:r w:rsidR="0040485C">
        <w:rPr>
          <w:lang w:val="en-US"/>
        </w:rPr>
        <w:t>it is not possible</w:t>
      </w:r>
      <w:r w:rsidRPr="008648CA">
        <w:rPr>
          <w:lang w:val="en-US"/>
        </w:rPr>
        <w:t xml:space="preserve"> to group the</w:t>
      </w:r>
      <w:r w:rsidR="0040485C">
        <w:rPr>
          <w:lang w:val="en-US"/>
        </w:rPr>
        <w:t>se</w:t>
      </w:r>
      <w:r w:rsidRPr="008648CA">
        <w:rPr>
          <w:lang w:val="en-US"/>
        </w:rPr>
        <w:t xml:space="preserve"> UEs and separate </w:t>
      </w:r>
      <w:r w:rsidR="0040485C">
        <w:rPr>
          <w:lang w:val="en-US"/>
        </w:rPr>
        <w:t>GC-DCI for preemption indication</w:t>
      </w:r>
      <w:r w:rsidRPr="008648CA">
        <w:rPr>
          <w:lang w:val="en-US"/>
        </w:rPr>
        <w:t xml:space="preserve"> </w:t>
      </w:r>
      <w:r w:rsidR="0040485C">
        <w:rPr>
          <w:lang w:val="en-US"/>
        </w:rPr>
        <w:t xml:space="preserve">needs to be sent </w:t>
      </w:r>
      <w:r w:rsidRPr="008648CA">
        <w:rPr>
          <w:lang w:val="en-US"/>
        </w:rPr>
        <w:t xml:space="preserve">per UE </w:t>
      </w:r>
      <w:r w:rsidR="0040485C">
        <w:rPr>
          <w:lang w:val="en-US"/>
        </w:rPr>
        <w:t xml:space="preserve">per </w:t>
      </w:r>
      <w:r w:rsidRPr="008648CA">
        <w:rPr>
          <w:lang w:val="en-US"/>
        </w:rPr>
        <w:t xml:space="preserve">slot. This, however, leads to higher utilization of GC-PDCCH resource but also essentially cancels the whole motivation for </w:t>
      </w:r>
      <w:r w:rsidR="0040485C">
        <w:rPr>
          <w:lang w:val="en-US"/>
        </w:rPr>
        <w:t>preemption indication</w:t>
      </w:r>
      <w:r w:rsidRPr="008648CA">
        <w:rPr>
          <w:lang w:val="en-US"/>
        </w:rPr>
        <w:t xml:space="preserve"> to b</w:t>
      </w:r>
      <w:r w:rsidR="0040485C">
        <w:rPr>
          <w:lang w:val="en-US"/>
        </w:rPr>
        <w:t>e</w:t>
      </w:r>
      <w:r w:rsidRPr="008648CA">
        <w:rPr>
          <w:lang w:val="en-US"/>
        </w:rPr>
        <w:t xml:space="preserve"> carried by GC-DCI. </w:t>
      </w:r>
    </w:p>
    <w:p w:rsidR="0040485C" w:rsidRPr="0040485C" w:rsidRDefault="0040485C" w:rsidP="00BA15AD">
      <w:pPr>
        <w:numPr>
          <w:ilvl w:val="0"/>
          <w:numId w:val="42"/>
        </w:numPr>
        <w:spacing w:after="120"/>
        <w:ind w:left="720"/>
        <w:jc w:val="both"/>
        <w:rPr>
          <w:lang w:val="en-US"/>
        </w:rPr>
      </w:pPr>
      <w:r w:rsidRPr="0040485C">
        <w:rPr>
          <w:lang w:val="en-US"/>
        </w:rPr>
        <w:t xml:space="preserve">A </w:t>
      </w:r>
      <w:r w:rsidR="009907F4">
        <w:rPr>
          <w:lang w:val="en-US"/>
        </w:rPr>
        <w:t>preemption indication</w:t>
      </w:r>
      <w:r w:rsidRPr="0040485C">
        <w:rPr>
          <w:lang w:val="en-US"/>
        </w:rPr>
        <w:t xml:space="preserve"> has to be carried within the CORESET configured </w:t>
      </w:r>
      <w:r w:rsidR="009907F4">
        <w:rPr>
          <w:lang w:val="en-US"/>
        </w:rPr>
        <w:t>within the overlapping/shared frequency region among</w:t>
      </w:r>
      <w:r w:rsidRPr="0040485C">
        <w:rPr>
          <w:lang w:val="en-US"/>
        </w:rPr>
        <w:t xml:space="preserve"> UEs</w:t>
      </w:r>
      <w:r w:rsidR="009907F4">
        <w:rPr>
          <w:lang w:val="en-US"/>
        </w:rPr>
        <w:t>’</w:t>
      </w:r>
      <w:r w:rsidRPr="0040485C">
        <w:rPr>
          <w:lang w:val="en-US"/>
        </w:rPr>
        <w:t xml:space="preserve"> </w:t>
      </w:r>
      <w:r>
        <w:rPr>
          <w:lang w:val="en-US"/>
        </w:rPr>
        <w:t xml:space="preserve">active </w:t>
      </w:r>
      <w:r w:rsidRPr="0040485C">
        <w:rPr>
          <w:lang w:val="en-US"/>
        </w:rPr>
        <w:t>BWP</w:t>
      </w:r>
      <w:r w:rsidR="009907F4">
        <w:rPr>
          <w:lang w:val="en-US"/>
        </w:rPr>
        <w:t>s and semi-statically configured RDR</w:t>
      </w:r>
      <w:r w:rsidRPr="0040485C">
        <w:rPr>
          <w:lang w:val="en-US"/>
        </w:rPr>
        <w:t xml:space="preserve">. If this </w:t>
      </w:r>
      <w:r w:rsidR="009907F4">
        <w:rPr>
          <w:lang w:val="en-US"/>
        </w:rPr>
        <w:t>bandwidth</w:t>
      </w:r>
      <w:r w:rsidRPr="0040485C">
        <w:rPr>
          <w:lang w:val="en-US"/>
        </w:rPr>
        <w:t xml:space="preserve"> is very narrow, there might be not enough group-common control resources to send the </w:t>
      </w:r>
      <w:r w:rsidR="009907F4">
        <w:rPr>
          <w:lang w:val="en-US"/>
        </w:rPr>
        <w:t>preemption indication</w:t>
      </w:r>
      <w:r w:rsidRPr="0040485C">
        <w:rPr>
          <w:lang w:val="en-US"/>
        </w:rPr>
        <w:t>.</w:t>
      </w:r>
    </w:p>
    <w:p w:rsidR="008648CA" w:rsidRPr="008648CA" w:rsidRDefault="008648CA" w:rsidP="00BA15AD">
      <w:pPr>
        <w:spacing w:after="0"/>
        <w:rPr>
          <w:u w:val="single"/>
          <w:lang w:val="en-US"/>
        </w:rPr>
      </w:pPr>
      <w:r w:rsidRPr="008648CA">
        <w:rPr>
          <w:i/>
          <w:iCs/>
          <w:u w:val="single"/>
          <w:lang w:val="en-US"/>
        </w:rPr>
        <w:t>RDR explicitly determined via RRC signaling</w:t>
      </w:r>
      <w:r w:rsidRPr="008648CA">
        <w:rPr>
          <w:u w:val="single"/>
          <w:lang w:val="en-US"/>
        </w:rPr>
        <w:t>:</w:t>
      </w:r>
    </w:p>
    <w:p w:rsidR="008648CA" w:rsidRPr="00F51441" w:rsidRDefault="008648CA" w:rsidP="008648CA">
      <w:pPr>
        <w:numPr>
          <w:ilvl w:val="0"/>
          <w:numId w:val="40"/>
        </w:numPr>
        <w:spacing w:after="0"/>
        <w:ind w:left="360"/>
        <w:jc w:val="both"/>
        <w:rPr>
          <w:lang w:val="en-US"/>
        </w:rPr>
      </w:pPr>
      <w:r w:rsidRPr="00F51441">
        <w:rPr>
          <w:lang w:val="en-US"/>
        </w:rPr>
        <w:t>RDR is semi-statically configured but active BWP</w:t>
      </w:r>
      <w:r>
        <w:rPr>
          <w:lang w:val="en-US"/>
        </w:rPr>
        <w:t xml:space="preserve"> of UEs</w:t>
      </w:r>
      <w:r w:rsidRPr="00F51441">
        <w:rPr>
          <w:lang w:val="en-US"/>
        </w:rPr>
        <w:t xml:space="preserve"> may change dynamically. Due to this fact:</w:t>
      </w:r>
    </w:p>
    <w:p w:rsidR="008648CA" w:rsidRPr="009907F4" w:rsidRDefault="00D925F3" w:rsidP="009907F4">
      <w:pPr>
        <w:pStyle w:val="ListParagraph"/>
        <w:numPr>
          <w:ilvl w:val="0"/>
          <w:numId w:val="43"/>
        </w:numPr>
        <w:spacing w:after="0"/>
        <w:jc w:val="both"/>
        <w:rPr>
          <w:lang w:val="en-US"/>
        </w:rPr>
      </w:pPr>
      <w:r>
        <w:rPr>
          <w:lang w:val="en-US"/>
        </w:rPr>
        <w:t>(</w:t>
      </w:r>
      <w:proofErr w:type="gramStart"/>
      <w:r>
        <w:rPr>
          <w:lang w:val="en-US"/>
        </w:rPr>
        <w:t>s</w:t>
      </w:r>
      <w:r w:rsidR="009907F4" w:rsidRPr="009907F4">
        <w:rPr>
          <w:lang w:val="en-US"/>
        </w:rPr>
        <w:t>ame</w:t>
      </w:r>
      <w:proofErr w:type="gramEnd"/>
      <w:r w:rsidR="009907F4" w:rsidRPr="009907F4">
        <w:rPr>
          <w:lang w:val="en-US"/>
        </w:rPr>
        <w:t xml:space="preserve"> as Option</w:t>
      </w:r>
      <w:r w:rsidR="009907F4">
        <w:rPr>
          <w:lang w:val="en-US"/>
        </w:rPr>
        <w:t xml:space="preserve"> 2-</w:t>
      </w:r>
      <w:r w:rsidR="009907F4" w:rsidRPr="009907F4">
        <w:rPr>
          <w:lang w:val="en-US"/>
        </w:rPr>
        <w:t>b</w:t>
      </w:r>
      <w:r>
        <w:rPr>
          <w:lang w:val="en-US"/>
        </w:rPr>
        <w:t>):</w:t>
      </w:r>
      <w:r w:rsidR="009907F4" w:rsidRPr="009907F4">
        <w:rPr>
          <w:lang w:val="en-US"/>
        </w:rPr>
        <w:t xml:space="preserve"> if the overlapping BWP of UEs sharing a GC-DCI </w:t>
      </w:r>
      <w:r w:rsidR="009907F4">
        <w:rPr>
          <w:lang w:val="en-US"/>
        </w:rPr>
        <w:t xml:space="preserve">within an RDR </w:t>
      </w:r>
      <w:r w:rsidR="009907F4" w:rsidRPr="009907F4">
        <w:rPr>
          <w:lang w:val="en-US"/>
        </w:rPr>
        <w:t>is too narrow</w:t>
      </w:r>
      <w:r w:rsidR="009907F4">
        <w:rPr>
          <w:lang w:val="en-US"/>
        </w:rPr>
        <w:t>,</w:t>
      </w:r>
      <w:r w:rsidR="009907F4" w:rsidRPr="009907F4">
        <w:rPr>
          <w:lang w:val="en-US"/>
        </w:rPr>
        <w:t xml:space="preserve"> the</w:t>
      </w:r>
      <w:r w:rsidR="009907F4">
        <w:rPr>
          <w:lang w:val="en-US"/>
        </w:rPr>
        <w:t>re</w:t>
      </w:r>
      <w:r w:rsidR="009907F4" w:rsidRPr="009907F4">
        <w:rPr>
          <w:lang w:val="en-US"/>
        </w:rPr>
        <w:t xml:space="preserve"> may not be sufficient resources to configure that GC-DCI’s CORESET</w:t>
      </w:r>
      <w:r w:rsidR="008648CA" w:rsidRPr="009907F4">
        <w:rPr>
          <w:lang w:val="en-US"/>
        </w:rPr>
        <w:t>.</w:t>
      </w:r>
    </w:p>
    <w:p w:rsidR="008648CA" w:rsidRPr="00D925F3" w:rsidRDefault="008648CA" w:rsidP="00D925F3">
      <w:pPr>
        <w:numPr>
          <w:ilvl w:val="0"/>
          <w:numId w:val="41"/>
        </w:numPr>
        <w:spacing w:after="120"/>
        <w:ind w:left="720"/>
        <w:jc w:val="both"/>
        <w:rPr>
          <w:lang w:val="en-US"/>
        </w:rPr>
      </w:pPr>
      <w:r w:rsidRPr="00F51441">
        <w:rPr>
          <w:lang w:val="en-US"/>
        </w:rPr>
        <w:t xml:space="preserve">If the semi-static configured RDR and the UEs’ shared BWP region are not aligned well, multiple </w:t>
      </w:r>
      <w:r w:rsidR="00BE1BCD">
        <w:rPr>
          <w:lang w:val="en-US"/>
        </w:rPr>
        <w:t>preemption indications</w:t>
      </w:r>
      <w:r w:rsidRPr="00F51441">
        <w:rPr>
          <w:lang w:val="en-US"/>
        </w:rPr>
        <w:t xml:space="preserve"> per UE (and thus, higher </w:t>
      </w:r>
      <w:r w:rsidR="00BE1BCD">
        <w:rPr>
          <w:lang w:val="en-US"/>
        </w:rPr>
        <w:t>indication</w:t>
      </w:r>
      <w:r w:rsidRPr="00F51441">
        <w:rPr>
          <w:lang w:val="en-US"/>
        </w:rPr>
        <w:t xml:space="preserve"> monitoring / complexity from UE) may be required to indicate preemptions within </w:t>
      </w:r>
      <w:proofErr w:type="gramStart"/>
      <w:r w:rsidRPr="00F51441">
        <w:rPr>
          <w:lang w:val="en-US"/>
        </w:rPr>
        <w:t>a time</w:t>
      </w:r>
      <w:proofErr w:type="gramEnd"/>
      <w:r w:rsidRPr="00F51441">
        <w:rPr>
          <w:lang w:val="en-US"/>
        </w:rPr>
        <w:t xml:space="preserve"> duration.</w:t>
      </w:r>
    </w:p>
    <w:p w:rsidR="00F51441" w:rsidRDefault="00ED5954" w:rsidP="00ED5954">
      <w:pPr>
        <w:jc w:val="both"/>
        <w:rPr>
          <w:lang w:val="en-US"/>
        </w:rPr>
      </w:pPr>
      <w:r>
        <w:rPr>
          <w:lang w:val="en-US"/>
        </w:rPr>
        <w:t>F</w:t>
      </w:r>
      <w:r w:rsidR="00F51441" w:rsidRPr="00F1784F">
        <w:rPr>
          <w:lang w:val="en-US"/>
        </w:rPr>
        <w:t>igure</w:t>
      </w:r>
      <w:r>
        <w:rPr>
          <w:lang w:val="en-US"/>
        </w:rPr>
        <w:t xml:space="preserve"> 1</w:t>
      </w:r>
      <w:r w:rsidR="00F51441" w:rsidRPr="00F1784F">
        <w:rPr>
          <w:lang w:val="en-US"/>
        </w:rPr>
        <w:t xml:space="preserve"> below provides an example to </w:t>
      </w:r>
      <w:r w:rsidR="00F1784F" w:rsidRPr="00F1784F">
        <w:rPr>
          <w:lang w:val="en-US"/>
        </w:rPr>
        <w:t>illustrate</w:t>
      </w:r>
      <w:r w:rsidR="00F51441" w:rsidRPr="00F1784F">
        <w:rPr>
          <w:lang w:val="en-US"/>
        </w:rPr>
        <w:t xml:space="preserve"> the above issues. </w:t>
      </w:r>
      <w:r w:rsidR="00751C62">
        <w:rPr>
          <w:lang w:val="en-US"/>
        </w:rPr>
        <w:t>Assuming that</w:t>
      </w:r>
      <w:r w:rsidR="00F51441" w:rsidRPr="00F1784F">
        <w:rPr>
          <w:lang w:val="en-US"/>
        </w:rPr>
        <w:t xml:space="preserve"> RDRs</w:t>
      </w:r>
      <w:r w:rsidR="00751C62">
        <w:rPr>
          <w:lang w:val="en-US"/>
        </w:rPr>
        <w:t xml:space="preserve"> are configured semi-statically,</w:t>
      </w:r>
      <w:r w:rsidR="00F51441" w:rsidRPr="00F1784F">
        <w:rPr>
          <w:lang w:val="en-US"/>
        </w:rPr>
        <w:t xml:space="preserve"> </w:t>
      </w:r>
      <w:r w:rsidR="00751C62">
        <w:rPr>
          <w:lang w:val="en-US"/>
        </w:rPr>
        <w:t>i</w:t>
      </w:r>
      <w:r w:rsidR="00F51441" w:rsidRPr="00F1784F">
        <w:rPr>
          <w:lang w:val="en-US"/>
        </w:rPr>
        <w:t xml:space="preserve">n slot 1, two UEs’ active BWPs partially overlap and the </w:t>
      </w:r>
      <w:r w:rsidR="00F51441" w:rsidRPr="00751C62">
        <w:rPr>
          <w:i/>
          <w:lang w:val="en-US"/>
        </w:rPr>
        <w:t>shared BWP</w:t>
      </w:r>
      <w:r w:rsidR="00751C62">
        <w:rPr>
          <w:lang w:val="en-US"/>
        </w:rPr>
        <w:t xml:space="preserve"> exactly matches RDR</w:t>
      </w:r>
      <w:r w:rsidR="00D925F3">
        <w:rPr>
          <w:lang w:val="en-US"/>
        </w:rPr>
        <w:t>-3</w:t>
      </w:r>
      <w:r w:rsidR="00751C62">
        <w:rPr>
          <w:lang w:val="en-US"/>
        </w:rPr>
        <w:t xml:space="preserve"> region boundaries</w:t>
      </w:r>
      <w:r w:rsidR="00F51441" w:rsidRPr="00F1784F">
        <w:rPr>
          <w:lang w:val="en-US"/>
        </w:rPr>
        <w:t xml:space="preserve">. Despite this </w:t>
      </w:r>
      <w:r w:rsidR="00751C62">
        <w:rPr>
          <w:lang w:val="en-US"/>
        </w:rPr>
        <w:t>full overlap</w:t>
      </w:r>
      <w:r w:rsidR="00F51441" w:rsidRPr="00F1784F">
        <w:rPr>
          <w:lang w:val="en-US"/>
        </w:rPr>
        <w:t xml:space="preserve">, when a preemption happens on resources within RDR-2 and </w:t>
      </w:r>
      <w:r w:rsidR="00751C62">
        <w:rPr>
          <w:lang w:val="en-US"/>
        </w:rPr>
        <w:t xml:space="preserve">RDR-3, two </w:t>
      </w:r>
      <w:r w:rsidR="00BE1BCD">
        <w:rPr>
          <w:lang w:val="en-US"/>
        </w:rPr>
        <w:t>preemption indications</w:t>
      </w:r>
      <w:r w:rsidR="00751C62">
        <w:rPr>
          <w:lang w:val="en-US"/>
        </w:rPr>
        <w:t xml:space="preserve"> have to be sent; one </w:t>
      </w:r>
      <w:r w:rsidR="00F51441" w:rsidRPr="00F1784F">
        <w:rPr>
          <w:lang w:val="en-US"/>
        </w:rPr>
        <w:t>for RDR-2 to notify UE#1 and</w:t>
      </w:r>
      <w:r w:rsidR="00751C62">
        <w:rPr>
          <w:lang w:val="en-US"/>
        </w:rPr>
        <w:t xml:space="preserve"> another</w:t>
      </w:r>
      <w:r w:rsidR="00F51441" w:rsidRPr="00F1784F">
        <w:rPr>
          <w:lang w:val="en-US"/>
        </w:rPr>
        <w:t xml:space="preserve"> one for RDR-3 to notify both UE#1 and UE#2.</w:t>
      </w:r>
      <w:r w:rsidR="00751C62">
        <w:rPr>
          <w:lang w:val="en-US"/>
        </w:rPr>
        <w:t xml:space="preserve"> </w:t>
      </w:r>
      <w:r w:rsidR="00F51441" w:rsidRPr="00F1784F">
        <w:rPr>
          <w:lang w:val="en-US"/>
        </w:rPr>
        <w:t xml:space="preserve">At a next slot 2, the semi-statically configured RDR regions and the UE’s shared BWPs are not completely matching. </w:t>
      </w:r>
      <w:r w:rsidR="00D925F3">
        <w:rPr>
          <w:lang w:val="en-US"/>
        </w:rPr>
        <w:t>In that case, the</w:t>
      </w:r>
      <w:r w:rsidR="00F51441" w:rsidRPr="00F1784F">
        <w:rPr>
          <w:lang w:val="en-US"/>
        </w:rPr>
        <w:t xml:space="preserve"> shared BWP of </w:t>
      </w:r>
      <w:r w:rsidR="00D925F3">
        <w:rPr>
          <w:lang w:val="en-US"/>
        </w:rPr>
        <w:t>UE#1 and UE#3 within RDR-2</w:t>
      </w:r>
      <w:r w:rsidR="00F51441" w:rsidRPr="00F1784F">
        <w:rPr>
          <w:lang w:val="en-US"/>
        </w:rPr>
        <w:t xml:space="preserve"> is too narrow to configure that GC-DCI’s CORESET. </w:t>
      </w:r>
      <w:r w:rsidR="00D925F3">
        <w:rPr>
          <w:lang w:val="en-US"/>
        </w:rPr>
        <w:t>I</w:t>
      </w:r>
      <w:r w:rsidR="00F51441" w:rsidRPr="00F1784F">
        <w:rPr>
          <w:lang w:val="en-US"/>
        </w:rPr>
        <w:t>n some cases it might not be significant for UE to know about such a narrow preemption, however</w:t>
      </w:r>
      <w:r w:rsidR="00D925F3">
        <w:rPr>
          <w:lang w:val="en-US"/>
        </w:rPr>
        <w:t>,</w:t>
      </w:r>
      <w:r w:rsidR="00F51441" w:rsidRPr="00F1784F">
        <w:rPr>
          <w:lang w:val="en-US"/>
        </w:rPr>
        <w:t xml:space="preserve"> this will not be true in case the time duration of the preemption is big. Also, in case the transmission is not robust enough, it is still possible that a small preemption can corrupt a </w:t>
      </w:r>
      <w:r w:rsidR="00751C62">
        <w:rPr>
          <w:lang w:val="en-US"/>
        </w:rPr>
        <w:t>significant part of the</w:t>
      </w:r>
      <w:r w:rsidR="00F51441" w:rsidRPr="00F1784F">
        <w:rPr>
          <w:lang w:val="en-US"/>
        </w:rPr>
        <w:t xml:space="preserve"> TB/CBG and the UE’s buffer used to combine HARQ retransmissions will be corrupted without knowledge of the preemption leading to more hopeless retransmissions and large delays.</w:t>
      </w:r>
    </w:p>
    <w:p w:rsidR="00ED5954" w:rsidRDefault="00ED5954" w:rsidP="00ED5954">
      <w:pPr>
        <w:spacing w:after="0"/>
        <w:jc w:val="both"/>
      </w:pPr>
      <w:r>
        <w:t xml:space="preserve">One possible solution to the above would be </w:t>
      </w:r>
      <w:r w:rsidRPr="00B42ADB">
        <w:t xml:space="preserve">for gNB to </w:t>
      </w:r>
      <w:r>
        <w:t>control</w:t>
      </w:r>
      <w:r w:rsidRPr="00B42ADB">
        <w:t xml:space="preserve"> group</w:t>
      </w:r>
      <w:r>
        <w:t>ing</w:t>
      </w:r>
      <w:r w:rsidRPr="00B42ADB">
        <w:t xml:space="preserve"> </w:t>
      </w:r>
      <w:r>
        <w:t>of some UEs for preemption indication, restrict BWP configuration/activation and/or avoid partial</w:t>
      </w:r>
      <w:r w:rsidRPr="00B42ADB">
        <w:t xml:space="preserve"> overlapping</w:t>
      </w:r>
      <w:r>
        <w:t xml:space="preserve"> of different UEs’ BWPs</w:t>
      </w:r>
      <w:r w:rsidRPr="00F51441">
        <w:t xml:space="preserve">. </w:t>
      </w:r>
      <w:r>
        <w:t>However, gNB should be relatively free to perform the above actions to improve system efficiency without having to consider what the semi-static RDR configuration is. For example, if a UE’s BWP is the whole CC BW (e.g. for high data rate), restrictions on gNB end would mean to group only with UEs having whole CC BW as active BWP. We see as a big constraint that this UE:</w:t>
      </w:r>
    </w:p>
    <w:p w:rsidR="00ED5954" w:rsidRDefault="00ED5954" w:rsidP="00ED5954">
      <w:pPr>
        <w:pStyle w:val="ListParagraph"/>
        <w:numPr>
          <w:ilvl w:val="0"/>
          <w:numId w:val="40"/>
        </w:numPr>
        <w:ind w:left="180" w:hanging="180"/>
        <w:jc w:val="both"/>
      </w:pPr>
      <w:proofErr w:type="gramStart"/>
      <w:r>
        <w:t>cannot</w:t>
      </w:r>
      <w:proofErr w:type="gramEnd"/>
      <w:r>
        <w:t xml:space="preserve"> be grouped for preemption indication with UEs not using the whole BW, although it will always share a preemption experienced at these UEs.  </w:t>
      </w:r>
    </w:p>
    <w:p w:rsidR="00ED5954" w:rsidRDefault="00ED5954" w:rsidP="00ED5954">
      <w:pPr>
        <w:pStyle w:val="ListParagraph"/>
        <w:numPr>
          <w:ilvl w:val="0"/>
          <w:numId w:val="40"/>
        </w:numPr>
        <w:ind w:left="180" w:hanging="180"/>
        <w:jc w:val="both"/>
      </w:pPr>
      <w:proofErr w:type="gramStart"/>
      <w:r>
        <w:t>cannot</w:t>
      </w:r>
      <w:proofErr w:type="gramEnd"/>
      <w:r>
        <w:t xml:space="preserve"> dynamically </w:t>
      </w:r>
      <w:r w:rsidR="00514028">
        <w:t>have</w:t>
      </w:r>
      <w:r>
        <w:t xml:space="preserve"> its BWP </w:t>
      </w:r>
      <w:r w:rsidR="00514028">
        <w:t xml:space="preserve">adapted </w:t>
      </w:r>
      <w:r>
        <w:t xml:space="preserve">(e.g. </w:t>
      </w:r>
      <w:r w:rsidR="00514028">
        <w:t xml:space="preserve">reduced BWP </w:t>
      </w:r>
      <w:r>
        <w:t>for smart energy saving when DL traffic is relaxed, or for using different numerologies in FDM) only to not overlap with whole CC BWP of other UEs in the group.</w:t>
      </w:r>
    </w:p>
    <w:p w:rsidR="00ED5954" w:rsidRPr="00ED5954" w:rsidRDefault="00ED5954" w:rsidP="00107EF2">
      <w:pPr>
        <w:spacing w:after="0"/>
        <w:jc w:val="both"/>
      </w:pPr>
    </w:p>
    <w:p w:rsidR="00F51441" w:rsidRDefault="00107EF2" w:rsidP="00751C62">
      <w:pPr>
        <w:jc w:val="center"/>
        <w:rPr>
          <w:lang w:val="en-US"/>
        </w:rPr>
      </w:pPr>
      <w:r w:rsidRPr="00107EF2">
        <w:rPr>
          <w:noProof/>
          <w:lang w:val="en-US"/>
        </w:rPr>
        <w:lastRenderedPageBreak/>
        <w:drawing>
          <wp:inline distT="0" distB="0" distL="0" distR="0" wp14:anchorId="7A9C0455" wp14:editId="4E5F270A">
            <wp:extent cx="4466422" cy="312597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73021" cy="3130591"/>
                    </a:xfrm>
                    <a:prstGeom prst="rect">
                      <a:avLst/>
                    </a:prstGeom>
                    <a:noFill/>
                    <a:ln>
                      <a:noFill/>
                    </a:ln>
                  </pic:spPr>
                </pic:pic>
              </a:graphicData>
            </a:graphic>
          </wp:inline>
        </w:drawing>
      </w:r>
    </w:p>
    <w:p w:rsidR="00B42ADB" w:rsidRPr="00E565BD" w:rsidRDefault="00B42ADB" w:rsidP="00B42ADB">
      <w:pPr>
        <w:pStyle w:val="Caption"/>
        <w:jc w:val="center"/>
        <w:rPr>
          <w:color w:val="auto"/>
          <w:sz w:val="20"/>
          <w:szCs w:val="20"/>
          <w:lang w:val="en-US"/>
        </w:rPr>
      </w:pPr>
      <w:r w:rsidRPr="00E565BD">
        <w:rPr>
          <w:color w:val="auto"/>
          <w:sz w:val="20"/>
          <w:szCs w:val="20"/>
        </w:rPr>
        <w:t xml:space="preserve">Figure </w:t>
      </w:r>
      <w:r>
        <w:rPr>
          <w:color w:val="auto"/>
          <w:sz w:val="20"/>
          <w:szCs w:val="20"/>
        </w:rPr>
        <w:t>1</w:t>
      </w:r>
      <w:r w:rsidRPr="00E565BD">
        <w:rPr>
          <w:color w:val="auto"/>
          <w:sz w:val="20"/>
          <w:szCs w:val="20"/>
          <w:lang w:val="en-US"/>
        </w:rPr>
        <w:t xml:space="preserve"> – </w:t>
      </w:r>
      <w:r>
        <w:rPr>
          <w:color w:val="auto"/>
          <w:sz w:val="20"/>
          <w:szCs w:val="20"/>
          <w:lang w:val="en-US"/>
        </w:rPr>
        <w:t xml:space="preserve">Example of </w:t>
      </w:r>
      <w:r w:rsidR="00714383">
        <w:rPr>
          <w:color w:val="auto"/>
          <w:sz w:val="20"/>
          <w:szCs w:val="20"/>
          <w:lang w:val="en-US"/>
        </w:rPr>
        <w:t>problems faced with Option 1 and Option 2 for reference DL resource determination</w:t>
      </w:r>
      <w:r>
        <w:rPr>
          <w:color w:val="auto"/>
          <w:sz w:val="20"/>
          <w:szCs w:val="20"/>
          <w:lang w:val="en-US"/>
        </w:rPr>
        <w:t>.</w:t>
      </w:r>
    </w:p>
    <w:p w:rsidR="008648CA" w:rsidRDefault="008648CA" w:rsidP="00107EF2">
      <w:pPr>
        <w:jc w:val="both"/>
      </w:pPr>
      <w:r w:rsidRPr="008648CA">
        <w:t xml:space="preserve">A more </w:t>
      </w:r>
      <w:r w:rsidR="00822D69" w:rsidRPr="008648CA">
        <w:t>effective</w:t>
      </w:r>
      <w:r w:rsidRPr="008648CA">
        <w:t xml:space="preserve"> solution would be </w:t>
      </w:r>
      <w:r>
        <w:t>to include</w:t>
      </w:r>
      <w:r w:rsidR="00BA15AD" w:rsidRPr="00BA15AD">
        <w:t xml:space="preserve"> a </w:t>
      </w:r>
      <w:r w:rsidR="00BA15AD">
        <w:t xml:space="preserve">simple </w:t>
      </w:r>
      <w:r w:rsidR="00BA15AD" w:rsidRPr="00BA15AD">
        <w:t xml:space="preserve">mechanism </w:t>
      </w:r>
      <w:r w:rsidR="00107EF2">
        <w:t>for</w:t>
      </w:r>
      <w:r w:rsidR="00BA15AD" w:rsidRPr="00BA15AD">
        <w:t xml:space="preserve"> adjust</w:t>
      </w:r>
      <w:r w:rsidR="00107EF2">
        <w:t>ing</w:t>
      </w:r>
      <w:r w:rsidR="00BA15AD" w:rsidRPr="00BA15AD">
        <w:t xml:space="preserve"> </w:t>
      </w:r>
      <w:r w:rsidR="00822D69">
        <w:t xml:space="preserve">a </w:t>
      </w:r>
      <w:r w:rsidR="00BA15AD">
        <w:t>semi-statically configured</w:t>
      </w:r>
      <w:r w:rsidR="00BA15AD" w:rsidRPr="00BA15AD">
        <w:t xml:space="preserve"> RDR region according to </w:t>
      </w:r>
      <w:r w:rsidR="00714383">
        <w:t xml:space="preserve">a dynamic </w:t>
      </w:r>
      <w:r w:rsidR="00BA15AD" w:rsidRPr="00BA15AD">
        <w:t>change</w:t>
      </w:r>
      <w:r w:rsidR="00714383">
        <w:t xml:space="preserve"> of UEs</w:t>
      </w:r>
      <w:r w:rsidR="00BA15AD">
        <w:t xml:space="preserve"> active BWP</w:t>
      </w:r>
      <w:r w:rsidR="00714383">
        <w:t xml:space="preserve"> overlapping region</w:t>
      </w:r>
      <w:r w:rsidR="00BA15AD" w:rsidRPr="00BA15AD">
        <w:t>.</w:t>
      </w:r>
      <w:r w:rsidR="00714383">
        <w:t xml:space="preserve"> </w:t>
      </w:r>
      <w:r w:rsidR="00714383" w:rsidRPr="0025341B">
        <w:t>For example,</w:t>
      </w:r>
      <w:r w:rsidR="00714383">
        <w:t xml:space="preserve"> </w:t>
      </w:r>
      <w:r w:rsidR="0025341B">
        <w:t xml:space="preserve">a BWP can consist of a small number of </w:t>
      </w:r>
      <w:r w:rsidR="0025341B" w:rsidRPr="0025341B">
        <w:t>reference downlink regions</w:t>
      </w:r>
      <w:r w:rsidR="0025341B">
        <w:t xml:space="preserve">, </w:t>
      </w:r>
      <w:r w:rsidR="00514028">
        <w:t xml:space="preserve">e.g. </w:t>
      </w:r>
      <w:r w:rsidR="0025341B">
        <w:t>semi-statically configured by RRC</w:t>
      </w:r>
      <w:r w:rsidR="00514028">
        <w:t>,</w:t>
      </w:r>
      <w:r w:rsidR="0025341B">
        <w:t xml:space="preserve"> as in Figure 1</w:t>
      </w:r>
      <w:r w:rsidR="00107EF2">
        <w:t xml:space="preserve"> example</w:t>
      </w:r>
      <w:r w:rsidR="0025341B" w:rsidRPr="0025341B">
        <w:t xml:space="preserve">. </w:t>
      </w:r>
      <w:r w:rsidR="0025341B">
        <w:t xml:space="preserve">Then, </w:t>
      </w:r>
      <w:r w:rsidR="00ED5954">
        <w:t>one or two</w:t>
      </w:r>
      <w:r w:rsidR="0025341B">
        <w:t xml:space="preserve"> offset bits, e.g. </w:t>
      </w:r>
      <w:r w:rsidR="00ED5954">
        <w:t xml:space="preserve">by reusing bits </w:t>
      </w:r>
      <w:r w:rsidR="00BE1BCD">
        <w:t>in GC-DCI for preemption indication</w:t>
      </w:r>
      <w:r w:rsidR="0025341B">
        <w:t xml:space="preserve">, can be used to adapt the RDR for a </w:t>
      </w:r>
      <w:r w:rsidR="00BE1BCD">
        <w:t>preemption indication</w:t>
      </w:r>
      <w:r w:rsidR="0025341B">
        <w:t xml:space="preserve"> by moving the configured RDR region up/down in frequency</w:t>
      </w:r>
      <w:r w:rsidR="00E07A7B">
        <w:t>.</w:t>
      </w:r>
      <w:r w:rsidR="0025341B">
        <w:t xml:space="preserve"> </w:t>
      </w:r>
      <w:r w:rsidR="00E07A7B">
        <w:t xml:space="preserve">Additionally, the width of the RDR frequency region could be adjusted to better cover an overlapping BWP region. </w:t>
      </w:r>
      <w:r w:rsidR="00107EF2">
        <w:t>Figure 2 illustrates the benefits of dynamically adjusting preconfigured RDR regions compared to the previous example scenario. In slot 2</w:t>
      </w:r>
      <w:r w:rsidR="00BE1BCD">
        <w:t>, each RDR</w:t>
      </w:r>
      <w:r w:rsidR="00107EF2">
        <w:t xml:space="preserve"> </w:t>
      </w:r>
      <w:r w:rsidR="00BE1BCD">
        <w:t>for a</w:t>
      </w:r>
      <w:r w:rsidR="00107EF2">
        <w:t xml:space="preserve"> pair of UEs (UE#1-UE#3, UE#1-UE#2) sharing a GC-DCI with </w:t>
      </w:r>
      <w:r w:rsidR="00BE1BCD">
        <w:t>preemption indication is adapted,</w:t>
      </w:r>
      <w:r w:rsidR="00107EF2">
        <w:t xml:space="preserve"> </w:t>
      </w:r>
      <w:r w:rsidR="00BE1BCD">
        <w:t>lowering the</w:t>
      </w:r>
      <w:r w:rsidR="00107EF2">
        <w:t xml:space="preserve"> chance of having a too narrow shared CORESET for GC-DCI carrying </w:t>
      </w:r>
      <w:r w:rsidR="00BE1BCD">
        <w:t>preemption indication</w:t>
      </w:r>
      <w:r w:rsidR="00107EF2">
        <w:t xml:space="preserve"> within an RDR region.</w:t>
      </w:r>
      <w:r w:rsidR="004E7D51">
        <w:t xml:space="preserve"> At the same time, the number of required PIs in each slot is halved.</w:t>
      </w:r>
    </w:p>
    <w:p w:rsidR="00714383" w:rsidRDefault="00107EF2" w:rsidP="00714383">
      <w:pPr>
        <w:jc w:val="center"/>
      </w:pPr>
      <w:r w:rsidRPr="00107EF2">
        <w:rPr>
          <w:noProof/>
          <w:lang w:val="en-US"/>
        </w:rPr>
        <w:drawing>
          <wp:inline distT="0" distB="0" distL="0" distR="0" wp14:anchorId="0D10FDC7" wp14:editId="5FE46D7E">
            <wp:extent cx="4544881" cy="3020881"/>
            <wp:effectExtent l="0" t="0" r="8255"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46235" cy="3021781"/>
                    </a:xfrm>
                    <a:prstGeom prst="rect">
                      <a:avLst/>
                    </a:prstGeom>
                    <a:noFill/>
                    <a:ln>
                      <a:noFill/>
                    </a:ln>
                  </pic:spPr>
                </pic:pic>
              </a:graphicData>
            </a:graphic>
          </wp:inline>
        </w:drawing>
      </w:r>
    </w:p>
    <w:p w:rsidR="00714383" w:rsidRPr="00E565BD" w:rsidRDefault="00714383" w:rsidP="00714383">
      <w:pPr>
        <w:pStyle w:val="Caption"/>
        <w:jc w:val="center"/>
        <w:rPr>
          <w:color w:val="auto"/>
          <w:sz w:val="20"/>
          <w:szCs w:val="20"/>
          <w:lang w:val="en-US"/>
        </w:rPr>
      </w:pPr>
      <w:r w:rsidRPr="00E565BD">
        <w:rPr>
          <w:color w:val="auto"/>
          <w:sz w:val="20"/>
          <w:szCs w:val="20"/>
        </w:rPr>
        <w:t xml:space="preserve">Figure </w:t>
      </w:r>
      <w:r>
        <w:rPr>
          <w:color w:val="auto"/>
          <w:sz w:val="20"/>
          <w:szCs w:val="20"/>
        </w:rPr>
        <w:t>2</w:t>
      </w:r>
      <w:r w:rsidRPr="00E565BD">
        <w:rPr>
          <w:color w:val="auto"/>
          <w:sz w:val="20"/>
          <w:szCs w:val="20"/>
          <w:lang w:val="en-US"/>
        </w:rPr>
        <w:t xml:space="preserve"> – </w:t>
      </w:r>
      <w:r>
        <w:rPr>
          <w:color w:val="auto"/>
          <w:sz w:val="20"/>
          <w:szCs w:val="20"/>
          <w:lang w:val="en-US"/>
        </w:rPr>
        <w:t>Adjusting RDR to UE</w:t>
      </w:r>
      <w:r w:rsidR="004E7D51">
        <w:rPr>
          <w:color w:val="auto"/>
          <w:sz w:val="20"/>
          <w:szCs w:val="20"/>
          <w:lang w:val="en-US"/>
        </w:rPr>
        <w:t>s’</w:t>
      </w:r>
      <w:r>
        <w:rPr>
          <w:color w:val="auto"/>
          <w:sz w:val="20"/>
          <w:szCs w:val="20"/>
          <w:lang w:val="en-US"/>
        </w:rPr>
        <w:t xml:space="preserve"> </w:t>
      </w:r>
      <w:r w:rsidR="004E7D51">
        <w:rPr>
          <w:color w:val="auto"/>
          <w:sz w:val="20"/>
          <w:szCs w:val="20"/>
          <w:lang w:val="en-US"/>
        </w:rPr>
        <w:t xml:space="preserve">overlapping </w:t>
      </w:r>
      <w:r>
        <w:rPr>
          <w:color w:val="auto"/>
          <w:sz w:val="20"/>
          <w:szCs w:val="20"/>
          <w:lang w:val="en-US"/>
        </w:rPr>
        <w:t>active BWP</w:t>
      </w:r>
      <w:r w:rsidR="004E7D51">
        <w:rPr>
          <w:color w:val="auto"/>
          <w:sz w:val="20"/>
          <w:szCs w:val="20"/>
          <w:lang w:val="en-US"/>
        </w:rPr>
        <w:t>s</w:t>
      </w:r>
      <w:r>
        <w:rPr>
          <w:color w:val="auto"/>
          <w:sz w:val="20"/>
          <w:szCs w:val="20"/>
          <w:lang w:val="en-US"/>
        </w:rPr>
        <w:t>.</w:t>
      </w:r>
    </w:p>
    <w:p w:rsidR="00714383" w:rsidRDefault="00514028" w:rsidP="00714383">
      <w:pPr>
        <w:jc w:val="both"/>
        <w:rPr>
          <w:b/>
          <w:i/>
        </w:rPr>
      </w:pPr>
      <w:r>
        <w:rPr>
          <w:b/>
          <w:i/>
        </w:rPr>
        <w:lastRenderedPageBreak/>
        <w:t>Proposal</w:t>
      </w:r>
      <w:r w:rsidR="00714383">
        <w:rPr>
          <w:b/>
          <w:i/>
        </w:rPr>
        <w:t xml:space="preserve"> 1</w:t>
      </w:r>
      <w:r w:rsidR="00714383" w:rsidRPr="007E1FBC">
        <w:rPr>
          <w:b/>
          <w:i/>
        </w:rPr>
        <w:t xml:space="preserve">: </w:t>
      </w:r>
      <w:r w:rsidR="00DD1327">
        <w:rPr>
          <w:b/>
          <w:i/>
        </w:rPr>
        <w:t xml:space="preserve">For RDR (reference DL resource) </w:t>
      </w:r>
      <w:r w:rsidR="00134B68">
        <w:rPr>
          <w:b/>
          <w:i/>
        </w:rPr>
        <w:t xml:space="preserve">frequency region </w:t>
      </w:r>
      <w:r w:rsidR="00DD1327">
        <w:rPr>
          <w:b/>
          <w:i/>
        </w:rPr>
        <w:t xml:space="preserve">determination </w:t>
      </w:r>
      <w:r>
        <w:rPr>
          <w:b/>
          <w:i/>
        </w:rPr>
        <w:t>RAN1 should consider</w:t>
      </w:r>
      <w:r w:rsidR="00ED5954">
        <w:rPr>
          <w:b/>
          <w:i/>
        </w:rPr>
        <w:t xml:space="preserve"> to introduce</w:t>
      </w:r>
      <w:r w:rsidR="00DD1327">
        <w:rPr>
          <w:b/>
          <w:i/>
        </w:rPr>
        <w:t xml:space="preserve"> </w:t>
      </w:r>
      <w:r w:rsidR="00ED5954">
        <w:rPr>
          <w:b/>
          <w:i/>
        </w:rPr>
        <w:t xml:space="preserve">some </w:t>
      </w:r>
      <w:r w:rsidR="00DD1327">
        <w:rPr>
          <w:b/>
          <w:i/>
        </w:rPr>
        <w:t xml:space="preserve">minimal  dynamic signalling for adjusting RDR </w:t>
      </w:r>
      <w:r w:rsidR="00134B68">
        <w:rPr>
          <w:b/>
          <w:i/>
        </w:rPr>
        <w:t xml:space="preserve">frequency </w:t>
      </w:r>
      <w:r w:rsidR="00DD1327">
        <w:rPr>
          <w:b/>
          <w:i/>
        </w:rPr>
        <w:t>region in case of dynamic change o</w:t>
      </w:r>
      <w:r w:rsidR="00134B68">
        <w:rPr>
          <w:b/>
          <w:i/>
        </w:rPr>
        <w:t>n</w:t>
      </w:r>
      <w:r w:rsidR="00DD1327">
        <w:rPr>
          <w:b/>
          <w:i/>
        </w:rPr>
        <w:t xml:space="preserve"> partially overlapping BWPs of UEs. </w:t>
      </w:r>
    </w:p>
    <w:p w:rsidR="00BE1BCD" w:rsidRDefault="00BE1BCD" w:rsidP="00BE1BCD">
      <w:pPr>
        <w:jc w:val="both"/>
      </w:pPr>
      <w:r>
        <w:t>Regarding t</w:t>
      </w:r>
      <w:r w:rsidRPr="00BE1BCD">
        <w:t xml:space="preserve">he time duration of the </w:t>
      </w:r>
      <w:r w:rsidR="00514028">
        <w:t>RDR for preemption</w:t>
      </w:r>
      <w:r>
        <w:t>, it might be the case sometimes that there are not enough resources in CORESET of current monitoring period to send the preemption indication. In that case, it could also be considered to combine with minimal dynamic signalling in order to increase the time duration of a RDR.</w:t>
      </w:r>
    </w:p>
    <w:p w:rsidR="00AA744E" w:rsidRPr="004D1106" w:rsidRDefault="00AA744E" w:rsidP="00AA744E">
      <w:pPr>
        <w:pStyle w:val="Heading1"/>
      </w:pPr>
      <w:r>
        <w:t>HARQ-ACK feedback</w:t>
      </w:r>
      <w:r w:rsidR="005F7134">
        <w:t xml:space="preserve"> for preempted data</w:t>
      </w:r>
    </w:p>
    <w:p w:rsidR="001E3FF6" w:rsidRDefault="00AA744E" w:rsidP="00AA744E">
      <w:pPr>
        <w:jc w:val="both"/>
      </w:pPr>
      <w:r w:rsidRPr="00F70765">
        <w:t>CBG-based (re)transmission has been supported in NR as a possible option to utilize multi-bit HARQ-ACK feedback</w:t>
      </w:r>
      <w:r>
        <w:t xml:space="preserve"> per TB</w:t>
      </w:r>
      <w:r w:rsidRPr="00F70765">
        <w:t xml:space="preserve">.  </w:t>
      </w:r>
      <w:r>
        <w:t>In DL, a</w:t>
      </w:r>
      <w:r w:rsidRPr="00F70765">
        <w:t xml:space="preserve"> UE can be configured to receive PDSCH transmissions that include </w:t>
      </w:r>
      <w:r>
        <w:t>CBG</w:t>
      </w:r>
      <w:r w:rsidRPr="00F70765">
        <w:t xml:space="preserve"> </w:t>
      </w:r>
      <w:r>
        <w:t>(</w:t>
      </w:r>
      <w:r w:rsidRPr="00F70765">
        <w:t>re</w:t>
      </w:r>
      <w:r>
        <w:t>)</w:t>
      </w:r>
      <w:r w:rsidRPr="00F70765">
        <w:t xml:space="preserve">transmissions of a </w:t>
      </w:r>
      <w:r>
        <w:t xml:space="preserve">TB. A </w:t>
      </w:r>
      <w:r w:rsidRPr="00F70765">
        <w:t xml:space="preserve">number of CBGs </w:t>
      </w:r>
      <w:r>
        <w:t xml:space="preserve">is also configured to UE </w:t>
      </w:r>
      <w:r w:rsidRPr="00F70765">
        <w:t xml:space="preserve">for generating respective HARQ-ACK information bits. </w:t>
      </w:r>
      <w:r>
        <w:t>The total number of HARQ-ACK feedback bits should not be much larger than the CBG size for reasonable UL signalling overhead. When</w:t>
      </w:r>
      <w:r w:rsidRPr="0086367F">
        <w:t xml:space="preserve"> CBG-level retransmission is configured, the most straightforward </w:t>
      </w:r>
      <w:r>
        <w:t>approach is</w:t>
      </w:r>
      <w:r w:rsidRPr="0086367F">
        <w:t xml:space="preserve"> to have one </w:t>
      </w:r>
      <w:r>
        <w:t xml:space="preserve">HARQ-ACK </w:t>
      </w:r>
      <w:r w:rsidRPr="0086367F">
        <w:t>bit per CBG to denote ACK</w:t>
      </w:r>
      <w:r>
        <w:t xml:space="preserve"> or NACK of the CBG as a whole. At least this basic HARQ-ACK composition has been agreed to be supported in </w:t>
      </w:r>
      <w:r w:rsidR="001F7B4D">
        <w:t>NR</w:t>
      </w:r>
      <w:r w:rsidR="001E3FF6">
        <w:t xml:space="preserve"> </w:t>
      </w:r>
      <w:r w:rsidR="001E3FF6">
        <w:rPr>
          <w:szCs w:val="22"/>
          <w:lang w:val="en-US"/>
        </w:rPr>
        <w:t>i</w:t>
      </w:r>
      <w:r w:rsidR="001E3FF6">
        <w:rPr>
          <w:szCs w:val="22"/>
          <w:lang w:val="en-US"/>
        </w:rPr>
        <w:t>n</w:t>
      </w:r>
      <w:r w:rsidR="001E3FF6" w:rsidRPr="00BE1D44">
        <w:rPr>
          <w:szCs w:val="22"/>
          <w:lang w:val="en-US"/>
        </w:rPr>
        <w:t xml:space="preserve"> </w:t>
      </w:r>
      <w:r w:rsidR="001E3FF6">
        <w:rPr>
          <w:szCs w:val="22"/>
          <w:lang w:val="en-US"/>
        </w:rPr>
        <w:t xml:space="preserve">RAN1#90 </w:t>
      </w:r>
      <w:r w:rsidR="001E3FF6" w:rsidRPr="00BE1D44">
        <w:rPr>
          <w:szCs w:val="22"/>
          <w:lang w:val="en-US"/>
        </w:rPr>
        <w:t>meeting</w:t>
      </w:r>
      <w:r w:rsidR="001E3FF6">
        <w:rPr>
          <w:szCs w:val="22"/>
          <w:lang w:val="en-US"/>
        </w:rPr>
        <w:t xml:space="preserve"> [4]</w:t>
      </w:r>
      <w:r w:rsidR="001E3FF6">
        <w:t>:</w:t>
      </w:r>
    </w:p>
    <w:p w:rsidR="001E3FF6" w:rsidRPr="001E3FF6" w:rsidRDefault="001E3FF6" w:rsidP="001E3FF6">
      <w:pPr>
        <w:spacing w:after="60"/>
        <w:rPr>
          <w:szCs w:val="22"/>
          <w:lang w:eastAsia="ja-JP"/>
        </w:rPr>
      </w:pPr>
      <w:r w:rsidRPr="001E3FF6">
        <w:rPr>
          <w:szCs w:val="22"/>
          <w:highlight w:val="green"/>
          <w:lang w:eastAsia="ja-JP"/>
        </w:rPr>
        <w:t>Agreements:</w:t>
      </w:r>
    </w:p>
    <w:p w:rsidR="001E3FF6" w:rsidRPr="00171154" w:rsidRDefault="001E3FF6" w:rsidP="001E3FF6">
      <w:pPr>
        <w:numPr>
          <w:ilvl w:val="0"/>
          <w:numId w:val="32"/>
        </w:numPr>
        <w:autoSpaceDN w:val="0"/>
        <w:spacing w:after="0"/>
        <w:rPr>
          <w:i/>
          <w:lang w:val="en-US"/>
        </w:rPr>
      </w:pPr>
      <w:r w:rsidRPr="00171154">
        <w:rPr>
          <w:i/>
          <w:lang w:val="en-US"/>
        </w:rPr>
        <w:t>For single CW case with CBG based retransmission for the semi-static codebook with HARQ-ACK multiplexing, at least following is supported for the HARQ-ACK composition and mapping per TB</w:t>
      </w:r>
    </w:p>
    <w:p w:rsidR="001E3FF6" w:rsidRPr="00171154" w:rsidRDefault="001E3FF6" w:rsidP="001E3FF6">
      <w:pPr>
        <w:numPr>
          <w:ilvl w:val="1"/>
          <w:numId w:val="32"/>
        </w:numPr>
        <w:autoSpaceDN w:val="0"/>
        <w:spacing w:after="0"/>
        <w:rPr>
          <w:i/>
          <w:lang w:val="en-US"/>
        </w:rPr>
      </w:pPr>
      <w:r w:rsidRPr="00171154">
        <w:rPr>
          <w:i/>
          <w:lang w:val="en-US"/>
        </w:rPr>
        <w:t>HARQ-ACK codebook includes HARQ-ACK corresponding to all the CBGs (including the non-scheduled CBG(s))</w:t>
      </w:r>
    </w:p>
    <w:p w:rsidR="001E3FF6" w:rsidRPr="00171154" w:rsidRDefault="001E3FF6" w:rsidP="001E3FF6">
      <w:pPr>
        <w:numPr>
          <w:ilvl w:val="1"/>
          <w:numId w:val="32"/>
        </w:numPr>
        <w:autoSpaceDN w:val="0"/>
        <w:spacing w:after="0"/>
        <w:rPr>
          <w:i/>
          <w:lang w:val="en-US"/>
        </w:rPr>
      </w:pPr>
      <w:r w:rsidRPr="00171154">
        <w:rPr>
          <w:i/>
          <w:lang w:val="en-US"/>
        </w:rPr>
        <w:t>At least followings are supported</w:t>
      </w:r>
    </w:p>
    <w:p w:rsidR="001E3FF6" w:rsidRPr="00171154" w:rsidRDefault="001E3FF6" w:rsidP="001E3FF6">
      <w:pPr>
        <w:numPr>
          <w:ilvl w:val="2"/>
          <w:numId w:val="32"/>
        </w:numPr>
        <w:autoSpaceDN w:val="0"/>
        <w:spacing w:after="0"/>
        <w:rPr>
          <w:i/>
          <w:lang w:val="en-US"/>
        </w:rPr>
      </w:pPr>
      <w:r w:rsidRPr="00171154">
        <w:rPr>
          <w:i/>
          <w:lang w:val="en-US"/>
        </w:rPr>
        <w:t>HARQ-ACK payload size is the same with the configured number of CBGs</w:t>
      </w:r>
    </w:p>
    <w:p w:rsidR="001E3FF6" w:rsidRPr="00171154" w:rsidRDefault="001E3FF6" w:rsidP="001E3FF6">
      <w:pPr>
        <w:numPr>
          <w:ilvl w:val="2"/>
          <w:numId w:val="32"/>
        </w:numPr>
        <w:autoSpaceDN w:val="0"/>
        <w:spacing w:after="0"/>
        <w:rPr>
          <w:i/>
          <w:lang w:val="en-US"/>
        </w:rPr>
      </w:pPr>
      <w:r w:rsidRPr="00171154">
        <w:rPr>
          <w:i/>
          <w:lang w:val="en-US"/>
        </w:rPr>
        <w:t>Each HARQ-ACK bit corresponds to each CBG</w:t>
      </w:r>
    </w:p>
    <w:p w:rsidR="001E3FF6" w:rsidRPr="00171154" w:rsidRDefault="001E3FF6" w:rsidP="001E3FF6">
      <w:pPr>
        <w:numPr>
          <w:ilvl w:val="2"/>
          <w:numId w:val="32"/>
        </w:numPr>
        <w:autoSpaceDN w:val="0"/>
        <w:spacing w:after="0"/>
        <w:rPr>
          <w:i/>
          <w:lang w:val="en-US"/>
        </w:rPr>
      </w:pPr>
      <w:r w:rsidRPr="00171154">
        <w:rPr>
          <w:i/>
          <w:lang w:val="en-US"/>
        </w:rPr>
        <w:t>FFS payload size reduction</w:t>
      </w:r>
    </w:p>
    <w:p w:rsidR="001E3FF6" w:rsidRPr="00171154" w:rsidRDefault="001E3FF6" w:rsidP="001E3FF6">
      <w:pPr>
        <w:numPr>
          <w:ilvl w:val="1"/>
          <w:numId w:val="32"/>
        </w:numPr>
        <w:autoSpaceDN w:val="0"/>
        <w:spacing w:after="0"/>
        <w:rPr>
          <w:i/>
          <w:lang w:val="en-US"/>
        </w:rPr>
      </w:pPr>
      <w:r w:rsidRPr="00171154">
        <w:rPr>
          <w:i/>
          <w:lang w:val="en-US"/>
        </w:rPr>
        <w:t>ACK is reported for a CBG if the same CBG has been successfully decoded</w:t>
      </w:r>
    </w:p>
    <w:p w:rsidR="001E3FF6" w:rsidRPr="00171154" w:rsidRDefault="001E3FF6" w:rsidP="001E3FF6">
      <w:pPr>
        <w:numPr>
          <w:ilvl w:val="1"/>
          <w:numId w:val="32"/>
        </w:numPr>
        <w:autoSpaceDN w:val="0"/>
        <w:spacing w:after="60"/>
        <w:rPr>
          <w:i/>
          <w:lang w:val="en-US"/>
        </w:rPr>
      </w:pPr>
      <w:r w:rsidRPr="00171154">
        <w:rPr>
          <w:i/>
          <w:lang w:val="en-US"/>
        </w:rPr>
        <w:t>FFS how to handle the case if TB CRC check is not passed while CB CRC check is passed for all the CBs</w:t>
      </w:r>
    </w:p>
    <w:p w:rsidR="00AA744E" w:rsidRDefault="00AA744E" w:rsidP="00AA744E">
      <w:pPr>
        <w:jc w:val="both"/>
      </w:pPr>
      <w:r w:rsidRPr="0086367F">
        <w:t xml:space="preserve">However, </w:t>
      </w:r>
      <w:r>
        <w:t xml:space="preserve">HARQ operation with the aforementioned feedback cannot take into account the useful information from </w:t>
      </w:r>
      <w:r w:rsidRPr="0086367F">
        <w:t>preemption indication</w:t>
      </w:r>
      <w:r>
        <w:t xml:space="preserve"> when this is received at UE</w:t>
      </w:r>
      <w:r w:rsidRPr="0086367F">
        <w:t xml:space="preserve">. It is possible that the CBG size configuration from gNB </w:t>
      </w:r>
      <w:r>
        <w:t>is</w:t>
      </w:r>
      <w:r w:rsidRPr="0086367F">
        <w:t xml:space="preserve"> a slow process</w:t>
      </w:r>
      <w:r>
        <w:t xml:space="preserve"> and cannot adapt to e.g. the sporadic URLLC traffic. In that case</w:t>
      </w:r>
      <w:r w:rsidRPr="0086367F">
        <w:t>, gNB will not be able to perfectly align URLLC transmissions with CBG configuration, leading often to partially punctured CBGs.</w:t>
      </w:r>
      <w:r>
        <w:t xml:space="preserve"> In the example illustrated in </w:t>
      </w:r>
      <w:r w:rsidRPr="00714383">
        <w:t xml:space="preserve">Figure </w:t>
      </w:r>
      <w:r w:rsidR="00714383" w:rsidRPr="00714383">
        <w:t>3</w:t>
      </w:r>
      <w:r>
        <w:t xml:space="preserve"> below, NACK may be provided for partially punctured CBG-2 and CBG-3 although most of their included CBs might be decoded successfully at UE.</w:t>
      </w:r>
      <w:r w:rsidR="001F7B4D">
        <w:t xml:space="preserve"> </w:t>
      </w:r>
      <w:r>
        <w:t>The result is that,</w:t>
      </w:r>
      <w:r w:rsidRPr="0086367F">
        <w:t xml:space="preserve"> when even a single CB </w:t>
      </w:r>
      <w:r>
        <w:t xml:space="preserve">within a CBG </w:t>
      </w:r>
      <w:r w:rsidRPr="0086367F">
        <w:t>is not decoded successfully</w:t>
      </w:r>
      <w:r>
        <w:t xml:space="preserve"> due to pre</w:t>
      </w:r>
      <w:r w:rsidRPr="0086367F">
        <w:t>empti</w:t>
      </w:r>
      <w:r>
        <w:t>on, HARQ-ACK feedback for a pre</w:t>
      </w:r>
      <w:r w:rsidRPr="0086367F">
        <w:t>empte</w:t>
      </w:r>
      <w:r>
        <w:t>d CBG is a NACK even if the pre</w:t>
      </w:r>
      <w:r w:rsidRPr="0086367F">
        <w:t xml:space="preserve">emption is partial from the CBG point of view. </w:t>
      </w:r>
      <w:r>
        <w:t>At gNB, knowledge of successfully decoded information at UE will be</w:t>
      </w:r>
      <w:r w:rsidRPr="0086367F">
        <w:t xml:space="preserve"> </w:t>
      </w:r>
      <w:r>
        <w:t>highly inadequate, leading to e.g. significant impact in DL throughput</w:t>
      </w:r>
      <w:r w:rsidRPr="0086367F">
        <w:t xml:space="preserve">, especially when CBG size is configured to be relatively high. </w:t>
      </w:r>
      <w:r>
        <w:t>Another advantage could be the reduction of DL control signalling: gNB can</w:t>
      </w:r>
      <w:r w:rsidRPr="002705C3">
        <w:t xml:space="preserve"> indicate to UE </w:t>
      </w:r>
      <w:r>
        <w:t>the CBGs whose feedback is expected</w:t>
      </w:r>
      <w:r w:rsidRPr="002705C3">
        <w:t>.</w:t>
      </w:r>
      <w:r>
        <w:t xml:space="preserve"> In that case, knowledge that UE decoding has failed only on punctured area can help gNB generate a low size </w:t>
      </w:r>
      <w:r w:rsidRPr="005C1EED">
        <w:t>feedback indication</w:t>
      </w:r>
      <w:r>
        <w:t>.</w:t>
      </w:r>
    </w:p>
    <w:p w:rsidR="00AA744E" w:rsidRDefault="00AA744E" w:rsidP="00AA744E">
      <w:pPr>
        <w:jc w:val="center"/>
      </w:pPr>
      <w:r w:rsidRPr="00891A64">
        <w:rPr>
          <w:noProof/>
          <w:lang w:val="en-US"/>
        </w:rPr>
        <w:lastRenderedPageBreak/>
        <w:drawing>
          <wp:inline distT="0" distB="0" distL="0" distR="0" wp14:anchorId="0B24742C" wp14:editId="108971B6">
            <wp:extent cx="4875140" cy="2570231"/>
            <wp:effectExtent l="0" t="0" r="190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75140" cy="2570231"/>
                    </a:xfrm>
                    <a:prstGeom prst="rect">
                      <a:avLst/>
                    </a:prstGeom>
                    <a:noFill/>
                    <a:ln>
                      <a:noFill/>
                    </a:ln>
                  </pic:spPr>
                </pic:pic>
              </a:graphicData>
            </a:graphic>
          </wp:inline>
        </w:drawing>
      </w:r>
    </w:p>
    <w:p w:rsidR="00AA744E" w:rsidRPr="00E565BD" w:rsidRDefault="00AA744E" w:rsidP="00AA744E">
      <w:pPr>
        <w:pStyle w:val="Caption"/>
        <w:jc w:val="center"/>
        <w:rPr>
          <w:color w:val="auto"/>
          <w:sz w:val="20"/>
          <w:szCs w:val="20"/>
          <w:lang w:val="en-US"/>
        </w:rPr>
      </w:pPr>
      <w:r w:rsidRPr="00E565BD">
        <w:rPr>
          <w:color w:val="auto"/>
          <w:sz w:val="20"/>
          <w:szCs w:val="20"/>
        </w:rPr>
        <w:t xml:space="preserve">Figure </w:t>
      </w:r>
      <w:r w:rsidR="00714383">
        <w:rPr>
          <w:color w:val="auto"/>
          <w:sz w:val="20"/>
          <w:szCs w:val="20"/>
        </w:rPr>
        <w:t>3</w:t>
      </w:r>
      <w:r w:rsidRPr="00E565BD">
        <w:rPr>
          <w:color w:val="auto"/>
          <w:sz w:val="20"/>
          <w:szCs w:val="20"/>
          <w:lang w:val="en-US"/>
        </w:rPr>
        <w:t xml:space="preserve"> – </w:t>
      </w:r>
      <w:r>
        <w:rPr>
          <w:color w:val="auto"/>
          <w:sz w:val="20"/>
          <w:szCs w:val="20"/>
          <w:lang w:val="en-US"/>
        </w:rPr>
        <w:t>Example of partially punctured CBGs.</w:t>
      </w:r>
    </w:p>
    <w:p w:rsidR="00AA744E" w:rsidRDefault="00AA744E" w:rsidP="00AA744E">
      <w:pPr>
        <w:jc w:val="both"/>
        <w:rPr>
          <w:szCs w:val="22"/>
        </w:rPr>
      </w:pPr>
      <w:r>
        <w:rPr>
          <w:szCs w:val="22"/>
        </w:rPr>
        <w:t>One approach for preemption-aware HARQ-ACK feedback would be for UE to be configured to generate</w:t>
      </w:r>
      <w:r w:rsidRPr="009F0020">
        <w:rPr>
          <w:szCs w:val="22"/>
        </w:rPr>
        <w:t xml:space="preserve"> </w:t>
      </w:r>
      <w:r>
        <w:rPr>
          <w:szCs w:val="22"/>
        </w:rPr>
        <w:t>2-</w:t>
      </w:r>
      <w:r w:rsidRPr="009F0020">
        <w:rPr>
          <w:szCs w:val="22"/>
        </w:rPr>
        <w:t>bit</w:t>
      </w:r>
      <w:r>
        <w:rPr>
          <w:szCs w:val="22"/>
        </w:rPr>
        <w:t>s</w:t>
      </w:r>
      <w:r w:rsidRPr="009F0020">
        <w:rPr>
          <w:szCs w:val="22"/>
        </w:rPr>
        <w:t xml:space="preserve"> for every CBG that is partially punctured in order to </w:t>
      </w:r>
      <w:r>
        <w:rPr>
          <w:szCs w:val="22"/>
        </w:rPr>
        <w:t>provide gNB with</w:t>
      </w:r>
      <w:r w:rsidRPr="009F0020">
        <w:rPr>
          <w:szCs w:val="22"/>
        </w:rPr>
        <w:t xml:space="preserve"> more information regarding to which CBs w</w:t>
      </w:r>
      <w:r>
        <w:rPr>
          <w:szCs w:val="22"/>
        </w:rPr>
        <w:t>ere</w:t>
      </w:r>
      <w:r w:rsidRPr="009F0020">
        <w:rPr>
          <w:szCs w:val="22"/>
        </w:rPr>
        <w:t xml:space="preserve"> </w:t>
      </w:r>
      <w:r>
        <w:rPr>
          <w:szCs w:val="22"/>
        </w:rPr>
        <w:t>received with correctly checked CRCs</w:t>
      </w:r>
      <w:r w:rsidRPr="009F0020">
        <w:rPr>
          <w:szCs w:val="22"/>
        </w:rPr>
        <w:t xml:space="preserve"> within those CBGs. For example, with 2</w:t>
      </w:r>
      <w:r>
        <w:rPr>
          <w:szCs w:val="22"/>
        </w:rPr>
        <w:t>-</w:t>
      </w:r>
      <w:r w:rsidRPr="009F0020">
        <w:rPr>
          <w:szCs w:val="22"/>
        </w:rPr>
        <w:t>bits</w:t>
      </w:r>
      <w:r>
        <w:rPr>
          <w:szCs w:val="22"/>
        </w:rPr>
        <w:t xml:space="preserve"> per partially punctured CBG</w:t>
      </w:r>
      <w:r w:rsidRPr="009F0020">
        <w:rPr>
          <w:szCs w:val="22"/>
        </w:rPr>
        <w:t>, UE may notify the gNB if there was c</w:t>
      </w:r>
      <w:r>
        <w:rPr>
          <w:szCs w:val="22"/>
        </w:rPr>
        <w:t>orrect decoding within the CBG of: all the CBs,</w:t>
      </w:r>
      <w:r w:rsidRPr="009F0020">
        <w:rPr>
          <w:szCs w:val="22"/>
        </w:rPr>
        <w:t xml:space="preserve"> </w:t>
      </w:r>
      <w:r>
        <w:rPr>
          <w:szCs w:val="22"/>
        </w:rPr>
        <w:t>the group of non-punctured CBs</w:t>
      </w:r>
      <w:r w:rsidRPr="009F0020">
        <w:rPr>
          <w:szCs w:val="22"/>
        </w:rPr>
        <w:t xml:space="preserve"> and</w:t>
      </w:r>
      <w:r>
        <w:rPr>
          <w:szCs w:val="22"/>
        </w:rPr>
        <w:t>/or</w:t>
      </w:r>
      <w:r w:rsidRPr="009F0020">
        <w:rPr>
          <w:szCs w:val="22"/>
        </w:rPr>
        <w:t xml:space="preserve"> the group of </w:t>
      </w:r>
      <w:r>
        <w:rPr>
          <w:szCs w:val="22"/>
        </w:rPr>
        <w:t xml:space="preserve">partially </w:t>
      </w:r>
      <w:r w:rsidRPr="009F0020">
        <w:rPr>
          <w:szCs w:val="22"/>
        </w:rPr>
        <w:t>punctured CBs</w:t>
      </w:r>
      <w:r>
        <w:rPr>
          <w:szCs w:val="22"/>
        </w:rPr>
        <w:t xml:space="preserve"> (see </w:t>
      </w:r>
      <w:r w:rsidRPr="00714383">
        <w:rPr>
          <w:szCs w:val="22"/>
        </w:rPr>
        <w:t xml:space="preserve">Figure </w:t>
      </w:r>
      <w:r w:rsidR="00714383">
        <w:rPr>
          <w:szCs w:val="22"/>
        </w:rPr>
        <w:t>4</w:t>
      </w:r>
      <w:r>
        <w:rPr>
          <w:szCs w:val="22"/>
        </w:rPr>
        <w:t>)</w:t>
      </w:r>
      <w:r w:rsidRPr="009F0020">
        <w:rPr>
          <w:szCs w:val="22"/>
        </w:rPr>
        <w:t xml:space="preserve">. </w:t>
      </w:r>
      <w:r>
        <w:rPr>
          <w:szCs w:val="22"/>
        </w:rPr>
        <w:t>To keep UL control signalling low, f</w:t>
      </w:r>
      <w:r w:rsidRPr="009F0020">
        <w:rPr>
          <w:szCs w:val="22"/>
        </w:rPr>
        <w:t xml:space="preserve">or </w:t>
      </w:r>
      <w:r>
        <w:rPr>
          <w:szCs w:val="22"/>
        </w:rPr>
        <w:t xml:space="preserve">unaffected or </w:t>
      </w:r>
      <w:r w:rsidRPr="009F0020">
        <w:rPr>
          <w:szCs w:val="22"/>
        </w:rPr>
        <w:t>fully punctured CBG</w:t>
      </w:r>
      <w:r>
        <w:rPr>
          <w:szCs w:val="22"/>
        </w:rPr>
        <w:t>s</w:t>
      </w:r>
      <w:r w:rsidRPr="009F0020">
        <w:rPr>
          <w:szCs w:val="22"/>
        </w:rPr>
        <w:t>, only 1</w:t>
      </w:r>
      <w:r>
        <w:rPr>
          <w:szCs w:val="22"/>
        </w:rPr>
        <w:t>-</w:t>
      </w:r>
      <w:r w:rsidRPr="009F0020">
        <w:rPr>
          <w:szCs w:val="22"/>
        </w:rPr>
        <w:t>bit</w:t>
      </w:r>
      <w:r>
        <w:rPr>
          <w:szCs w:val="22"/>
        </w:rPr>
        <w:t xml:space="preserve"> can be used for ACK/NACK</w:t>
      </w:r>
      <w:r w:rsidRPr="009F0020">
        <w:rPr>
          <w:szCs w:val="22"/>
        </w:rPr>
        <w:t xml:space="preserve">. </w:t>
      </w:r>
    </w:p>
    <w:p w:rsidR="00AA744E" w:rsidRDefault="00AA744E" w:rsidP="00AA744E">
      <w:pPr>
        <w:jc w:val="both"/>
        <w:rPr>
          <w:szCs w:val="22"/>
        </w:rPr>
      </w:pPr>
      <w:r>
        <w:rPr>
          <w:szCs w:val="22"/>
        </w:rPr>
        <w:t>Another approach could be for UE to still generate</w:t>
      </w:r>
      <w:r w:rsidRPr="009E53E1">
        <w:rPr>
          <w:szCs w:val="22"/>
        </w:rPr>
        <w:t xml:space="preserve"> </w:t>
      </w:r>
      <w:r>
        <w:rPr>
          <w:szCs w:val="22"/>
        </w:rPr>
        <w:t>1-</w:t>
      </w:r>
      <w:r w:rsidRPr="009E53E1">
        <w:rPr>
          <w:szCs w:val="22"/>
        </w:rPr>
        <w:t xml:space="preserve">bit </w:t>
      </w:r>
      <w:r>
        <w:rPr>
          <w:szCs w:val="22"/>
        </w:rPr>
        <w:t>for each CBG, but ACK can be re</w:t>
      </w:r>
      <w:r w:rsidRPr="009E53E1">
        <w:rPr>
          <w:szCs w:val="22"/>
        </w:rPr>
        <w:t xml:space="preserve">purposed to </w:t>
      </w:r>
      <w:r>
        <w:rPr>
          <w:szCs w:val="22"/>
        </w:rPr>
        <w:t>refer only to unaffected CBs within a partially punctured CBG. Since it would be very complicated for gNB to estimate a-priori if a partially punctured CB can be decoded at UE, ACK can be simply repurposed to refer to the unaffected area</w:t>
      </w:r>
      <w:r w:rsidRPr="009E53E1">
        <w:rPr>
          <w:szCs w:val="22"/>
        </w:rPr>
        <w:t xml:space="preserve">.  </w:t>
      </w:r>
      <w:r>
        <w:rPr>
          <w:szCs w:val="22"/>
        </w:rPr>
        <w:t>Compared to the 2-bit approach above, there is lower UL control signalling overhead which can be significant in cases where e.g. eMBB TBs consist of few CBGs or URLLC traffic is heavy (although, preemption-based service multiplexing is considered to apply to sporadic URLLC traffic). The</w:t>
      </w:r>
      <w:r w:rsidRPr="00A80921">
        <w:rPr>
          <w:szCs w:val="22"/>
        </w:rPr>
        <w:t xml:space="preserve"> disadvantage of the 1-bit alternative is that it is necessary </w:t>
      </w:r>
      <w:r>
        <w:rPr>
          <w:szCs w:val="22"/>
        </w:rPr>
        <w:t xml:space="preserve">for gNB </w:t>
      </w:r>
      <w:r w:rsidRPr="00A80921">
        <w:rPr>
          <w:szCs w:val="22"/>
        </w:rPr>
        <w:t xml:space="preserve">to assume all the CBs associated with the punctured area erroneously decoded </w:t>
      </w:r>
      <w:r>
        <w:rPr>
          <w:szCs w:val="22"/>
        </w:rPr>
        <w:t>at UE even if they are not</w:t>
      </w:r>
      <w:r w:rsidRPr="00A80921">
        <w:rPr>
          <w:szCs w:val="22"/>
        </w:rPr>
        <w:t xml:space="preserve">.  This </w:t>
      </w:r>
      <w:r>
        <w:rPr>
          <w:szCs w:val="22"/>
        </w:rPr>
        <w:t>can lead to</w:t>
      </w:r>
      <w:r w:rsidRPr="00A80921">
        <w:rPr>
          <w:szCs w:val="22"/>
        </w:rPr>
        <w:t xml:space="preserve"> DL data throughput loss which can be considerable for example in case the partially punctured CBG consists of a few (or even just one in extreme case) robustly transmitted CBs.  </w:t>
      </w:r>
    </w:p>
    <w:p w:rsidR="00AA744E" w:rsidRDefault="00AA744E" w:rsidP="00AA744E">
      <w:pPr>
        <w:jc w:val="both"/>
        <w:rPr>
          <w:szCs w:val="22"/>
        </w:rPr>
      </w:pPr>
      <w:r>
        <w:rPr>
          <w:szCs w:val="22"/>
        </w:rPr>
        <w:t>Generally, preemption-aware feedback generation at UE could be explicitly configured by gNB or implicitly, upon configuration of preemption indication.</w:t>
      </w:r>
      <w:r w:rsidR="00B42EF7">
        <w:rPr>
          <w:szCs w:val="22"/>
        </w:rPr>
        <w:t xml:space="preserve"> </w:t>
      </w:r>
    </w:p>
    <w:p w:rsidR="00AA744E" w:rsidRDefault="00AA744E" w:rsidP="00AA744E">
      <w:pPr>
        <w:jc w:val="both"/>
        <w:rPr>
          <w:b/>
          <w:i/>
        </w:rPr>
      </w:pPr>
      <w:r w:rsidRPr="004F57F3">
        <w:rPr>
          <w:b/>
          <w:i/>
          <w:iCs/>
        </w:rPr>
        <w:t xml:space="preserve">Proposal </w:t>
      </w:r>
      <w:r w:rsidR="005F7134">
        <w:rPr>
          <w:b/>
          <w:i/>
          <w:iCs/>
        </w:rPr>
        <w:t>2</w:t>
      </w:r>
      <w:r w:rsidRPr="004F57F3">
        <w:rPr>
          <w:b/>
          <w:i/>
          <w:iCs/>
        </w:rPr>
        <w:t xml:space="preserve">: </w:t>
      </w:r>
      <w:r>
        <w:rPr>
          <w:b/>
          <w:i/>
        </w:rPr>
        <w:t xml:space="preserve">When preemption indication is configured or received at UE, </w:t>
      </w:r>
      <w:r w:rsidRPr="00FF5E85">
        <w:rPr>
          <w:b/>
          <w:i/>
        </w:rPr>
        <w:t xml:space="preserve">the UE </w:t>
      </w:r>
      <w:r>
        <w:rPr>
          <w:b/>
          <w:i/>
        </w:rPr>
        <w:t>should</w:t>
      </w:r>
      <w:r w:rsidRPr="00FF5E85">
        <w:rPr>
          <w:b/>
          <w:i/>
        </w:rPr>
        <w:t xml:space="preserve"> </w:t>
      </w:r>
      <w:r>
        <w:rPr>
          <w:b/>
          <w:i/>
        </w:rPr>
        <w:t xml:space="preserve">be able to </w:t>
      </w:r>
      <w:r w:rsidRPr="00FF5E85">
        <w:rPr>
          <w:b/>
          <w:i/>
        </w:rPr>
        <w:t xml:space="preserve">generate HARQ-ACK feedback </w:t>
      </w:r>
      <w:r>
        <w:rPr>
          <w:b/>
          <w:i/>
        </w:rPr>
        <w:t xml:space="preserve">per partially punctured CBG, </w:t>
      </w:r>
      <w:r w:rsidRPr="00583107">
        <w:rPr>
          <w:b/>
          <w:i/>
        </w:rPr>
        <w:t>based on</w:t>
      </w:r>
      <w:r w:rsidRPr="00583107">
        <w:t xml:space="preserve"> </w:t>
      </w:r>
      <w:r w:rsidRPr="00583107">
        <w:rPr>
          <w:b/>
          <w:i/>
        </w:rPr>
        <w:t>CB-level CRCs</w:t>
      </w:r>
      <w:r w:rsidRPr="005C1EED">
        <w:rPr>
          <w:b/>
          <w:i/>
        </w:rPr>
        <w:t xml:space="preserve"> of unaffected CBs</w:t>
      </w:r>
      <w:r>
        <w:rPr>
          <w:b/>
          <w:i/>
        </w:rPr>
        <w:t>.</w:t>
      </w:r>
    </w:p>
    <w:p w:rsidR="00AA744E" w:rsidRPr="006F0165" w:rsidRDefault="00AA744E" w:rsidP="00AA744E">
      <w:pPr>
        <w:jc w:val="both"/>
        <w:rPr>
          <w:szCs w:val="22"/>
        </w:rPr>
      </w:pPr>
      <w:r>
        <w:rPr>
          <w:szCs w:val="22"/>
        </w:rPr>
        <w:t xml:space="preserve">An issue arising in the approaches described above is that gNB cannot be certain if UE generated HARQ-ACK feedback based on knowledge of puncturing; the preemption indication may be missed. </w:t>
      </w:r>
      <w:r w:rsidRPr="006F0165">
        <w:rPr>
          <w:szCs w:val="22"/>
        </w:rPr>
        <w:t xml:space="preserve">It is </w:t>
      </w:r>
      <w:r>
        <w:rPr>
          <w:szCs w:val="22"/>
        </w:rPr>
        <w:t xml:space="preserve">generally </w:t>
      </w:r>
      <w:r w:rsidRPr="006F0165">
        <w:rPr>
          <w:szCs w:val="22"/>
        </w:rPr>
        <w:t xml:space="preserve">expected that the </w:t>
      </w:r>
      <w:r>
        <w:rPr>
          <w:szCs w:val="22"/>
        </w:rPr>
        <w:t>preemption</w:t>
      </w:r>
      <w:r w:rsidRPr="006F0165">
        <w:rPr>
          <w:szCs w:val="22"/>
        </w:rPr>
        <w:t xml:space="preserve"> indication transmission via </w:t>
      </w:r>
      <w:r>
        <w:rPr>
          <w:szCs w:val="22"/>
        </w:rPr>
        <w:t>DCI</w:t>
      </w:r>
      <w:r w:rsidRPr="006F0165">
        <w:rPr>
          <w:szCs w:val="22"/>
        </w:rPr>
        <w:t xml:space="preserve"> will be designed to be quite robust.  However, if the UE fails to receive it there will be a misunderstanding of HARQ-ACK </w:t>
      </w:r>
      <w:r>
        <w:rPr>
          <w:szCs w:val="22"/>
        </w:rPr>
        <w:t>feedback</w:t>
      </w:r>
      <w:r w:rsidRPr="006F0165">
        <w:rPr>
          <w:szCs w:val="22"/>
        </w:rPr>
        <w:t xml:space="preserve">. </w:t>
      </w:r>
      <w:r>
        <w:rPr>
          <w:szCs w:val="22"/>
        </w:rPr>
        <w:t>In order to avoid this misunderstanding,</w:t>
      </w:r>
      <w:r w:rsidRPr="006F0165">
        <w:rPr>
          <w:szCs w:val="22"/>
        </w:rPr>
        <w:t xml:space="preserve"> </w:t>
      </w:r>
      <w:r>
        <w:rPr>
          <w:szCs w:val="22"/>
        </w:rPr>
        <w:t>a preemption</w:t>
      </w:r>
      <w:r w:rsidRPr="006F0165">
        <w:rPr>
          <w:szCs w:val="22"/>
        </w:rPr>
        <w:t xml:space="preserve"> indication confirmation mechanism</w:t>
      </w:r>
      <w:r>
        <w:rPr>
          <w:szCs w:val="22"/>
        </w:rPr>
        <w:t xml:space="preserve"> can be introduced</w:t>
      </w:r>
      <w:r w:rsidRPr="006F0165">
        <w:rPr>
          <w:szCs w:val="22"/>
        </w:rPr>
        <w:t xml:space="preserve">. An indication </w:t>
      </w:r>
      <w:r>
        <w:rPr>
          <w:szCs w:val="22"/>
        </w:rPr>
        <w:t xml:space="preserve">by UE </w:t>
      </w:r>
      <w:r w:rsidRPr="006F0165">
        <w:rPr>
          <w:szCs w:val="22"/>
        </w:rPr>
        <w:t xml:space="preserve">in </w:t>
      </w:r>
      <w:r>
        <w:rPr>
          <w:szCs w:val="22"/>
        </w:rPr>
        <w:t>UL</w:t>
      </w:r>
      <w:r w:rsidRPr="006F0165">
        <w:rPr>
          <w:szCs w:val="22"/>
        </w:rPr>
        <w:t xml:space="preserve"> may for example notify gNB if UE</w:t>
      </w:r>
      <w:r>
        <w:rPr>
          <w:szCs w:val="22"/>
        </w:rPr>
        <w:t xml:space="preserve"> has received correctly the pre</w:t>
      </w:r>
      <w:r w:rsidRPr="006F0165">
        <w:rPr>
          <w:szCs w:val="22"/>
        </w:rPr>
        <w:t xml:space="preserve">emption indication.  </w:t>
      </w:r>
    </w:p>
    <w:p w:rsidR="00AA744E" w:rsidRDefault="00AA744E" w:rsidP="00AA744E">
      <w:pPr>
        <w:jc w:val="both"/>
        <w:rPr>
          <w:szCs w:val="22"/>
        </w:rPr>
      </w:pPr>
      <w:r>
        <w:rPr>
          <w:szCs w:val="22"/>
        </w:rPr>
        <w:t>Preemption</w:t>
      </w:r>
      <w:r w:rsidRPr="006F0165">
        <w:rPr>
          <w:szCs w:val="22"/>
        </w:rPr>
        <w:t xml:space="preserve"> indication receipt confirmation may </w:t>
      </w:r>
      <w:r>
        <w:rPr>
          <w:szCs w:val="22"/>
        </w:rPr>
        <w:t xml:space="preserve">for example </w:t>
      </w:r>
      <w:r w:rsidRPr="006F0165">
        <w:rPr>
          <w:szCs w:val="22"/>
        </w:rPr>
        <w:t xml:space="preserve">be separately coded within UCI bits. </w:t>
      </w:r>
      <w:r>
        <w:rPr>
          <w:szCs w:val="22"/>
        </w:rPr>
        <w:t>O</w:t>
      </w:r>
      <w:r w:rsidRPr="006F0165">
        <w:rPr>
          <w:szCs w:val="22"/>
        </w:rPr>
        <w:t xml:space="preserve">ne solution would be to split HARQ-ACK feedback in two </w:t>
      </w:r>
      <w:r>
        <w:rPr>
          <w:szCs w:val="22"/>
        </w:rPr>
        <w:t>steps</w:t>
      </w:r>
      <w:r w:rsidRPr="006F0165">
        <w:rPr>
          <w:szCs w:val="22"/>
        </w:rPr>
        <w:t xml:space="preserve"> and send the confirmation within the first </w:t>
      </w:r>
      <w:r>
        <w:rPr>
          <w:szCs w:val="22"/>
        </w:rPr>
        <w:t>step while</w:t>
      </w:r>
      <w:r w:rsidRPr="006F0165">
        <w:rPr>
          <w:szCs w:val="22"/>
        </w:rPr>
        <w:t xml:space="preserve"> </w:t>
      </w:r>
      <w:r>
        <w:rPr>
          <w:szCs w:val="22"/>
        </w:rPr>
        <w:t xml:space="preserve">at </w:t>
      </w:r>
      <w:r w:rsidRPr="006F0165">
        <w:rPr>
          <w:szCs w:val="22"/>
        </w:rPr>
        <w:t xml:space="preserve">the second </w:t>
      </w:r>
      <w:r>
        <w:rPr>
          <w:szCs w:val="22"/>
        </w:rPr>
        <w:t>step</w:t>
      </w:r>
      <w:r w:rsidRPr="006F0165">
        <w:rPr>
          <w:szCs w:val="22"/>
        </w:rPr>
        <w:t xml:space="preserve"> the actual HARQ-ACK feedback bits</w:t>
      </w:r>
      <w:r>
        <w:rPr>
          <w:szCs w:val="22"/>
        </w:rPr>
        <w:t xml:space="preserve"> are received and decoded at gNB</w:t>
      </w:r>
      <w:r w:rsidR="00B0574D">
        <w:rPr>
          <w:szCs w:val="22"/>
        </w:rPr>
        <w:t xml:space="preserve">. </w:t>
      </w:r>
      <w:r w:rsidRPr="006F0165">
        <w:rPr>
          <w:szCs w:val="22"/>
        </w:rPr>
        <w:t xml:space="preserve">An alternative solution may be that </w:t>
      </w:r>
      <w:r>
        <w:rPr>
          <w:szCs w:val="22"/>
        </w:rPr>
        <w:t>preemption</w:t>
      </w:r>
      <w:r w:rsidRPr="006F0165">
        <w:rPr>
          <w:szCs w:val="22"/>
        </w:rPr>
        <w:t xml:space="preserve"> indication receipt confirmation is sent </w:t>
      </w:r>
      <w:r>
        <w:rPr>
          <w:szCs w:val="22"/>
        </w:rPr>
        <w:t xml:space="preserve">to gNB </w:t>
      </w:r>
      <w:r w:rsidRPr="006F0165">
        <w:rPr>
          <w:szCs w:val="22"/>
        </w:rPr>
        <w:t xml:space="preserve">via implicit signalling.  For example a different PUCCH format, PUCCH resource, </w:t>
      </w:r>
      <w:r>
        <w:rPr>
          <w:szCs w:val="22"/>
        </w:rPr>
        <w:t xml:space="preserve">or </w:t>
      </w:r>
      <w:r w:rsidRPr="006F0165">
        <w:rPr>
          <w:szCs w:val="22"/>
        </w:rPr>
        <w:t>scrambling of the UCI bits may be used to denote if the HARQ-ACK feedback has been constructed by the UE considering a received</w:t>
      </w:r>
      <w:r>
        <w:rPr>
          <w:szCs w:val="22"/>
        </w:rPr>
        <w:t xml:space="preserve"> preemption</w:t>
      </w:r>
      <w:r w:rsidRPr="006F0165">
        <w:rPr>
          <w:szCs w:val="22"/>
        </w:rPr>
        <w:t xml:space="preserve"> </w:t>
      </w:r>
      <w:r>
        <w:rPr>
          <w:szCs w:val="22"/>
        </w:rPr>
        <w:t>indication or not</w:t>
      </w:r>
      <w:r w:rsidRPr="006F0165">
        <w:rPr>
          <w:szCs w:val="22"/>
        </w:rPr>
        <w:t>.</w:t>
      </w:r>
      <w:r>
        <w:rPr>
          <w:szCs w:val="22"/>
        </w:rPr>
        <w:t xml:space="preserve"> Figure </w:t>
      </w:r>
      <w:r w:rsidR="00714383">
        <w:rPr>
          <w:szCs w:val="22"/>
        </w:rPr>
        <w:t>4</w:t>
      </w:r>
      <w:r>
        <w:rPr>
          <w:szCs w:val="22"/>
        </w:rPr>
        <w:t xml:space="preserve"> below illustrates an example where preemption indication confirmation receipt is used in conjunction with the 2-bit per-CBG HARQ-ACK feedback approach. </w:t>
      </w:r>
    </w:p>
    <w:p w:rsidR="00AA744E" w:rsidRDefault="00AA744E" w:rsidP="00AA744E">
      <w:pPr>
        <w:jc w:val="center"/>
      </w:pPr>
      <w:r w:rsidRPr="00BA421E">
        <w:rPr>
          <w:noProof/>
          <w:lang w:val="en-US"/>
        </w:rPr>
        <w:lastRenderedPageBreak/>
        <w:drawing>
          <wp:inline distT="0" distB="0" distL="0" distR="0" wp14:anchorId="03DC0FAA" wp14:editId="2C51973E">
            <wp:extent cx="3699882" cy="30765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02631" cy="3078861"/>
                    </a:xfrm>
                    <a:prstGeom prst="rect">
                      <a:avLst/>
                    </a:prstGeom>
                    <a:noFill/>
                    <a:ln>
                      <a:noFill/>
                    </a:ln>
                  </pic:spPr>
                </pic:pic>
              </a:graphicData>
            </a:graphic>
          </wp:inline>
        </w:drawing>
      </w:r>
    </w:p>
    <w:p w:rsidR="00AA744E" w:rsidRPr="00E565BD" w:rsidRDefault="00AA744E" w:rsidP="00AA744E">
      <w:pPr>
        <w:pStyle w:val="Caption"/>
        <w:jc w:val="center"/>
        <w:rPr>
          <w:color w:val="auto"/>
          <w:sz w:val="20"/>
          <w:szCs w:val="20"/>
          <w:lang w:val="en-US"/>
        </w:rPr>
      </w:pPr>
      <w:r w:rsidRPr="00E565BD">
        <w:rPr>
          <w:color w:val="auto"/>
          <w:sz w:val="20"/>
          <w:szCs w:val="20"/>
        </w:rPr>
        <w:t xml:space="preserve">Figure </w:t>
      </w:r>
      <w:r w:rsidR="00714383">
        <w:rPr>
          <w:color w:val="auto"/>
          <w:sz w:val="20"/>
          <w:szCs w:val="20"/>
        </w:rPr>
        <w:t>4</w:t>
      </w:r>
      <w:r w:rsidRPr="00E565BD">
        <w:rPr>
          <w:color w:val="auto"/>
          <w:sz w:val="20"/>
          <w:szCs w:val="20"/>
          <w:lang w:val="en-US"/>
        </w:rPr>
        <w:t xml:space="preserve"> – </w:t>
      </w:r>
      <w:r>
        <w:rPr>
          <w:color w:val="auto"/>
          <w:sz w:val="20"/>
          <w:szCs w:val="20"/>
          <w:lang w:val="en-US"/>
        </w:rPr>
        <w:t>Preemption-aware HARQ-ACK feedback with 2-bits per partially punctured CBG and preemption indication confirmation receipt.</w:t>
      </w:r>
    </w:p>
    <w:p w:rsidR="00AA744E" w:rsidRDefault="00AA744E" w:rsidP="00AA744E">
      <w:pPr>
        <w:jc w:val="both"/>
        <w:rPr>
          <w:b/>
          <w:i/>
        </w:rPr>
      </w:pPr>
      <w:r w:rsidRPr="004F57F3">
        <w:rPr>
          <w:b/>
          <w:i/>
          <w:iCs/>
        </w:rPr>
        <w:t xml:space="preserve">Proposal </w:t>
      </w:r>
      <w:r w:rsidR="005F7134">
        <w:rPr>
          <w:b/>
          <w:i/>
          <w:iCs/>
        </w:rPr>
        <w:t>3</w:t>
      </w:r>
      <w:r w:rsidRPr="004F57F3">
        <w:rPr>
          <w:b/>
          <w:i/>
          <w:iCs/>
        </w:rPr>
        <w:t xml:space="preserve">: </w:t>
      </w:r>
      <w:r>
        <w:rPr>
          <w:b/>
          <w:i/>
        </w:rPr>
        <w:t xml:space="preserve">In case preemption-aware feedback is generated at UE, consider the use of a </w:t>
      </w:r>
      <w:r w:rsidRPr="008858CF">
        <w:rPr>
          <w:b/>
          <w:i/>
        </w:rPr>
        <w:t xml:space="preserve">preemption </w:t>
      </w:r>
      <w:r>
        <w:rPr>
          <w:b/>
          <w:i/>
        </w:rPr>
        <w:t>indication confirmation signalling in UL to avoid HARQ-ACK feedback misunderstanding between UE and gNB.</w:t>
      </w:r>
    </w:p>
    <w:p w:rsidR="00821C82" w:rsidRDefault="005F7134" w:rsidP="00821C82">
      <w:pPr>
        <w:pStyle w:val="Heading1"/>
      </w:pPr>
      <w:r>
        <w:t>T</w:t>
      </w:r>
      <w:r w:rsidR="00821C82">
        <w:t>ransmission</w:t>
      </w:r>
      <w:r>
        <w:t xml:space="preserve"> of preempted data before ACK/NACK</w:t>
      </w:r>
    </w:p>
    <w:p w:rsidR="000E644E" w:rsidRDefault="0001569C" w:rsidP="000E644E">
      <w:pPr>
        <w:jc w:val="both"/>
      </w:pPr>
      <w:r w:rsidRPr="00996C27">
        <w:rPr>
          <w:bCs/>
        </w:rPr>
        <w:t xml:space="preserve">When </w:t>
      </w:r>
      <w:r>
        <w:rPr>
          <w:bCs/>
        </w:rPr>
        <w:t xml:space="preserve">preempted data needs to be retransmitted, gNB will have to decide which resources to schedule and how to indicate this to the </w:t>
      </w:r>
      <w:r w:rsidR="00A74FF8">
        <w:rPr>
          <w:bCs/>
        </w:rPr>
        <w:t>victim</w:t>
      </w:r>
      <w:r>
        <w:rPr>
          <w:bCs/>
        </w:rPr>
        <w:t xml:space="preserve"> UE</w:t>
      </w:r>
      <w:r>
        <w:t xml:space="preserve">. </w:t>
      </w:r>
      <w:proofErr w:type="gramStart"/>
      <w:r>
        <w:t>gNB</w:t>
      </w:r>
      <w:proofErr w:type="gramEnd"/>
      <w:r>
        <w:t xml:space="preserve"> can </w:t>
      </w:r>
      <w:r w:rsidRPr="00E67127">
        <w:t xml:space="preserve">wait </w:t>
      </w:r>
      <w:r>
        <w:t xml:space="preserve">for </w:t>
      </w:r>
      <w:r w:rsidRPr="00E67127">
        <w:t xml:space="preserve">a NACK response from UE and </w:t>
      </w:r>
      <w:r>
        <w:t>then use</w:t>
      </w:r>
      <w:r w:rsidRPr="00E67127">
        <w:t xml:space="preserve"> </w:t>
      </w:r>
      <w:r w:rsidR="00A74FF8">
        <w:t xml:space="preserve">UE-specific </w:t>
      </w:r>
      <w:r w:rsidRPr="00E67127">
        <w:t>DCI</w:t>
      </w:r>
      <w:r>
        <w:t xml:space="preserve"> of next available scheduling</w:t>
      </w:r>
      <w:r w:rsidRPr="00E67127">
        <w:t xml:space="preserve"> </w:t>
      </w:r>
      <w:r>
        <w:t xml:space="preserve">unit </w:t>
      </w:r>
      <w:r w:rsidRPr="00E67127">
        <w:t xml:space="preserve">to </w:t>
      </w:r>
      <w:r>
        <w:t>arrange</w:t>
      </w:r>
      <w:r w:rsidRPr="00E67127">
        <w:t xml:space="preserve"> </w:t>
      </w:r>
      <w:r>
        <w:t xml:space="preserve">the </w:t>
      </w:r>
      <w:r w:rsidR="00A74FF8">
        <w:t>re</w:t>
      </w:r>
      <w:r w:rsidRPr="00E67127">
        <w:t>transmission</w:t>
      </w:r>
      <w:r>
        <w:t xml:space="preserve">. </w:t>
      </w:r>
      <w:r w:rsidRPr="0097205B">
        <w:t xml:space="preserve">This approach ensures that retransmission </w:t>
      </w:r>
      <w:r w:rsidR="00A74FF8">
        <w:t xml:space="preserve">of resources </w:t>
      </w:r>
      <w:r w:rsidRPr="0097205B">
        <w:t xml:space="preserve">occurs only when necessary and </w:t>
      </w:r>
      <w:r>
        <w:t>may burden</w:t>
      </w:r>
      <w:r w:rsidRPr="0097205B">
        <w:t xml:space="preserve"> less the </w:t>
      </w:r>
      <w:r w:rsidR="00E32BB8">
        <w:t>DL</w:t>
      </w:r>
      <w:r w:rsidRPr="0097205B">
        <w:t xml:space="preserve"> throughput performance. </w:t>
      </w:r>
      <w:r>
        <w:t xml:space="preserve"> </w:t>
      </w:r>
      <w:r w:rsidRPr="0097205B">
        <w:t>However, delay</w:t>
      </w:r>
      <w:r>
        <w:t xml:space="preserve"> may be introduced</w:t>
      </w:r>
      <w:r w:rsidRPr="0097205B">
        <w:t xml:space="preserve"> to the successful decoding of a punctured TB (or CB</w:t>
      </w:r>
      <w:r w:rsidR="00680EA3">
        <w:t>G</w:t>
      </w:r>
      <w:r w:rsidRPr="0097205B">
        <w:t>) which cannot be reconstructed correctly just by u</w:t>
      </w:r>
      <w:r>
        <w:t xml:space="preserve">sing the </w:t>
      </w:r>
      <w:r w:rsidR="00680EA3">
        <w:t>preemption</w:t>
      </w:r>
      <w:r>
        <w:t xml:space="preserve"> indication.</w:t>
      </w:r>
      <w:r w:rsidR="000E644E">
        <w:t xml:space="preserve"> </w:t>
      </w:r>
    </w:p>
    <w:p w:rsidR="00821C82" w:rsidRDefault="00821C82" w:rsidP="00821C82">
      <w:pPr>
        <w:jc w:val="both"/>
      </w:pPr>
      <w:r>
        <w:t xml:space="preserve">The performance degradation of preempted transmissions can be improved by using a </w:t>
      </w:r>
      <w:r w:rsidR="00680EA3">
        <w:t>preemption</w:t>
      </w:r>
      <w:r>
        <w:t xml:space="preserve"> indication in conjunction with</w:t>
      </w:r>
      <w:r w:rsidR="00D02AC6">
        <w:t xml:space="preserve"> subsequent transmission</w:t>
      </w:r>
      <w:r>
        <w:t xml:space="preserve"> of the </w:t>
      </w:r>
      <w:r w:rsidR="00D02AC6">
        <w:t>preempted resources</w:t>
      </w:r>
      <w:r>
        <w:t xml:space="preserve">, i.e. </w:t>
      </w:r>
      <w:r w:rsidR="00452085">
        <w:t xml:space="preserve">a </w:t>
      </w:r>
      <w:r w:rsidR="00F11754">
        <w:t>(</w:t>
      </w:r>
      <w:r>
        <w:t>re</w:t>
      </w:r>
      <w:r w:rsidR="00F11754">
        <w:t>)</w:t>
      </w:r>
      <w:r>
        <w:t xml:space="preserve">transmission of </w:t>
      </w:r>
      <w:r w:rsidR="00452085">
        <w:t>preempted data before corresponding HARQ feedback</w:t>
      </w:r>
      <w:r>
        <w:t xml:space="preserve">. </w:t>
      </w:r>
      <w:r w:rsidR="00452085" w:rsidRPr="00452085">
        <w:t xml:space="preserve">According to the scheduler capability and possibly load, UE could be </w:t>
      </w:r>
      <w:r w:rsidR="000E644E">
        <w:t>advised</w:t>
      </w:r>
      <w:r w:rsidR="00452085" w:rsidRPr="00452085">
        <w:t xml:space="preserve"> to expect such subsequent transmission and monitor the respective </w:t>
      </w:r>
      <w:r w:rsidR="000E644E">
        <w:t>scheduling DCI</w:t>
      </w:r>
      <w:r w:rsidR="00452085" w:rsidRPr="00452085">
        <w:t>.</w:t>
      </w:r>
      <w:r w:rsidR="00492C7A">
        <w:t xml:space="preserve"> Since gNB has deeper knowledge of expected data corruptions due to preemption (e.g. ratio of preempted resources, channel quality, MCS used) there will be cases where an unsuccessful UE decoding can be predicted with high probability. In that case</w:t>
      </w:r>
      <w:r w:rsidR="007668B0">
        <w:t>,</w:t>
      </w:r>
      <w:r w:rsidR="00492C7A">
        <w:t xml:space="preserve"> subsequent transmission can be beneficial in terms of reduced delay and UL signalling.</w:t>
      </w:r>
    </w:p>
    <w:p w:rsidR="00BB733B" w:rsidRDefault="00776460" w:rsidP="00BB733B">
      <w:pPr>
        <w:jc w:val="both"/>
      </w:pPr>
      <w:r w:rsidRPr="00776460">
        <w:rPr>
          <w:noProof/>
          <w:lang w:val="en-US"/>
        </w:rPr>
        <w:lastRenderedPageBreak/>
        <w:drawing>
          <wp:inline distT="0" distB="0" distL="0" distR="0" wp14:anchorId="45526B60" wp14:editId="05EE1B91">
            <wp:extent cx="6115685" cy="2106181"/>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685" cy="2106181"/>
                    </a:xfrm>
                    <a:prstGeom prst="rect">
                      <a:avLst/>
                    </a:prstGeom>
                    <a:noFill/>
                    <a:ln>
                      <a:noFill/>
                    </a:ln>
                  </pic:spPr>
                </pic:pic>
              </a:graphicData>
            </a:graphic>
          </wp:inline>
        </w:drawing>
      </w:r>
    </w:p>
    <w:p w:rsidR="00BB733B" w:rsidRPr="00E565BD" w:rsidRDefault="00BB733B" w:rsidP="00BB733B">
      <w:pPr>
        <w:pStyle w:val="Caption"/>
        <w:jc w:val="center"/>
        <w:rPr>
          <w:color w:val="auto"/>
          <w:sz w:val="20"/>
          <w:szCs w:val="20"/>
          <w:lang w:val="en-US"/>
        </w:rPr>
      </w:pPr>
      <w:r w:rsidRPr="00714383">
        <w:rPr>
          <w:color w:val="auto"/>
          <w:sz w:val="20"/>
          <w:szCs w:val="20"/>
        </w:rPr>
        <w:t xml:space="preserve">Figure </w:t>
      </w:r>
      <w:r w:rsidR="00714383" w:rsidRPr="00714383">
        <w:rPr>
          <w:color w:val="auto"/>
          <w:sz w:val="20"/>
          <w:szCs w:val="20"/>
        </w:rPr>
        <w:t>5</w:t>
      </w:r>
      <w:r w:rsidRPr="00E565BD">
        <w:rPr>
          <w:color w:val="auto"/>
          <w:sz w:val="20"/>
          <w:szCs w:val="20"/>
          <w:lang w:val="en-US"/>
        </w:rPr>
        <w:t xml:space="preserve"> – </w:t>
      </w:r>
      <w:r w:rsidR="006736DC">
        <w:rPr>
          <w:color w:val="auto"/>
          <w:sz w:val="20"/>
          <w:szCs w:val="20"/>
          <w:lang w:val="en-US"/>
        </w:rPr>
        <w:t>S</w:t>
      </w:r>
      <w:r>
        <w:rPr>
          <w:color w:val="auto"/>
          <w:sz w:val="20"/>
          <w:szCs w:val="20"/>
          <w:lang w:val="en-US"/>
        </w:rPr>
        <w:t>ubsequent transmission</w:t>
      </w:r>
      <w:r w:rsidR="006736DC">
        <w:rPr>
          <w:color w:val="auto"/>
          <w:sz w:val="20"/>
          <w:szCs w:val="20"/>
          <w:lang w:val="en-US"/>
        </w:rPr>
        <w:t xml:space="preserve"> of preempted</w:t>
      </w:r>
      <w:r>
        <w:rPr>
          <w:color w:val="auto"/>
          <w:sz w:val="20"/>
          <w:szCs w:val="20"/>
          <w:lang w:val="en-US"/>
        </w:rPr>
        <w:t xml:space="preserve"> data</w:t>
      </w:r>
      <w:r w:rsidRPr="00E565BD">
        <w:rPr>
          <w:color w:val="auto"/>
          <w:sz w:val="20"/>
          <w:szCs w:val="20"/>
          <w:lang w:val="en-US"/>
        </w:rPr>
        <w:t>.</w:t>
      </w:r>
    </w:p>
    <w:p w:rsidR="0092436A" w:rsidRDefault="00821C82" w:rsidP="008C4B90">
      <w:pPr>
        <w:jc w:val="both"/>
        <w:rPr>
          <w:bCs/>
        </w:rPr>
      </w:pPr>
      <w:r>
        <w:rPr>
          <w:bCs/>
        </w:rPr>
        <w:t xml:space="preserve">It is important that the scheduling procedure for </w:t>
      </w:r>
      <w:r w:rsidR="00066CD0">
        <w:rPr>
          <w:bCs/>
        </w:rPr>
        <w:t>subsequent transmission</w:t>
      </w:r>
      <w:r>
        <w:rPr>
          <w:bCs/>
        </w:rPr>
        <w:t xml:space="preserve"> is kept as efficient as possible in terms of overhead and scheduling complexity introduced.  Keeping full flexibility on resource allocation of </w:t>
      </w:r>
      <w:r w:rsidR="00066CD0">
        <w:rPr>
          <w:bCs/>
        </w:rPr>
        <w:t>subsequent</w:t>
      </w:r>
      <w:r w:rsidR="00FB0D4F">
        <w:rPr>
          <w:bCs/>
        </w:rPr>
        <w:t xml:space="preserve"> </w:t>
      </w:r>
      <w:r>
        <w:rPr>
          <w:bCs/>
        </w:rPr>
        <w:t xml:space="preserve">transmissions will incur significant signalling overhead as well as control channel decoding complexity at </w:t>
      </w:r>
      <w:r w:rsidR="00BB733B">
        <w:rPr>
          <w:bCs/>
        </w:rPr>
        <w:t>victim</w:t>
      </w:r>
      <w:r>
        <w:rPr>
          <w:bCs/>
        </w:rPr>
        <w:t xml:space="preserve"> UE, </w:t>
      </w:r>
      <w:r w:rsidR="00FB0D4F">
        <w:rPr>
          <w:bCs/>
        </w:rPr>
        <w:t xml:space="preserve">especially when amount of </w:t>
      </w:r>
      <w:r w:rsidR="00066CD0">
        <w:rPr>
          <w:bCs/>
        </w:rPr>
        <w:t xml:space="preserve">such </w:t>
      </w:r>
      <w:r>
        <w:rPr>
          <w:bCs/>
        </w:rPr>
        <w:t xml:space="preserve">transmissions is large. </w:t>
      </w:r>
      <w:r w:rsidR="006736DC">
        <w:rPr>
          <w:bCs/>
        </w:rPr>
        <w:t xml:space="preserve">Therefore, instead of adopting CBG-based retransmission, </w:t>
      </w:r>
      <w:r>
        <w:rPr>
          <w:bCs/>
        </w:rPr>
        <w:t xml:space="preserve">it </w:t>
      </w:r>
      <w:r w:rsidR="006736DC">
        <w:rPr>
          <w:bCs/>
        </w:rPr>
        <w:t>would</w:t>
      </w:r>
      <w:r>
        <w:rPr>
          <w:bCs/>
        </w:rPr>
        <w:t xml:space="preserve"> be beneficial to have pre-configured regions within </w:t>
      </w:r>
      <w:r w:rsidR="00FC21E8">
        <w:rPr>
          <w:bCs/>
        </w:rPr>
        <w:t xml:space="preserve">e.g. </w:t>
      </w:r>
      <w:r>
        <w:rPr>
          <w:bCs/>
        </w:rPr>
        <w:t xml:space="preserve">eMBB </w:t>
      </w:r>
      <w:r w:rsidR="00F52A1D">
        <w:rPr>
          <w:bCs/>
        </w:rPr>
        <w:t>resource</w:t>
      </w:r>
      <w:r>
        <w:rPr>
          <w:bCs/>
        </w:rPr>
        <w:t xml:space="preserve"> to potentially allocate </w:t>
      </w:r>
      <w:r w:rsidR="00066CD0">
        <w:rPr>
          <w:bCs/>
        </w:rPr>
        <w:t>subsequent</w:t>
      </w:r>
      <w:r w:rsidR="00FB0D4F" w:rsidRPr="00F52A1D">
        <w:rPr>
          <w:bCs/>
        </w:rPr>
        <w:t xml:space="preserve"> </w:t>
      </w:r>
      <w:r w:rsidR="0092436A">
        <w:rPr>
          <w:bCs/>
        </w:rPr>
        <w:t xml:space="preserve">transmissions. The </w:t>
      </w:r>
      <w:r w:rsidR="00E32BB8">
        <w:rPr>
          <w:bCs/>
        </w:rPr>
        <w:t>victim</w:t>
      </w:r>
      <w:r w:rsidR="0092436A">
        <w:rPr>
          <w:bCs/>
        </w:rPr>
        <w:t xml:space="preserve"> UE </w:t>
      </w:r>
      <w:r w:rsidR="008C4B90">
        <w:rPr>
          <w:bCs/>
        </w:rPr>
        <w:t>will just</w:t>
      </w:r>
      <w:r w:rsidR="0092436A">
        <w:rPr>
          <w:bCs/>
        </w:rPr>
        <w:t xml:space="preserve"> need to know if a pre-configured region is enabled (and contains partial information for a previously received TB) or not (and contains new data). </w:t>
      </w:r>
      <w:r w:rsidR="008C4B90">
        <w:rPr>
          <w:bCs/>
        </w:rPr>
        <w:t>In addition, a</w:t>
      </w:r>
      <w:r w:rsidR="0092436A">
        <w:rPr>
          <w:bCs/>
        </w:rPr>
        <w:t xml:space="preserve"> </w:t>
      </w:r>
      <w:r w:rsidR="008C4B90">
        <w:rPr>
          <w:bCs/>
        </w:rPr>
        <w:t xml:space="preserve">method for </w:t>
      </w:r>
      <w:r w:rsidR="0092436A" w:rsidRPr="00755631">
        <w:rPr>
          <w:bCs/>
        </w:rPr>
        <w:t xml:space="preserve">one-to-one mapping </w:t>
      </w:r>
      <w:r w:rsidR="0092436A">
        <w:rPr>
          <w:bCs/>
        </w:rPr>
        <w:t>of</w:t>
      </w:r>
      <w:r w:rsidR="0092436A" w:rsidRPr="00755631">
        <w:rPr>
          <w:bCs/>
        </w:rPr>
        <w:t xml:space="preserve"> URLLC regions to </w:t>
      </w:r>
      <w:r w:rsidR="00066CD0">
        <w:rPr>
          <w:bCs/>
        </w:rPr>
        <w:t>subsequent</w:t>
      </w:r>
      <w:r w:rsidR="0092436A">
        <w:rPr>
          <w:bCs/>
        </w:rPr>
        <w:t xml:space="preserve"> </w:t>
      </w:r>
      <w:r w:rsidR="0092436A" w:rsidRPr="00755631">
        <w:rPr>
          <w:bCs/>
        </w:rPr>
        <w:t xml:space="preserve">transmission regions </w:t>
      </w:r>
      <w:r w:rsidR="0092436A">
        <w:rPr>
          <w:bCs/>
        </w:rPr>
        <w:t>could provide an efficient way of scheduling implicitly the</w:t>
      </w:r>
      <w:r w:rsidR="00066CD0">
        <w:rPr>
          <w:bCs/>
        </w:rPr>
        <w:t xml:space="preserve"> resources to be used</w:t>
      </w:r>
      <w:r w:rsidR="0092436A" w:rsidRPr="00755631">
        <w:rPr>
          <w:bCs/>
        </w:rPr>
        <w:t>.</w:t>
      </w:r>
      <w:r w:rsidR="0092436A">
        <w:rPr>
          <w:bCs/>
        </w:rPr>
        <w:t xml:space="preserve"> </w:t>
      </w:r>
      <w:r w:rsidR="0063663E">
        <w:rPr>
          <w:bCs/>
        </w:rPr>
        <w:t xml:space="preserve">For example, in case of joint coding </w:t>
      </w:r>
      <w:r w:rsidR="0063663E" w:rsidRPr="0063663E">
        <w:rPr>
          <w:bCs/>
        </w:rPr>
        <w:t xml:space="preserve">of frequency and time signalling for preemption </w:t>
      </w:r>
      <w:r w:rsidR="0063663E">
        <w:rPr>
          <w:bCs/>
        </w:rPr>
        <w:t xml:space="preserve">as suggested in Section 2, it will be possible to use a single index for mapping preempted region B to subsequent transmission region C as shown in Figure 2. </w:t>
      </w:r>
      <w:r w:rsidR="00FC21E8">
        <w:rPr>
          <w:bCs/>
        </w:rPr>
        <w:t>S</w:t>
      </w:r>
      <w:r w:rsidR="0092436A">
        <w:rPr>
          <w:bCs/>
        </w:rPr>
        <w:t xml:space="preserve">uch </w:t>
      </w:r>
      <w:r w:rsidRPr="00F52A1D">
        <w:rPr>
          <w:bCs/>
        </w:rPr>
        <w:t>pre-configured regions, considered by gNB sc</w:t>
      </w:r>
      <w:r w:rsidR="00066CD0">
        <w:rPr>
          <w:bCs/>
        </w:rPr>
        <w:t xml:space="preserve">heduler, could also ensure that subsequent </w:t>
      </w:r>
      <w:r w:rsidRPr="00F52A1D">
        <w:rPr>
          <w:bCs/>
        </w:rPr>
        <w:t>transmissions of punctured data cannot be corrupted again by future URLLC transmissions</w:t>
      </w:r>
      <w:r w:rsidR="00FC21E8">
        <w:rPr>
          <w:bCs/>
        </w:rPr>
        <w:t xml:space="preserve"> saving from</w:t>
      </w:r>
      <w:r w:rsidRPr="00F52A1D">
        <w:rPr>
          <w:bCs/>
        </w:rPr>
        <w:t xml:space="preserve"> </w:t>
      </w:r>
      <w:r w:rsidR="00FC21E8">
        <w:rPr>
          <w:bCs/>
        </w:rPr>
        <w:t>additional</w:t>
      </w:r>
      <w:r w:rsidRPr="00F52A1D">
        <w:rPr>
          <w:bCs/>
        </w:rPr>
        <w:t xml:space="preserve"> delay and waste of </w:t>
      </w:r>
      <w:r w:rsidR="00FC21E8">
        <w:rPr>
          <w:bCs/>
        </w:rPr>
        <w:t xml:space="preserve">e.g. </w:t>
      </w:r>
      <w:r w:rsidRPr="00F52A1D">
        <w:rPr>
          <w:bCs/>
        </w:rPr>
        <w:t xml:space="preserve">eMBB resources. </w:t>
      </w:r>
    </w:p>
    <w:p w:rsidR="00776460" w:rsidRDefault="00776460" w:rsidP="008C4B90">
      <w:pPr>
        <w:jc w:val="both"/>
        <w:rPr>
          <w:bCs/>
        </w:rPr>
      </w:pPr>
      <w:r w:rsidRPr="00776460">
        <w:rPr>
          <w:noProof/>
          <w:lang w:val="en-US"/>
        </w:rPr>
        <w:drawing>
          <wp:inline distT="0" distB="0" distL="0" distR="0" wp14:anchorId="76F53FB4" wp14:editId="3999D83F">
            <wp:extent cx="6115685" cy="2773094"/>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685" cy="2773094"/>
                    </a:xfrm>
                    <a:prstGeom prst="rect">
                      <a:avLst/>
                    </a:prstGeom>
                    <a:noFill/>
                    <a:ln>
                      <a:noFill/>
                    </a:ln>
                  </pic:spPr>
                </pic:pic>
              </a:graphicData>
            </a:graphic>
          </wp:inline>
        </w:drawing>
      </w:r>
    </w:p>
    <w:p w:rsidR="00776460" w:rsidRPr="00E565BD" w:rsidRDefault="00776460" w:rsidP="00776460">
      <w:pPr>
        <w:pStyle w:val="Caption"/>
        <w:jc w:val="center"/>
        <w:rPr>
          <w:color w:val="auto"/>
          <w:sz w:val="20"/>
          <w:szCs w:val="20"/>
          <w:lang w:val="en-US"/>
        </w:rPr>
      </w:pPr>
      <w:r w:rsidRPr="00714383">
        <w:rPr>
          <w:color w:val="auto"/>
          <w:sz w:val="20"/>
          <w:szCs w:val="20"/>
        </w:rPr>
        <w:t xml:space="preserve">Figure </w:t>
      </w:r>
      <w:r w:rsidR="00714383">
        <w:rPr>
          <w:color w:val="auto"/>
          <w:sz w:val="20"/>
          <w:szCs w:val="20"/>
        </w:rPr>
        <w:t>6</w:t>
      </w:r>
      <w:r w:rsidRPr="00E565BD">
        <w:rPr>
          <w:color w:val="auto"/>
          <w:sz w:val="20"/>
          <w:szCs w:val="20"/>
          <w:lang w:val="en-US"/>
        </w:rPr>
        <w:t xml:space="preserve"> – </w:t>
      </w:r>
      <w:r>
        <w:rPr>
          <w:color w:val="auto"/>
          <w:sz w:val="20"/>
          <w:szCs w:val="20"/>
          <w:lang w:val="en-US"/>
        </w:rPr>
        <w:t>Pre-configured subsequent transmission</w:t>
      </w:r>
      <w:r w:rsidRPr="00E565BD">
        <w:rPr>
          <w:color w:val="auto"/>
          <w:sz w:val="20"/>
          <w:szCs w:val="20"/>
          <w:lang w:val="en-US"/>
        </w:rPr>
        <w:t>.</w:t>
      </w:r>
    </w:p>
    <w:p w:rsidR="006736DC" w:rsidRDefault="006736DC" w:rsidP="006736DC">
      <w:pPr>
        <w:jc w:val="both"/>
        <w:rPr>
          <w:b/>
          <w:i/>
        </w:rPr>
      </w:pPr>
      <w:r w:rsidRPr="007E1FBC">
        <w:rPr>
          <w:b/>
          <w:i/>
        </w:rPr>
        <w:t xml:space="preserve">Proposal </w:t>
      </w:r>
      <w:r w:rsidR="00514028">
        <w:rPr>
          <w:b/>
          <w:i/>
        </w:rPr>
        <w:t>4</w:t>
      </w:r>
      <w:r w:rsidRPr="007E1FBC">
        <w:rPr>
          <w:b/>
          <w:i/>
        </w:rPr>
        <w:t xml:space="preserve">: </w:t>
      </w:r>
      <w:r w:rsidR="00FA303C">
        <w:rPr>
          <w:b/>
          <w:i/>
        </w:rPr>
        <w:t>M</w:t>
      </w:r>
      <w:r>
        <w:rPr>
          <w:b/>
          <w:i/>
        </w:rPr>
        <w:t xml:space="preserve">echanisms to support </w:t>
      </w:r>
      <w:r w:rsidR="00FA303C">
        <w:rPr>
          <w:b/>
          <w:i/>
        </w:rPr>
        <w:t xml:space="preserve">efficient scheduling of </w:t>
      </w:r>
      <w:r>
        <w:rPr>
          <w:b/>
          <w:i/>
        </w:rPr>
        <w:t xml:space="preserve">subsequent </w:t>
      </w:r>
      <w:r w:rsidRPr="00992DCC">
        <w:rPr>
          <w:b/>
          <w:i/>
        </w:rPr>
        <w:t>transmission</w:t>
      </w:r>
      <w:r w:rsidR="00FA303C">
        <w:rPr>
          <w:b/>
          <w:i/>
        </w:rPr>
        <w:t xml:space="preserve"> of preempted data before HARQ </w:t>
      </w:r>
      <w:proofErr w:type="spellStart"/>
      <w:r w:rsidR="00FA303C">
        <w:rPr>
          <w:b/>
          <w:i/>
        </w:rPr>
        <w:t>ack</w:t>
      </w:r>
      <w:proofErr w:type="spellEnd"/>
      <w:r w:rsidR="00FA303C">
        <w:rPr>
          <w:b/>
          <w:i/>
        </w:rPr>
        <w:t>/</w:t>
      </w:r>
      <w:proofErr w:type="spellStart"/>
      <w:r w:rsidR="00FA303C">
        <w:rPr>
          <w:b/>
          <w:i/>
        </w:rPr>
        <w:t>nack</w:t>
      </w:r>
      <w:proofErr w:type="spellEnd"/>
      <w:r>
        <w:rPr>
          <w:b/>
          <w:i/>
        </w:rPr>
        <w:t xml:space="preserve"> </w:t>
      </w:r>
      <w:r w:rsidR="00FA303C">
        <w:rPr>
          <w:b/>
          <w:i/>
        </w:rPr>
        <w:t>should be considered</w:t>
      </w:r>
      <w:r>
        <w:rPr>
          <w:b/>
          <w:i/>
        </w:rPr>
        <w:t>.</w:t>
      </w:r>
    </w:p>
    <w:p w:rsidR="008F3E86" w:rsidRPr="00FF59F1" w:rsidRDefault="008F3E86" w:rsidP="004E7D51">
      <w:pPr>
        <w:keepNext/>
        <w:keepLines/>
        <w:numPr>
          <w:ilvl w:val="0"/>
          <w:numId w:val="1"/>
        </w:numPr>
        <w:pBdr>
          <w:top w:val="single" w:sz="12" w:space="3" w:color="auto"/>
        </w:pBdr>
        <w:tabs>
          <w:tab w:val="num" w:pos="360"/>
        </w:tabs>
        <w:spacing w:before="240"/>
        <w:ind w:hanging="792"/>
        <w:outlineLvl w:val="0"/>
        <w:rPr>
          <w:rFonts w:ascii="Arial" w:hAnsi="Arial"/>
          <w:sz w:val="36"/>
        </w:rPr>
      </w:pPr>
      <w:r w:rsidRPr="00FF59F1">
        <w:rPr>
          <w:rFonts w:ascii="Arial" w:hAnsi="Arial"/>
          <w:sz w:val="36"/>
        </w:rPr>
        <w:lastRenderedPageBreak/>
        <w:t xml:space="preserve">Conclusions </w:t>
      </w:r>
    </w:p>
    <w:p w:rsidR="001608ED" w:rsidRPr="001608ED" w:rsidRDefault="002577BC" w:rsidP="00A42CD8">
      <w:pPr>
        <w:jc w:val="both"/>
      </w:pPr>
      <w:r w:rsidRPr="001608ED">
        <w:t xml:space="preserve">In this contribution, we provided some thoughts </w:t>
      </w:r>
      <w:r w:rsidR="001E1018" w:rsidRPr="001608ED">
        <w:t xml:space="preserve">on </w:t>
      </w:r>
      <w:r w:rsidR="001608ED" w:rsidRPr="001608ED">
        <w:t>aspects</w:t>
      </w:r>
      <w:r w:rsidR="001E1018" w:rsidRPr="001608ED">
        <w:t xml:space="preserve"> of</w:t>
      </w:r>
      <w:r w:rsidRPr="001608ED">
        <w:t xml:space="preserve"> </w:t>
      </w:r>
      <w:r w:rsidR="004D1106" w:rsidRPr="001608ED">
        <w:t xml:space="preserve">preemption-based </w:t>
      </w:r>
      <w:r w:rsidRPr="001608ED">
        <w:t>dynamic resource sharing between eMBB and URLLC in DL</w:t>
      </w:r>
      <w:r w:rsidR="00217ADF">
        <w:t xml:space="preserve"> that need to be enhanced</w:t>
      </w:r>
      <w:r w:rsidRPr="001608ED">
        <w:t>.</w:t>
      </w:r>
      <w:r w:rsidR="004E7D51">
        <w:t xml:space="preserve"> T</w:t>
      </w:r>
      <w:r w:rsidR="001608ED" w:rsidRPr="001608ED">
        <w:t xml:space="preserve">he following </w:t>
      </w:r>
      <w:r w:rsidR="004E7D51">
        <w:t>are</w:t>
      </w:r>
      <w:r w:rsidR="001608ED" w:rsidRPr="001608ED">
        <w:t xml:space="preserve"> proposed:</w:t>
      </w:r>
    </w:p>
    <w:p w:rsidR="00514028" w:rsidRDefault="00514028" w:rsidP="00514028">
      <w:pPr>
        <w:jc w:val="both"/>
        <w:rPr>
          <w:b/>
          <w:i/>
        </w:rPr>
      </w:pPr>
      <w:r>
        <w:rPr>
          <w:b/>
          <w:i/>
        </w:rPr>
        <w:t>Proposal 1</w:t>
      </w:r>
      <w:r w:rsidRPr="007E1FBC">
        <w:rPr>
          <w:b/>
          <w:i/>
        </w:rPr>
        <w:t xml:space="preserve">: </w:t>
      </w:r>
      <w:r>
        <w:rPr>
          <w:b/>
          <w:i/>
        </w:rPr>
        <w:t xml:space="preserve">For RDR (reference DL resource) frequency region determination RAN1 should consider to introduce some minimal  dynamic signalling for adjusting RDR frequency region in case of dynamic change on partially overlapping BWPs of UEs. </w:t>
      </w:r>
    </w:p>
    <w:p w:rsidR="00514028" w:rsidRDefault="00514028" w:rsidP="00514028">
      <w:pPr>
        <w:jc w:val="both"/>
        <w:rPr>
          <w:b/>
          <w:i/>
        </w:rPr>
      </w:pPr>
      <w:r w:rsidRPr="004F57F3">
        <w:rPr>
          <w:b/>
          <w:i/>
          <w:iCs/>
        </w:rPr>
        <w:t xml:space="preserve">Proposal </w:t>
      </w:r>
      <w:r>
        <w:rPr>
          <w:b/>
          <w:i/>
          <w:iCs/>
        </w:rPr>
        <w:t>2</w:t>
      </w:r>
      <w:r w:rsidRPr="004F57F3">
        <w:rPr>
          <w:b/>
          <w:i/>
          <w:iCs/>
        </w:rPr>
        <w:t xml:space="preserve">: </w:t>
      </w:r>
      <w:r>
        <w:rPr>
          <w:b/>
          <w:i/>
        </w:rPr>
        <w:t xml:space="preserve">When preemption indication is configured or received at UE, </w:t>
      </w:r>
      <w:r w:rsidRPr="00FF5E85">
        <w:rPr>
          <w:b/>
          <w:i/>
        </w:rPr>
        <w:t xml:space="preserve">the UE </w:t>
      </w:r>
      <w:r>
        <w:rPr>
          <w:b/>
          <w:i/>
        </w:rPr>
        <w:t>should</w:t>
      </w:r>
      <w:r w:rsidRPr="00FF5E85">
        <w:rPr>
          <w:b/>
          <w:i/>
        </w:rPr>
        <w:t xml:space="preserve"> </w:t>
      </w:r>
      <w:r>
        <w:rPr>
          <w:b/>
          <w:i/>
        </w:rPr>
        <w:t xml:space="preserve">be able to </w:t>
      </w:r>
      <w:r w:rsidRPr="00FF5E85">
        <w:rPr>
          <w:b/>
          <w:i/>
        </w:rPr>
        <w:t xml:space="preserve">generate HARQ-ACK feedback </w:t>
      </w:r>
      <w:r>
        <w:rPr>
          <w:b/>
          <w:i/>
        </w:rPr>
        <w:t xml:space="preserve">per partially punctured CBG, </w:t>
      </w:r>
      <w:r w:rsidRPr="00583107">
        <w:rPr>
          <w:b/>
          <w:i/>
        </w:rPr>
        <w:t>based on</w:t>
      </w:r>
      <w:r w:rsidRPr="00583107">
        <w:t xml:space="preserve"> </w:t>
      </w:r>
      <w:r w:rsidRPr="00583107">
        <w:rPr>
          <w:b/>
          <w:i/>
        </w:rPr>
        <w:t>CB-level CRCs</w:t>
      </w:r>
      <w:r w:rsidRPr="005C1EED">
        <w:rPr>
          <w:b/>
          <w:i/>
        </w:rPr>
        <w:t xml:space="preserve"> of unaffected CBs</w:t>
      </w:r>
      <w:r>
        <w:rPr>
          <w:b/>
          <w:i/>
        </w:rPr>
        <w:t>.</w:t>
      </w:r>
    </w:p>
    <w:p w:rsidR="00514028" w:rsidRDefault="00514028" w:rsidP="00514028">
      <w:pPr>
        <w:jc w:val="both"/>
        <w:rPr>
          <w:b/>
          <w:i/>
        </w:rPr>
      </w:pPr>
      <w:r w:rsidRPr="004F57F3">
        <w:rPr>
          <w:b/>
          <w:i/>
          <w:iCs/>
        </w:rPr>
        <w:t xml:space="preserve">Proposal </w:t>
      </w:r>
      <w:r>
        <w:rPr>
          <w:b/>
          <w:i/>
          <w:iCs/>
        </w:rPr>
        <w:t>3</w:t>
      </w:r>
      <w:r w:rsidRPr="004F57F3">
        <w:rPr>
          <w:b/>
          <w:i/>
          <w:iCs/>
        </w:rPr>
        <w:t xml:space="preserve">: </w:t>
      </w:r>
      <w:r>
        <w:rPr>
          <w:b/>
          <w:i/>
        </w:rPr>
        <w:t xml:space="preserve">In case preemption-aware feedback is generated at UE, consider the use of a </w:t>
      </w:r>
      <w:r w:rsidRPr="008858CF">
        <w:rPr>
          <w:b/>
          <w:i/>
        </w:rPr>
        <w:t xml:space="preserve">preemption </w:t>
      </w:r>
      <w:r>
        <w:rPr>
          <w:b/>
          <w:i/>
        </w:rPr>
        <w:t>indication confirmation signalling in UL to avoid HARQ-ACK feedback misunderstanding between UE and gNB.</w:t>
      </w:r>
    </w:p>
    <w:p w:rsidR="00514028" w:rsidRDefault="00FA303C" w:rsidP="00514028">
      <w:pPr>
        <w:jc w:val="both"/>
        <w:rPr>
          <w:b/>
          <w:i/>
        </w:rPr>
      </w:pPr>
      <w:r w:rsidRPr="007E1FBC">
        <w:rPr>
          <w:b/>
          <w:i/>
        </w:rPr>
        <w:t xml:space="preserve">Proposal </w:t>
      </w:r>
      <w:r>
        <w:rPr>
          <w:b/>
          <w:i/>
        </w:rPr>
        <w:t>4</w:t>
      </w:r>
      <w:r w:rsidRPr="007E1FBC">
        <w:rPr>
          <w:b/>
          <w:i/>
        </w:rPr>
        <w:t xml:space="preserve">: </w:t>
      </w:r>
      <w:r>
        <w:rPr>
          <w:b/>
          <w:i/>
        </w:rPr>
        <w:t xml:space="preserve">Mechanisms to support efficient scheduling of subsequent </w:t>
      </w:r>
      <w:r w:rsidRPr="00992DCC">
        <w:rPr>
          <w:b/>
          <w:i/>
        </w:rPr>
        <w:t>transmission</w:t>
      </w:r>
      <w:r>
        <w:rPr>
          <w:b/>
          <w:i/>
        </w:rPr>
        <w:t xml:space="preserve"> of preempted data before HARQ </w:t>
      </w:r>
      <w:proofErr w:type="spellStart"/>
      <w:r>
        <w:rPr>
          <w:b/>
          <w:i/>
        </w:rPr>
        <w:t>ack</w:t>
      </w:r>
      <w:proofErr w:type="spellEnd"/>
      <w:r>
        <w:rPr>
          <w:b/>
          <w:i/>
        </w:rPr>
        <w:t>/</w:t>
      </w:r>
      <w:proofErr w:type="spellStart"/>
      <w:r>
        <w:rPr>
          <w:b/>
          <w:i/>
        </w:rPr>
        <w:t>nack</w:t>
      </w:r>
      <w:proofErr w:type="spellEnd"/>
      <w:r>
        <w:rPr>
          <w:b/>
          <w:i/>
        </w:rPr>
        <w:t xml:space="preserve"> should be considered.</w:t>
      </w:r>
    </w:p>
    <w:p w:rsidR="00FF59F1" w:rsidRPr="00FF59F1" w:rsidRDefault="00FF59F1" w:rsidP="00FF59F1">
      <w:pPr>
        <w:keepNext/>
        <w:keepLines/>
        <w:pBdr>
          <w:top w:val="single" w:sz="12" w:space="3" w:color="auto"/>
        </w:pBdr>
        <w:tabs>
          <w:tab w:val="num" w:pos="432"/>
        </w:tabs>
        <w:spacing w:before="240"/>
        <w:ind w:left="432" w:hanging="432"/>
        <w:outlineLvl w:val="0"/>
        <w:rPr>
          <w:rFonts w:ascii="Arial" w:hAnsi="Arial"/>
          <w:sz w:val="36"/>
          <w:lang w:val="en-US"/>
        </w:rPr>
      </w:pPr>
      <w:r w:rsidRPr="00FF59F1">
        <w:rPr>
          <w:rFonts w:ascii="Arial" w:hAnsi="Arial"/>
          <w:sz w:val="36"/>
          <w:lang w:val="en-US"/>
        </w:rPr>
        <w:t>References</w:t>
      </w:r>
    </w:p>
    <w:p w:rsidR="006E416D" w:rsidRPr="006E416D" w:rsidRDefault="006E416D" w:rsidP="006E416D">
      <w:pPr>
        <w:pStyle w:val="References"/>
        <w:numPr>
          <w:ilvl w:val="0"/>
          <w:numId w:val="28"/>
        </w:numPr>
        <w:tabs>
          <w:tab w:val="clear" w:pos="2061"/>
          <w:tab w:val="num" w:pos="360"/>
        </w:tabs>
        <w:adjustRightInd w:val="0"/>
        <w:spacing w:after="0" w:line="360" w:lineRule="auto"/>
        <w:ind w:left="360"/>
        <w:jc w:val="both"/>
        <w:rPr>
          <w:szCs w:val="20"/>
          <w:lang w:eastAsia="zh-CN"/>
        </w:rPr>
      </w:pPr>
      <w:bookmarkStart w:id="0" w:name="_Ref471224169"/>
      <w:r>
        <w:rPr>
          <w:szCs w:val="20"/>
          <w:lang w:eastAsia="zh-CN"/>
        </w:rPr>
        <w:t xml:space="preserve"> R1-1718705</w:t>
      </w:r>
      <w:r w:rsidRPr="006E416D">
        <w:rPr>
          <w:szCs w:val="20"/>
          <w:lang w:eastAsia="zh-CN"/>
        </w:rPr>
        <w:t>, “</w:t>
      </w:r>
      <w:r>
        <w:rPr>
          <w:szCs w:val="20"/>
          <w:lang w:eastAsia="zh-CN"/>
        </w:rPr>
        <w:t>On open issues for DL preemption</w:t>
      </w:r>
      <w:r w:rsidRPr="006E416D">
        <w:rPr>
          <w:szCs w:val="20"/>
          <w:lang w:eastAsia="zh-CN"/>
        </w:rPr>
        <w:t xml:space="preserve">”, </w:t>
      </w:r>
      <w:proofErr w:type="spellStart"/>
      <w:r w:rsidRPr="006E416D">
        <w:rPr>
          <w:szCs w:val="20"/>
          <w:lang w:eastAsia="zh-CN"/>
        </w:rPr>
        <w:t>Sequans</w:t>
      </w:r>
      <w:proofErr w:type="spellEnd"/>
      <w:r w:rsidRPr="006E416D">
        <w:rPr>
          <w:szCs w:val="20"/>
          <w:lang w:eastAsia="zh-CN"/>
        </w:rPr>
        <w:t xml:space="preserve"> Communications, RAN1#90bis</w:t>
      </w:r>
    </w:p>
    <w:p w:rsidR="00E61A9D" w:rsidRDefault="00E32BB8" w:rsidP="002657C3">
      <w:pPr>
        <w:pStyle w:val="References"/>
        <w:numPr>
          <w:ilvl w:val="0"/>
          <w:numId w:val="28"/>
        </w:numPr>
        <w:tabs>
          <w:tab w:val="clear" w:pos="2061"/>
        </w:tabs>
        <w:adjustRightInd w:val="0"/>
        <w:spacing w:after="0" w:line="360" w:lineRule="auto"/>
        <w:ind w:left="432" w:hanging="432"/>
        <w:jc w:val="both"/>
        <w:rPr>
          <w:szCs w:val="22"/>
        </w:rPr>
      </w:pPr>
      <w:r>
        <w:rPr>
          <w:szCs w:val="20"/>
          <w:lang w:eastAsia="zh-CN"/>
        </w:rPr>
        <w:t xml:space="preserve">RAN1 Chairman’s notes, </w:t>
      </w:r>
      <w:r w:rsidR="00217ADF">
        <w:rPr>
          <w:szCs w:val="22"/>
        </w:rPr>
        <w:t>RAN1</w:t>
      </w:r>
      <w:r w:rsidR="00292133">
        <w:rPr>
          <w:szCs w:val="22"/>
        </w:rPr>
        <w:t>#</w:t>
      </w:r>
      <w:bookmarkEnd w:id="0"/>
      <w:r w:rsidR="00217ADF">
        <w:rPr>
          <w:szCs w:val="22"/>
        </w:rPr>
        <w:t>90bis</w:t>
      </w:r>
    </w:p>
    <w:p w:rsidR="001E3FF6" w:rsidRDefault="006E416D" w:rsidP="001E3FF6">
      <w:pPr>
        <w:pStyle w:val="References"/>
        <w:numPr>
          <w:ilvl w:val="0"/>
          <w:numId w:val="28"/>
        </w:numPr>
        <w:tabs>
          <w:tab w:val="clear" w:pos="2061"/>
        </w:tabs>
        <w:adjustRightInd w:val="0"/>
        <w:spacing w:after="0" w:line="360" w:lineRule="auto"/>
        <w:ind w:left="432" w:hanging="432"/>
        <w:jc w:val="both"/>
        <w:rPr>
          <w:szCs w:val="22"/>
        </w:rPr>
      </w:pPr>
      <w:r>
        <w:rPr>
          <w:szCs w:val="20"/>
          <w:lang w:eastAsia="zh-CN"/>
        </w:rPr>
        <w:t xml:space="preserve">RAN1 Chairman’s notes, </w:t>
      </w:r>
      <w:r>
        <w:rPr>
          <w:szCs w:val="22"/>
        </w:rPr>
        <w:t>RAN1_AH_NR#3</w:t>
      </w:r>
    </w:p>
    <w:p w:rsidR="001E3FF6" w:rsidRDefault="001E3FF6" w:rsidP="001E3FF6">
      <w:pPr>
        <w:pStyle w:val="References"/>
        <w:numPr>
          <w:ilvl w:val="0"/>
          <w:numId w:val="28"/>
        </w:numPr>
        <w:tabs>
          <w:tab w:val="clear" w:pos="2061"/>
        </w:tabs>
        <w:adjustRightInd w:val="0"/>
        <w:spacing w:after="0" w:line="360" w:lineRule="auto"/>
        <w:ind w:left="432" w:hanging="432"/>
        <w:jc w:val="both"/>
        <w:rPr>
          <w:szCs w:val="22"/>
        </w:rPr>
      </w:pPr>
      <w:r>
        <w:rPr>
          <w:szCs w:val="20"/>
          <w:lang w:eastAsia="zh-CN"/>
        </w:rPr>
        <w:t xml:space="preserve">RAN1 Chairman’s notes, </w:t>
      </w:r>
      <w:r>
        <w:rPr>
          <w:szCs w:val="22"/>
        </w:rPr>
        <w:t>RAN1#90</w:t>
      </w:r>
      <w:bookmarkStart w:id="1" w:name="_GoBack"/>
      <w:bookmarkEnd w:id="1"/>
    </w:p>
    <w:p w:rsidR="001E3FF6" w:rsidRPr="001E3FF6" w:rsidRDefault="001E3FF6" w:rsidP="001E3FF6">
      <w:pPr>
        <w:rPr>
          <w:lang w:val="en-US"/>
        </w:rPr>
      </w:pPr>
    </w:p>
    <w:p w:rsidR="006E416D" w:rsidRPr="006E416D" w:rsidRDefault="006E416D" w:rsidP="006E416D">
      <w:pPr>
        <w:rPr>
          <w:lang w:val="en-US"/>
        </w:rPr>
      </w:pPr>
    </w:p>
    <w:sectPr w:rsidR="006E416D" w:rsidRPr="006E416D" w:rsidSect="006C0237">
      <w:headerReference w:type="default" r:id="rId15"/>
      <w:footerReference w:type="default" r:id="rId16"/>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1557" w:rsidRDefault="002F1557" w:rsidP="00E310E6">
      <w:pPr>
        <w:spacing w:after="0"/>
      </w:pPr>
      <w:r>
        <w:separator/>
      </w:r>
    </w:p>
  </w:endnote>
  <w:endnote w:type="continuationSeparator" w:id="0">
    <w:p w:rsidR="002F1557" w:rsidRDefault="002F1557" w:rsidP="00E310E6">
      <w:pPr>
        <w:spacing w:after="0"/>
      </w:pPr>
      <w:r>
        <w:continuationSeparator/>
      </w:r>
    </w:p>
  </w:endnote>
  <w:endnote w:type="continuationNotice" w:id="1">
    <w:p w:rsidR="002F1557" w:rsidRDefault="002F15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DCC" w:rsidRDefault="00992D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1557" w:rsidRDefault="002F1557" w:rsidP="00E310E6">
      <w:pPr>
        <w:spacing w:after="0"/>
      </w:pPr>
      <w:r>
        <w:separator/>
      </w:r>
    </w:p>
  </w:footnote>
  <w:footnote w:type="continuationSeparator" w:id="0">
    <w:p w:rsidR="002F1557" w:rsidRDefault="002F1557" w:rsidP="00E310E6">
      <w:pPr>
        <w:spacing w:after="0"/>
      </w:pPr>
      <w:r>
        <w:continuationSeparator/>
      </w:r>
    </w:p>
  </w:footnote>
  <w:footnote w:type="continuationNotice" w:id="1">
    <w:p w:rsidR="002F1557" w:rsidRDefault="002F155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DCC" w:rsidRDefault="00992D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1D8DA7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pStyle w:val="CharChar3CharCharCharCharCharChar"/>
      <w:lvlText w:val="*"/>
      <w:lvlJc w:val="left"/>
    </w:lvl>
  </w:abstractNum>
  <w:abstractNum w:abstractNumId="2">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nsid w:val="0FC36D19"/>
    <w:multiLevelType w:val="hybridMultilevel"/>
    <w:tmpl w:val="04184BA8"/>
    <w:lvl w:ilvl="0" w:tplc="14E2714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E435FD"/>
    <w:multiLevelType w:val="hybridMultilevel"/>
    <w:tmpl w:val="F3F8346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C85D99"/>
    <w:multiLevelType w:val="hybridMultilevel"/>
    <w:tmpl w:val="187A5452"/>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6">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7">
    <w:nsid w:val="208375E7"/>
    <w:multiLevelType w:val="hybridMultilevel"/>
    <w:tmpl w:val="74265448"/>
    <w:lvl w:ilvl="0" w:tplc="0B4246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8C968D8"/>
    <w:multiLevelType w:val="hybridMultilevel"/>
    <w:tmpl w:val="F3E4F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7D7AF2"/>
    <w:multiLevelType w:val="hybridMultilevel"/>
    <w:tmpl w:val="10AE42C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1">
    <w:nsid w:val="2EAB1FC1"/>
    <w:multiLevelType w:val="hybridMultilevel"/>
    <w:tmpl w:val="E2986C52"/>
    <w:lvl w:ilvl="0" w:tplc="0CCC47D0">
      <w:start w:val="1"/>
      <w:numFmt w:val="bullet"/>
      <w:lvlText w:val="•"/>
      <w:lvlJc w:val="left"/>
      <w:pPr>
        <w:tabs>
          <w:tab w:val="num" w:pos="720"/>
        </w:tabs>
        <w:ind w:left="720" w:hanging="360"/>
      </w:pPr>
      <w:rPr>
        <w:rFonts w:ascii="Arial" w:hAnsi="Arial" w:hint="default"/>
      </w:rPr>
    </w:lvl>
    <w:lvl w:ilvl="1" w:tplc="4BB02F82" w:tentative="1">
      <w:start w:val="1"/>
      <w:numFmt w:val="bullet"/>
      <w:lvlText w:val="•"/>
      <w:lvlJc w:val="left"/>
      <w:pPr>
        <w:tabs>
          <w:tab w:val="num" w:pos="1440"/>
        </w:tabs>
        <w:ind w:left="1440" w:hanging="360"/>
      </w:pPr>
      <w:rPr>
        <w:rFonts w:ascii="Arial" w:hAnsi="Arial" w:hint="default"/>
      </w:rPr>
    </w:lvl>
    <w:lvl w:ilvl="2" w:tplc="E308418A" w:tentative="1">
      <w:start w:val="1"/>
      <w:numFmt w:val="bullet"/>
      <w:lvlText w:val="•"/>
      <w:lvlJc w:val="left"/>
      <w:pPr>
        <w:tabs>
          <w:tab w:val="num" w:pos="2160"/>
        </w:tabs>
        <w:ind w:left="2160" w:hanging="360"/>
      </w:pPr>
      <w:rPr>
        <w:rFonts w:ascii="Arial" w:hAnsi="Arial" w:hint="default"/>
      </w:rPr>
    </w:lvl>
    <w:lvl w:ilvl="3" w:tplc="BB52C3B4" w:tentative="1">
      <w:start w:val="1"/>
      <w:numFmt w:val="bullet"/>
      <w:lvlText w:val="•"/>
      <w:lvlJc w:val="left"/>
      <w:pPr>
        <w:tabs>
          <w:tab w:val="num" w:pos="2880"/>
        </w:tabs>
        <w:ind w:left="2880" w:hanging="360"/>
      </w:pPr>
      <w:rPr>
        <w:rFonts w:ascii="Arial" w:hAnsi="Arial" w:hint="default"/>
      </w:rPr>
    </w:lvl>
    <w:lvl w:ilvl="4" w:tplc="60FE76AE" w:tentative="1">
      <w:start w:val="1"/>
      <w:numFmt w:val="bullet"/>
      <w:lvlText w:val="•"/>
      <w:lvlJc w:val="left"/>
      <w:pPr>
        <w:tabs>
          <w:tab w:val="num" w:pos="3600"/>
        </w:tabs>
        <w:ind w:left="3600" w:hanging="360"/>
      </w:pPr>
      <w:rPr>
        <w:rFonts w:ascii="Arial" w:hAnsi="Arial" w:hint="default"/>
      </w:rPr>
    </w:lvl>
    <w:lvl w:ilvl="5" w:tplc="6A8E5D3A" w:tentative="1">
      <w:start w:val="1"/>
      <w:numFmt w:val="bullet"/>
      <w:lvlText w:val="•"/>
      <w:lvlJc w:val="left"/>
      <w:pPr>
        <w:tabs>
          <w:tab w:val="num" w:pos="4320"/>
        </w:tabs>
        <w:ind w:left="4320" w:hanging="360"/>
      </w:pPr>
      <w:rPr>
        <w:rFonts w:ascii="Arial" w:hAnsi="Arial" w:hint="default"/>
      </w:rPr>
    </w:lvl>
    <w:lvl w:ilvl="6" w:tplc="DF7E9430" w:tentative="1">
      <w:start w:val="1"/>
      <w:numFmt w:val="bullet"/>
      <w:lvlText w:val="•"/>
      <w:lvlJc w:val="left"/>
      <w:pPr>
        <w:tabs>
          <w:tab w:val="num" w:pos="5040"/>
        </w:tabs>
        <w:ind w:left="5040" w:hanging="360"/>
      </w:pPr>
      <w:rPr>
        <w:rFonts w:ascii="Arial" w:hAnsi="Arial" w:hint="default"/>
      </w:rPr>
    </w:lvl>
    <w:lvl w:ilvl="7" w:tplc="7A929F32" w:tentative="1">
      <w:start w:val="1"/>
      <w:numFmt w:val="bullet"/>
      <w:lvlText w:val="•"/>
      <w:lvlJc w:val="left"/>
      <w:pPr>
        <w:tabs>
          <w:tab w:val="num" w:pos="5760"/>
        </w:tabs>
        <w:ind w:left="5760" w:hanging="360"/>
      </w:pPr>
      <w:rPr>
        <w:rFonts w:ascii="Arial" w:hAnsi="Arial" w:hint="default"/>
      </w:rPr>
    </w:lvl>
    <w:lvl w:ilvl="8" w:tplc="E8A83356" w:tentative="1">
      <w:start w:val="1"/>
      <w:numFmt w:val="bullet"/>
      <w:lvlText w:val="•"/>
      <w:lvlJc w:val="left"/>
      <w:pPr>
        <w:tabs>
          <w:tab w:val="num" w:pos="6480"/>
        </w:tabs>
        <w:ind w:left="6480" w:hanging="360"/>
      </w:pPr>
      <w:rPr>
        <w:rFonts w:ascii="Arial" w:hAnsi="Arial" w:hint="default"/>
      </w:rPr>
    </w:lvl>
  </w:abstractNum>
  <w:abstractNum w:abstractNumId="12">
    <w:nsid w:val="30E620DF"/>
    <w:multiLevelType w:val="hybridMultilevel"/>
    <w:tmpl w:val="66765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4E27A1"/>
    <w:multiLevelType w:val="hybridMultilevel"/>
    <w:tmpl w:val="8EACE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9EC4CBD"/>
    <w:multiLevelType w:val="hybridMultilevel"/>
    <w:tmpl w:val="A39C28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877D64"/>
    <w:multiLevelType w:val="singleLevel"/>
    <w:tmpl w:val="5DA6FC16"/>
    <w:lvl w:ilvl="0">
      <w:start w:val="1"/>
      <w:numFmt w:val="decimal"/>
      <w:lvlText w:val="[%1]"/>
      <w:lvlJc w:val="left"/>
      <w:pPr>
        <w:tabs>
          <w:tab w:val="num" w:pos="2061"/>
        </w:tabs>
        <w:ind w:left="2061" w:hanging="360"/>
      </w:pPr>
    </w:lvl>
  </w:abstractNum>
  <w:abstractNum w:abstractNumId="16">
    <w:nsid w:val="3B304ECC"/>
    <w:multiLevelType w:val="hybridMultilevel"/>
    <w:tmpl w:val="13029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5913B4"/>
    <w:multiLevelType w:val="hybridMultilevel"/>
    <w:tmpl w:val="419421F0"/>
    <w:lvl w:ilvl="0" w:tplc="14E2714C">
      <w:start w:val="3"/>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1B44628"/>
    <w:multiLevelType w:val="hybridMultilevel"/>
    <w:tmpl w:val="6D24713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16"/>
        </w:tabs>
        <w:ind w:left="216" w:hanging="576"/>
      </w:pPr>
      <w:rPr>
        <w:rFonts w:hint="default"/>
      </w:rPr>
    </w:lvl>
    <w:lvl w:ilvl="2">
      <w:start w:val="1"/>
      <w:numFmt w:val="decimal"/>
      <w:pStyle w:val="Heading3"/>
      <w:lvlText w:val="%1.%2.%3."/>
      <w:lvlJc w:val="left"/>
      <w:pPr>
        <w:tabs>
          <w:tab w:val="num" w:pos="360"/>
        </w:tabs>
        <w:ind w:left="360" w:hanging="720"/>
      </w:pPr>
      <w:rPr>
        <w:rFonts w:hint="default"/>
      </w:rPr>
    </w:lvl>
    <w:lvl w:ilvl="3">
      <w:start w:val="1"/>
      <w:numFmt w:val="none"/>
      <w:pStyle w:val="Heading4"/>
      <w:lvlText w:val=""/>
      <w:lvlJc w:val="left"/>
      <w:pPr>
        <w:tabs>
          <w:tab w:val="num" w:pos="504"/>
        </w:tabs>
        <w:ind w:left="504" w:hanging="864"/>
      </w:pPr>
      <w:rPr>
        <w:rFonts w:hint="default"/>
      </w:rPr>
    </w:lvl>
    <w:lvl w:ilvl="4">
      <w:start w:val="1"/>
      <w:numFmt w:val="decimal"/>
      <w:lvlText w:val="%5.%1.%2.%3%4."/>
      <w:lvlJc w:val="left"/>
      <w:pPr>
        <w:tabs>
          <w:tab w:val="num" w:pos="648"/>
        </w:tabs>
        <w:ind w:left="648" w:hanging="1008"/>
      </w:pPr>
      <w:rPr>
        <w:rFonts w:hint="default"/>
      </w:rPr>
    </w:lvl>
    <w:lvl w:ilvl="5">
      <w:start w:val="1"/>
      <w:numFmt w:val="decimal"/>
      <w:lvlRestart w:val="0"/>
      <w:pStyle w:val="Heading5"/>
      <w:lvlText w:val="%1.%2.%3.%4%5.%6"/>
      <w:lvlJc w:val="left"/>
      <w:pPr>
        <w:tabs>
          <w:tab w:val="num" w:pos="792"/>
        </w:tabs>
        <w:ind w:left="792" w:hanging="1152"/>
      </w:pPr>
      <w:rPr>
        <w:rFonts w:hint="default"/>
      </w:rPr>
    </w:lvl>
    <w:lvl w:ilvl="6">
      <w:start w:val="1"/>
      <w:numFmt w:val="decimal"/>
      <w:lvlText w:val="%1.%2.%3.%4.%5.%6.%7"/>
      <w:lvlJc w:val="left"/>
      <w:pPr>
        <w:tabs>
          <w:tab w:val="num" w:pos="936"/>
        </w:tabs>
        <w:ind w:left="936" w:hanging="1296"/>
      </w:pPr>
      <w:rPr>
        <w:rFonts w:hint="default"/>
      </w:rPr>
    </w:lvl>
    <w:lvl w:ilvl="7">
      <w:start w:val="1"/>
      <w:numFmt w:val="decimal"/>
      <w:pStyle w:val="Heading8"/>
      <w:lvlText w:val="%1.%2.%3.%4.%5.%6.%7.%8"/>
      <w:lvlJc w:val="left"/>
      <w:pPr>
        <w:tabs>
          <w:tab w:val="num" w:pos="1080"/>
        </w:tabs>
        <w:ind w:left="1080" w:hanging="1440"/>
      </w:pPr>
      <w:rPr>
        <w:rFonts w:hint="default"/>
      </w:rPr>
    </w:lvl>
    <w:lvl w:ilvl="8">
      <w:start w:val="1"/>
      <w:numFmt w:val="decimal"/>
      <w:pStyle w:val="Heading9"/>
      <w:lvlText w:val="%1.%2.%3.%4.%5.%6.%7.%8.%9"/>
      <w:lvlJc w:val="left"/>
      <w:pPr>
        <w:tabs>
          <w:tab w:val="num" w:pos="1224"/>
        </w:tabs>
        <w:ind w:left="1224" w:hanging="1584"/>
      </w:pPr>
      <w:rPr>
        <w:rFonts w:hint="default"/>
      </w:rPr>
    </w:lvl>
  </w:abstractNum>
  <w:abstractNum w:abstractNumId="20">
    <w:nsid w:val="453368E4"/>
    <w:multiLevelType w:val="hybridMultilevel"/>
    <w:tmpl w:val="6B96E3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9846B8"/>
    <w:multiLevelType w:val="hybridMultilevel"/>
    <w:tmpl w:val="F19C821E"/>
    <w:lvl w:ilvl="0" w:tplc="AE8CD59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050A42"/>
    <w:multiLevelType w:val="hybridMultilevel"/>
    <w:tmpl w:val="6CCEA1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7A408EE"/>
    <w:multiLevelType w:val="hybridMultilevel"/>
    <w:tmpl w:val="CF50D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ED38A6"/>
    <w:multiLevelType w:val="hybridMultilevel"/>
    <w:tmpl w:val="007AA724"/>
    <w:lvl w:ilvl="0" w:tplc="041D0001">
      <w:start w:val="1"/>
      <w:numFmt w:val="bullet"/>
      <w:lvlText w:val=""/>
      <w:lvlJc w:val="left"/>
      <w:pPr>
        <w:tabs>
          <w:tab w:val="num" w:pos="720"/>
        </w:tabs>
        <w:ind w:left="720" w:hanging="360"/>
      </w:pPr>
      <w:rPr>
        <w:rFonts w:ascii="Symbol" w:hAnsi="Symbol" w:hint="default"/>
      </w:rPr>
    </w:lvl>
    <w:lvl w:ilvl="1" w:tplc="2A5A4124">
      <w:numFmt w:val="bullet"/>
      <w:lvlText w:val="‒"/>
      <w:lvlJc w:val="left"/>
      <w:pPr>
        <w:tabs>
          <w:tab w:val="num" w:pos="1440"/>
        </w:tabs>
        <w:ind w:left="1440" w:hanging="360"/>
      </w:pPr>
      <w:rPr>
        <w:rFonts w:ascii="Times New Roman" w:hAnsi="Times New Roman" w:hint="default"/>
      </w:rPr>
    </w:lvl>
    <w:lvl w:ilvl="2" w:tplc="A6802CA6">
      <w:start w:val="1"/>
      <w:numFmt w:val="bullet"/>
      <w:lvlText w:val="•"/>
      <w:lvlJc w:val="left"/>
      <w:pPr>
        <w:tabs>
          <w:tab w:val="num" w:pos="2160"/>
        </w:tabs>
        <w:ind w:left="2160" w:hanging="360"/>
      </w:pPr>
      <w:rPr>
        <w:rFonts w:ascii="Arial" w:hAnsi="Arial" w:cs="Times New Roman" w:hint="default"/>
      </w:rPr>
    </w:lvl>
    <w:lvl w:ilvl="3" w:tplc="2E6E8D28">
      <w:start w:val="1"/>
      <w:numFmt w:val="bullet"/>
      <w:lvlText w:val="•"/>
      <w:lvlJc w:val="left"/>
      <w:pPr>
        <w:tabs>
          <w:tab w:val="num" w:pos="2880"/>
        </w:tabs>
        <w:ind w:left="2880" w:hanging="360"/>
      </w:pPr>
      <w:rPr>
        <w:rFonts w:ascii="Arial" w:hAnsi="Arial" w:cs="Times New Roman" w:hint="default"/>
      </w:rPr>
    </w:lvl>
    <w:lvl w:ilvl="4" w:tplc="CE261758">
      <w:start w:val="1"/>
      <w:numFmt w:val="bullet"/>
      <w:lvlText w:val="•"/>
      <w:lvlJc w:val="left"/>
      <w:pPr>
        <w:tabs>
          <w:tab w:val="num" w:pos="3600"/>
        </w:tabs>
        <w:ind w:left="3600" w:hanging="360"/>
      </w:pPr>
      <w:rPr>
        <w:rFonts w:ascii="Arial" w:hAnsi="Arial" w:cs="Times New Roman" w:hint="default"/>
      </w:rPr>
    </w:lvl>
    <w:lvl w:ilvl="5" w:tplc="1012C37A">
      <w:start w:val="1"/>
      <w:numFmt w:val="bullet"/>
      <w:lvlText w:val="•"/>
      <w:lvlJc w:val="left"/>
      <w:pPr>
        <w:tabs>
          <w:tab w:val="num" w:pos="4320"/>
        </w:tabs>
        <w:ind w:left="4320" w:hanging="360"/>
      </w:pPr>
      <w:rPr>
        <w:rFonts w:ascii="Arial" w:hAnsi="Arial" w:cs="Times New Roman" w:hint="default"/>
      </w:rPr>
    </w:lvl>
    <w:lvl w:ilvl="6" w:tplc="B3BCA5AC">
      <w:start w:val="1"/>
      <w:numFmt w:val="bullet"/>
      <w:lvlText w:val="•"/>
      <w:lvlJc w:val="left"/>
      <w:pPr>
        <w:tabs>
          <w:tab w:val="num" w:pos="5040"/>
        </w:tabs>
        <w:ind w:left="5040" w:hanging="360"/>
      </w:pPr>
      <w:rPr>
        <w:rFonts w:ascii="Arial" w:hAnsi="Arial" w:cs="Times New Roman" w:hint="default"/>
      </w:rPr>
    </w:lvl>
    <w:lvl w:ilvl="7" w:tplc="33E432EA">
      <w:start w:val="1"/>
      <w:numFmt w:val="bullet"/>
      <w:lvlText w:val="•"/>
      <w:lvlJc w:val="left"/>
      <w:pPr>
        <w:tabs>
          <w:tab w:val="num" w:pos="5760"/>
        </w:tabs>
        <w:ind w:left="5760" w:hanging="360"/>
      </w:pPr>
      <w:rPr>
        <w:rFonts w:ascii="Arial" w:hAnsi="Arial" w:cs="Times New Roman" w:hint="default"/>
      </w:rPr>
    </w:lvl>
    <w:lvl w:ilvl="8" w:tplc="8998F8B4">
      <w:start w:val="1"/>
      <w:numFmt w:val="bullet"/>
      <w:lvlText w:val="•"/>
      <w:lvlJc w:val="left"/>
      <w:pPr>
        <w:tabs>
          <w:tab w:val="num" w:pos="6480"/>
        </w:tabs>
        <w:ind w:left="6480" w:hanging="360"/>
      </w:pPr>
      <w:rPr>
        <w:rFonts w:ascii="Arial" w:hAnsi="Arial" w:cs="Times New Roman" w:hint="default"/>
      </w:rPr>
    </w:lvl>
  </w:abstractNum>
  <w:abstractNum w:abstractNumId="27">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8">
    <w:nsid w:val="5F55783D"/>
    <w:multiLevelType w:val="hybridMultilevel"/>
    <w:tmpl w:val="1A825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713227"/>
    <w:multiLevelType w:val="hybridMultilevel"/>
    <w:tmpl w:val="CA6C19B4"/>
    <w:lvl w:ilvl="0" w:tplc="4680222E">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CF465A"/>
    <w:multiLevelType w:val="hybridMultilevel"/>
    <w:tmpl w:val="71204AC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1">
    <w:nsid w:val="60BA7C3B"/>
    <w:multiLevelType w:val="hybridMultilevel"/>
    <w:tmpl w:val="5608F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669C38D6"/>
    <w:multiLevelType w:val="hybridMultilevel"/>
    <w:tmpl w:val="41001720"/>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4">
    <w:nsid w:val="69203406"/>
    <w:multiLevelType w:val="hybridMultilevel"/>
    <w:tmpl w:val="F274CC38"/>
    <w:lvl w:ilvl="0" w:tplc="5D8E9002">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A0E6AA4"/>
    <w:multiLevelType w:val="hybridMultilevel"/>
    <w:tmpl w:val="A57044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EC70667"/>
    <w:multiLevelType w:val="hybridMultilevel"/>
    <w:tmpl w:val="C0B67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FA319A6"/>
    <w:multiLevelType w:val="hybridMultilevel"/>
    <w:tmpl w:val="5958EF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0132AF"/>
    <w:multiLevelType w:val="hybridMultilevel"/>
    <w:tmpl w:val="5CDA7AB4"/>
    <w:lvl w:ilvl="0" w:tplc="C1AC9134">
      <w:start w:val="1"/>
      <w:numFmt w:val="bullet"/>
      <w:lvlText w:val="•"/>
      <w:lvlJc w:val="left"/>
      <w:pPr>
        <w:tabs>
          <w:tab w:val="num" w:pos="720"/>
        </w:tabs>
        <w:ind w:left="720" w:hanging="360"/>
      </w:pPr>
      <w:rPr>
        <w:rFonts w:ascii="Arial" w:hAnsi="Arial" w:hint="default"/>
      </w:rPr>
    </w:lvl>
    <w:lvl w:ilvl="1" w:tplc="F0C413AA" w:tentative="1">
      <w:start w:val="1"/>
      <w:numFmt w:val="bullet"/>
      <w:lvlText w:val="•"/>
      <w:lvlJc w:val="left"/>
      <w:pPr>
        <w:tabs>
          <w:tab w:val="num" w:pos="1440"/>
        </w:tabs>
        <w:ind w:left="1440" w:hanging="360"/>
      </w:pPr>
      <w:rPr>
        <w:rFonts w:ascii="Arial" w:hAnsi="Arial" w:hint="default"/>
      </w:rPr>
    </w:lvl>
    <w:lvl w:ilvl="2" w:tplc="BE9AB86E" w:tentative="1">
      <w:start w:val="1"/>
      <w:numFmt w:val="bullet"/>
      <w:lvlText w:val="•"/>
      <w:lvlJc w:val="left"/>
      <w:pPr>
        <w:tabs>
          <w:tab w:val="num" w:pos="2160"/>
        </w:tabs>
        <w:ind w:left="2160" w:hanging="360"/>
      </w:pPr>
      <w:rPr>
        <w:rFonts w:ascii="Arial" w:hAnsi="Arial" w:hint="default"/>
      </w:rPr>
    </w:lvl>
    <w:lvl w:ilvl="3" w:tplc="06D6BB76" w:tentative="1">
      <w:start w:val="1"/>
      <w:numFmt w:val="bullet"/>
      <w:lvlText w:val="•"/>
      <w:lvlJc w:val="left"/>
      <w:pPr>
        <w:tabs>
          <w:tab w:val="num" w:pos="2880"/>
        </w:tabs>
        <w:ind w:left="2880" w:hanging="360"/>
      </w:pPr>
      <w:rPr>
        <w:rFonts w:ascii="Arial" w:hAnsi="Arial" w:hint="default"/>
      </w:rPr>
    </w:lvl>
    <w:lvl w:ilvl="4" w:tplc="41549E0C" w:tentative="1">
      <w:start w:val="1"/>
      <w:numFmt w:val="bullet"/>
      <w:lvlText w:val="•"/>
      <w:lvlJc w:val="left"/>
      <w:pPr>
        <w:tabs>
          <w:tab w:val="num" w:pos="3600"/>
        </w:tabs>
        <w:ind w:left="3600" w:hanging="360"/>
      </w:pPr>
      <w:rPr>
        <w:rFonts w:ascii="Arial" w:hAnsi="Arial" w:hint="default"/>
      </w:rPr>
    </w:lvl>
    <w:lvl w:ilvl="5" w:tplc="B1688786" w:tentative="1">
      <w:start w:val="1"/>
      <w:numFmt w:val="bullet"/>
      <w:lvlText w:val="•"/>
      <w:lvlJc w:val="left"/>
      <w:pPr>
        <w:tabs>
          <w:tab w:val="num" w:pos="4320"/>
        </w:tabs>
        <w:ind w:left="4320" w:hanging="360"/>
      </w:pPr>
      <w:rPr>
        <w:rFonts w:ascii="Arial" w:hAnsi="Arial" w:hint="default"/>
      </w:rPr>
    </w:lvl>
    <w:lvl w:ilvl="6" w:tplc="B61A9B62" w:tentative="1">
      <w:start w:val="1"/>
      <w:numFmt w:val="bullet"/>
      <w:lvlText w:val="•"/>
      <w:lvlJc w:val="left"/>
      <w:pPr>
        <w:tabs>
          <w:tab w:val="num" w:pos="5040"/>
        </w:tabs>
        <w:ind w:left="5040" w:hanging="360"/>
      </w:pPr>
      <w:rPr>
        <w:rFonts w:ascii="Arial" w:hAnsi="Arial" w:hint="default"/>
      </w:rPr>
    </w:lvl>
    <w:lvl w:ilvl="7" w:tplc="8A4AC8FA" w:tentative="1">
      <w:start w:val="1"/>
      <w:numFmt w:val="bullet"/>
      <w:lvlText w:val="•"/>
      <w:lvlJc w:val="left"/>
      <w:pPr>
        <w:tabs>
          <w:tab w:val="num" w:pos="5760"/>
        </w:tabs>
        <w:ind w:left="5760" w:hanging="360"/>
      </w:pPr>
      <w:rPr>
        <w:rFonts w:ascii="Arial" w:hAnsi="Arial" w:hint="default"/>
      </w:rPr>
    </w:lvl>
    <w:lvl w:ilvl="8" w:tplc="CC92842A" w:tentative="1">
      <w:start w:val="1"/>
      <w:numFmt w:val="bullet"/>
      <w:lvlText w:val="•"/>
      <w:lvlJc w:val="left"/>
      <w:pPr>
        <w:tabs>
          <w:tab w:val="num" w:pos="6480"/>
        </w:tabs>
        <w:ind w:left="6480" w:hanging="360"/>
      </w:pPr>
      <w:rPr>
        <w:rFonts w:ascii="Arial" w:hAnsi="Arial" w:hint="default"/>
      </w:rPr>
    </w:lvl>
  </w:abstractNum>
  <w:abstractNum w:abstractNumId="39">
    <w:nsid w:val="744B37A9"/>
    <w:multiLevelType w:val="hybridMultilevel"/>
    <w:tmpl w:val="F04E7CDA"/>
    <w:lvl w:ilvl="0" w:tplc="EC762356">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DC7153"/>
    <w:multiLevelType w:val="hybridMultilevel"/>
    <w:tmpl w:val="32485D32"/>
    <w:lvl w:ilvl="0" w:tplc="A178ECC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6"/>
  </w:num>
  <w:num w:numId="3">
    <w:abstractNumId w:val="8"/>
  </w:num>
  <w:num w:numId="4">
    <w:abstractNumId w:val="31"/>
  </w:num>
  <w:num w:numId="5">
    <w:abstractNumId w:val="21"/>
  </w:num>
  <w:num w:numId="6">
    <w:abstractNumId w:val="39"/>
  </w:num>
  <w:num w:numId="7">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abstractNumId w:val="42"/>
  </w:num>
  <w:num w:numId="9">
    <w:abstractNumId w:val="7"/>
  </w:num>
  <w:num w:numId="10">
    <w:abstractNumId w:val="32"/>
  </w:num>
  <w:num w:numId="11">
    <w:abstractNumId w:val="11"/>
  </w:num>
  <w:num w:numId="12">
    <w:abstractNumId w:val="38"/>
  </w:num>
  <w:num w:numId="13">
    <w:abstractNumId w:val="28"/>
  </w:num>
  <w:num w:numId="14">
    <w:abstractNumId w:val="22"/>
  </w:num>
  <w:num w:numId="15">
    <w:abstractNumId w:val="0"/>
  </w:num>
  <w:num w:numId="16">
    <w:abstractNumId w:val="37"/>
  </w:num>
  <w:num w:numId="17">
    <w:abstractNumId w:val="18"/>
  </w:num>
  <w:num w:numId="18">
    <w:abstractNumId w:val="36"/>
  </w:num>
  <w:num w:numId="19">
    <w:abstractNumId w:val="2"/>
  </w:num>
  <w:num w:numId="20">
    <w:abstractNumId w:val="9"/>
  </w:num>
  <w:num w:numId="21">
    <w:abstractNumId w:val="34"/>
  </w:num>
  <w:num w:numId="22">
    <w:abstractNumId w:val="13"/>
  </w:num>
  <w:num w:numId="23">
    <w:abstractNumId w:val="14"/>
  </w:num>
  <w:num w:numId="24">
    <w:abstractNumId w:val="25"/>
  </w:num>
  <w:num w:numId="25">
    <w:abstractNumId w:val="12"/>
  </w:num>
  <w:num w:numId="26">
    <w:abstractNumId w:val="4"/>
  </w:num>
  <w:num w:numId="27">
    <w:abstractNumId w:val="20"/>
  </w:num>
  <w:num w:numId="28">
    <w:abstractNumId w:val="15"/>
  </w:num>
  <w:num w:numId="29">
    <w:abstractNumId w:val="41"/>
  </w:num>
  <w:num w:numId="30">
    <w:abstractNumId w:val="30"/>
  </w:num>
  <w:num w:numId="31">
    <w:abstractNumId w:val="24"/>
  </w:num>
  <w:num w:numId="32">
    <w:abstractNumId w:val="26"/>
  </w:num>
  <w:num w:numId="33">
    <w:abstractNumId w:val="26"/>
  </w:num>
  <w:num w:numId="34">
    <w:abstractNumId w:val="40"/>
  </w:num>
  <w:num w:numId="35">
    <w:abstractNumId w:val="29"/>
  </w:num>
  <w:num w:numId="36">
    <w:abstractNumId w:val="3"/>
  </w:num>
  <w:num w:numId="37">
    <w:abstractNumId w:val="17"/>
  </w:num>
  <w:num w:numId="38">
    <w:abstractNumId w:val="27"/>
  </w:num>
  <w:num w:numId="39">
    <w:abstractNumId w:val="23"/>
  </w:num>
  <w:num w:numId="40">
    <w:abstractNumId w:val="10"/>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num>
  <w:num w:numId="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6B7"/>
    <w:rsid w:val="000010ED"/>
    <w:rsid w:val="00002327"/>
    <w:rsid w:val="00013FCC"/>
    <w:rsid w:val="0001569C"/>
    <w:rsid w:val="00015870"/>
    <w:rsid w:val="0002411C"/>
    <w:rsid w:val="00027771"/>
    <w:rsid w:val="0003009D"/>
    <w:rsid w:val="00030CB8"/>
    <w:rsid w:val="0003303C"/>
    <w:rsid w:val="00034225"/>
    <w:rsid w:val="0004051B"/>
    <w:rsid w:val="0004650E"/>
    <w:rsid w:val="00053D33"/>
    <w:rsid w:val="00055088"/>
    <w:rsid w:val="00057366"/>
    <w:rsid w:val="00057477"/>
    <w:rsid w:val="00057761"/>
    <w:rsid w:val="00063265"/>
    <w:rsid w:val="00066CD0"/>
    <w:rsid w:val="0007246F"/>
    <w:rsid w:val="00072BB7"/>
    <w:rsid w:val="00073D33"/>
    <w:rsid w:val="000761EC"/>
    <w:rsid w:val="00077ECA"/>
    <w:rsid w:val="00082A87"/>
    <w:rsid w:val="000938F5"/>
    <w:rsid w:val="000947EA"/>
    <w:rsid w:val="00096414"/>
    <w:rsid w:val="00096822"/>
    <w:rsid w:val="000A2B49"/>
    <w:rsid w:val="000A4861"/>
    <w:rsid w:val="000A5B46"/>
    <w:rsid w:val="000B1C4C"/>
    <w:rsid w:val="000B2E2D"/>
    <w:rsid w:val="000B611F"/>
    <w:rsid w:val="000B654B"/>
    <w:rsid w:val="000B7B59"/>
    <w:rsid w:val="000C12DE"/>
    <w:rsid w:val="000C332D"/>
    <w:rsid w:val="000C53EB"/>
    <w:rsid w:val="000C574C"/>
    <w:rsid w:val="000D2F24"/>
    <w:rsid w:val="000E644E"/>
    <w:rsid w:val="000F0C32"/>
    <w:rsid w:val="000F6DB0"/>
    <w:rsid w:val="000F6E1D"/>
    <w:rsid w:val="00100A97"/>
    <w:rsid w:val="0010201D"/>
    <w:rsid w:val="0010227F"/>
    <w:rsid w:val="00103B90"/>
    <w:rsid w:val="00107286"/>
    <w:rsid w:val="00107EF2"/>
    <w:rsid w:val="001170DF"/>
    <w:rsid w:val="00122D64"/>
    <w:rsid w:val="0012665C"/>
    <w:rsid w:val="001273C9"/>
    <w:rsid w:val="00132D5F"/>
    <w:rsid w:val="00134B68"/>
    <w:rsid w:val="001460A9"/>
    <w:rsid w:val="00152503"/>
    <w:rsid w:val="00154C2C"/>
    <w:rsid w:val="00156542"/>
    <w:rsid w:val="00157A93"/>
    <w:rsid w:val="00157D3E"/>
    <w:rsid w:val="001608ED"/>
    <w:rsid w:val="00163B83"/>
    <w:rsid w:val="001663B1"/>
    <w:rsid w:val="00172372"/>
    <w:rsid w:val="00175303"/>
    <w:rsid w:val="00177C9A"/>
    <w:rsid w:val="00187DB1"/>
    <w:rsid w:val="001957E5"/>
    <w:rsid w:val="00195F89"/>
    <w:rsid w:val="001A0CC5"/>
    <w:rsid w:val="001A411B"/>
    <w:rsid w:val="001B1290"/>
    <w:rsid w:val="001B3C6E"/>
    <w:rsid w:val="001B42DB"/>
    <w:rsid w:val="001B5A93"/>
    <w:rsid w:val="001B7145"/>
    <w:rsid w:val="001B74A7"/>
    <w:rsid w:val="001B7AEA"/>
    <w:rsid w:val="001C2CA8"/>
    <w:rsid w:val="001C4CF4"/>
    <w:rsid w:val="001C7612"/>
    <w:rsid w:val="001E1018"/>
    <w:rsid w:val="001E3FF6"/>
    <w:rsid w:val="001E4165"/>
    <w:rsid w:val="001E62F1"/>
    <w:rsid w:val="001F2496"/>
    <w:rsid w:val="001F6BCD"/>
    <w:rsid w:val="001F7B4D"/>
    <w:rsid w:val="00203633"/>
    <w:rsid w:val="00205096"/>
    <w:rsid w:val="0021072F"/>
    <w:rsid w:val="00210F64"/>
    <w:rsid w:val="0021134D"/>
    <w:rsid w:val="00212294"/>
    <w:rsid w:val="00214E95"/>
    <w:rsid w:val="00217ADF"/>
    <w:rsid w:val="00222C74"/>
    <w:rsid w:val="0023119D"/>
    <w:rsid w:val="00234796"/>
    <w:rsid w:val="00235EB5"/>
    <w:rsid w:val="002403A5"/>
    <w:rsid w:val="002405DE"/>
    <w:rsid w:val="00246719"/>
    <w:rsid w:val="00247824"/>
    <w:rsid w:val="00251490"/>
    <w:rsid w:val="00253327"/>
    <w:rsid w:val="0025341B"/>
    <w:rsid w:val="002534CB"/>
    <w:rsid w:val="002577BC"/>
    <w:rsid w:val="002624F7"/>
    <w:rsid w:val="00262EFB"/>
    <w:rsid w:val="002657C3"/>
    <w:rsid w:val="002666F8"/>
    <w:rsid w:val="0027246C"/>
    <w:rsid w:val="002732CD"/>
    <w:rsid w:val="00281714"/>
    <w:rsid w:val="0028407A"/>
    <w:rsid w:val="002872C1"/>
    <w:rsid w:val="00292133"/>
    <w:rsid w:val="00292A68"/>
    <w:rsid w:val="00294279"/>
    <w:rsid w:val="002952F6"/>
    <w:rsid w:val="00295F53"/>
    <w:rsid w:val="002963AB"/>
    <w:rsid w:val="00296A3A"/>
    <w:rsid w:val="002A0C67"/>
    <w:rsid w:val="002A29E5"/>
    <w:rsid w:val="002A59C2"/>
    <w:rsid w:val="002B0EC8"/>
    <w:rsid w:val="002B63D5"/>
    <w:rsid w:val="002C0010"/>
    <w:rsid w:val="002C5CF4"/>
    <w:rsid w:val="002D56DF"/>
    <w:rsid w:val="002D606A"/>
    <w:rsid w:val="002D6840"/>
    <w:rsid w:val="002E0AD1"/>
    <w:rsid w:val="002F1557"/>
    <w:rsid w:val="003065E5"/>
    <w:rsid w:val="0030708F"/>
    <w:rsid w:val="00321C3A"/>
    <w:rsid w:val="0032661C"/>
    <w:rsid w:val="0032783B"/>
    <w:rsid w:val="00327972"/>
    <w:rsid w:val="003332C9"/>
    <w:rsid w:val="00333D2D"/>
    <w:rsid w:val="0034119B"/>
    <w:rsid w:val="00341A2E"/>
    <w:rsid w:val="003445C0"/>
    <w:rsid w:val="003458EF"/>
    <w:rsid w:val="003511BA"/>
    <w:rsid w:val="00351A22"/>
    <w:rsid w:val="00357BD9"/>
    <w:rsid w:val="00361BB5"/>
    <w:rsid w:val="00364DC4"/>
    <w:rsid w:val="00365AF8"/>
    <w:rsid w:val="003821FC"/>
    <w:rsid w:val="00391DB4"/>
    <w:rsid w:val="00395943"/>
    <w:rsid w:val="003A4EED"/>
    <w:rsid w:val="003A5D49"/>
    <w:rsid w:val="003B09E8"/>
    <w:rsid w:val="003B34BE"/>
    <w:rsid w:val="003B4522"/>
    <w:rsid w:val="003B508E"/>
    <w:rsid w:val="003C1F0F"/>
    <w:rsid w:val="003C316D"/>
    <w:rsid w:val="003C49FB"/>
    <w:rsid w:val="003C6BC5"/>
    <w:rsid w:val="003D16E8"/>
    <w:rsid w:val="003D3B74"/>
    <w:rsid w:val="003D4D97"/>
    <w:rsid w:val="003E16F1"/>
    <w:rsid w:val="003E185F"/>
    <w:rsid w:val="003E6405"/>
    <w:rsid w:val="003F2076"/>
    <w:rsid w:val="003F5371"/>
    <w:rsid w:val="00400F5F"/>
    <w:rsid w:val="0040485C"/>
    <w:rsid w:val="00405042"/>
    <w:rsid w:val="0040548F"/>
    <w:rsid w:val="004102FB"/>
    <w:rsid w:val="004104E0"/>
    <w:rsid w:val="00417F12"/>
    <w:rsid w:val="00426C7A"/>
    <w:rsid w:val="0043273B"/>
    <w:rsid w:val="004335C2"/>
    <w:rsid w:val="0043373B"/>
    <w:rsid w:val="00437D22"/>
    <w:rsid w:val="00440DE0"/>
    <w:rsid w:val="004456E1"/>
    <w:rsid w:val="00447EBE"/>
    <w:rsid w:val="00450363"/>
    <w:rsid w:val="00451468"/>
    <w:rsid w:val="00451C1A"/>
    <w:rsid w:val="00452085"/>
    <w:rsid w:val="004528DE"/>
    <w:rsid w:val="00455FCD"/>
    <w:rsid w:val="00456C55"/>
    <w:rsid w:val="004576D1"/>
    <w:rsid w:val="00466977"/>
    <w:rsid w:val="004708A9"/>
    <w:rsid w:val="004720FD"/>
    <w:rsid w:val="004763A3"/>
    <w:rsid w:val="0048408A"/>
    <w:rsid w:val="00484611"/>
    <w:rsid w:val="00490309"/>
    <w:rsid w:val="00492C7A"/>
    <w:rsid w:val="004941CE"/>
    <w:rsid w:val="00495346"/>
    <w:rsid w:val="0049538E"/>
    <w:rsid w:val="004A7A4B"/>
    <w:rsid w:val="004B3D5A"/>
    <w:rsid w:val="004B43DC"/>
    <w:rsid w:val="004B4E3C"/>
    <w:rsid w:val="004C069D"/>
    <w:rsid w:val="004D1106"/>
    <w:rsid w:val="004D4088"/>
    <w:rsid w:val="004D4156"/>
    <w:rsid w:val="004E1A12"/>
    <w:rsid w:val="004E4322"/>
    <w:rsid w:val="004E5134"/>
    <w:rsid w:val="004E7891"/>
    <w:rsid w:val="004E7D51"/>
    <w:rsid w:val="004F5186"/>
    <w:rsid w:val="004F57F3"/>
    <w:rsid w:val="004F6564"/>
    <w:rsid w:val="004F7AE0"/>
    <w:rsid w:val="00501615"/>
    <w:rsid w:val="005103B3"/>
    <w:rsid w:val="00511B02"/>
    <w:rsid w:val="00513A80"/>
    <w:rsid w:val="00513E59"/>
    <w:rsid w:val="00514028"/>
    <w:rsid w:val="00521D5D"/>
    <w:rsid w:val="00527D13"/>
    <w:rsid w:val="005309CE"/>
    <w:rsid w:val="0053302D"/>
    <w:rsid w:val="00534F63"/>
    <w:rsid w:val="00541627"/>
    <w:rsid w:val="00541F74"/>
    <w:rsid w:val="00542379"/>
    <w:rsid w:val="00545ADA"/>
    <w:rsid w:val="00555316"/>
    <w:rsid w:val="00556722"/>
    <w:rsid w:val="005632FD"/>
    <w:rsid w:val="0056606E"/>
    <w:rsid w:val="0056638A"/>
    <w:rsid w:val="00571412"/>
    <w:rsid w:val="005742EF"/>
    <w:rsid w:val="00574706"/>
    <w:rsid w:val="005749B3"/>
    <w:rsid w:val="00580DE8"/>
    <w:rsid w:val="00581633"/>
    <w:rsid w:val="00582D8A"/>
    <w:rsid w:val="00586C5F"/>
    <w:rsid w:val="0059180A"/>
    <w:rsid w:val="00593B2C"/>
    <w:rsid w:val="0059510A"/>
    <w:rsid w:val="005A2610"/>
    <w:rsid w:val="005A5F85"/>
    <w:rsid w:val="005A7E49"/>
    <w:rsid w:val="005B4013"/>
    <w:rsid w:val="005C1857"/>
    <w:rsid w:val="005C33D2"/>
    <w:rsid w:val="005D6081"/>
    <w:rsid w:val="005D7D50"/>
    <w:rsid w:val="005E12FE"/>
    <w:rsid w:val="005E2C41"/>
    <w:rsid w:val="005E4A3E"/>
    <w:rsid w:val="005F6183"/>
    <w:rsid w:val="005F7134"/>
    <w:rsid w:val="00607426"/>
    <w:rsid w:val="00610785"/>
    <w:rsid w:val="00622575"/>
    <w:rsid w:val="0062399D"/>
    <w:rsid w:val="00624BA3"/>
    <w:rsid w:val="00631B54"/>
    <w:rsid w:val="00634F36"/>
    <w:rsid w:val="00635C4F"/>
    <w:rsid w:val="00635EF8"/>
    <w:rsid w:val="0063663E"/>
    <w:rsid w:val="00637847"/>
    <w:rsid w:val="00640011"/>
    <w:rsid w:val="00644A51"/>
    <w:rsid w:val="00645652"/>
    <w:rsid w:val="006465DF"/>
    <w:rsid w:val="0064771C"/>
    <w:rsid w:val="00650267"/>
    <w:rsid w:val="0065357D"/>
    <w:rsid w:val="00653693"/>
    <w:rsid w:val="00655752"/>
    <w:rsid w:val="00661B26"/>
    <w:rsid w:val="00661CFE"/>
    <w:rsid w:val="00664124"/>
    <w:rsid w:val="0066435A"/>
    <w:rsid w:val="0067286F"/>
    <w:rsid w:val="006736DC"/>
    <w:rsid w:val="00677407"/>
    <w:rsid w:val="00680EA3"/>
    <w:rsid w:val="006826E0"/>
    <w:rsid w:val="006829F9"/>
    <w:rsid w:val="00683DB5"/>
    <w:rsid w:val="0068581C"/>
    <w:rsid w:val="006931EA"/>
    <w:rsid w:val="0069694C"/>
    <w:rsid w:val="006B10B2"/>
    <w:rsid w:val="006B4F9B"/>
    <w:rsid w:val="006B5582"/>
    <w:rsid w:val="006C0237"/>
    <w:rsid w:val="006C0391"/>
    <w:rsid w:val="006C1877"/>
    <w:rsid w:val="006C3AC5"/>
    <w:rsid w:val="006E0811"/>
    <w:rsid w:val="006E34E0"/>
    <w:rsid w:val="006E416D"/>
    <w:rsid w:val="006F0ED3"/>
    <w:rsid w:val="006F15A3"/>
    <w:rsid w:val="006F1968"/>
    <w:rsid w:val="006F1F29"/>
    <w:rsid w:val="006F360D"/>
    <w:rsid w:val="006F4CF7"/>
    <w:rsid w:val="006F53C3"/>
    <w:rsid w:val="006F5E9E"/>
    <w:rsid w:val="00701875"/>
    <w:rsid w:val="00701E90"/>
    <w:rsid w:val="00707124"/>
    <w:rsid w:val="00714383"/>
    <w:rsid w:val="0071776F"/>
    <w:rsid w:val="007330A1"/>
    <w:rsid w:val="00741A72"/>
    <w:rsid w:val="00742647"/>
    <w:rsid w:val="0074429C"/>
    <w:rsid w:val="00751C62"/>
    <w:rsid w:val="00751CF1"/>
    <w:rsid w:val="00754342"/>
    <w:rsid w:val="00755631"/>
    <w:rsid w:val="007604E8"/>
    <w:rsid w:val="00764065"/>
    <w:rsid w:val="00765F32"/>
    <w:rsid w:val="007668B0"/>
    <w:rsid w:val="00770BA4"/>
    <w:rsid w:val="0077202E"/>
    <w:rsid w:val="007751C5"/>
    <w:rsid w:val="00776460"/>
    <w:rsid w:val="00776A43"/>
    <w:rsid w:val="007779C3"/>
    <w:rsid w:val="00794DCF"/>
    <w:rsid w:val="007A08D5"/>
    <w:rsid w:val="007A126A"/>
    <w:rsid w:val="007A6B2C"/>
    <w:rsid w:val="007B0399"/>
    <w:rsid w:val="007B4DCD"/>
    <w:rsid w:val="007B7C77"/>
    <w:rsid w:val="007C0662"/>
    <w:rsid w:val="007C5170"/>
    <w:rsid w:val="007C769D"/>
    <w:rsid w:val="007D19A4"/>
    <w:rsid w:val="007D58AE"/>
    <w:rsid w:val="007D7554"/>
    <w:rsid w:val="007E1FBC"/>
    <w:rsid w:val="007E5861"/>
    <w:rsid w:val="007E7B20"/>
    <w:rsid w:val="007F00FC"/>
    <w:rsid w:val="007F2CFB"/>
    <w:rsid w:val="007F5091"/>
    <w:rsid w:val="007F7EEC"/>
    <w:rsid w:val="0080186C"/>
    <w:rsid w:val="00804C52"/>
    <w:rsid w:val="00804F1F"/>
    <w:rsid w:val="00805061"/>
    <w:rsid w:val="00807F96"/>
    <w:rsid w:val="00810A05"/>
    <w:rsid w:val="00811D4B"/>
    <w:rsid w:val="008127F3"/>
    <w:rsid w:val="0081705E"/>
    <w:rsid w:val="0082032C"/>
    <w:rsid w:val="00821C82"/>
    <w:rsid w:val="00822D69"/>
    <w:rsid w:val="00827384"/>
    <w:rsid w:val="008310A1"/>
    <w:rsid w:val="00831606"/>
    <w:rsid w:val="008324AB"/>
    <w:rsid w:val="0083264F"/>
    <w:rsid w:val="00835E2A"/>
    <w:rsid w:val="00841467"/>
    <w:rsid w:val="00842E4B"/>
    <w:rsid w:val="00843606"/>
    <w:rsid w:val="00843A30"/>
    <w:rsid w:val="00844B4C"/>
    <w:rsid w:val="00847B35"/>
    <w:rsid w:val="00847CF4"/>
    <w:rsid w:val="00853362"/>
    <w:rsid w:val="00855AB6"/>
    <w:rsid w:val="0085640F"/>
    <w:rsid w:val="00861982"/>
    <w:rsid w:val="008648CA"/>
    <w:rsid w:val="00865EF6"/>
    <w:rsid w:val="00870923"/>
    <w:rsid w:val="00870B8F"/>
    <w:rsid w:val="00881614"/>
    <w:rsid w:val="008833A5"/>
    <w:rsid w:val="0088575D"/>
    <w:rsid w:val="008947DC"/>
    <w:rsid w:val="00896201"/>
    <w:rsid w:val="008A0429"/>
    <w:rsid w:val="008A057E"/>
    <w:rsid w:val="008A1F83"/>
    <w:rsid w:val="008A6308"/>
    <w:rsid w:val="008B06A5"/>
    <w:rsid w:val="008B15F2"/>
    <w:rsid w:val="008B2749"/>
    <w:rsid w:val="008C2B17"/>
    <w:rsid w:val="008C4313"/>
    <w:rsid w:val="008C4375"/>
    <w:rsid w:val="008C4B90"/>
    <w:rsid w:val="008C5379"/>
    <w:rsid w:val="008C720F"/>
    <w:rsid w:val="008C7453"/>
    <w:rsid w:val="008D0516"/>
    <w:rsid w:val="008D639D"/>
    <w:rsid w:val="008E157C"/>
    <w:rsid w:val="008E26CA"/>
    <w:rsid w:val="008E6A9C"/>
    <w:rsid w:val="008F3E86"/>
    <w:rsid w:val="008F6AA6"/>
    <w:rsid w:val="008F6DC3"/>
    <w:rsid w:val="00901066"/>
    <w:rsid w:val="009018BF"/>
    <w:rsid w:val="00902E04"/>
    <w:rsid w:val="00905A83"/>
    <w:rsid w:val="0090605D"/>
    <w:rsid w:val="00907BF7"/>
    <w:rsid w:val="009135CE"/>
    <w:rsid w:val="00917494"/>
    <w:rsid w:val="0092436A"/>
    <w:rsid w:val="00927470"/>
    <w:rsid w:val="00932F2A"/>
    <w:rsid w:val="009335AE"/>
    <w:rsid w:val="00934079"/>
    <w:rsid w:val="00934A0A"/>
    <w:rsid w:val="00935ADB"/>
    <w:rsid w:val="00941D9F"/>
    <w:rsid w:val="009422ED"/>
    <w:rsid w:val="00944556"/>
    <w:rsid w:val="009478DE"/>
    <w:rsid w:val="009503DE"/>
    <w:rsid w:val="009530DD"/>
    <w:rsid w:val="009544A7"/>
    <w:rsid w:val="00954ED0"/>
    <w:rsid w:val="00957B6C"/>
    <w:rsid w:val="00962296"/>
    <w:rsid w:val="009651C9"/>
    <w:rsid w:val="00966C90"/>
    <w:rsid w:val="0097205B"/>
    <w:rsid w:val="00972A2C"/>
    <w:rsid w:val="00975D65"/>
    <w:rsid w:val="00985B45"/>
    <w:rsid w:val="009907F4"/>
    <w:rsid w:val="0099126D"/>
    <w:rsid w:val="00991C83"/>
    <w:rsid w:val="00992D5B"/>
    <w:rsid w:val="00992DCC"/>
    <w:rsid w:val="00993F88"/>
    <w:rsid w:val="00996C27"/>
    <w:rsid w:val="009A0B6B"/>
    <w:rsid w:val="009A2EFF"/>
    <w:rsid w:val="009A7A99"/>
    <w:rsid w:val="009B2694"/>
    <w:rsid w:val="009B3DCF"/>
    <w:rsid w:val="009B5312"/>
    <w:rsid w:val="009B6630"/>
    <w:rsid w:val="009B75B5"/>
    <w:rsid w:val="009C0F57"/>
    <w:rsid w:val="009C60E2"/>
    <w:rsid w:val="009D0E03"/>
    <w:rsid w:val="009D4AE0"/>
    <w:rsid w:val="009D72B4"/>
    <w:rsid w:val="009E2A77"/>
    <w:rsid w:val="009E57D3"/>
    <w:rsid w:val="009E59BE"/>
    <w:rsid w:val="009F296C"/>
    <w:rsid w:val="009F732C"/>
    <w:rsid w:val="009F7F73"/>
    <w:rsid w:val="00A006D3"/>
    <w:rsid w:val="00A03B80"/>
    <w:rsid w:val="00A0426F"/>
    <w:rsid w:val="00A06C0F"/>
    <w:rsid w:val="00A14722"/>
    <w:rsid w:val="00A14B4D"/>
    <w:rsid w:val="00A14DE5"/>
    <w:rsid w:val="00A15497"/>
    <w:rsid w:val="00A1597D"/>
    <w:rsid w:val="00A2083A"/>
    <w:rsid w:val="00A211FC"/>
    <w:rsid w:val="00A30AF7"/>
    <w:rsid w:val="00A321DA"/>
    <w:rsid w:val="00A37A59"/>
    <w:rsid w:val="00A419DD"/>
    <w:rsid w:val="00A42CD8"/>
    <w:rsid w:val="00A454D8"/>
    <w:rsid w:val="00A469B7"/>
    <w:rsid w:val="00A46C16"/>
    <w:rsid w:val="00A55477"/>
    <w:rsid w:val="00A60D4A"/>
    <w:rsid w:val="00A61285"/>
    <w:rsid w:val="00A6228F"/>
    <w:rsid w:val="00A6301A"/>
    <w:rsid w:val="00A6358E"/>
    <w:rsid w:val="00A6635E"/>
    <w:rsid w:val="00A676A8"/>
    <w:rsid w:val="00A7217D"/>
    <w:rsid w:val="00A729B8"/>
    <w:rsid w:val="00A74D00"/>
    <w:rsid w:val="00A74DA7"/>
    <w:rsid w:val="00A74FF8"/>
    <w:rsid w:val="00A800B1"/>
    <w:rsid w:val="00A80404"/>
    <w:rsid w:val="00A87506"/>
    <w:rsid w:val="00AA335E"/>
    <w:rsid w:val="00AA365A"/>
    <w:rsid w:val="00AA744E"/>
    <w:rsid w:val="00AB1CB8"/>
    <w:rsid w:val="00AC2087"/>
    <w:rsid w:val="00AC2DE6"/>
    <w:rsid w:val="00AC3D17"/>
    <w:rsid w:val="00AD4143"/>
    <w:rsid w:val="00AD4261"/>
    <w:rsid w:val="00AF1C7C"/>
    <w:rsid w:val="00AF1CC2"/>
    <w:rsid w:val="00AF58C5"/>
    <w:rsid w:val="00B0203F"/>
    <w:rsid w:val="00B0574D"/>
    <w:rsid w:val="00B10D6E"/>
    <w:rsid w:val="00B117E8"/>
    <w:rsid w:val="00B14699"/>
    <w:rsid w:val="00B154B6"/>
    <w:rsid w:val="00B2110C"/>
    <w:rsid w:val="00B21531"/>
    <w:rsid w:val="00B226DD"/>
    <w:rsid w:val="00B23B17"/>
    <w:rsid w:val="00B23E50"/>
    <w:rsid w:val="00B25C27"/>
    <w:rsid w:val="00B31864"/>
    <w:rsid w:val="00B339C5"/>
    <w:rsid w:val="00B3416A"/>
    <w:rsid w:val="00B34845"/>
    <w:rsid w:val="00B373E2"/>
    <w:rsid w:val="00B40A00"/>
    <w:rsid w:val="00B42ADB"/>
    <w:rsid w:val="00B42EF7"/>
    <w:rsid w:val="00B479AF"/>
    <w:rsid w:val="00B51802"/>
    <w:rsid w:val="00B6033A"/>
    <w:rsid w:val="00B72CD8"/>
    <w:rsid w:val="00B84829"/>
    <w:rsid w:val="00B97E19"/>
    <w:rsid w:val="00BA03C8"/>
    <w:rsid w:val="00BA15AD"/>
    <w:rsid w:val="00BA1651"/>
    <w:rsid w:val="00BA41A2"/>
    <w:rsid w:val="00BA7437"/>
    <w:rsid w:val="00BB0E1F"/>
    <w:rsid w:val="00BB0F0C"/>
    <w:rsid w:val="00BB1B90"/>
    <w:rsid w:val="00BB5673"/>
    <w:rsid w:val="00BB62A9"/>
    <w:rsid w:val="00BB733B"/>
    <w:rsid w:val="00BC03AD"/>
    <w:rsid w:val="00BC2032"/>
    <w:rsid w:val="00BC2610"/>
    <w:rsid w:val="00BC589F"/>
    <w:rsid w:val="00BD0726"/>
    <w:rsid w:val="00BD38E3"/>
    <w:rsid w:val="00BE0A41"/>
    <w:rsid w:val="00BE1A53"/>
    <w:rsid w:val="00BE1BCD"/>
    <w:rsid w:val="00BE1D44"/>
    <w:rsid w:val="00BE6415"/>
    <w:rsid w:val="00BF3305"/>
    <w:rsid w:val="00BF687F"/>
    <w:rsid w:val="00BF7353"/>
    <w:rsid w:val="00C0192C"/>
    <w:rsid w:val="00C0499E"/>
    <w:rsid w:val="00C05370"/>
    <w:rsid w:val="00C05CAC"/>
    <w:rsid w:val="00C10B55"/>
    <w:rsid w:val="00C11DF4"/>
    <w:rsid w:val="00C12944"/>
    <w:rsid w:val="00C1547F"/>
    <w:rsid w:val="00C321E1"/>
    <w:rsid w:val="00C32CD8"/>
    <w:rsid w:val="00C34AEF"/>
    <w:rsid w:val="00C42572"/>
    <w:rsid w:val="00C451A3"/>
    <w:rsid w:val="00C47E82"/>
    <w:rsid w:val="00C507EA"/>
    <w:rsid w:val="00C5138C"/>
    <w:rsid w:val="00C51925"/>
    <w:rsid w:val="00C54F99"/>
    <w:rsid w:val="00C55C43"/>
    <w:rsid w:val="00C6036C"/>
    <w:rsid w:val="00C635A8"/>
    <w:rsid w:val="00C63F8F"/>
    <w:rsid w:val="00C73BF7"/>
    <w:rsid w:val="00C80423"/>
    <w:rsid w:val="00C83BE2"/>
    <w:rsid w:val="00C9166F"/>
    <w:rsid w:val="00C93FE6"/>
    <w:rsid w:val="00C9447B"/>
    <w:rsid w:val="00C96BDF"/>
    <w:rsid w:val="00C96CA3"/>
    <w:rsid w:val="00C97F5F"/>
    <w:rsid w:val="00CA2E12"/>
    <w:rsid w:val="00CA35C6"/>
    <w:rsid w:val="00CA46B7"/>
    <w:rsid w:val="00CA5351"/>
    <w:rsid w:val="00CA58F0"/>
    <w:rsid w:val="00CA7F1A"/>
    <w:rsid w:val="00CA7FED"/>
    <w:rsid w:val="00CB699A"/>
    <w:rsid w:val="00CC1A2E"/>
    <w:rsid w:val="00CC2F5B"/>
    <w:rsid w:val="00CC3347"/>
    <w:rsid w:val="00CD2FD8"/>
    <w:rsid w:val="00CD461D"/>
    <w:rsid w:val="00CE21B1"/>
    <w:rsid w:val="00CE22B8"/>
    <w:rsid w:val="00CE6647"/>
    <w:rsid w:val="00CE7582"/>
    <w:rsid w:val="00CF0724"/>
    <w:rsid w:val="00CF196A"/>
    <w:rsid w:val="00CF21E3"/>
    <w:rsid w:val="00CF2467"/>
    <w:rsid w:val="00CF6C6D"/>
    <w:rsid w:val="00CF6F26"/>
    <w:rsid w:val="00D00013"/>
    <w:rsid w:val="00D01579"/>
    <w:rsid w:val="00D02AC6"/>
    <w:rsid w:val="00D062F4"/>
    <w:rsid w:val="00D1152C"/>
    <w:rsid w:val="00D1294A"/>
    <w:rsid w:val="00D165CB"/>
    <w:rsid w:val="00D2305D"/>
    <w:rsid w:val="00D33602"/>
    <w:rsid w:val="00D35DAC"/>
    <w:rsid w:val="00D36DB8"/>
    <w:rsid w:val="00D37DCF"/>
    <w:rsid w:val="00D400C2"/>
    <w:rsid w:val="00D41720"/>
    <w:rsid w:val="00D43A6F"/>
    <w:rsid w:val="00D5061A"/>
    <w:rsid w:val="00D51495"/>
    <w:rsid w:val="00D5675D"/>
    <w:rsid w:val="00D6442B"/>
    <w:rsid w:val="00D64D4A"/>
    <w:rsid w:val="00D748E3"/>
    <w:rsid w:val="00D7598E"/>
    <w:rsid w:val="00D84925"/>
    <w:rsid w:val="00D90010"/>
    <w:rsid w:val="00D925F3"/>
    <w:rsid w:val="00D92DB5"/>
    <w:rsid w:val="00D95772"/>
    <w:rsid w:val="00DA00D0"/>
    <w:rsid w:val="00DA39B8"/>
    <w:rsid w:val="00DA41C1"/>
    <w:rsid w:val="00DA7B1F"/>
    <w:rsid w:val="00DC26D5"/>
    <w:rsid w:val="00DD04CF"/>
    <w:rsid w:val="00DD1327"/>
    <w:rsid w:val="00DD292C"/>
    <w:rsid w:val="00DD473A"/>
    <w:rsid w:val="00DE2420"/>
    <w:rsid w:val="00DE2711"/>
    <w:rsid w:val="00DF345F"/>
    <w:rsid w:val="00DF49F7"/>
    <w:rsid w:val="00DF5102"/>
    <w:rsid w:val="00DF66C4"/>
    <w:rsid w:val="00E0089C"/>
    <w:rsid w:val="00E0549D"/>
    <w:rsid w:val="00E05E7B"/>
    <w:rsid w:val="00E05F0C"/>
    <w:rsid w:val="00E07A7B"/>
    <w:rsid w:val="00E11A2C"/>
    <w:rsid w:val="00E121F1"/>
    <w:rsid w:val="00E136B1"/>
    <w:rsid w:val="00E154F6"/>
    <w:rsid w:val="00E16D2F"/>
    <w:rsid w:val="00E22ADB"/>
    <w:rsid w:val="00E24FE9"/>
    <w:rsid w:val="00E310E6"/>
    <w:rsid w:val="00E31CC8"/>
    <w:rsid w:val="00E32BB8"/>
    <w:rsid w:val="00E43823"/>
    <w:rsid w:val="00E50721"/>
    <w:rsid w:val="00E536D5"/>
    <w:rsid w:val="00E565BD"/>
    <w:rsid w:val="00E60A14"/>
    <w:rsid w:val="00E61A9D"/>
    <w:rsid w:val="00E61EF8"/>
    <w:rsid w:val="00E646A1"/>
    <w:rsid w:val="00E64C9E"/>
    <w:rsid w:val="00E6552F"/>
    <w:rsid w:val="00E65A29"/>
    <w:rsid w:val="00E6650E"/>
    <w:rsid w:val="00E67127"/>
    <w:rsid w:val="00E70FBD"/>
    <w:rsid w:val="00E7457D"/>
    <w:rsid w:val="00E74697"/>
    <w:rsid w:val="00E7753D"/>
    <w:rsid w:val="00E87B0C"/>
    <w:rsid w:val="00E91BE9"/>
    <w:rsid w:val="00E921DF"/>
    <w:rsid w:val="00E96174"/>
    <w:rsid w:val="00EA03A6"/>
    <w:rsid w:val="00EA1D7C"/>
    <w:rsid w:val="00EA6FCF"/>
    <w:rsid w:val="00EB1A25"/>
    <w:rsid w:val="00EB3DFE"/>
    <w:rsid w:val="00EB4C7F"/>
    <w:rsid w:val="00EB66E0"/>
    <w:rsid w:val="00EB7E32"/>
    <w:rsid w:val="00EC0F10"/>
    <w:rsid w:val="00EC0F68"/>
    <w:rsid w:val="00EC4B5E"/>
    <w:rsid w:val="00EC6004"/>
    <w:rsid w:val="00ED1575"/>
    <w:rsid w:val="00ED2B66"/>
    <w:rsid w:val="00ED5954"/>
    <w:rsid w:val="00ED683A"/>
    <w:rsid w:val="00ED6B0C"/>
    <w:rsid w:val="00ED6E87"/>
    <w:rsid w:val="00EE0253"/>
    <w:rsid w:val="00EE5E12"/>
    <w:rsid w:val="00EF1799"/>
    <w:rsid w:val="00EF1AB8"/>
    <w:rsid w:val="00EF23C2"/>
    <w:rsid w:val="00EF2B8B"/>
    <w:rsid w:val="00F017E9"/>
    <w:rsid w:val="00F03326"/>
    <w:rsid w:val="00F05B7B"/>
    <w:rsid w:val="00F06010"/>
    <w:rsid w:val="00F11754"/>
    <w:rsid w:val="00F14E18"/>
    <w:rsid w:val="00F1546C"/>
    <w:rsid w:val="00F15FE3"/>
    <w:rsid w:val="00F1784F"/>
    <w:rsid w:val="00F2183F"/>
    <w:rsid w:val="00F22D39"/>
    <w:rsid w:val="00F247E0"/>
    <w:rsid w:val="00F27F9E"/>
    <w:rsid w:val="00F311AD"/>
    <w:rsid w:val="00F316AA"/>
    <w:rsid w:val="00F34ECA"/>
    <w:rsid w:val="00F35900"/>
    <w:rsid w:val="00F36F02"/>
    <w:rsid w:val="00F37B96"/>
    <w:rsid w:val="00F407AC"/>
    <w:rsid w:val="00F43162"/>
    <w:rsid w:val="00F44546"/>
    <w:rsid w:val="00F44AE7"/>
    <w:rsid w:val="00F47363"/>
    <w:rsid w:val="00F47970"/>
    <w:rsid w:val="00F50EC6"/>
    <w:rsid w:val="00F51441"/>
    <w:rsid w:val="00F52A1D"/>
    <w:rsid w:val="00F52D84"/>
    <w:rsid w:val="00F534F5"/>
    <w:rsid w:val="00F5393B"/>
    <w:rsid w:val="00F5780B"/>
    <w:rsid w:val="00F71769"/>
    <w:rsid w:val="00F7244C"/>
    <w:rsid w:val="00F7631E"/>
    <w:rsid w:val="00F776E9"/>
    <w:rsid w:val="00F80AD2"/>
    <w:rsid w:val="00F847D9"/>
    <w:rsid w:val="00F87A22"/>
    <w:rsid w:val="00F955DE"/>
    <w:rsid w:val="00FA303C"/>
    <w:rsid w:val="00FA5256"/>
    <w:rsid w:val="00FA78D9"/>
    <w:rsid w:val="00FB0D4F"/>
    <w:rsid w:val="00FB1DA3"/>
    <w:rsid w:val="00FC21E8"/>
    <w:rsid w:val="00FC3824"/>
    <w:rsid w:val="00FC49C7"/>
    <w:rsid w:val="00FD576B"/>
    <w:rsid w:val="00FE038D"/>
    <w:rsid w:val="00FE352F"/>
    <w:rsid w:val="00FE3699"/>
    <w:rsid w:val="00FE76CF"/>
    <w:rsid w:val="00FE772B"/>
    <w:rsid w:val="00FF59F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6E9"/>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link w:val="ListParagraphChar"/>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paragraph" w:styleId="BodyText">
    <w:name w:val="Body Text"/>
    <w:aliases w:val="bt"/>
    <w:basedOn w:val="Normal"/>
    <w:link w:val="BodyTextChar"/>
    <w:rsid w:val="0071776F"/>
    <w:pPr>
      <w:spacing w:after="120"/>
      <w:jc w:val="both"/>
    </w:pPr>
    <w:rPr>
      <w:sz w:val="20"/>
      <w:szCs w:val="24"/>
      <w:lang w:val="en-US"/>
    </w:rPr>
  </w:style>
  <w:style w:type="character" w:customStyle="1" w:styleId="BodyTextChar">
    <w:name w:val="Body Text Char"/>
    <w:aliases w:val="bt Char"/>
    <w:basedOn w:val="DefaultParagraphFont"/>
    <w:link w:val="BodyText"/>
    <w:rsid w:val="0071776F"/>
    <w:rPr>
      <w:rFonts w:ascii="Times New Roman" w:eastAsia="MS Mincho" w:hAnsi="Times New Roman" w:cs="Times New Roman"/>
      <w:sz w:val="20"/>
      <w:szCs w:val="24"/>
      <w:lang w:bidi="ar-SA"/>
    </w:rPr>
  </w:style>
  <w:style w:type="paragraph" w:customStyle="1" w:styleId="References">
    <w:name w:val="References"/>
    <w:basedOn w:val="Normal"/>
    <w:next w:val="Normal"/>
    <w:rsid w:val="00C93FE6"/>
    <w:pPr>
      <w:autoSpaceDE w:val="0"/>
      <w:autoSpaceDN w:val="0"/>
      <w:snapToGrid w:val="0"/>
      <w:spacing w:after="60"/>
    </w:pPr>
    <w:rPr>
      <w:rFonts w:eastAsia="SimSun"/>
      <w:sz w:val="20"/>
      <w:szCs w:val="16"/>
      <w:lang w:val="en-US"/>
    </w:rPr>
  </w:style>
  <w:style w:type="character" w:customStyle="1" w:styleId="ListParagraphChar">
    <w:name w:val="List Paragraph Char"/>
    <w:link w:val="ListParagraph"/>
    <w:uiPriority w:val="34"/>
    <w:locked/>
    <w:rsid w:val="00082A87"/>
    <w:rPr>
      <w:rFonts w:ascii="Times New Roman" w:eastAsia="MS Mincho" w:hAnsi="Times New Roman" w:cs="Times New Roman"/>
      <w:szCs w:val="20"/>
      <w:lang w:val="en-GB" w:bidi="ar-SA"/>
    </w:rPr>
  </w:style>
  <w:style w:type="paragraph" w:styleId="FootnoteText">
    <w:name w:val="footnote text"/>
    <w:basedOn w:val="Normal"/>
    <w:link w:val="FootnoteTextChar"/>
    <w:uiPriority w:val="99"/>
    <w:semiHidden/>
    <w:unhideWhenUsed/>
    <w:rsid w:val="00F51441"/>
    <w:pPr>
      <w:spacing w:after="0"/>
    </w:pPr>
    <w:rPr>
      <w:sz w:val="20"/>
    </w:rPr>
  </w:style>
  <w:style w:type="character" w:customStyle="1" w:styleId="FootnoteTextChar">
    <w:name w:val="Footnote Text Char"/>
    <w:basedOn w:val="DefaultParagraphFont"/>
    <w:link w:val="FootnoteText"/>
    <w:uiPriority w:val="99"/>
    <w:semiHidden/>
    <w:rsid w:val="00F51441"/>
    <w:rPr>
      <w:rFonts w:ascii="Times New Roman" w:eastAsia="MS Mincho" w:hAnsi="Times New Roman" w:cs="Times New Roman"/>
      <w:sz w:val="20"/>
      <w:szCs w:val="20"/>
      <w:lang w:val="en-GB" w:bidi="ar-SA"/>
    </w:rPr>
  </w:style>
  <w:style w:type="character" w:styleId="FootnoteReference">
    <w:name w:val="footnote reference"/>
    <w:rsid w:val="00F5144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6E9"/>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link w:val="ListParagraphChar"/>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paragraph" w:styleId="BodyText">
    <w:name w:val="Body Text"/>
    <w:aliases w:val="bt"/>
    <w:basedOn w:val="Normal"/>
    <w:link w:val="BodyTextChar"/>
    <w:rsid w:val="0071776F"/>
    <w:pPr>
      <w:spacing w:after="120"/>
      <w:jc w:val="both"/>
    </w:pPr>
    <w:rPr>
      <w:sz w:val="20"/>
      <w:szCs w:val="24"/>
      <w:lang w:val="en-US"/>
    </w:rPr>
  </w:style>
  <w:style w:type="character" w:customStyle="1" w:styleId="BodyTextChar">
    <w:name w:val="Body Text Char"/>
    <w:aliases w:val="bt Char"/>
    <w:basedOn w:val="DefaultParagraphFont"/>
    <w:link w:val="BodyText"/>
    <w:rsid w:val="0071776F"/>
    <w:rPr>
      <w:rFonts w:ascii="Times New Roman" w:eastAsia="MS Mincho" w:hAnsi="Times New Roman" w:cs="Times New Roman"/>
      <w:sz w:val="20"/>
      <w:szCs w:val="24"/>
      <w:lang w:bidi="ar-SA"/>
    </w:rPr>
  </w:style>
  <w:style w:type="paragraph" w:customStyle="1" w:styleId="References">
    <w:name w:val="References"/>
    <w:basedOn w:val="Normal"/>
    <w:next w:val="Normal"/>
    <w:rsid w:val="00C93FE6"/>
    <w:pPr>
      <w:autoSpaceDE w:val="0"/>
      <w:autoSpaceDN w:val="0"/>
      <w:snapToGrid w:val="0"/>
      <w:spacing w:after="60"/>
    </w:pPr>
    <w:rPr>
      <w:rFonts w:eastAsia="SimSun"/>
      <w:sz w:val="20"/>
      <w:szCs w:val="16"/>
      <w:lang w:val="en-US"/>
    </w:rPr>
  </w:style>
  <w:style w:type="character" w:customStyle="1" w:styleId="ListParagraphChar">
    <w:name w:val="List Paragraph Char"/>
    <w:link w:val="ListParagraph"/>
    <w:uiPriority w:val="34"/>
    <w:locked/>
    <w:rsid w:val="00082A87"/>
    <w:rPr>
      <w:rFonts w:ascii="Times New Roman" w:eastAsia="MS Mincho" w:hAnsi="Times New Roman" w:cs="Times New Roman"/>
      <w:szCs w:val="20"/>
      <w:lang w:val="en-GB" w:bidi="ar-SA"/>
    </w:rPr>
  </w:style>
  <w:style w:type="paragraph" w:styleId="FootnoteText">
    <w:name w:val="footnote text"/>
    <w:basedOn w:val="Normal"/>
    <w:link w:val="FootnoteTextChar"/>
    <w:uiPriority w:val="99"/>
    <w:semiHidden/>
    <w:unhideWhenUsed/>
    <w:rsid w:val="00F51441"/>
    <w:pPr>
      <w:spacing w:after="0"/>
    </w:pPr>
    <w:rPr>
      <w:sz w:val="20"/>
    </w:rPr>
  </w:style>
  <w:style w:type="character" w:customStyle="1" w:styleId="FootnoteTextChar">
    <w:name w:val="Footnote Text Char"/>
    <w:basedOn w:val="DefaultParagraphFont"/>
    <w:link w:val="FootnoteText"/>
    <w:uiPriority w:val="99"/>
    <w:semiHidden/>
    <w:rsid w:val="00F51441"/>
    <w:rPr>
      <w:rFonts w:ascii="Times New Roman" w:eastAsia="MS Mincho" w:hAnsi="Times New Roman" w:cs="Times New Roman"/>
      <w:sz w:val="20"/>
      <w:szCs w:val="20"/>
      <w:lang w:val="en-GB" w:bidi="ar-SA"/>
    </w:rPr>
  </w:style>
  <w:style w:type="character" w:styleId="FootnoteReference">
    <w:name w:val="footnote reference"/>
    <w:rsid w:val="00F514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44764">
      <w:bodyDiv w:val="1"/>
      <w:marLeft w:val="0"/>
      <w:marRight w:val="0"/>
      <w:marTop w:val="0"/>
      <w:marBottom w:val="0"/>
      <w:divBdr>
        <w:top w:val="none" w:sz="0" w:space="0" w:color="auto"/>
        <w:left w:val="none" w:sz="0" w:space="0" w:color="auto"/>
        <w:bottom w:val="none" w:sz="0" w:space="0" w:color="auto"/>
        <w:right w:val="none" w:sz="0" w:space="0" w:color="auto"/>
      </w:divBdr>
    </w:div>
    <w:div w:id="65538044">
      <w:bodyDiv w:val="1"/>
      <w:marLeft w:val="0"/>
      <w:marRight w:val="0"/>
      <w:marTop w:val="0"/>
      <w:marBottom w:val="0"/>
      <w:divBdr>
        <w:top w:val="none" w:sz="0" w:space="0" w:color="auto"/>
        <w:left w:val="none" w:sz="0" w:space="0" w:color="auto"/>
        <w:bottom w:val="none" w:sz="0" w:space="0" w:color="auto"/>
        <w:right w:val="none" w:sz="0" w:space="0" w:color="auto"/>
      </w:divBdr>
    </w:div>
    <w:div w:id="225458102">
      <w:bodyDiv w:val="1"/>
      <w:marLeft w:val="0"/>
      <w:marRight w:val="0"/>
      <w:marTop w:val="0"/>
      <w:marBottom w:val="0"/>
      <w:divBdr>
        <w:top w:val="none" w:sz="0" w:space="0" w:color="auto"/>
        <w:left w:val="none" w:sz="0" w:space="0" w:color="auto"/>
        <w:bottom w:val="none" w:sz="0" w:space="0" w:color="auto"/>
        <w:right w:val="none" w:sz="0" w:space="0" w:color="auto"/>
      </w:divBdr>
    </w:div>
    <w:div w:id="269968146">
      <w:bodyDiv w:val="1"/>
      <w:marLeft w:val="0"/>
      <w:marRight w:val="0"/>
      <w:marTop w:val="0"/>
      <w:marBottom w:val="0"/>
      <w:divBdr>
        <w:top w:val="none" w:sz="0" w:space="0" w:color="auto"/>
        <w:left w:val="none" w:sz="0" w:space="0" w:color="auto"/>
        <w:bottom w:val="none" w:sz="0" w:space="0" w:color="auto"/>
        <w:right w:val="none" w:sz="0" w:space="0" w:color="auto"/>
      </w:divBdr>
    </w:div>
    <w:div w:id="296107513">
      <w:bodyDiv w:val="1"/>
      <w:marLeft w:val="0"/>
      <w:marRight w:val="0"/>
      <w:marTop w:val="0"/>
      <w:marBottom w:val="0"/>
      <w:divBdr>
        <w:top w:val="none" w:sz="0" w:space="0" w:color="auto"/>
        <w:left w:val="none" w:sz="0" w:space="0" w:color="auto"/>
        <w:bottom w:val="none" w:sz="0" w:space="0" w:color="auto"/>
        <w:right w:val="none" w:sz="0" w:space="0" w:color="auto"/>
      </w:divBdr>
    </w:div>
    <w:div w:id="321544803">
      <w:bodyDiv w:val="1"/>
      <w:marLeft w:val="0"/>
      <w:marRight w:val="0"/>
      <w:marTop w:val="0"/>
      <w:marBottom w:val="0"/>
      <w:divBdr>
        <w:top w:val="none" w:sz="0" w:space="0" w:color="auto"/>
        <w:left w:val="none" w:sz="0" w:space="0" w:color="auto"/>
        <w:bottom w:val="none" w:sz="0" w:space="0" w:color="auto"/>
        <w:right w:val="none" w:sz="0" w:space="0" w:color="auto"/>
      </w:divBdr>
    </w:div>
    <w:div w:id="363949614">
      <w:bodyDiv w:val="1"/>
      <w:marLeft w:val="0"/>
      <w:marRight w:val="0"/>
      <w:marTop w:val="0"/>
      <w:marBottom w:val="0"/>
      <w:divBdr>
        <w:top w:val="none" w:sz="0" w:space="0" w:color="auto"/>
        <w:left w:val="none" w:sz="0" w:space="0" w:color="auto"/>
        <w:bottom w:val="none" w:sz="0" w:space="0" w:color="auto"/>
        <w:right w:val="none" w:sz="0" w:space="0" w:color="auto"/>
      </w:divBdr>
    </w:div>
    <w:div w:id="385226843">
      <w:bodyDiv w:val="1"/>
      <w:marLeft w:val="0"/>
      <w:marRight w:val="0"/>
      <w:marTop w:val="0"/>
      <w:marBottom w:val="0"/>
      <w:divBdr>
        <w:top w:val="none" w:sz="0" w:space="0" w:color="auto"/>
        <w:left w:val="none" w:sz="0" w:space="0" w:color="auto"/>
        <w:bottom w:val="none" w:sz="0" w:space="0" w:color="auto"/>
        <w:right w:val="none" w:sz="0" w:space="0" w:color="auto"/>
      </w:divBdr>
    </w:div>
    <w:div w:id="470637791">
      <w:bodyDiv w:val="1"/>
      <w:marLeft w:val="0"/>
      <w:marRight w:val="0"/>
      <w:marTop w:val="0"/>
      <w:marBottom w:val="0"/>
      <w:divBdr>
        <w:top w:val="none" w:sz="0" w:space="0" w:color="auto"/>
        <w:left w:val="none" w:sz="0" w:space="0" w:color="auto"/>
        <w:bottom w:val="none" w:sz="0" w:space="0" w:color="auto"/>
        <w:right w:val="none" w:sz="0" w:space="0" w:color="auto"/>
      </w:divBdr>
      <w:divsChild>
        <w:div w:id="1173567876">
          <w:marLeft w:val="677"/>
          <w:marRight w:val="0"/>
          <w:marTop w:val="86"/>
          <w:marBottom w:val="0"/>
          <w:divBdr>
            <w:top w:val="none" w:sz="0" w:space="0" w:color="auto"/>
            <w:left w:val="none" w:sz="0" w:space="0" w:color="auto"/>
            <w:bottom w:val="none" w:sz="0" w:space="0" w:color="auto"/>
            <w:right w:val="none" w:sz="0" w:space="0" w:color="auto"/>
          </w:divBdr>
        </w:div>
      </w:divsChild>
    </w:div>
    <w:div w:id="632490688">
      <w:bodyDiv w:val="1"/>
      <w:marLeft w:val="0"/>
      <w:marRight w:val="0"/>
      <w:marTop w:val="0"/>
      <w:marBottom w:val="0"/>
      <w:divBdr>
        <w:top w:val="none" w:sz="0" w:space="0" w:color="auto"/>
        <w:left w:val="none" w:sz="0" w:space="0" w:color="auto"/>
        <w:bottom w:val="none" w:sz="0" w:space="0" w:color="auto"/>
        <w:right w:val="none" w:sz="0" w:space="0" w:color="auto"/>
      </w:divBdr>
    </w:div>
    <w:div w:id="683748424">
      <w:bodyDiv w:val="1"/>
      <w:marLeft w:val="0"/>
      <w:marRight w:val="0"/>
      <w:marTop w:val="0"/>
      <w:marBottom w:val="0"/>
      <w:divBdr>
        <w:top w:val="none" w:sz="0" w:space="0" w:color="auto"/>
        <w:left w:val="none" w:sz="0" w:space="0" w:color="auto"/>
        <w:bottom w:val="none" w:sz="0" w:space="0" w:color="auto"/>
        <w:right w:val="none" w:sz="0" w:space="0" w:color="auto"/>
      </w:divBdr>
    </w:div>
    <w:div w:id="806825266">
      <w:bodyDiv w:val="1"/>
      <w:marLeft w:val="0"/>
      <w:marRight w:val="0"/>
      <w:marTop w:val="0"/>
      <w:marBottom w:val="0"/>
      <w:divBdr>
        <w:top w:val="none" w:sz="0" w:space="0" w:color="auto"/>
        <w:left w:val="none" w:sz="0" w:space="0" w:color="auto"/>
        <w:bottom w:val="none" w:sz="0" w:space="0" w:color="auto"/>
        <w:right w:val="none" w:sz="0" w:space="0" w:color="auto"/>
      </w:divBdr>
    </w:div>
    <w:div w:id="818687526">
      <w:bodyDiv w:val="1"/>
      <w:marLeft w:val="0"/>
      <w:marRight w:val="0"/>
      <w:marTop w:val="0"/>
      <w:marBottom w:val="0"/>
      <w:divBdr>
        <w:top w:val="none" w:sz="0" w:space="0" w:color="auto"/>
        <w:left w:val="none" w:sz="0" w:space="0" w:color="auto"/>
        <w:bottom w:val="none" w:sz="0" w:space="0" w:color="auto"/>
        <w:right w:val="none" w:sz="0" w:space="0" w:color="auto"/>
      </w:divBdr>
    </w:div>
    <w:div w:id="882130980">
      <w:bodyDiv w:val="1"/>
      <w:marLeft w:val="0"/>
      <w:marRight w:val="0"/>
      <w:marTop w:val="0"/>
      <w:marBottom w:val="0"/>
      <w:divBdr>
        <w:top w:val="none" w:sz="0" w:space="0" w:color="auto"/>
        <w:left w:val="none" w:sz="0" w:space="0" w:color="auto"/>
        <w:bottom w:val="none" w:sz="0" w:space="0" w:color="auto"/>
        <w:right w:val="none" w:sz="0" w:space="0" w:color="auto"/>
      </w:divBdr>
    </w:div>
    <w:div w:id="967399486">
      <w:bodyDiv w:val="1"/>
      <w:marLeft w:val="0"/>
      <w:marRight w:val="0"/>
      <w:marTop w:val="0"/>
      <w:marBottom w:val="0"/>
      <w:divBdr>
        <w:top w:val="none" w:sz="0" w:space="0" w:color="auto"/>
        <w:left w:val="none" w:sz="0" w:space="0" w:color="auto"/>
        <w:bottom w:val="none" w:sz="0" w:space="0" w:color="auto"/>
        <w:right w:val="none" w:sz="0" w:space="0" w:color="auto"/>
      </w:divBdr>
    </w:div>
    <w:div w:id="980157375">
      <w:bodyDiv w:val="1"/>
      <w:marLeft w:val="0"/>
      <w:marRight w:val="0"/>
      <w:marTop w:val="0"/>
      <w:marBottom w:val="0"/>
      <w:divBdr>
        <w:top w:val="none" w:sz="0" w:space="0" w:color="auto"/>
        <w:left w:val="none" w:sz="0" w:space="0" w:color="auto"/>
        <w:bottom w:val="none" w:sz="0" w:space="0" w:color="auto"/>
        <w:right w:val="none" w:sz="0" w:space="0" w:color="auto"/>
      </w:divBdr>
    </w:div>
    <w:div w:id="1025905174">
      <w:bodyDiv w:val="1"/>
      <w:marLeft w:val="0"/>
      <w:marRight w:val="0"/>
      <w:marTop w:val="0"/>
      <w:marBottom w:val="0"/>
      <w:divBdr>
        <w:top w:val="none" w:sz="0" w:space="0" w:color="auto"/>
        <w:left w:val="none" w:sz="0" w:space="0" w:color="auto"/>
        <w:bottom w:val="none" w:sz="0" w:space="0" w:color="auto"/>
        <w:right w:val="none" w:sz="0" w:space="0" w:color="auto"/>
      </w:divBdr>
    </w:div>
    <w:div w:id="1264801934">
      <w:bodyDiv w:val="1"/>
      <w:marLeft w:val="0"/>
      <w:marRight w:val="0"/>
      <w:marTop w:val="0"/>
      <w:marBottom w:val="0"/>
      <w:divBdr>
        <w:top w:val="none" w:sz="0" w:space="0" w:color="auto"/>
        <w:left w:val="none" w:sz="0" w:space="0" w:color="auto"/>
        <w:bottom w:val="none" w:sz="0" w:space="0" w:color="auto"/>
        <w:right w:val="none" w:sz="0" w:space="0" w:color="auto"/>
      </w:divBdr>
    </w:div>
    <w:div w:id="1383561325">
      <w:bodyDiv w:val="1"/>
      <w:marLeft w:val="0"/>
      <w:marRight w:val="0"/>
      <w:marTop w:val="0"/>
      <w:marBottom w:val="0"/>
      <w:divBdr>
        <w:top w:val="none" w:sz="0" w:space="0" w:color="auto"/>
        <w:left w:val="none" w:sz="0" w:space="0" w:color="auto"/>
        <w:bottom w:val="none" w:sz="0" w:space="0" w:color="auto"/>
        <w:right w:val="none" w:sz="0" w:space="0" w:color="auto"/>
      </w:divBdr>
    </w:div>
    <w:div w:id="1399212503">
      <w:bodyDiv w:val="1"/>
      <w:marLeft w:val="0"/>
      <w:marRight w:val="0"/>
      <w:marTop w:val="0"/>
      <w:marBottom w:val="0"/>
      <w:divBdr>
        <w:top w:val="none" w:sz="0" w:space="0" w:color="auto"/>
        <w:left w:val="none" w:sz="0" w:space="0" w:color="auto"/>
        <w:bottom w:val="none" w:sz="0" w:space="0" w:color="auto"/>
        <w:right w:val="none" w:sz="0" w:space="0" w:color="auto"/>
      </w:divBdr>
    </w:div>
    <w:div w:id="1439981895">
      <w:bodyDiv w:val="1"/>
      <w:marLeft w:val="0"/>
      <w:marRight w:val="0"/>
      <w:marTop w:val="0"/>
      <w:marBottom w:val="0"/>
      <w:divBdr>
        <w:top w:val="none" w:sz="0" w:space="0" w:color="auto"/>
        <w:left w:val="none" w:sz="0" w:space="0" w:color="auto"/>
        <w:bottom w:val="none" w:sz="0" w:space="0" w:color="auto"/>
        <w:right w:val="none" w:sz="0" w:space="0" w:color="auto"/>
      </w:divBdr>
    </w:div>
    <w:div w:id="1596085080">
      <w:bodyDiv w:val="1"/>
      <w:marLeft w:val="0"/>
      <w:marRight w:val="0"/>
      <w:marTop w:val="0"/>
      <w:marBottom w:val="0"/>
      <w:divBdr>
        <w:top w:val="none" w:sz="0" w:space="0" w:color="auto"/>
        <w:left w:val="none" w:sz="0" w:space="0" w:color="auto"/>
        <w:bottom w:val="none" w:sz="0" w:space="0" w:color="auto"/>
        <w:right w:val="none" w:sz="0" w:space="0" w:color="auto"/>
      </w:divBdr>
    </w:div>
    <w:div w:id="1656909284">
      <w:bodyDiv w:val="1"/>
      <w:marLeft w:val="0"/>
      <w:marRight w:val="0"/>
      <w:marTop w:val="0"/>
      <w:marBottom w:val="0"/>
      <w:divBdr>
        <w:top w:val="none" w:sz="0" w:space="0" w:color="auto"/>
        <w:left w:val="none" w:sz="0" w:space="0" w:color="auto"/>
        <w:bottom w:val="none" w:sz="0" w:space="0" w:color="auto"/>
        <w:right w:val="none" w:sz="0" w:space="0" w:color="auto"/>
      </w:divBdr>
    </w:div>
    <w:div w:id="1794863636">
      <w:bodyDiv w:val="1"/>
      <w:marLeft w:val="0"/>
      <w:marRight w:val="0"/>
      <w:marTop w:val="0"/>
      <w:marBottom w:val="0"/>
      <w:divBdr>
        <w:top w:val="none" w:sz="0" w:space="0" w:color="auto"/>
        <w:left w:val="none" w:sz="0" w:space="0" w:color="auto"/>
        <w:bottom w:val="none" w:sz="0" w:space="0" w:color="auto"/>
        <w:right w:val="none" w:sz="0" w:space="0" w:color="auto"/>
      </w:divBdr>
    </w:div>
    <w:div w:id="1916161154">
      <w:bodyDiv w:val="1"/>
      <w:marLeft w:val="0"/>
      <w:marRight w:val="0"/>
      <w:marTop w:val="0"/>
      <w:marBottom w:val="0"/>
      <w:divBdr>
        <w:top w:val="none" w:sz="0" w:space="0" w:color="auto"/>
        <w:left w:val="none" w:sz="0" w:space="0" w:color="auto"/>
        <w:bottom w:val="none" w:sz="0" w:space="0" w:color="auto"/>
        <w:right w:val="none" w:sz="0" w:space="0" w:color="auto"/>
      </w:divBdr>
    </w:div>
    <w:div w:id="1924535050">
      <w:bodyDiv w:val="1"/>
      <w:marLeft w:val="0"/>
      <w:marRight w:val="0"/>
      <w:marTop w:val="0"/>
      <w:marBottom w:val="0"/>
      <w:divBdr>
        <w:top w:val="none" w:sz="0" w:space="0" w:color="auto"/>
        <w:left w:val="none" w:sz="0" w:space="0" w:color="auto"/>
        <w:bottom w:val="none" w:sz="0" w:space="0" w:color="auto"/>
        <w:right w:val="none" w:sz="0" w:space="0" w:color="auto"/>
      </w:divBdr>
    </w:div>
    <w:div w:id="1958179452">
      <w:bodyDiv w:val="1"/>
      <w:marLeft w:val="0"/>
      <w:marRight w:val="0"/>
      <w:marTop w:val="0"/>
      <w:marBottom w:val="0"/>
      <w:divBdr>
        <w:top w:val="none" w:sz="0" w:space="0" w:color="auto"/>
        <w:left w:val="none" w:sz="0" w:space="0" w:color="auto"/>
        <w:bottom w:val="none" w:sz="0" w:space="0" w:color="auto"/>
        <w:right w:val="none" w:sz="0" w:space="0" w:color="auto"/>
      </w:divBdr>
    </w:div>
    <w:div w:id="2048603779">
      <w:bodyDiv w:val="1"/>
      <w:marLeft w:val="0"/>
      <w:marRight w:val="0"/>
      <w:marTop w:val="0"/>
      <w:marBottom w:val="0"/>
      <w:divBdr>
        <w:top w:val="none" w:sz="0" w:space="0" w:color="auto"/>
        <w:left w:val="none" w:sz="0" w:space="0" w:color="auto"/>
        <w:bottom w:val="none" w:sz="0" w:space="0" w:color="auto"/>
        <w:right w:val="none" w:sz="0" w:space="0" w:color="auto"/>
      </w:divBdr>
    </w:div>
    <w:div w:id="2103526657">
      <w:bodyDiv w:val="1"/>
      <w:marLeft w:val="0"/>
      <w:marRight w:val="0"/>
      <w:marTop w:val="0"/>
      <w:marBottom w:val="0"/>
      <w:divBdr>
        <w:top w:val="none" w:sz="0" w:space="0" w:color="auto"/>
        <w:left w:val="none" w:sz="0" w:space="0" w:color="auto"/>
        <w:bottom w:val="none" w:sz="0" w:space="0" w:color="auto"/>
        <w:right w:val="none" w:sz="0" w:space="0" w:color="auto"/>
      </w:divBdr>
    </w:div>
    <w:div w:id="2136948003">
      <w:bodyDiv w:val="1"/>
      <w:marLeft w:val="0"/>
      <w:marRight w:val="0"/>
      <w:marTop w:val="0"/>
      <w:marBottom w:val="0"/>
      <w:divBdr>
        <w:top w:val="none" w:sz="0" w:space="0" w:color="auto"/>
        <w:left w:val="none" w:sz="0" w:space="0" w:color="auto"/>
        <w:bottom w:val="none" w:sz="0" w:space="0" w:color="auto"/>
        <w:right w:val="none" w:sz="0" w:space="0" w:color="auto"/>
      </w:divBdr>
      <w:divsChild>
        <w:div w:id="123890081">
          <w:marLeft w:val="677"/>
          <w:marRight w:val="0"/>
          <w:marTop w:val="86"/>
          <w:marBottom w:val="0"/>
          <w:divBdr>
            <w:top w:val="none" w:sz="0" w:space="0" w:color="auto"/>
            <w:left w:val="none" w:sz="0" w:space="0" w:color="auto"/>
            <w:bottom w:val="none" w:sz="0" w:space="0" w:color="auto"/>
            <w:right w:val="none" w:sz="0" w:space="0" w:color="auto"/>
          </w:divBdr>
        </w:div>
      </w:divsChild>
    </w:div>
    <w:div w:id="213994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365DBB6A-D196-4F77-8B7B-36EE407F1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996</TotalTime>
  <Pages>8</Pages>
  <Words>2815</Words>
  <Characters>16047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Efstathios Katranaras</dc:creator>
  <cp:lastModifiedBy>Efstathios Katranaras</cp:lastModifiedBy>
  <cp:revision>28</cp:revision>
  <dcterms:created xsi:type="dcterms:W3CDTF">2017-08-10T16:47:00Z</dcterms:created>
  <dcterms:modified xsi:type="dcterms:W3CDTF">2017-11-17T13:57:00Z</dcterms:modified>
</cp:coreProperties>
</file>