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3D40A016"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61297E">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7936DF" w:rsidRPr="007936DF">
        <w:rPr>
          <w:rFonts w:ascii="Arial" w:hAnsi="Arial" w:cs="Arial"/>
          <w:b/>
          <w:sz w:val="22"/>
          <w:szCs w:val="24"/>
        </w:rPr>
        <w:t>R1-1720687</w:t>
      </w:r>
    </w:p>
    <w:p w14:paraId="1DBE0C1E" w14:textId="472901A2" w:rsidR="00BC335A" w:rsidRPr="00BC335A" w:rsidRDefault="0061297E" w:rsidP="00BC335A">
      <w:pPr>
        <w:pStyle w:val="Footer"/>
        <w:jc w:val="both"/>
        <w:rPr>
          <w:rFonts w:cs="Arial"/>
          <w:i w:val="0"/>
          <w:noProof w:val="0"/>
          <w:sz w:val="22"/>
          <w:szCs w:val="24"/>
        </w:rPr>
      </w:pPr>
      <w:r>
        <w:rPr>
          <w:rFonts w:cs="Arial"/>
          <w:i w:val="0"/>
          <w:noProof w:val="0"/>
          <w:sz w:val="22"/>
          <w:szCs w:val="24"/>
        </w:rPr>
        <w:t>November 27</w:t>
      </w:r>
      <w:r w:rsidR="003D0AF2" w:rsidRPr="0061297E">
        <w:rPr>
          <w:rFonts w:cs="Arial"/>
          <w:i w:val="0"/>
          <w:noProof w:val="0"/>
          <w:sz w:val="22"/>
          <w:szCs w:val="24"/>
          <w:vertAlign w:val="superscript"/>
        </w:rPr>
        <w:t>th</w:t>
      </w:r>
      <w:r>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 xml:space="preserve">December </w:t>
      </w:r>
      <w:r w:rsidR="00FD2EB2">
        <w:rPr>
          <w:rFonts w:cs="Arial"/>
          <w:i w:val="0"/>
          <w:noProof w:val="0"/>
          <w:sz w:val="22"/>
          <w:szCs w:val="24"/>
        </w:rPr>
        <w:t>1</w:t>
      </w:r>
      <w:r w:rsidRPr="0061297E">
        <w:rPr>
          <w:rFonts w:cs="Arial"/>
          <w:i w:val="0"/>
          <w:noProof w:val="0"/>
          <w:sz w:val="22"/>
          <w:szCs w:val="24"/>
          <w:vertAlign w:val="superscript"/>
        </w:rPr>
        <w:t>st</w:t>
      </w:r>
      <w:r w:rsidR="00BC335A" w:rsidRPr="00BC335A">
        <w:rPr>
          <w:rFonts w:cs="Arial"/>
          <w:i w:val="0"/>
          <w:noProof w:val="0"/>
          <w:sz w:val="22"/>
          <w:szCs w:val="24"/>
        </w:rPr>
        <w:t xml:space="preserve"> 2017</w:t>
      </w:r>
    </w:p>
    <w:p w14:paraId="2F2D8718" w14:textId="3CF5F5A5" w:rsidR="00CE5F5F" w:rsidRDefault="0061297E"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26044D1C"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85432C4"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252AEF">
        <w:rPr>
          <w:rFonts w:ascii="Arial" w:hAnsi="Arial"/>
          <w:sz w:val="22"/>
        </w:rPr>
        <w:t>Remaining Details on 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5911F043" w14:textId="1D1479A5" w:rsidR="00CB58AE" w:rsidRDefault="00CB58AE" w:rsidP="00DA1DD2">
      <w:pPr>
        <w:rPr>
          <w:lang w:val="en-GB"/>
        </w:rPr>
      </w:pPr>
      <w:r>
        <w:rPr>
          <w:lang w:val="en-GB"/>
        </w:rPr>
        <w:t>This contribution discusses some remaining details f</w:t>
      </w:r>
      <w:r w:rsidR="00252AEF">
        <w:rPr>
          <w:lang w:val="en-GB"/>
        </w:rPr>
        <w:t>or specification regarding the D</w:t>
      </w:r>
      <w:r>
        <w:rPr>
          <w:lang w:val="en-GB"/>
        </w:rPr>
        <w:t>L/</w:t>
      </w:r>
      <w:r w:rsidR="00252AEF">
        <w:rPr>
          <w:lang w:val="en-GB"/>
        </w:rPr>
        <w:t>U</w:t>
      </w:r>
      <w:r>
        <w:rPr>
          <w:lang w:val="en-GB"/>
        </w:rPr>
        <w:t>L resource allocation. In particular, these topics are discussed in the following sections.</w:t>
      </w:r>
      <w:bookmarkStart w:id="1" w:name="_GoBack"/>
      <w:bookmarkEnd w:id="1"/>
    </w:p>
    <w:p w14:paraId="2D3456AB" w14:textId="7677669C" w:rsidR="00CB58AE" w:rsidRDefault="00CB58AE" w:rsidP="00CB58AE">
      <w:pPr>
        <w:pStyle w:val="ListParagraph"/>
        <w:numPr>
          <w:ilvl w:val="0"/>
          <w:numId w:val="35"/>
        </w:numPr>
        <w:rPr>
          <w:lang w:val="en-GB"/>
        </w:rPr>
      </w:pPr>
      <w:r>
        <w:rPr>
          <w:lang w:val="en-GB"/>
        </w:rPr>
        <w:t xml:space="preserve">Time domain resource allocation </w:t>
      </w:r>
    </w:p>
    <w:p w14:paraId="010494E2" w14:textId="2982F790" w:rsidR="00CB58AE" w:rsidRDefault="00CB58AE" w:rsidP="00CB58AE">
      <w:pPr>
        <w:pStyle w:val="ListParagraph"/>
        <w:numPr>
          <w:ilvl w:val="0"/>
          <w:numId w:val="35"/>
        </w:numPr>
        <w:rPr>
          <w:lang w:val="en-GB"/>
        </w:rPr>
      </w:pPr>
      <w:r>
        <w:rPr>
          <w:lang w:val="en-GB"/>
        </w:rPr>
        <w:t>Frequency domain resource allocation</w:t>
      </w:r>
    </w:p>
    <w:p w14:paraId="20602329" w14:textId="0B598C46" w:rsidR="00CB58AE" w:rsidRDefault="00CB58AE" w:rsidP="00CB58AE">
      <w:pPr>
        <w:pStyle w:val="ListParagraph"/>
        <w:numPr>
          <w:ilvl w:val="0"/>
          <w:numId w:val="35"/>
        </w:numPr>
        <w:rPr>
          <w:lang w:val="en-GB"/>
        </w:rPr>
      </w:pPr>
      <w:r>
        <w:rPr>
          <w:lang w:val="en-GB"/>
        </w:rPr>
        <w:t>VRB-to-PRB mapping for frequency diversity</w:t>
      </w:r>
    </w:p>
    <w:p w14:paraId="0438B51C" w14:textId="301A4B60" w:rsidR="00CB58AE" w:rsidRDefault="00CB58AE" w:rsidP="00CB58AE">
      <w:pPr>
        <w:pStyle w:val="ListParagraph"/>
        <w:numPr>
          <w:ilvl w:val="0"/>
          <w:numId w:val="35"/>
        </w:numPr>
        <w:rPr>
          <w:lang w:val="en-GB"/>
        </w:rPr>
      </w:pPr>
      <w:r>
        <w:rPr>
          <w:lang w:val="en-GB"/>
        </w:rPr>
        <w:t>TBS determination</w:t>
      </w:r>
    </w:p>
    <w:p w14:paraId="15CA3251" w14:textId="132255E2" w:rsidR="00CB58AE" w:rsidRDefault="00CB58AE" w:rsidP="00CB58AE">
      <w:pPr>
        <w:pStyle w:val="Heading1"/>
      </w:pPr>
      <w:r>
        <w:t>Time domain resource allocation</w:t>
      </w:r>
    </w:p>
    <w:p w14:paraId="66C11037" w14:textId="020DB1D8" w:rsidR="00834B30" w:rsidRDefault="00834B30" w:rsidP="00731FF6">
      <w:pPr>
        <w:rPr>
          <w:lang w:val="en-GB"/>
        </w:rPr>
      </w:pPr>
      <w:r>
        <w:rPr>
          <w:lang w:val="en-GB"/>
        </w:rPr>
        <w:t>In RAN</w:t>
      </w:r>
      <w:r w:rsidR="00781BDB">
        <w:rPr>
          <w:lang w:val="en-GB"/>
        </w:rPr>
        <w:t>1 90b, the following was agreed below. In this section we discuss further details toward specification.</w:t>
      </w:r>
    </w:p>
    <w:p w14:paraId="22A6DCB1" w14:textId="77777777" w:rsidR="00834B30" w:rsidRDefault="00834B30" w:rsidP="00834B30">
      <w:r>
        <w:rPr>
          <w:highlight w:val="green"/>
        </w:rPr>
        <w:t>Agreements</w:t>
      </w:r>
      <w:r>
        <w:t>:</w:t>
      </w:r>
    </w:p>
    <w:p w14:paraId="766D34C2" w14:textId="77777777" w:rsidR="00834B30" w:rsidRDefault="00834B30" w:rsidP="00834B30">
      <w:pPr>
        <w:pStyle w:val="BodyText"/>
        <w:numPr>
          <w:ilvl w:val="0"/>
          <w:numId w:val="37"/>
        </w:numPr>
        <w:overflowPunct/>
        <w:autoSpaceDE/>
        <w:autoSpaceDN/>
        <w:adjustRightInd/>
        <w:textAlignment w:val="auto"/>
        <w:rPr>
          <w:szCs w:val="20"/>
        </w:rPr>
      </w:pPr>
      <w:r>
        <w:rPr>
          <w:szCs w:val="20"/>
        </w:rPr>
        <w:t>For both slot and mini-slot, the scheduling DCI can provide an index into a UE-specific table giving the OFDM symbols used for the PDSCH (or PUSCH) transmission</w:t>
      </w:r>
    </w:p>
    <w:p w14:paraId="568DFB19" w14:textId="77777777" w:rsidR="00834B30" w:rsidRDefault="00834B30" w:rsidP="00834B30">
      <w:pPr>
        <w:pStyle w:val="BodyText"/>
        <w:numPr>
          <w:ilvl w:val="1"/>
          <w:numId w:val="37"/>
        </w:numPr>
        <w:overflowPunct/>
        <w:autoSpaceDE/>
        <w:autoSpaceDN/>
        <w:adjustRightInd/>
        <w:textAlignment w:val="auto"/>
        <w:rPr>
          <w:szCs w:val="20"/>
        </w:rPr>
      </w:pPr>
      <w:r>
        <w:rPr>
          <w:szCs w:val="20"/>
        </w:rPr>
        <w:t>starting OFDM symbol and length in OFDM symbols of the allocation</w:t>
      </w:r>
    </w:p>
    <w:p w14:paraId="1FE6DB68" w14:textId="77777777" w:rsidR="00834B30" w:rsidRDefault="00834B30" w:rsidP="00834B30">
      <w:pPr>
        <w:pStyle w:val="BodyText"/>
        <w:numPr>
          <w:ilvl w:val="1"/>
          <w:numId w:val="37"/>
        </w:numPr>
        <w:overflowPunct/>
        <w:autoSpaceDE/>
        <w:autoSpaceDN/>
        <w:adjustRightInd/>
        <w:textAlignment w:val="auto"/>
        <w:rPr>
          <w:szCs w:val="20"/>
        </w:rPr>
      </w:pPr>
      <w:r>
        <w:rPr>
          <w:szCs w:val="20"/>
        </w:rPr>
        <w:t>FFS: one or more tables</w:t>
      </w:r>
    </w:p>
    <w:p w14:paraId="767BD8C7" w14:textId="77777777" w:rsidR="00834B30" w:rsidRDefault="00834B30" w:rsidP="00834B30">
      <w:pPr>
        <w:pStyle w:val="BodyText"/>
        <w:numPr>
          <w:ilvl w:val="1"/>
          <w:numId w:val="37"/>
        </w:numPr>
        <w:overflowPunct/>
        <w:autoSpaceDE/>
        <w:autoSpaceDN/>
        <w:adjustRightInd/>
        <w:textAlignment w:val="auto"/>
        <w:rPr>
          <w:szCs w:val="20"/>
        </w:rPr>
      </w:pPr>
      <w:r>
        <w:rPr>
          <w:szCs w:val="20"/>
        </w:rPr>
        <w:t>FFS: including the slots used in case of multi-slot/multi-mini-slot scheduling or slot index for cross-slot scheduling</w:t>
      </w:r>
    </w:p>
    <w:p w14:paraId="08384CBF" w14:textId="77777777" w:rsidR="00834B30" w:rsidRDefault="00834B30" w:rsidP="00834B30">
      <w:pPr>
        <w:pStyle w:val="BodyText"/>
        <w:numPr>
          <w:ilvl w:val="1"/>
          <w:numId w:val="37"/>
        </w:numPr>
        <w:overflowPunct/>
        <w:autoSpaceDE/>
        <w:autoSpaceDN/>
        <w:adjustRightInd/>
        <w:textAlignment w:val="auto"/>
        <w:rPr>
          <w:szCs w:val="20"/>
        </w:rPr>
      </w:pPr>
      <w:r>
        <w:rPr>
          <w:szCs w:val="20"/>
        </w:rPr>
        <w:t>FFS: May need to revisit if SFI support non-contiguous allocations</w:t>
      </w:r>
    </w:p>
    <w:p w14:paraId="72E4F800" w14:textId="77777777" w:rsidR="00834B30" w:rsidRDefault="00834B30" w:rsidP="00834B30">
      <w:pPr>
        <w:pStyle w:val="BodyText"/>
        <w:numPr>
          <w:ilvl w:val="0"/>
          <w:numId w:val="37"/>
        </w:numPr>
        <w:overflowPunct/>
        <w:autoSpaceDE/>
        <w:autoSpaceDN/>
        <w:adjustRightInd/>
        <w:textAlignment w:val="auto"/>
        <w:rPr>
          <w:szCs w:val="20"/>
        </w:rPr>
      </w:pPr>
      <w:r>
        <w:rPr>
          <w:szCs w:val="20"/>
        </w:rPr>
        <w:t>At least for RMSI scheduling</w:t>
      </w:r>
    </w:p>
    <w:p w14:paraId="4D8DCE3B" w14:textId="76419187" w:rsidR="00834B30" w:rsidRDefault="00834B30" w:rsidP="00731FF6">
      <w:pPr>
        <w:pStyle w:val="BodyText"/>
        <w:numPr>
          <w:ilvl w:val="1"/>
          <w:numId w:val="37"/>
        </w:numPr>
        <w:overflowPunct/>
        <w:autoSpaceDE/>
        <w:autoSpaceDN/>
        <w:adjustRightInd/>
        <w:textAlignment w:val="auto"/>
        <w:rPr>
          <w:szCs w:val="20"/>
        </w:rPr>
      </w:pPr>
      <w:r>
        <w:rPr>
          <w:szCs w:val="20"/>
        </w:rPr>
        <w:t>At least one table entry needs to be fixed in the spec</w:t>
      </w:r>
    </w:p>
    <w:p w14:paraId="3AF02339" w14:textId="4A83EC31" w:rsidR="00834B30" w:rsidRPr="00274F56" w:rsidRDefault="00834B30" w:rsidP="00955CDB">
      <w:pPr>
        <w:overflowPunct/>
        <w:autoSpaceDE/>
        <w:autoSpaceDN/>
        <w:adjustRightInd/>
        <w:spacing w:after="0"/>
        <w:textAlignment w:val="auto"/>
        <w:rPr>
          <w:rFonts w:eastAsia="Times New Roman"/>
        </w:rPr>
      </w:pPr>
    </w:p>
    <w:p w14:paraId="318F734B" w14:textId="5A7374EC" w:rsidR="00AC74C2" w:rsidRDefault="00AC74C2" w:rsidP="00731FF6">
      <w:pPr>
        <w:rPr>
          <w:lang w:val="en-GB"/>
        </w:rPr>
      </w:pPr>
      <w:r>
        <w:rPr>
          <w:lang w:val="en-GB"/>
        </w:rPr>
        <w:t>When discussing slot and mini-slot scheduling, it is important to differentiate the scheduling granularity (e.g., duration and time location of the resource assignment) from the CORESET monitoring occasions. Therefore, we begin our discussion with the “slot-based PDCCH” monitoring occasions, which are occasions which follow the agreement below.</w:t>
      </w:r>
    </w:p>
    <w:p w14:paraId="7A17FAC5" w14:textId="77777777" w:rsidR="00AC74C2" w:rsidRDefault="00AC74C2" w:rsidP="00AC74C2">
      <w:pPr>
        <w:rPr>
          <w:highlight w:val="green"/>
        </w:rPr>
      </w:pPr>
      <w:r>
        <w:rPr>
          <w:highlight w:val="green"/>
        </w:rPr>
        <w:t>Agreements:</w:t>
      </w:r>
    </w:p>
    <w:p w14:paraId="04FC463D" w14:textId="77777777" w:rsidR="00AC74C2" w:rsidRDefault="00AC74C2" w:rsidP="00AC74C2">
      <w:pPr>
        <w:numPr>
          <w:ilvl w:val="0"/>
          <w:numId w:val="46"/>
        </w:numPr>
        <w:overflowPunct/>
        <w:autoSpaceDE/>
        <w:autoSpaceDN/>
        <w:adjustRightInd/>
        <w:spacing w:after="0"/>
        <w:textAlignment w:val="auto"/>
        <w:rPr>
          <w:rFonts w:eastAsia="Times New Roman"/>
        </w:rPr>
      </w:pPr>
      <w:r>
        <w:rPr>
          <w:rFonts w:eastAsia="Times New Roman"/>
        </w:rPr>
        <w:t>For slot-based scheduling;</w:t>
      </w:r>
    </w:p>
    <w:p w14:paraId="5D1F5093" w14:textId="77777777" w:rsidR="00AC74C2" w:rsidRDefault="00AC74C2" w:rsidP="00AC74C2">
      <w:pPr>
        <w:numPr>
          <w:ilvl w:val="1"/>
          <w:numId w:val="46"/>
        </w:numPr>
        <w:overflowPunct/>
        <w:autoSpaceDE/>
        <w:autoSpaceDN/>
        <w:adjustRightInd/>
        <w:spacing w:after="0"/>
        <w:textAlignment w:val="auto"/>
        <w:rPr>
          <w:rFonts w:eastAsia="Times New Roman"/>
        </w:rPr>
      </w:pPr>
      <w:r>
        <w:rPr>
          <w:rFonts w:eastAsia="Times New Roman"/>
        </w:rPr>
        <w:t>Confirm the following working assumption with updates:</w:t>
      </w:r>
    </w:p>
    <w:p w14:paraId="1562FD02" w14:textId="77777777" w:rsidR="00AC74C2" w:rsidRDefault="00AC74C2" w:rsidP="00AC74C2">
      <w:pPr>
        <w:numPr>
          <w:ilvl w:val="2"/>
          <w:numId w:val="46"/>
        </w:numPr>
        <w:overflowPunct/>
        <w:autoSpaceDE/>
        <w:autoSpaceDN/>
        <w:adjustRightInd/>
        <w:spacing w:after="0"/>
        <w:textAlignment w:val="auto"/>
        <w:rPr>
          <w:rFonts w:eastAsia="Times New Roman"/>
        </w:rPr>
      </w:pPr>
      <w:r>
        <w:rPr>
          <w:rFonts w:eastAsia="Times New Roman"/>
        </w:rPr>
        <w:t>The first DMRS position either on symbol #2 or symbol #3 is configured by PBCH</w:t>
      </w:r>
    </w:p>
    <w:p w14:paraId="1190F4E5" w14:textId="77777777" w:rsidR="00AC74C2" w:rsidRDefault="00AC74C2" w:rsidP="00AC74C2">
      <w:pPr>
        <w:numPr>
          <w:ilvl w:val="3"/>
          <w:numId w:val="46"/>
        </w:numPr>
        <w:overflowPunct/>
        <w:autoSpaceDE/>
        <w:autoSpaceDN/>
        <w:adjustRightInd/>
        <w:spacing w:after="0"/>
        <w:textAlignment w:val="auto"/>
        <w:rPr>
          <w:rFonts w:eastAsia="Times New Roman"/>
        </w:rPr>
      </w:pPr>
      <w:r>
        <w:rPr>
          <w:rFonts w:eastAsia="Times New Roman"/>
        </w:rPr>
        <w:t>Maximum time duration of a CORESET is 2 symbols if the first DMRS position of a PDSCH with slot-based scheduling is on symbol #2, and is 3 symbols otherwise.</w:t>
      </w:r>
    </w:p>
    <w:p w14:paraId="010FAD64" w14:textId="77777777" w:rsidR="00AC74C2" w:rsidRDefault="00AC74C2" w:rsidP="00AC74C2">
      <w:pPr>
        <w:numPr>
          <w:ilvl w:val="1"/>
          <w:numId w:val="46"/>
        </w:numPr>
        <w:overflowPunct/>
        <w:autoSpaceDE/>
        <w:autoSpaceDN/>
        <w:adjustRightInd/>
        <w:spacing w:after="0"/>
        <w:textAlignment w:val="auto"/>
        <w:rPr>
          <w:rFonts w:eastAsia="Times New Roman"/>
        </w:rPr>
      </w:pPr>
      <w:r>
        <w:rPr>
          <w:rFonts w:eastAsia="Times New Roman"/>
        </w:rPr>
        <w:t>The starting OFDM symbol of a CORESET can be symbol #0, #1, or #2, in a slot.</w:t>
      </w:r>
    </w:p>
    <w:p w14:paraId="517B91A5" w14:textId="77777777" w:rsidR="00AC74C2" w:rsidRDefault="00AC74C2" w:rsidP="00AC74C2">
      <w:pPr>
        <w:numPr>
          <w:ilvl w:val="2"/>
          <w:numId w:val="46"/>
        </w:numPr>
        <w:overflowPunct/>
        <w:autoSpaceDE/>
        <w:autoSpaceDN/>
        <w:adjustRightInd/>
        <w:spacing w:after="0"/>
        <w:textAlignment w:val="auto"/>
        <w:rPr>
          <w:rFonts w:eastAsia="Times New Roman"/>
        </w:rPr>
      </w:pPr>
      <w:r>
        <w:rPr>
          <w:rFonts w:eastAsia="Times New Roman"/>
        </w:rPr>
        <w:t>However, the ending OFDM symbol of a CORESET is not later than symbol #2 in a slot.</w:t>
      </w:r>
    </w:p>
    <w:p w14:paraId="4DCCC45D" w14:textId="77777777" w:rsidR="00AC74C2" w:rsidRDefault="00AC74C2" w:rsidP="00731FF6">
      <w:pPr>
        <w:rPr>
          <w:lang w:val="en-GB"/>
        </w:rPr>
      </w:pPr>
    </w:p>
    <w:p w14:paraId="2ECB71FD" w14:textId="2A98FA28" w:rsidR="00AC74C2" w:rsidRDefault="00AC74C2" w:rsidP="00AC74C2">
      <w:pPr>
        <w:pStyle w:val="Heading2"/>
      </w:pPr>
      <w:r>
        <w:lastRenderedPageBreak/>
        <w:t>Slot-based PDCCH</w:t>
      </w:r>
    </w:p>
    <w:p w14:paraId="3525D1CA" w14:textId="261EE5D3" w:rsidR="00834B30" w:rsidRDefault="00AC74C2" w:rsidP="00731FF6">
      <w:pPr>
        <w:rPr>
          <w:lang w:val="en-GB"/>
        </w:rPr>
      </w:pPr>
      <w:r>
        <w:rPr>
          <w:lang w:val="en-GB"/>
        </w:rPr>
        <w:t>Given a slot-based PDCCH, we define the slot-based</w:t>
      </w:r>
      <w:r w:rsidR="007A1882">
        <w:rPr>
          <w:lang w:val="en-GB"/>
        </w:rPr>
        <w:t xml:space="preserve"> time domain</w:t>
      </w:r>
      <w:r>
        <w:rPr>
          <w:lang w:val="en-GB"/>
        </w:rPr>
        <w:t xml:space="preserve"> resource allocation as follows</w:t>
      </w:r>
      <w:r w:rsidR="007A1882">
        <w:rPr>
          <w:lang w:val="en-GB"/>
        </w:rPr>
        <w:t>.</w:t>
      </w:r>
    </w:p>
    <w:p w14:paraId="6A6DC72F" w14:textId="47381168" w:rsidR="00AC74C2" w:rsidRDefault="00AC74C2" w:rsidP="00731FF6">
      <w:pPr>
        <w:rPr>
          <w:lang w:val="en-GB"/>
        </w:rPr>
      </w:pPr>
      <w:r w:rsidRPr="007A1882">
        <w:rPr>
          <w:b/>
          <w:u w:val="single"/>
          <w:lang w:val="en-GB"/>
        </w:rPr>
        <w:t>Proposal</w:t>
      </w:r>
      <w:r w:rsidR="00D12A57">
        <w:rPr>
          <w:b/>
          <w:u w:val="single"/>
          <w:lang w:val="en-GB"/>
        </w:rPr>
        <w:t xml:space="preserve"> 1</w:t>
      </w:r>
      <w:r w:rsidRPr="007A1882">
        <w:rPr>
          <w:b/>
          <w:u w:val="single"/>
          <w:lang w:val="en-GB"/>
        </w:rPr>
        <w:t>:</w:t>
      </w:r>
      <w:r>
        <w:rPr>
          <w:lang w:val="en-GB"/>
        </w:rPr>
        <w:t xml:space="preserve"> </w:t>
      </w:r>
      <w:r w:rsidR="00F932B9">
        <w:rPr>
          <w:lang w:val="en-GB"/>
        </w:rPr>
        <w:t>For slot-based PDCCH, t</w:t>
      </w:r>
      <w:r>
        <w:rPr>
          <w:lang w:val="en-GB"/>
        </w:rPr>
        <w:t>he time domain</w:t>
      </w:r>
      <w:r w:rsidR="007A1882">
        <w:rPr>
          <w:lang w:val="en-GB"/>
        </w:rPr>
        <w:t xml:space="preserve"> resource</w:t>
      </w:r>
      <w:r>
        <w:rPr>
          <w:lang w:val="en-GB"/>
        </w:rPr>
        <w:t xml:space="preserve"> allocation of a s</w:t>
      </w:r>
      <w:r w:rsidR="007A1882">
        <w:rPr>
          <w:lang w:val="en-GB"/>
        </w:rPr>
        <w:t>lot-based PD</w:t>
      </w:r>
      <w:r w:rsidR="008C1A66">
        <w:rPr>
          <w:lang w:val="en-GB"/>
        </w:rPr>
        <w:t>SCH</w:t>
      </w:r>
      <w:r w:rsidR="007A1882">
        <w:rPr>
          <w:lang w:val="en-GB"/>
        </w:rPr>
        <w:t xml:space="preserve"> </w:t>
      </w:r>
      <w:r w:rsidR="008C1A66">
        <w:rPr>
          <w:lang w:val="en-GB"/>
        </w:rPr>
        <w:t xml:space="preserve">(or PUSCH) </w:t>
      </w:r>
      <w:r>
        <w:rPr>
          <w:lang w:val="en-GB"/>
        </w:rPr>
        <w:t xml:space="preserve">is </w:t>
      </w:r>
      <w:r w:rsidR="008C1A66">
        <w:rPr>
          <w:lang w:val="en-GB"/>
        </w:rPr>
        <w:t>indicated by</w:t>
      </w:r>
      <w:r w:rsidR="007A1882">
        <w:rPr>
          <w:lang w:val="en-GB"/>
        </w:rPr>
        <w:t xml:space="preserve"> the duration relative to the end of the control region, i.e., the last possible OFDM symbol of CORESET allowed by the configuration.</w:t>
      </w:r>
      <w:r w:rsidR="008C1A66" w:rsidRPr="008C1A66">
        <w:rPr>
          <w:lang w:val="en-GB"/>
        </w:rPr>
        <w:t xml:space="preserve"> </w:t>
      </w:r>
      <w:r w:rsidR="008C1A66">
        <w:rPr>
          <w:lang w:val="en-GB"/>
        </w:rPr>
        <w:t>For downlink assignments,</w:t>
      </w:r>
      <w:r w:rsidR="007A1882">
        <w:rPr>
          <w:lang w:val="en-GB"/>
        </w:rPr>
        <w:t xml:space="preserve"> </w:t>
      </w:r>
      <w:r w:rsidR="008C1A66">
        <w:rPr>
          <w:lang w:val="en-GB"/>
        </w:rPr>
        <w:t>t</w:t>
      </w:r>
      <w:r w:rsidR="007A1882">
        <w:rPr>
          <w:lang w:val="en-GB"/>
        </w:rPr>
        <w:t xml:space="preserve">he position of the first DMRS symbol follows PDSCH mapping type A as given in </w:t>
      </w:r>
      <w:r w:rsidR="008C1A66">
        <w:rPr>
          <w:lang w:val="en-GB"/>
        </w:rPr>
        <w:t>[2].</w:t>
      </w:r>
    </w:p>
    <w:p w14:paraId="0E538E5B" w14:textId="1DAB3170" w:rsidR="007A1882" w:rsidRDefault="008C1A66" w:rsidP="00731FF6">
      <w:pPr>
        <w:rPr>
          <w:lang w:val="en-GB"/>
        </w:rPr>
      </w:pPr>
      <w:r>
        <w:rPr>
          <w:lang w:val="en-GB"/>
        </w:rPr>
        <w:t xml:space="preserve">Similarly, a mini-slot based allocation could have the following definition. </w:t>
      </w:r>
    </w:p>
    <w:p w14:paraId="6A160861" w14:textId="572874BA" w:rsidR="008C1A66" w:rsidRDefault="008C1A66" w:rsidP="008C1A66">
      <w:pPr>
        <w:rPr>
          <w:lang w:val="en-GB"/>
        </w:rPr>
      </w:pPr>
      <w:r w:rsidRPr="007A1882">
        <w:rPr>
          <w:b/>
          <w:u w:val="single"/>
          <w:lang w:val="en-GB"/>
        </w:rPr>
        <w:t>Proposal</w:t>
      </w:r>
      <w:r w:rsidR="00D12A57">
        <w:rPr>
          <w:b/>
          <w:u w:val="single"/>
          <w:lang w:val="en-GB"/>
        </w:rPr>
        <w:t xml:space="preserve"> 2</w:t>
      </w:r>
      <w:r w:rsidRPr="007A1882">
        <w:rPr>
          <w:b/>
          <w:u w:val="single"/>
          <w:lang w:val="en-GB"/>
        </w:rPr>
        <w:t>:</w:t>
      </w:r>
      <w:r>
        <w:rPr>
          <w:lang w:val="en-GB"/>
        </w:rPr>
        <w:t xml:space="preserve"> </w:t>
      </w:r>
      <w:r w:rsidR="00F932B9">
        <w:rPr>
          <w:lang w:val="en-GB"/>
        </w:rPr>
        <w:t>For slot-based PDCCH, t</w:t>
      </w:r>
      <w:r>
        <w:rPr>
          <w:lang w:val="en-GB"/>
        </w:rPr>
        <w:t>he time domain resource allocation of a mini-slot-based PDSCH (or PUSCH) is indicated by the starting symbol and ending symbol location</w:t>
      </w:r>
      <w:r w:rsidR="008B1593">
        <w:rPr>
          <w:lang w:val="en-GB"/>
        </w:rPr>
        <w:t xml:space="preserve"> relative to the slot boundary</w:t>
      </w:r>
      <w:r>
        <w:rPr>
          <w:lang w:val="en-GB"/>
        </w:rPr>
        <w:t>. For downlink assignments, the position of the first DMRS symbol follows PDSCH mapping type B as given in [2].</w:t>
      </w:r>
    </w:p>
    <w:p w14:paraId="09FFD819" w14:textId="0C96BB5D" w:rsidR="008C1A66" w:rsidRPr="008C1A66" w:rsidRDefault="008C1A66" w:rsidP="008C1A66">
      <w:pPr>
        <w:pStyle w:val="ListParagraph"/>
        <w:numPr>
          <w:ilvl w:val="0"/>
          <w:numId w:val="45"/>
        </w:numPr>
        <w:rPr>
          <w:lang w:val="en-GB"/>
        </w:rPr>
      </w:pPr>
      <w:r>
        <w:rPr>
          <w:lang w:val="en-GB"/>
        </w:rPr>
        <w:t>FFS if the same scheduling DCI can provide both mini-slot and slot-based PDSCH (or PUSCH) allocations.</w:t>
      </w:r>
    </w:p>
    <w:p w14:paraId="4B9462A3" w14:textId="4D780DF1" w:rsidR="008C1A66" w:rsidRPr="00731FF6" w:rsidRDefault="008C1A66" w:rsidP="00731FF6">
      <w:pPr>
        <w:rPr>
          <w:lang w:val="en-GB"/>
        </w:rPr>
      </w:pPr>
      <w:r>
        <w:rPr>
          <w:lang w:val="en-GB"/>
        </w:rPr>
        <w:t xml:space="preserve"> </w:t>
      </w:r>
    </w:p>
    <w:p w14:paraId="603D1F26" w14:textId="12D322EC" w:rsidR="00CB58AE" w:rsidRDefault="00F932B9" w:rsidP="00CB58AE">
      <w:pPr>
        <w:pStyle w:val="Heading2"/>
      </w:pPr>
      <w:r>
        <w:t>Mini</w:t>
      </w:r>
      <w:r w:rsidR="006508FC">
        <w:t>-slot-</w:t>
      </w:r>
      <w:r>
        <w:t>based PDCCH</w:t>
      </w:r>
    </w:p>
    <w:p w14:paraId="7AB31088" w14:textId="0000DE43" w:rsidR="00F932B9" w:rsidRDefault="00F932B9" w:rsidP="00F932B9">
      <w:pPr>
        <w:rPr>
          <w:lang w:val="en-GB"/>
        </w:rPr>
      </w:pPr>
      <w:r>
        <w:rPr>
          <w:lang w:val="en-GB"/>
        </w:rPr>
        <w:t>For mini-slot based PDCCH, i.e., PDCCH found in control regions outside of the slot-based PDCCH,</w:t>
      </w:r>
      <w:r w:rsidR="008B1593">
        <w:rPr>
          <w:lang w:val="en-GB"/>
        </w:rPr>
        <w:t xml:space="preserve"> we have the following proposal for time domain resource allocations.</w:t>
      </w:r>
    </w:p>
    <w:p w14:paraId="3961CC22" w14:textId="255E52D7" w:rsidR="008B1593" w:rsidRDefault="008B1593" w:rsidP="008B1593">
      <w:pPr>
        <w:rPr>
          <w:lang w:val="en-GB"/>
        </w:rPr>
      </w:pPr>
      <w:r w:rsidRPr="007A1882">
        <w:rPr>
          <w:b/>
          <w:u w:val="single"/>
          <w:lang w:val="en-GB"/>
        </w:rPr>
        <w:t>Proposal</w:t>
      </w:r>
      <w:r w:rsidR="00D12A57">
        <w:rPr>
          <w:b/>
          <w:u w:val="single"/>
          <w:lang w:val="en-GB"/>
        </w:rPr>
        <w:t xml:space="preserve"> 3</w:t>
      </w:r>
      <w:r w:rsidRPr="007A1882">
        <w:rPr>
          <w:b/>
          <w:u w:val="single"/>
          <w:lang w:val="en-GB"/>
        </w:rPr>
        <w:t>:</w:t>
      </w:r>
      <w:r>
        <w:rPr>
          <w:lang w:val="en-GB"/>
        </w:rPr>
        <w:t xml:space="preserve"> For mini-slot-based PDCCH, the time domain resource allocation of a mini-slot-based PDSCH (or PUSCH) is indicated by the starting symbol and ending symbol location relative to the slot boundary. For downlink assignments, the position of the first DMRS symbol follows PDSCH mapping type B. </w:t>
      </w:r>
    </w:p>
    <w:p w14:paraId="536790B0" w14:textId="7BDBFF88" w:rsidR="008B1593" w:rsidRDefault="008B1593" w:rsidP="008B1593">
      <w:pPr>
        <w:pStyle w:val="ListParagraph"/>
        <w:numPr>
          <w:ilvl w:val="0"/>
          <w:numId w:val="45"/>
        </w:numPr>
        <w:rPr>
          <w:lang w:val="en-GB"/>
        </w:rPr>
      </w:pPr>
      <w:r>
        <w:rPr>
          <w:lang w:val="en-GB"/>
        </w:rPr>
        <w:t>Slot-based PDSCH allocations with PDSCH mapping type A cannot be scheduled from mini-slot based PDCCH.</w:t>
      </w:r>
    </w:p>
    <w:p w14:paraId="41E70C8D" w14:textId="77777777" w:rsidR="008B1593" w:rsidRPr="008B1593" w:rsidRDefault="008B1593" w:rsidP="008B1593">
      <w:pPr>
        <w:pStyle w:val="ListParagraph"/>
        <w:rPr>
          <w:lang w:val="en-GB"/>
        </w:rPr>
      </w:pPr>
    </w:p>
    <w:p w14:paraId="623341DE" w14:textId="6F94466B" w:rsidR="008B1593" w:rsidRDefault="008B1593" w:rsidP="008B1593">
      <w:pPr>
        <w:pStyle w:val="Heading2"/>
      </w:pPr>
      <w:r>
        <w:t>Simultaneous Allocations</w:t>
      </w:r>
    </w:p>
    <w:p w14:paraId="265E7008" w14:textId="6B735CBD" w:rsidR="008B1593" w:rsidRDefault="008B1593" w:rsidP="008B1593">
      <w:pPr>
        <w:rPr>
          <w:lang w:val="en-GB"/>
        </w:rPr>
      </w:pPr>
      <w:r>
        <w:rPr>
          <w:lang w:val="en-GB"/>
        </w:rPr>
        <w:t xml:space="preserve">The handling of multiple resource assignments is subject to the UE capabilities, both in number of grants which can be handled as well as the support of mini-slot-based PDCCH monitoring or slot-based PDCCH monitoring. Further considerations should be given here, including which specific resource allocation combinations may be expected for the UE to handle. </w:t>
      </w:r>
    </w:p>
    <w:p w14:paraId="2D3B1405" w14:textId="2AAF1474" w:rsidR="00A333B0" w:rsidRPr="00CF6565" w:rsidRDefault="008B1593" w:rsidP="00A333B0">
      <w:pPr>
        <w:rPr>
          <w:lang w:val="en-GB"/>
        </w:rPr>
      </w:pPr>
      <w:r w:rsidRPr="008B1593">
        <w:rPr>
          <w:b/>
          <w:u w:val="single"/>
          <w:lang w:val="en-GB"/>
        </w:rPr>
        <w:t>Observation</w:t>
      </w:r>
      <w:r w:rsidR="00D12A57">
        <w:rPr>
          <w:b/>
          <w:u w:val="single"/>
          <w:lang w:val="en-GB"/>
        </w:rPr>
        <w:t xml:space="preserve"> 1</w:t>
      </w:r>
      <w:r w:rsidRPr="008B1593">
        <w:rPr>
          <w:b/>
          <w:u w:val="single"/>
          <w:lang w:val="en-GB"/>
        </w:rPr>
        <w:t>:</w:t>
      </w:r>
      <w:r>
        <w:rPr>
          <w:lang w:val="en-GB"/>
        </w:rPr>
        <w:t xml:space="preserve"> The handling of multiple resource assignments</w:t>
      </w:r>
      <w:r w:rsidR="006E6AD1">
        <w:rPr>
          <w:lang w:val="en-GB"/>
        </w:rPr>
        <w:t xml:space="preserve"> by one UE</w:t>
      </w:r>
      <w:r>
        <w:rPr>
          <w:lang w:val="en-GB"/>
        </w:rPr>
        <w:t xml:space="preserve"> is subject</w:t>
      </w:r>
      <w:r w:rsidR="00920536">
        <w:rPr>
          <w:lang w:val="en-GB"/>
        </w:rPr>
        <w:t xml:space="preserve"> to</w:t>
      </w:r>
      <w:r>
        <w:rPr>
          <w:lang w:val="en-GB"/>
        </w:rPr>
        <w:t xml:space="preserve"> </w:t>
      </w:r>
      <w:r w:rsidR="006E6AD1">
        <w:rPr>
          <w:lang w:val="en-GB"/>
        </w:rPr>
        <w:t xml:space="preserve">the </w:t>
      </w:r>
      <w:r>
        <w:rPr>
          <w:lang w:val="en-GB"/>
        </w:rPr>
        <w:t>UE capabilities regarding both slot-based / mini-slot-based PDCCH support and simultaneous slot-based / mini-slot PDSCH (or PUSCH) support.</w:t>
      </w:r>
    </w:p>
    <w:p w14:paraId="372066FA" w14:textId="21C9CEF1" w:rsidR="008B3EA4" w:rsidRDefault="00583503" w:rsidP="008B3EA4">
      <w:pPr>
        <w:pStyle w:val="Heading1"/>
      </w:pPr>
      <w:r>
        <w:t>Frequency domain resource allocation</w:t>
      </w:r>
    </w:p>
    <w:p w14:paraId="5614C73F" w14:textId="17E3268E" w:rsidR="00CF6565" w:rsidRPr="00CF6565" w:rsidRDefault="00CF6565" w:rsidP="00CF6565">
      <w:pPr>
        <w:rPr>
          <w:lang w:val="en-GB"/>
        </w:rPr>
      </w:pPr>
      <w:r>
        <w:rPr>
          <w:lang w:val="en-GB"/>
        </w:rPr>
        <w:t>The following agreement was made at RAN1 #90b regarding frequency domain resource allocation.</w:t>
      </w:r>
    </w:p>
    <w:p w14:paraId="0C620277" w14:textId="77777777" w:rsidR="008B3EA4" w:rsidRDefault="008B3EA4" w:rsidP="008B3EA4">
      <w:pPr>
        <w:rPr>
          <w:highlight w:val="green"/>
        </w:rPr>
      </w:pPr>
      <w:r>
        <w:rPr>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8B3EA4" w14:paraId="5EACDC15" w14:textId="77777777" w:rsidTr="008B3EA4">
        <w:tc>
          <w:tcPr>
            <w:tcW w:w="1980" w:type="dxa"/>
            <w:tcBorders>
              <w:top w:val="single" w:sz="4" w:space="0" w:color="auto"/>
              <w:left w:val="single" w:sz="4" w:space="0" w:color="auto"/>
              <w:bottom w:val="single" w:sz="4" w:space="0" w:color="auto"/>
              <w:right w:val="single" w:sz="4" w:space="0" w:color="auto"/>
            </w:tcBorders>
          </w:tcPr>
          <w:p w14:paraId="270546C1" w14:textId="77777777" w:rsidR="008B3EA4" w:rsidRDefault="008B3EA4"/>
        </w:tc>
        <w:tc>
          <w:tcPr>
            <w:tcW w:w="1620" w:type="dxa"/>
            <w:tcBorders>
              <w:top w:val="single" w:sz="4" w:space="0" w:color="auto"/>
              <w:left w:val="single" w:sz="4" w:space="0" w:color="auto"/>
              <w:bottom w:val="single" w:sz="4" w:space="0" w:color="auto"/>
              <w:right w:val="single" w:sz="4" w:space="0" w:color="auto"/>
            </w:tcBorders>
            <w:hideMark/>
          </w:tcPr>
          <w:p w14:paraId="10782472" w14:textId="77777777" w:rsidR="008B3EA4" w:rsidRDefault="008B3EA4">
            <w:r>
              <w:t>Config 1</w:t>
            </w:r>
          </w:p>
        </w:tc>
        <w:tc>
          <w:tcPr>
            <w:tcW w:w="1620" w:type="dxa"/>
            <w:tcBorders>
              <w:top w:val="single" w:sz="4" w:space="0" w:color="auto"/>
              <w:left w:val="single" w:sz="4" w:space="0" w:color="auto"/>
              <w:bottom w:val="single" w:sz="4" w:space="0" w:color="auto"/>
              <w:right w:val="single" w:sz="4" w:space="0" w:color="auto"/>
            </w:tcBorders>
            <w:hideMark/>
          </w:tcPr>
          <w:p w14:paraId="6C1AE415" w14:textId="77777777" w:rsidR="008B3EA4" w:rsidRDefault="008B3EA4">
            <w:r>
              <w:t>Config 2</w:t>
            </w:r>
          </w:p>
        </w:tc>
      </w:tr>
      <w:tr w:rsidR="008B3EA4" w14:paraId="605B9B94" w14:textId="77777777" w:rsidTr="008B3EA4">
        <w:tc>
          <w:tcPr>
            <w:tcW w:w="1980" w:type="dxa"/>
            <w:tcBorders>
              <w:top w:val="single" w:sz="4" w:space="0" w:color="auto"/>
              <w:left w:val="single" w:sz="4" w:space="0" w:color="auto"/>
              <w:bottom w:val="single" w:sz="4" w:space="0" w:color="auto"/>
              <w:right w:val="single" w:sz="4" w:space="0" w:color="auto"/>
            </w:tcBorders>
            <w:hideMark/>
          </w:tcPr>
          <w:p w14:paraId="2884058B" w14:textId="77777777" w:rsidR="008B3EA4" w:rsidRDefault="008B3EA4">
            <w:r>
              <w:t>X</w:t>
            </w:r>
            <w:r>
              <w:rPr>
                <w:vertAlign w:val="subscript"/>
              </w:rPr>
              <w:t>0</w:t>
            </w:r>
            <w:r>
              <w:t xml:space="preserve"> – X</w:t>
            </w:r>
            <w:r>
              <w:rPr>
                <w:vertAlign w:val="subscript"/>
              </w:rPr>
              <w:t>1</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6BD57F42" w14:textId="77777777" w:rsidR="008B3EA4" w:rsidRDefault="008B3EA4">
            <w:r>
              <w:t>RBG size 1</w:t>
            </w:r>
          </w:p>
        </w:tc>
        <w:tc>
          <w:tcPr>
            <w:tcW w:w="1620" w:type="dxa"/>
            <w:tcBorders>
              <w:top w:val="single" w:sz="4" w:space="0" w:color="auto"/>
              <w:left w:val="single" w:sz="4" w:space="0" w:color="auto"/>
              <w:bottom w:val="single" w:sz="4" w:space="0" w:color="auto"/>
              <w:right w:val="single" w:sz="4" w:space="0" w:color="auto"/>
            </w:tcBorders>
            <w:hideMark/>
          </w:tcPr>
          <w:p w14:paraId="787FF80A" w14:textId="77777777" w:rsidR="008B3EA4" w:rsidRDefault="008B3EA4">
            <w:r>
              <w:t>RBG size 2</w:t>
            </w:r>
          </w:p>
        </w:tc>
      </w:tr>
      <w:tr w:rsidR="008B3EA4" w14:paraId="69A8BF0F" w14:textId="77777777" w:rsidTr="008B3EA4">
        <w:tc>
          <w:tcPr>
            <w:tcW w:w="1980" w:type="dxa"/>
            <w:tcBorders>
              <w:top w:val="single" w:sz="4" w:space="0" w:color="auto"/>
              <w:left w:val="single" w:sz="4" w:space="0" w:color="auto"/>
              <w:bottom w:val="single" w:sz="4" w:space="0" w:color="auto"/>
              <w:right w:val="single" w:sz="4" w:space="0" w:color="auto"/>
            </w:tcBorders>
            <w:hideMark/>
          </w:tcPr>
          <w:p w14:paraId="356C7806" w14:textId="77777777" w:rsidR="008B3EA4" w:rsidRDefault="008B3EA4">
            <w:r>
              <w:t>X</w:t>
            </w:r>
            <w:r>
              <w:rPr>
                <w:vertAlign w:val="subscript"/>
              </w:rPr>
              <w:t>1</w:t>
            </w:r>
            <w:r>
              <w:t>+1 – X</w:t>
            </w:r>
            <w:r>
              <w:rPr>
                <w:vertAlign w:val="subscript"/>
              </w:rPr>
              <w:t>2</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1D45504E" w14:textId="77777777" w:rsidR="008B3EA4" w:rsidRDefault="008B3EA4">
            <w:r>
              <w:t>RBG size 3</w:t>
            </w:r>
          </w:p>
        </w:tc>
        <w:tc>
          <w:tcPr>
            <w:tcW w:w="1620" w:type="dxa"/>
            <w:tcBorders>
              <w:top w:val="single" w:sz="4" w:space="0" w:color="auto"/>
              <w:left w:val="single" w:sz="4" w:space="0" w:color="auto"/>
              <w:bottom w:val="single" w:sz="4" w:space="0" w:color="auto"/>
              <w:right w:val="single" w:sz="4" w:space="0" w:color="auto"/>
            </w:tcBorders>
            <w:hideMark/>
          </w:tcPr>
          <w:p w14:paraId="072676D0" w14:textId="77777777" w:rsidR="008B3EA4" w:rsidRDefault="008B3EA4">
            <w:r>
              <w:t>RBG size 4</w:t>
            </w:r>
          </w:p>
        </w:tc>
      </w:tr>
      <w:tr w:rsidR="008B3EA4" w14:paraId="105C60D4" w14:textId="77777777" w:rsidTr="008B3EA4">
        <w:tc>
          <w:tcPr>
            <w:tcW w:w="1980" w:type="dxa"/>
            <w:tcBorders>
              <w:top w:val="single" w:sz="4" w:space="0" w:color="auto"/>
              <w:left w:val="single" w:sz="4" w:space="0" w:color="auto"/>
              <w:bottom w:val="single" w:sz="4" w:space="0" w:color="auto"/>
              <w:right w:val="single" w:sz="4" w:space="0" w:color="auto"/>
            </w:tcBorders>
            <w:hideMark/>
          </w:tcPr>
          <w:p w14:paraId="09B696D1" w14:textId="77777777" w:rsidR="008B3EA4" w:rsidRDefault="008B3EA4">
            <w:r>
              <w:t>…</w:t>
            </w:r>
          </w:p>
        </w:tc>
        <w:tc>
          <w:tcPr>
            <w:tcW w:w="1620" w:type="dxa"/>
            <w:tcBorders>
              <w:top w:val="single" w:sz="4" w:space="0" w:color="auto"/>
              <w:left w:val="single" w:sz="4" w:space="0" w:color="auto"/>
              <w:bottom w:val="single" w:sz="4" w:space="0" w:color="auto"/>
              <w:right w:val="single" w:sz="4" w:space="0" w:color="auto"/>
            </w:tcBorders>
            <w:hideMark/>
          </w:tcPr>
          <w:p w14:paraId="3CC486C6" w14:textId="77777777" w:rsidR="008B3EA4" w:rsidRDefault="008B3EA4">
            <w:r>
              <w:t>…</w:t>
            </w:r>
          </w:p>
        </w:tc>
        <w:tc>
          <w:tcPr>
            <w:tcW w:w="1620" w:type="dxa"/>
            <w:tcBorders>
              <w:top w:val="single" w:sz="4" w:space="0" w:color="auto"/>
              <w:left w:val="single" w:sz="4" w:space="0" w:color="auto"/>
              <w:bottom w:val="single" w:sz="4" w:space="0" w:color="auto"/>
              <w:right w:val="single" w:sz="4" w:space="0" w:color="auto"/>
            </w:tcBorders>
            <w:hideMark/>
          </w:tcPr>
          <w:p w14:paraId="5A733245" w14:textId="77777777" w:rsidR="008B3EA4" w:rsidRDefault="008B3EA4">
            <w:r>
              <w:t>…</w:t>
            </w:r>
          </w:p>
        </w:tc>
      </w:tr>
    </w:tbl>
    <w:p w14:paraId="42FB5DBD" w14:textId="77777777" w:rsidR="008B3EA4" w:rsidRDefault="008B3EA4" w:rsidP="008B3EA4">
      <w:pPr>
        <w:rPr>
          <w:rFonts w:ascii="Times" w:hAnsi="Times"/>
          <w:lang w:val="en-GB"/>
        </w:rPr>
      </w:pPr>
    </w:p>
    <w:p w14:paraId="4047E265" w14:textId="77777777" w:rsidR="008B3EA4" w:rsidRDefault="008B3EA4" w:rsidP="008B3EA4">
      <w:pPr>
        <w:pStyle w:val="ListParagraph"/>
        <w:numPr>
          <w:ilvl w:val="0"/>
          <w:numId w:val="42"/>
        </w:numPr>
        <w:contextualSpacing/>
        <w:rPr>
          <w:szCs w:val="20"/>
        </w:rPr>
      </w:pPr>
      <w:r>
        <w:rPr>
          <w:szCs w:val="20"/>
        </w:rPr>
        <w:t>RRC selects config 1 or config 2</w:t>
      </w:r>
    </w:p>
    <w:p w14:paraId="20C50227" w14:textId="77777777" w:rsidR="008B3EA4" w:rsidRDefault="008B3EA4" w:rsidP="008B3EA4">
      <w:pPr>
        <w:pStyle w:val="ListParagraph"/>
        <w:numPr>
          <w:ilvl w:val="0"/>
          <w:numId w:val="42"/>
        </w:numPr>
        <w:contextualSpacing/>
        <w:rPr>
          <w:szCs w:val="20"/>
        </w:rPr>
      </w:pPr>
      <w:r>
        <w:rPr>
          <w:szCs w:val="20"/>
        </w:rPr>
        <w:lastRenderedPageBreak/>
        <w:t>One config (config 1) is the default until RRC configures otherwise</w:t>
      </w:r>
    </w:p>
    <w:p w14:paraId="40F05441" w14:textId="77777777" w:rsidR="008B3EA4" w:rsidRDefault="008B3EA4" w:rsidP="008B3EA4">
      <w:pPr>
        <w:pStyle w:val="ListParagraph"/>
        <w:numPr>
          <w:ilvl w:val="0"/>
          <w:numId w:val="42"/>
        </w:numPr>
        <w:contextualSpacing/>
        <w:rPr>
          <w:szCs w:val="20"/>
        </w:rPr>
      </w:pPr>
      <w:r>
        <w:rPr>
          <w:szCs w:val="20"/>
        </w:rPr>
        <w:t>The numbers ‘RBG size’ in the table are fixed in the spec</w:t>
      </w:r>
    </w:p>
    <w:p w14:paraId="5EDD2365" w14:textId="77777777" w:rsidR="008B3EA4" w:rsidRDefault="008B3EA4" w:rsidP="008B3EA4">
      <w:pPr>
        <w:pStyle w:val="ListParagraph"/>
        <w:numPr>
          <w:ilvl w:val="0"/>
          <w:numId w:val="42"/>
        </w:numPr>
        <w:contextualSpacing/>
        <w:rPr>
          <w:szCs w:val="20"/>
        </w:rPr>
      </w:pPr>
      <w:r>
        <w:rPr>
          <w:szCs w:val="20"/>
        </w:rPr>
        <w:t>The number of rows should be no more than [4-6]</w:t>
      </w:r>
    </w:p>
    <w:p w14:paraId="64A3B51A" w14:textId="77777777" w:rsidR="008B3EA4" w:rsidRDefault="008B3EA4" w:rsidP="008B3EA4">
      <w:pPr>
        <w:pStyle w:val="ListParagraph"/>
        <w:numPr>
          <w:ilvl w:val="0"/>
          <w:numId w:val="42"/>
        </w:numPr>
        <w:contextualSpacing/>
        <w:rPr>
          <w:szCs w:val="20"/>
        </w:rPr>
      </w:pPr>
      <w:r>
        <w:rPr>
          <w:szCs w:val="20"/>
        </w:rPr>
        <w:t>Same table for DL and UL</w:t>
      </w:r>
    </w:p>
    <w:p w14:paraId="7767975C" w14:textId="77777777" w:rsidR="008B3EA4" w:rsidRDefault="008B3EA4" w:rsidP="008B3EA4">
      <w:pPr>
        <w:pStyle w:val="ListParagraph"/>
        <w:numPr>
          <w:ilvl w:val="1"/>
          <w:numId w:val="42"/>
        </w:numPr>
        <w:contextualSpacing/>
        <w:rPr>
          <w:szCs w:val="20"/>
        </w:rPr>
      </w:pPr>
      <w:r>
        <w:rPr>
          <w:szCs w:val="20"/>
        </w:rPr>
        <w:t>The configuration for DL &amp; UL is separate</w:t>
      </w:r>
    </w:p>
    <w:p w14:paraId="5C269A5C" w14:textId="7E1CC62F" w:rsidR="008B3EA4" w:rsidRDefault="008B3EA4" w:rsidP="008B3EA4">
      <w:pPr>
        <w:pStyle w:val="ListParagraph"/>
        <w:numPr>
          <w:ilvl w:val="0"/>
          <w:numId w:val="42"/>
        </w:numPr>
        <w:contextualSpacing/>
        <w:rPr>
          <w:szCs w:val="20"/>
        </w:rPr>
      </w:pPr>
      <w:r>
        <w:rPr>
          <w:szCs w:val="20"/>
        </w:rPr>
        <w:t>Same RBG size irrespective of the duration (slot vs. non-slot)</w:t>
      </w:r>
    </w:p>
    <w:p w14:paraId="30EBEB44" w14:textId="0235F665" w:rsidR="00CF6565" w:rsidRDefault="00CF6565" w:rsidP="00CF6565">
      <w:pPr>
        <w:contextualSpacing/>
      </w:pPr>
    </w:p>
    <w:p w14:paraId="6B3A216F" w14:textId="7CC066F3" w:rsidR="00B60EE9" w:rsidRDefault="00B60EE9" w:rsidP="00CF6565">
      <w:pPr>
        <w:contextualSpacing/>
      </w:pPr>
      <w:r>
        <w:t>One important aspect to consider is DCI overhead when addressing wider bandwidths. It is beneficial not to the have the DCI overhead not to scale with bandwidth. Furthermore, the benefit of having to configurations is that there can be two levels of granularity for allocations which scale with bandwidth, while ensuring there is at least a fallback with efficient DCI overhead for better coverage. Therefore, we have the following proposal.</w:t>
      </w:r>
    </w:p>
    <w:p w14:paraId="7C3A7734" w14:textId="2973E5BC" w:rsidR="00B60EE9" w:rsidRDefault="00B60EE9" w:rsidP="00CF6565">
      <w:pPr>
        <w:contextualSpacing/>
      </w:pPr>
    </w:p>
    <w:p w14:paraId="5E412441" w14:textId="6EA68C48" w:rsidR="00B60EE9" w:rsidRDefault="00B60EE9" w:rsidP="00CF6565">
      <w:pPr>
        <w:contextualSpacing/>
      </w:pPr>
      <w:r w:rsidRPr="00B60EE9">
        <w:rPr>
          <w:b/>
          <w:u w:val="single"/>
        </w:rPr>
        <w:t>Proposal</w:t>
      </w:r>
      <w:r w:rsidR="00D12A57">
        <w:rPr>
          <w:b/>
          <w:u w:val="single"/>
        </w:rPr>
        <w:t xml:space="preserve"> 4</w:t>
      </w:r>
      <w:r w:rsidRPr="00B60EE9">
        <w:rPr>
          <w:b/>
          <w:u w:val="single"/>
        </w:rPr>
        <w:t>:</w:t>
      </w:r>
      <w:r>
        <w:rPr>
          <w:b/>
        </w:rPr>
        <w:t xml:space="preserve"> </w:t>
      </w:r>
      <w:r>
        <w:t>The RBG sizes in the above table should satisfy the following requirements</w:t>
      </w:r>
    </w:p>
    <w:p w14:paraId="5A607C4A" w14:textId="1B9C638D" w:rsidR="00B60EE9" w:rsidRDefault="00B60EE9" w:rsidP="00B60EE9">
      <w:pPr>
        <w:pStyle w:val="ListParagraph"/>
        <w:numPr>
          <w:ilvl w:val="0"/>
          <w:numId w:val="45"/>
        </w:numPr>
        <w:contextualSpacing/>
      </w:pPr>
      <w:r>
        <w:t>For both configurations, the RBG sizes should scale up proportionally with bandwidth.</w:t>
      </w:r>
    </w:p>
    <w:p w14:paraId="59A3E253" w14:textId="25E724CB" w:rsidR="00B60EE9" w:rsidRDefault="00B60EE9" w:rsidP="00B60EE9">
      <w:pPr>
        <w:pStyle w:val="ListParagraph"/>
        <w:numPr>
          <w:ilvl w:val="0"/>
          <w:numId w:val="45"/>
        </w:numPr>
        <w:contextualSpacing/>
      </w:pPr>
      <w:r>
        <w:t>Config 1 should have only RBG sizes 8 and 16 to allow for smaller DCI sizes and coarser scheduling granularity</w:t>
      </w:r>
    </w:p>
    <w:p w14:paraId="2F7B468E" w14:textId="3027647B" w:rsidR="00B60EE9" w:rsidRDefault="00B60EE9" w:rsidP="00B60EE9">
      <w:pPr>
        <w:pStyle w:val="ListParagraph"/>
        <w:numPr>
          <w:ilvl w:val="1"/>
          <w:numId w:val="45"/>
        </w:numPr>
        <w:contextualSpacing/>
      </w:pPr>
      <w:r>
        <w:t>This should be the fallback (or default) configuration</w:t>
      </w:r>
    </w:p>
    <w:p w14:paraId="72467C9A" w14:textId="7A859710" w:rsidR="00B60EE9" w:rsidRPr="00B60EE9" w:rsidRDefault="00B60EE9" w:rsidP="00B60EE9">
      <w:pPr>
        <w:pStyle w:val="ListParagraph"/>
        <w:numPr>
          <w:ilvl w:val="0"/>
          <w:numId w:val="45"/>
        </w:numPr>
        <w:contextualSpacing/>
      </w:pPr>
      <w:r>
        <w:t>Config 2 may have additional RBG sizes of 2,4,8 and 16 to allow for larger DCI szes and finer scheduling granularity.</w:t>
      </w:r>
    </w:p>
    <w:p w14:paraId="7252892E" w14:textId="7A30BA78" w:rsidR="00B60EE9" w:rsidRDefault="00B60EE9" w:rsidP="00CF6565">
      <w:pPr>
        <w:contextualSpacing/>
      </w:pPr>
    </w:p>
    <w:p w14:paraId="3A6E821C" w14:textId="2D5CAE8F" w:rsidR="00B60EE9" w:rsidRDefault="00B60EE9" w:rsidP="00CF6565">
      <w:pPr>
        <w:contextualSpacing/>
      </w:pPr>
      <w:r>
        <w:t xml:space="preserve">Finally, the configurability should be matched with the </w:t>
      </w:r>
      <w:r w:rsidR="00F641B7">
        <w:t xml:space="preserve">supported </w:t>
      </w:r>
      <w:r>
        <w:t>PRG sizes which are {2,4,full bandwidth}</w:t>
      </w:r>
      <w:r w:rsidR="00F641B7">
        <w:t>.</w:t>
      </w:r>
    </w:p>
    <w:p w14:paraId="57A1820F" w14:textId="105DFCA3" w:rsidR="00F641B7" w:rsidRDefault="00F641B7" w:rsidP="00CF6565">
      <w:pPr>
        <w:contextualSpacing/>
      </w:pPr>
    </w:p>
    <w:p w14:paraId="00B1BEE7" w14:textId="6DAB744A" w:rsidR="00F641B7" w:rsidRDefault="00F641B7" w:rsidP="00CF6565">
      <w:pPr>
        <w:contextualSpacing/>
      </w:pPr>
      <w:r w:rsidRPr="00F641B7">
        <w:rPr>
          <w:b/>
          <w:u w:val="single"/>
        </w:rPr>
        <w:t>Proposal</w:t>
      </w:r>
      <w:r w:rsidR="00D12A57">
        <w:rPr>
          <w:b/>
          <w:u w:val="single"/>
        </w:rPr>
        <w:t xml:space="preserve"> 5</w:t>
      </w:r>
      <w:r w:rsidRPr="00F641B7">
        <w:rPr>
          <w:b/>
          <w:u w:val="single"/>
        </w:rPr>
        <w:t>:</w:t>
      </w:r>
      <w:r w:rsidR="000F1E17">
        <w:t xml:space="preserve"> No RBG sizes that are multiples of 3 should be supported.</w:t>
      </w:r>
    </w:p>
    <w:p w14:paraId="5E8E5601" w14:textId="06C03015" w:rsidR="008B3EA4" w:rsidRPr="00F641B7" w:rsidRDefault="008B3EA4" w:rsidP="00583503">
      <w:pPr>
        <w:contextualSpacing/>
      </w:pPr>
    </w:p>
    <w:p w14:paraId="09079F69" w14:textId="4B082187" w:rsidR="00031D58" w:rsidRDefault="00587EA1" w:rsidP="00587EA1">
      <w:pPr>
        <w:pStyle w:val="Heading1"/>
      </w:pPr>
      <w:r>
        <w:t>VRB-to-PRB mapping</w:t>
      </w:r>
    </w:p>
    <w:p w14:paraId="45646F28" w14:textId="07FF267B" w:rsidR="00587EA1" w:rsidRDefault="001F36BC" w:rsidP="00587EA1">
      <w:pPr>
        <w:rPr>
          <w:lang w:val="en-GB"/>
        </w:rPr>
      </w:pPr>
      <w:r>
        <w:rPr>
          <w:lang w:val="en-GB"/>
        </w:rPr>
        <w:t>The following agreement in RAN1 #90b (email discussion) was made below, and included the notion of a block interleaver for VRB-to-PRB mapping</w:t>
      </w:r>
      <w:r w:rsidR="000F1E17">
        <w:rPr>
          <w:lang w:val="en-GB"/>
        </w:rPr>
        <w:t xml:space="preserve">. </w:t>
      </w:r>
      <w:r w:rsidR="000F1E17">
        <w:rPr>
          <w:rFonts w:eastAsia="Times New Roman"/>
          <w:lang w:eastAsia="zh-CN"/>
        </w:rPr>
        <w:t>From previous studies, either in LTE or NR, it has been observed that distributed VRBs can provide a significant gain from higher diversity when high-order modulation, high-rank MIMO, or wide band allocation is used</w:t>
      </w:r>
      <w:r>
        <w:rPr>
          <w:lang w:val="en-GB"/>
        </w:rPr>
        <w:t>. This is particularly important for peak rate performance, since code blocks can be distributed across the frequency domain and exhibit robust performance from frequency selective fading [</w:t>
      </w:r>
      <w:r w:rsidR="000F1E17">
        <w:rPr>
          <w:lang w:val="en-GB"/>
        </w:rPr>
        <w:t>3</w:t>
      </w:r>
      <w:r>
        <w:rPr>
          <w:lang w:val="en-GB"/>
        </w:rPr>
        <w:t>].</w:t>
      </w:r>
    </w:p>
    <w:p w14:paraId="3E138BD3" w14:textId="77777777" w:rsidR="00587EA1" w:rsidRDefault="00587EA1" w:rsidP="00587EA1">
      <w:pPr>
        <w:rPr>
          <w:rFonts w:ascii="Calibri" w:hAnsi="Calibri"/>
          <w:szCs w:val="22"/>
          <w:lang w:eastAsia="zh-CN"/>
        </w:rPr>
      </w:pPr>
      <w:r>
        <w:rPr>
          <w:highlight w:val="green"/>
          <w:lang w:eastAsia="zh-CN"/>
        </w:rPr>
        <w:t>Agreements</w:t>
      </w:r>
      <w:r>
        <w:rPr>
          <w:lang w:eastAsia="zh-CN"/>
        </w:rPr>
        <w:t>:</w:t>
      </w:r>
    </w:p>
    <w:p w14:paraId="0EE7E822" w14:textId="77777777" w:rsidR="00587EA1" w:rsidRDefault="00587EA1" w:rsidP="00587EA1">
      <w:pPr>
        <w:numPr>
          <w:ilvl w:val="0"/>
          <w:numId w:val="40"/>
        </w:numPr>
        <w:overflowPunct/>
        <w:autoSpaceDE/>
        <w:autoSpaceDN/>
        <w:adjustRightInd/>
        <w:spacing w:after="0"/>
        <w:ind w:left="1440"/>
        <w:textAlignment w:val="auto"/>
        <w:rPr>
          <w:rFonts w:ascii="Times" w:eastAsia="Times New Roman" w:hAnsi="Times"/>
          <w:szCs w:val="24"/>
          <w:lang w:val="en-GB" w:eastAsia="zh-CN"/>
        </w:rPr>
      </w:pPr>
      <w:r>
        <w:rPr>
          <w:rFonts w:eastAsia="Times New Roman"/>
          <w:lang w:eastAsia="zh-CN"/>
        </w:rPr>
        <w:t>The notion of VRB is included in the specifications.</w:t>
      </w:r>
    </w:p>
    <w:p w14:paraId="71C128F4" w14:textId="77777777" w:rsidR="00587EA1" w:rsidRDefault="00587EA1" w:rsidP="00587EA1">
      <w:pPr>
        <w:numPr>
          <w:ilvl w:val="0"/>
          <w:numId w:val="40"/>
        </w:numPr>
        <w:overflowPunct/>
        <w:autoSpaceDE/>
        <w:autoSpaceDN/>
        <w:adjustRightInd/>
        <w:spacing w:after="0"/>
        <w:ind w:left="1440"/>
        <w:textAlignment w:val="auto"/>
        <w:rPr>
          <w:rFonts w:eastAsia="Times New Roman"/>
          <w:lang w:eastAsia="zh-CN"/>
        </w:rPr>
      </w:pPr>
      <w:r>
        <w:rPr>
          <w:rFonts w:eastAsia="Times New Roman"/>
          <w:lang w:eastAsia="zh-CN"/>
        </w:rPr>
        <w:t xml:space="preserve">A non-transparent VRB-to-PRB mapping (i.e. PRB_i=VRB_j where j=f(i)) is supported </w:t>
      </w:r>
    </w:p>
    <w:p w14:paraId="1A4D1938" w14:textId="77777777" w:rsidR="00587EA1" w:rsidRDefault="00587EA1" w:rsidP="00587EA1">
      <w:pPr>
        <w:numPr>
          <w:ilvl w:val="1"/>
          <w:numId w:val="40"/>
        </w:numPr>
        <w:overflowPunct/>
        <w:autoSpaceDE/>
        <w:autoSpaceDN/>
        <w:adjustRightInd/>
        <w:spacing w:after="0"/>
        <w:ind w:left="2160"/>
        <w:textAlignment w:val="auto"/>
        <w:rPr>
          <w:rFonts w:eastAsia="Times New Roman"/>
          <w:lang w:eastAsia="zh-CN"/>
        </w:rPr>
      </w:pPr>
      <w:r>
        <w:rPr>
          <w:rFonts w:eastAsia="Times New Roman"/>
          <w:lang w:eastAsia="zh-CN"/>
        </w:rPr>
        <w:t>At least for resource allocation type 1</w:t>
      </w:r>
    </w:p>
    <w:p w14:paraId="1ACD477F" w14:textId="77777777" w:rsidR="00587EA1" w:rsidRDefault="00587EA1" w:rsidP="00587EA1">
      <w:pPr>
        <w:numPr>
          <w:ilvl w:val="1"/>
          <w:numId w:val="40"/>
        </w:numPr>
        <w:overflowPunct/>
        <w:autoSpaceDE/>
        <w:autoSpaceDN/>
        <w:adjustRightInd/>
        <w:spacing w:after="0"/>
        <w:ind w:left="2160"/>
        <w:textAlignment w:val="auto"/>
        <w:rPr>
          <w:rFonts w:eastAsia="Times New Roman"/>
          <w:lang w:eastAsia="zh-CN"/>
        </w:rPr>
      </w:pPr>
      <w:r>
        <w:rPr>
          <w:rFonts w:eastAsia="Times New Roman"/>
          <w:lang w:eastAsia="zh-CN"/>
        </w:rPr>
        <w:t>Discuss further whether to support it also for resource allocation type 0</w:t>
      </w:r>
    </w:p>
    <w:p w14:paraId="503C97EC" w14:textId="77777777" w:rsidR="00587EA1" w:rsidRDefault="00587EA1" w:rsidP="00587EA1">
      <w:pPr>
        <w:numPr>
          <w:ilvl w:val="0"/>
          <w:numId w:val="40"/>
        </w:numPr>
        <w:overflowPunct/>
        <w:autoSpaceDE/>
        <w:autoSpaceDN/>
        <w:adjustRightInd/>
        <w:spacing w:after="0"/>
        <w:ind w:left="1440"/>
        <w:textAlignment w:val="auto"/>
        <w:rPr>
          <w:rFonts w:eastAsia="Times New Roman"/>
          <w:lang w:eastAsia="zh-CN"/>
        </w:rPr>
      </w:pPr>
      <w:r>
        <w:rPr>
          <w:rFonts w:eastAsia="Times New Roman"/>
          <w:lang w:eastAsia="zh-CN"/>
        </w:rPr>
        <w:t xml:space="preserve">At least a block-interleaver is used for VRB-to-PRB mapping </w:t>
      </w:r>
    </w:p>
    <w:p w14:paraId="3F9D08D5" w14:textId="73250022" w:rsidR="00587EA1" w:rsidRDefault="00587EA1" w:rsidP="00587EA1">
      <w:pPr>
        <w:numPr>
          <w:ilvl w:val="1"/>
          <w:numId w:val="40"/>
        </w:numPr>
        <w:overflowPunct/>
        <w:autoSpaceDE/>
        <w:autoSpaceDN/>
        <w:adjustRightInd/>
        <w:spacing w:after="0"/>
        <w:ind w:left="2160"/>
        <w:textAlignment w:val="auto"/>
        <w:rPr>
          <w:rFonts w:eastAsia="Times New Roman"/>
          <w:lang w:eastAsia="zh-CN"/>
        </w:rPr>
      </w:pPr>
      <w:r>
        <w:rPr>
          <w:rFonts w:eastAsia="Times New Roman"/>
          <w:lang w:eastAsia="zh-CN"/>
        </w:rPr>
        <w:t>FFS the details</w:t>
      </w:r>
    </w:p>
    <w:p w14:paraId="161E1740" w14:textId="77777777" w:rsidR="00587EA1" w:rsidRDefault="00587EA1" w:rsidP="00587EA1">
      <w:pPr>
        <w:numPr>
          <w:ilvl w:val="0"/>
          <w:numId w:val="40"/>
        </w:numPr>
        <w:overflowPunct/>
        <w:autoSpaceDE/>
        <w:autoSpaceDN/>
        <w:adjustRightInd/>
        <w:spacing w:after="0"/>
        <w:ind w:left="1440"/>
        <w:textAlignment w:val="auto"/>
        <w:rPr>
          <w:rFonts w:eastAsia="Times New Roman"/>
          <w:lang w:eastAsia="zh-CN"/>
        </w:rPr>
      </w:pPr>
      <w:r>
        <w:rPr>
          <w:rFonts w:eastAsia="Times New Roman"/>
          <w:lang w:eastAsia="zh-CN"/>
        </w:rPr>
        <w:t>A single bit in the DCI indicates localized or distributed VRB-to-PRB mapping</w:t>
      </w:r>
    </w:p>
    <w:p w14:paraId="45AB955A" w14:textId="11878263" w:rsidR="007A468B" w:rsidRDefault="007A468B" w:rsidP="00587EA1">
      <w:pPr>
        <w:overflowPunct/>
        <w:autoSpaceDE/>
        <w:autoSpaceDN/>
        <w:adjustRightInd/>
        <w:spacing w:after="0"/>
        <w:textAlignment w:val="auto"/>
        <w:rPr>
          <w:rFonts w:eastAsia="Times New Roman"/>
          <w:color w:val="FF0000"/>
          <w:lang w:eastAsia="zh-CN"/>
        </w:rPr>
      </w:pPr>
    </w:p>
    <w:p w14:paraId="75B2023B" w14:textId="4E0D9F59" w:rsidR="00CF4313" w:rsidRPr="008B3EA4" w:rsidRDefault="00CF4313" w:rsidP="000F1E17">
      <w:pPr>
        <w:overflowPunct/>
        <w:autoSpaceDE/>
        <w:autoSpaceDN/>
        <w:adjustRightInd/>
        <w:spacing w:after="0"/>
        <w:textAlignment w:val="auto"/>
        <w:rPr>
          <w:rFonts w:eastAsia="Times New Roman"/>
          <w:color w:val="FF0000"/>
          <w:lang w:eastAsia="zh-CN"/>
        </w:rPr>
      </w:pPr>
    </w:p>
    <w:p w14:paraId="524757A2" w14:textId="0CE2BF8A" w:rsidR="003E668B" w:rsidRDefault="003E668B" w:rsidP="003E668B">
      <w:pPr>
        <w:rPr>
          <w:rFonts w:eastAsia="Times New Roman"/>
          <w:lang w:eastAsia="zh-CN"/>
        </w:rPr>
      </w:pPr>
      <w:r>
        <w:rPr>
          <w:rFonts w:eastAsia="Times New Roman"/>
          <w:lang w:eastAsia="zh-CN"/>
        </w:rPr>
        <w:t>Since the gain further increases with the bandwidth that the distributed mapping is performed, the following can be proposed for NR</w:t>
      </w:r>
      <w:r w:rsidR="000F1E17">
        <w:rPr>
          <w:rFonts w:eastAsia="Times New Roman"/>
          <w:lang w:eastAsia="zh-CN"/>
        </w:rPr>
        <w:t>.</w:t>
      </w:r>
    </w:p>
    <w:p w14:paraId="15F9B626" w14:textId="3629D1F3" w:rsidR="003E668B" w:rsidRDefault="003E668B" w:rsidP="003E668B">
      <w:pPr>
        <w:rPr>
          <w:rFonts w:eastAsia="Times New Roman"/>
          <w:lang w:eastAsia="zh-CN"/>
        </w:rPr>
      </w:pPr>
      <w:r w:rsidRPr="000F1E17">
        <w:rPr>
          <w:rFonts w:eastAsia="Times New Roman"/>
          <w:b/>
          <w:u w:val="single"/>
          <w:lang w:eastAsia="zh-CN"/>
        </w:rPr>
        <w:t>Proposal</w:t>
      </w:r>
      <w:r w:rsidR="00D12A57">
        <w:rPr>
          <w:rFonts w:eastAsia="Times New Roman"/>
          <w:b/>
          <w:u w:val="single"/>
          <w:lang w:eastAsia="zh-CN"/>
        </w:rPr>
        <w:t xml:space="preserve"> 6</w:t>
      </w:r>
      <w:r w:rsidRPr="000F1E17">
        <w:rPr>
          <w:rFonts w:eastAsia="Times New Roman"/>
          <w:b/>
          <w:u w:val="single"/>
          <w:lang w:eastAsia="zh-CN"/>
        </w:rPr>
        <w:t>:</w:t>
      </w:r>
      <w:r>
        <w:rPr>
          <w:rFonts w:eastAsia="Times New Roman"/>
          <w:lang w:eastAsia="zh-CN"/>
        </w:rPr>
        <w:t xml:space="preserve"> Support full-BWP distributed VRB-to-PRB mapping at least for resource allocation type 1:</w:t>
      </w:r>
    </w:p>
    <w:p w14:paraId="27CD908B" w14:textId="77777777" w:rsidR="003E668B" w:rsidRDefault="003E668B" w:rsidP="003E668B">
      <w:pPr>
        <w:pStyle w:val="ListParagraph"/>
        <w:numPr>
          <w:ilvl w:val="0"/>
          <w:numId w:val="43"/>
        </w:numPr>
        <w:rPr>
          <w:rFonts w:eastAsia="Times New Roman"/>
          <w:lang w:eastAsia="zh-CN"/>
        </w:rPr>
      </w:pPr>
      <w:r w:rsidRPr="008701E9">
        <w:rPr>
          <w:rFonts w:eastAsia="Times New Roman"/>
          <w:lang w:eastAsia="zh-CN"/>
        </w:rPr>
        <w:t>A single bit in the DCI can indicate localized or distributed VRB-to-PRB mapping.</w:t>
      </w:r>
    </w:p>
    <w:p w14:paraId="142EFBF1" w14:textId="77777777" w:rsidR="003E668B" w:rsidRPr="008701E9" w:rsidRDefault="003E668B" w:rsidP="003E668B">
      <w:pPr>
        <w:pStyle w:val="ListParagraph"/>
        <w:numPr>
          <w:ilvl w:val="0"/>
          <w:numId w:val="43"/>
        </w:numPr>
        <w:rPr>
          <w:rFonts w:eastAsia="Times New Roman"/>
          <w:lang w:eastAsia="zh-CN"/>
        </w:rPr>
      </w:pPr>
      <w:r w:rsidRPr="008701E9">
        <w:rPr>
          <w:rFonts w:eastAsia="Times New Roman"/>
          <w:lang w:eastAsia="zh-CN"/>
        </w:rPr>
        <w:t>Distributed VRB-to-PRB mapping and one-bit indicator i</w:t>
      </w:r>
      <w:r>
        <w:rPr>
          <w:rFonts w:eastAsia="Times New Roman"/>
          <w:lang w:eastAsia="zh-CN"/>
        </w:rPr>
        <w:t>n the DCI are not supported for broadcast</w:t>
      </w:r>
      <w:r w:rsidRPr="008701E9">
        <w:rPr>
          <w:rFonts w:eastAsia="Times New Roman"/>
          <w:lang w:eastAsia="zh-CN"/>
        </w:rPr>
        <w:t xml:space="preserve"> PDSCH.</w:t>
      </w:r>
    </w:p>
    <w:p w14:paraId="6983FF0D" w14:textId="77777777" w:rsidR="003E668B" w:rsidRPr="008701E9" w:rsidRDefault="003E668B" w:rsidP="003E668B">
      <w:pPr>
        <w:pStyle w:val="ListParagraph"/>
        <w:numPr>
          <w:ilvl w:val="0"/>
          <w:numId w:val="43"/>
        </w:numPr>
        <w:rPr>
          <w:rFonts w:eastAsia="Times New Roman"/>
          <w:lang w:eastAsia="zh-CN"/>
        </w:rPr>
      </w:pPr>
      <w:r w:rsidRPr="008701E9">
        <w:rPr>
          <w:rFonts w:eastAsia="Times New Roman"/>
          <w:lang w:eastAsia="zh-CN"/>
        </w:rPr>
        <w:t>One-bit indicator in the DCI is not supported for fallback DCI.</w:t>
      </w:r>
    </w:p>
    <w:p w14:paraId="07DC7FE6" w14:textId="77777777" w:rsidR="003E668B" w:rsidRDefault="003E668B" w:rsidP="003E668B">
      <w:pPr>
        <w:rPr>
          <w:rFonts w:eastAsia="Times New Roman"/>
          <w:lang w:eastAsia="zh-CN"/>
        </w:rPr>
      </w:pPr>
      <w:r>
        <w:rPr>
          <w:rFonts w:eastAsia="Times New Roman"/>
          <w:lang w:eastAsia="zh-CN"/>
        </w:rPr>
        <w:lastRenderedPageBreak/>
        <w:t xml:space="preserve">For distributed mapping, an LTE-like interleaver design can be considered. However, unlike the LTE interleaver of VRB-granularity, we can introduce a notion of interleaving unit to avoid disruption of the PRG structure while interleaving. That is, an interleaving unit is defined as a chunk of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consecutive VRBs, and mapped to another chunk of the same size in PRBs. Therefore, the boundaries of an interleaving unit should be aligned with the boundaries of PRGs, and the number of VRBs per interleaving unit should be an integer multiple of the PRG size. In other words,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r>
          <w:rPr>
            <w:rFonts w:ascii="Cambria Math" w:eastAsia="Times New Roman" w:hAnsi="Cambria Math"/>
            <w:lang w:eastAsia="zh-CN"/>
          </w:rPr>
          <m:t>=a</m:t>
        </m:r>
        <m:sSup>
          <m:sSupPr>
            <m:ctrlPr>
              <w:rPr>
                <w:rFonts w:ascii="Cambria Math" w:eastAsia="Times New Roman" w:hAnsi="Cambria Math"/>
                <w:i/>
                <w:lang w:eastAsia="zh-CN"/>
              </w:rPr>
            </m:ctrlPr>
          </m:sSupPr>
          <m:e>
            <m:r>
              <w:rPr>
                <w:rFonts w:ascii="Cambria Math" w:eastAsia="Times New Roman" w:hAnsi="Cambria Math"/>
                <w:lang w:eastAsia="zh-CN"/>
              </w:rPr>
              <m:t>P</m:t>
            </m:r>
          </m:e>
          <m:sup>
            <m:r>
              <w:rPr>
                <w:rFonts w:ascii="Cambria Math" w:eastAsia="Times New Roman" w:hAnsi="Cambria Math"/>
                <w:lang w:eastAsia="zh-CN"/>
              </w:rPr>
              <m:t>'</m:t>
            </m:r>
          </m:sup>
        </m:sSup>
      </m:oMath>
      <w:r>
        <w:rPr>
          <w:rFonts w:eastAsia="Times New Roman"/>
          <w:lang w:eastAsia="zh-CN"/>
        </w:rPr>
        <w:t xml:space="preserve">, where </w:t>
      </w:r>
      <m:oMath>
        <m:sSup>
          <m:sSupPr>
            <m:ctrlPr>
              <w:rPr>
                <w:rFonts w:ascii="Cambria Math" w:eastAsia="Times New Roman" w:hAnsi="Cambria Math"/>
                <w:i/>
                <w:lang w:eastAsia="zh-CN"/>
              </w:rPr>
            </m:ctrlPr>
          </m:sSupPr>
          <m:e>
            <m:r>
              <w:rPr>
                <w:rFonts w:ascii="Cambria Math" w:eastAsia="Times New Roman" w:hAnsi="Cambria Math"/>
                <w:lang w:eastAsia="zh-CN"/>
              </w:rPr>
              <m:t>P</m:t>
            </m:r>
          </m:e>
          <m:sup>
            <m:r>
              <w:rPr>
                <w:rFonts w:ascii="Cambria Math" w:eastAsia="Times New Roman" w:hAnsi="Cambria Math"/>
                <w:lang w:eastAsia="zh-CN"/>
              </w:rPr>
              <m:t>'</m:t>
            </m:r>
          </m:sup>
        </m:sSup>
      </m:oMath>
      <w:r>
        <w:rPr>
          <w:rFonts w:eastAsia="Times New Roman"/>
          <w:lang w:eastAsia="zh-CN"/>
        </w:rPr>
        <w:t xml:space="preserve"> is the PRG size and </w:t>
      </w:r>
      <m:oMath>
        <m:r>
          <w:rPr>
            <w:rFonts w:ascii="Cambria Math" w:eastAsia="Times New Roman" w:hAnsi="Cambria Math"/>
            <w:lang w:eastAsia="zh-CN"/>
          </w:rPr>
          <m:t>a</m:t>
        </m:r>
      </m:oMath>
      <w:r>
        <w:rPr>
          <w:rFonts w:eastAsia="Times New Roman"/>
          <w:lang w:eastAsia="zh-CN"/>
        </w:rPr>
        <w:t xml:space="preserve"> is a positive integer. In particular, when multiple UEs of different PRG sizes share the same BWP, the smallest value of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can be the least common multiple of the PRG sizes. Note that, as shown in </w:t>
      </w:r>
      <w:r>
        <w:rPr>
          <w:rFonts w:eastAsia="Times New Roman"/>
          <w:lang w:eastAsia="zh-CN"/>
        </w:rPr>
        <w:fldChar w:fldCharType="begin"/>
      </w:r>
      <w:r>
        <w:rPr>
          <w:rFonts w:eastAsia="Times New Roman"/>
          <w:lang w:eastAsia="zh-CN"/>
        </w:rPr>
        <w:instrText xml:space="preserve"> REF _Ref498541047 \h </w:instrText>
      </w:r>
      <w:r>
        <w:rPr>
          <w:rFonts w:eastAsia="Times New Roman"/>
          <w:lang w:eastAsia="zh-CN"/>
        </w:rPr>
      </w:r>
      <w:r>
        <w:rPr>
          <w:rFonts w:eastAsia="Times New Roman"/>
          <w:lang w:eastAsia="zh-CN"/>
        </w:rPr>
        <w:fldChar w:fldCharType="separate"/>
      </w:r>
      <w:r>
        <w:t xml:space="preserve">Figure </w:t>
      </w:r>
      <w:r>
        <w:rPr>
          <w:noProof/>
        </w:rPr>
        <w:t>1</w:t>
      </w:r>
      <w:r>
        <w:rPr>
          <w:rFonts w:eastAsia="Times New Roman"/>
          <w:lang w:eastAsia="zh-CN"/>
        </w:rPr>
        <w:fldChar w:fldCharType="end"/>
      </w:r>
      <w:r>
        <w:rPr>
          <w:rFonts w:eastAsia="Times New Roman"/>
          <w:lang w:eastAsia="zh-CN"/>
        </w:rPr>
        <w:t xml:space="preserve">, for units at the boundaries of the BWP, the unit size can be smaller than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depending on the positions of the boundaries of BWP relative to the carrier-specific PRB-grid. Accordingly, the number of total interleaving units within the BWP,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unit</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oMath>
      <w:r>
        <w:rPr>
          <w:rFonts w:eastAsia="Times New Roman"/>
          <w:lang w:eastAsia="zh-CN"/>
        </w:rPr>
        <w:t xml:space="preserve">, is determined: Note that, depending on the boundaries of the BWP,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unit</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oMath>
      <w:r>
        <w:rPr>
          <w:rFonts w:eastAsia="Times New Roman"/>
          <w:lang w:eastAsia="zh-CN"/>
        </w:rPr>
        <w:t xml:space="preserve"> can be either </w:t>
      </w:r>
      <m:oMath>
        <m:d>
          <m:dPr>
            <m:begChr m:val="⌈"/>
            <m:endChr m:val="⌉"/>
            <m:ctrlPr>
              <w:rPr>
                <w:rFonts w:ascii="Cambria Math" w:eastAsia="Times New Roman" w:hAnsi="Cambria Math"/>
                <w:lang w:eastAsia="zh-CN"/>
              </w:rPr>
            </m:ctrlPr>
          </m:dPr>
          <m:e>
            <m:f>
              <m:fPr>
                <m:type m:val="lin"/>
                <m:ctrlPr>
                  <w:rPr>
                    <w:rFonts w:ascii="Cambria Math" w:eastAsia="Times New Roman" w:hAnsi="Cambria Math"/>
                    <w:i/>
                    <w:lang w:eastAsia="zh-CN"/>
                  </w:rPr>
                </m:ctrlPr>
              </m:fPr>
              <m:num>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VRB</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num>
              <m:den>
                <m:acc>
                  <m:accPr>
                    <m:chr m:val="̃"/>
                    <m:ctrlPr>
                      <w:rPr>
                        <w:rFonts w:ascii="Cambria Math" w:eastAsia="Times New Roman" w:hAnsi="Cambria Math"/>
                        <w:i/>
                        <w:lang w:eastAsia="zh-CN"/>
                      </w:rPr>
                    </m:ctrlPr>
                  </m:accPr>
                  <m:e>
                    <m:r>
                      <w:rPr>
                        <w:rFonts w:ascii="Cambria Math" w:eastAsia="Times New Roman" w:hAnsi="Cambria Math"/>
                        <w:lang w:eastAsia="zh-CN"/>
                      </w:rPr>
                      <m:t>P</m:t>
                    </m:r>
                  </m:e>
                </m:acc>
              </m:den>
            </m:f>
          </m:e>
        </m:d>
        <m:r>
          <m:rPr>
            <m:sty m:val="p"/>
          </m:rPr>
          <w:rPr>
            <w:rFonts w:ascii="Cambria Math" w:eastAsia="Times New Roman" w:hAnsi="Cambria Math"/>
            <w:lang w:eastAsia="zh-CN"/>
          </w:rPr>
          <m:t>+1</m:t>
        </m:r>
      </m:oMath>
      <w:r>
        <w:rPr>
          <w:rFonts w:eastAsia="Times New Roman"/>
          <w:lang w:eastAsia="zh-CN"/>
        </w:rPr>
        <w:t xml:space="preserve"> (</w:t>
      </w:r>
      <w:r>
        <w:rPr>
          <w:rFonts w:eastAsia="Times New Roman"/>
          <w:lang w:eastAsia="zh-CN"/>
        </w:rPr>
        <w:fldChar w:fldCharType="begin"/>
      </w:r>
      <w:r>
        <w:rPr>
          <w:rFonts w:eastAsia="Times New Roman"/>
          <w:lang w:eastAsia="zh-CN"/>
        </w:rPr>
        <w:instrText xml:space="preserve"> REF _Ref498541047 \h </w:instrText>
      </w:r>
      <w:r>
        <w:rPr>
          <w:rFonts w:eastAsia="Times New Roman"/>
          <w:lang w:eastAsia="zh-CN"/>
        </w:rPr>
      </w:r>
      <w:r>
        <w:rPr>
          <w:rFonts w:eastAsia="Times New Roman"/>
          <w:lang w:eastAsia="zh-CN"/>
        </w:rPr>
        <w:fldChar w:fldCharType="separate"/>
      </w:r>
      <w:r>
        <w:t xml:space="preserve">Figure </w:t>
      </w:r>
      <w:r>
        <w:rPr>
          <w:noProof/>
        </w:rPr>
        <w:t>1</w:t>
      </w:r>
      <w:r>
        <w:rPr>
          <w:rFonts w:eastAsia="Times New Roman"/>
          <w:lang w:eastAsia="zh-CN"/>
        </w:rPr>
        <w:fldChar w:fldCharType="end"/>
      </w:r>
      <w:r>
        <w:rPr>
          <w:rFonts w:eastAsia="Times New Roman"/>
          <w:lang w:eastAsia="zh-CN"/>
        </w:rPr>
        <w:t xml:space="preserve"> (a)) or </w:t>
      </w:r>
      <m:oMath>
        <m:d>
          <m:dPr>
            <m:begChr m:val="⌈"/>
            <m:endChr m:val="⌉"/>
            <m:ctrlPr>
              <w:rPr>
                <w:rFonts w:ascii="Cambria Math" w:eastAsia="Times New Roman" w:hAnsi="Cambria Math"/>
                <w:lang w:eastAsia="zh-CN"/>
              </w:rPr>
            </m:ctrlPr>
          </m:dPr>
          <m:e>
            <m:f>
              <m:fPr>
                <m:type m:val="lin"/>
                <m:ctrlPr>
                  <w:rPr>
                    <w:rFonts w:ascii="Cambria Math" w:eastAsia="Times New Roman" w:hAnsi="Cambria Math"/>
                    <w:i/>
                    <w:lang w:eastAsia="zh-CN"/>
                  </w:rPr>
                </m:ctrlPr>
              </m:fPr>
              <m:num>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VRB</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num>
              <m:den>
                <m:acc>
                  <m:accPr>
                    <m:chr m:val="̃"/>
                    <m:ctrlPr>
                      <w:rPr>
                        <w:rFonts w:ascii="Cambria Math" w:eastAsia="Times New Roman" w:hAnsi="Cambria Math"/>
                        <w:i/>
                        <w:lang w:eastAsia="zh-CN"/>
                      </w:rPr>
                    </m:ctrlPr>
                  </m:accPr>
                  <m:e>
                    <m:r>
                      <w:rPr>
                        <w:rFonts w:ascii="Cambria Math" w:eastAsia="Times New Roman" w:hAnsi="Cambria Math"/>
                        <w:lang w:eastAsia="zh-CN"/>
                      </w:rPr>
                      <m:t>P</m:t>
                    </m:r>
                  </m:e>
                </m:acc>
              </m:den>
            </m:f>
          </m:e>
        </m:d>
      </m:oMath>
      <w:r>
        <w:rPr>
          <w:rFonts w:eastAsia="Times New Roman"/>
          <w:lang w:eastAsia="zh-CN"/>
        </w:rPr>
        <w:t xml:space="preserve"> (</w:t>
      </w:r>
      <w:r>
        <w:rPr>
          <w:rFonts w:eastAsia="Times New Roman"/>
          <w:lang w:eastAsia="zh-CN"/>
        </w:rPr>
        <w:fldChar w:fldCharType="begin"/>
      </w:r>
      <w:r>
        <w:rPr>
          <w:rFonts w:eastAsia="Times New Roman"/>
          <w:lang w:eastAsia="zh-CN"/>
        </w:rPr>
        <w:instrText xml:space="preserve"> REF _Ref498541047 \h </w:instrText>
      </w:r>
      <w:r>
        <w:rPr>
          <w:rFonts w:eastAsia="Times New Roman"/>
          <w:lang w:eastAsia="zh-CN"/>
        </w:rPr>
      </w:r>
      <w:r>
        <w:rPr>
          <w:rFonts w:eastAsia="Times New Roman"/>
          <w:lang w:eastAsia="zh-CN"/>
        </w:rPr>
        <w:fldChar w:fldCharType="separate"/>
      </w:r>
      <w:r>
        <w:t xml:space="preserve">Figure </w:t>
      </w:r>
      <w:r>
        <w:rPr>
          <w:noProof/>
        </w:rPr>
        <w:t>1</w:t>
      </w:r>
      <w:r>
        <w:rPr>
          <w:rFonts w:eastAsia="Times New Roman"/>
          <w:lang w:eastAsia="zh-CN"/>
        </w:rPr>
        <w:fldChar w:fldCharType="end"/>
      </w:r>
      <w:r>
        <w:rPr>
          <w:rFonts w:eastAsia="Times New Roman"/>
          <w:lang w:eastAsia="zh-CN"/>
        </w:rPr>
        <w:t xml:space="preserve"> (b)), where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VRB</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oMath>
      <w:r>
        <w:rPr>
          <w:rFonts w:eastAsia="Times New Roman"/>
          <w:lang w:eastAsia="zh-CN"/>
        </w:rPr>
        <w:t xml:space="preserve"> is the total number of VRBs within the BWP.</w:t>
      </w:r>
    </w:p>
    <w:p w14:paraId="3750359E" w14:textId="3E513421" w:rsidR="003E668B" w:rsidRDefault="003E668B" w:rsidP="003E668B">
      <w:pPr>
        <w:rPr>
          <w:rFonts w:eastAsia="Times New Roman"/>
          <w:lang w:eastAsia="zh-CN"/>
        </w:rPr>
      </w:pPr>
      <w:r w:rsidRPr="000F1E17">
        <w:rPr>
          <w:rFonts w:eastAsia="Times New Roman"/>
          <w:b/>
          <w:u w:val="single"/>
          <w:lang w:eastAsia="zh-CN"/>
        </w:rPr>
        <w:t>Proposal</w:t>
      </w:r>
      <w:r w:rsidR="00D12A57">
        <w:rPr>
          <w:rFonts w:eastAsia="Times New Roman"/>
          <w:b/>
          <w:u w:val="single"/>
          <w:lang w:eastAsia="zh-CN"/>
        </w:rPr>
        <w:t xml:space="preserve"> 7</w:t>
      </w:r>
      <w:r w:rsidRPr="000F1E17">
        <w:rPr>
          <w:rFonts w:eastAsia="Times New Roman"/>
          <w:b/>
          <w:u w:val="single"/>
          <w:lang w:eastAsia="zh-CN"/>
        </w:rPr>
        <w:t>:</w:t>
      </w:r>
      <w:r>
        <w:rPr>
          <w:rFonts w:eastAsia="Times New Roman"/>
          <w:lang w:eastAsia="zh-CN"/>
        </w:rPr>
        <w:t xml:space="preserve"> Unit-wise interleaving, where a unit is composed of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consecutive RBs, is supported. For units on the edges of a BWP, unit sizes smaller than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are allowed.</w:t>
      </w:r>
    </w:p>
    <w:p w14:paraId="1B25B9B4" w14:textId="77777777" w:rsidR="003E668B" w:rsidRDefault="003E668B" w:rsidP="003E668B">
      <w:r>
        <w:object w:dxaOrig="9810" w:dyaOrig="6736" w14:anchorId="08B99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336.75pt" o:ole="">
            <v:imagedata r:id="rId12" o:title=""/>
          </v:shape>
          <o:OLEObject Type="Embed" ProgID="Visio.Drawing.11" ShapeID="_x0000_i1025" DrawAspect="Content" ObjectID="_1572464437" r:id="rId13"/>
        </w:object>
      </w:r>
    </w:p>
    <w:p w14:paraId="1151F6ED" w14:textId="77777777" w:rsidR="003E668B" w:rsidRDefault="003E668B" w:rsidP="00657B4D">
      <w:pPr>
        <w:pStyle w:val="Caption"/>
        <w:jc w:val="center"/>
        <w:rPr>
          <w:rFonts w:eastAsia="Times New Roman"/>
          <w:lang w:eastAsia="zh-CN"/>
        </w:rPr>
      </w:pPr>
      <w:bookmarkStart w:id="2" w:name="_Ref498541047"/>
      <w:r>
        <w:t xml:space="preserve">Figure </w:t>
      </w:r>
      <w:fldSimple w:instr=" SEQ Figure \* ARABIC ">
        <w:r>
          <w:rPr>
            <w:noProof/>
          </w:rPr>
          <w:t>1</w:t>
        </w:r>
      </w:fldSimple>
      <w:bookmarkEnd w:id="2"/>
      <w:r>
        <w:t>. Interleaving units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VRB</m:t>
            </m:r>
          </m:sub>
          <m:sup>
            <m:r>
              <m:rPr>
                <m:sty m:val="b"/>
              </m:rPr>
              <w:rPr>
                <w:rFonts w:ascii="Cambria Math" w:hAnsi="Cambria Math"/>
              </w:rPr>
              <m:t>BWP</m:t>
            </m:r>
          </m:sup>
        </m:sSubSup>
        <m:r>
          <m:rPr>
            <m:sty m:val="bi"/>
          </m:rPr>
          <w:rPr>
            <w:rFonts w:ascii="Cambria Math" w:hAnsi="Cambria Math"/>
          </w:rPr>
          <m:t>=16</m:t>
        </m:r>
      </m:oMath>
      <w:r>
        <w:rPr>
          <w:b w:val="0"/>
        </w:rPr>
        <w:t xml:space="preserve">, </w:t>
      </w:r>
      <m:oMath>
        <m:acc>
          <m:accPr>
            <m:chr m:val="̃"/>
            <m:ctrlPr>
              <w:rPr>
                <w:rFonts w:ascii="Cambria Math" w:hAnsi="Cambria Math"/>
                <w:b w:val="0"/>
                <w:i/>
              </w:rPr>
            </m:ctrlPr>
          </m:accPr>
          <m:e>
            <m:r>
              <m:rPr>
                <m:sty m:val="bi"/>
              </m:rPr>
              <w:rPr>
                <w:rFonts w:ascii="Cambria Math" w:hAnsi="Cambria Math"/>
              </w:rPr>
              <m:t>P</m:t>
            </m:r>
          </m:e>
        </m:acc>
        <m:r>
          <m:rPr>
            <m:sty m:val="bi"/>
          </m:rPr>
          <w:rPr>
            <w:rFonts w:ascii="Cambria Math" w:hAnsi="Cambria Math"/>
          </w:rPr>
          <m:t>=</m:t>
        </m:r>
        <m:sSup>
          <m:sSupPr>
            <m:ctrlPr>
              <w:rPr>
                <w:rFonts w:ascii="Cambria Math" w:hAnsi="Cambria Math"/>
                <w:b w:val="0"/>
                <w:i/>
              </w:rPr>
            </m:ctrlPr>
          </m:sSupPr>
          <m:e>
            <m:r>
              <m:rPr>
                <m:sty m:val="bi"/>
              </m:rPr>
              <w:rPr>
                <w:rFonts w:ascii="Cambria Math" w:hAnsi="Cambria Math"/>
              </w:rPr>
              <m:t>P</m:t>
            </m:r>
          </m:e>
          <m:sup>
            <m:r>
              <m:rPr>
                <m:sty m:val="bi"/>
              </m:rPr>
              <w:rPr>
                <w:rFonts w:ascii="Cambria Math" w:hAnsi="Cambria Math"/>
              </w:rPr>
              <m:t>'</m:t>
            </m:r>
          </m:sup>
        </m:sSup>
        <m:r>
          <m:rPr>
            <m:sty m:val="bi"/>
          </m:rPr>
          <w:rPr>
            <w:rFonts w:ascii="Cambria Math" w:hAnsi="Cambria Math"/>
          </w:rPr>
          <m:t>=4</m:t>
        </m:r>
      </m:oMath>
      <w:r w:rsidRPr="00170510">
        <w:t>): (a)</w:t>
      </w:r>
      <w:r>
        <w:rPr>
          <w:b w:val="0"/>
        </w:rPr>
        <w:t xml:space="preserve">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unit</m:t>
            </m:r>
            <m:ctrlPr>
              <w:rPr>
                <w:rFonts w:ascii="Cambria Math" w:hAnsi="Cambria Math"/>
                <w:b w:val="0"/>
              </w:rPr>
            </m:ctrlPr>
          </m:sub>
          <m:sup>
            <m:r>
              <m:rPr>
                <m:sty m:val="b"/>
              </m:rPr>
              <w:rPr>
                <w:rFonts w:ascii="Cambria Math" w:hAnsi="Cambria Math"/>
              </w:rPr>
              <m:t>BWP</m:t>
            </m:r>
          </m:sup>
        </m:sSubSup>
        <m:r>
          <m:rPr>
            <m:sty m:val="bi"/>
          </m:rPr>
          <w:rPr>
            <w:rFonts w:ascii="Cambria Math" w:hAnsi="Cambria Math"/>
          </w:rPr>
          <m:t>=5</m:t>
        </m:r>
      </m:oMath>
      <w:r w:rsidRPr="00170510">
        <w:t>,</w:t>
      </w:r>
      <w:r>
        <w:rPr>
          <w:b w:val="0"/>
        </w:rPr>
        <w:t xml:space="preserve"> </w:t>
      </w:r>
      <w:r w:rsidRPr="00170510">
        <w:t>(</w:t>
      </w:r>
      <w:r>
        <w:t>b</w:t>
      </w:r>
      <w:r w:rsidRPr="00170510">
        <w:t>)</w:t>
      </w:r>
      <w:r>
        <w:rPr>
          <w:b w:val="0"/>
        </w:rPr>
        <w:t xml:space="preserve">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unit</m:t>
            </m:r>
            <m:ctrlPr>
              <w:rPr>
                <w:rFonts w:ascii="Cambria Math" w:hAnsi="Cambria Math"/>
                <w:b w:val="0"/>
              </w:rPr>
            </m:ctrlPr>
          </m:sub>
          <m:sup>
            <m:r>
              <m:rPr>
                <m:sty m:val="b"/>
              </m:rPr>
              <w:rPr>
                <w:rFonts w:ascii="Cambria Math" w:hAnsi="Cambria Math"/>
              </w:rPr>
              <m:t>BWP</m:t>
            </m:r>
          </m:sup>
        </m:sSubSup>
        <m:r>
          <m:rPr>
            <m:sty m:val="bi"/>
          </m:rPr>
          <w:rPr>
            <w:rFonts w:ascii="Cambria Math" w:hAnsi="Cambria Math"/>
          </w:rPr>
          <m:t>=5</m:t>
        </m:r>
      </m:oMath>
    </w:p>
    <w:p w14:paraId="107A8EFC" w14:textId="77777777" w:rsidR="003E668B" w:rsidRPr="008701E9" w:rsidRDefault="003E668B" w:rsidP="003E668B">
      <w:pPr>
        <w:rPr>
          <w:rFonts w:eastAsia="Times New Roman"/>
          <w:lang w:eastAsia="zh-CN"/>
        </w:rPr>
      </w:pPr>
    </w:p>
    <w:p w14:paraId="48CC0574" w14:textId="77777777" w:rsidR="003E668B" w:rsidRPr="008701E9" w:rsidRDefault="003E668B" w:rsidP="003E668B">
      <w:pPr>
        <w:rPr>
          <w:rFonts w:eastAsia="Times New Roman"/>
          <w:lang w:eastAsia="zh-CN"/>
        </w:rPr>
      </w:pPr>
      <w:r>
        <w:rPr>
          <w:rFonts w:eastAsia="Times New Roman"/>
          <w:lang w:eastAsia="zh-CN"/>
        </w:rPr>
        <w:t xml:space="preserve">A simple row-column interleaver design, which is similar to the LTE design, can be used to define the VRB-to-PRB mapping function </w:t>
      </w:r>
      <m:oMath>
        <m:r>
          <w:rPr>
            <w:rFonts w:ascii="Cambria Math" w:eastAsia="Times New Roman" w:hAnsi="Cambria Math"/>
            <w:lang w:eastAsia="zh-CN"/>
          </w:rPr>
          <m:t>f</m:t>
        </m:r>
        <m:d>
          <m:dPr>
            <m:ctrlPr>
              <w:rPr>
                <w:rFonts w:ascii="Cambria Math" w:eastAsia="Times New Roman" w:hAnsi="Cambria Math"/>
                <w:i/>
                <w:lang w:eastAsia="zh-CN"/>
              </w:rPr>
            </m:ctrlPr>
          </m:dPr>
          <m:e>
            <m:r>
              <w:rPr>
                <w:rFonts w:ascii="Cambria Math" w:eastAsia="Times New Roman" w:hAnsi="Cambria Math"/>
                <w:lang w:eastAsia="zh-CN"/>
              </w:rPr>
              <m:t>i</m:t>
            </m:r>
          </m:e>
        </m:d>
      </m:oMath>
      <w:r>
        <w:rPr>
          <w:rFonts w:eastAsia="Times New Roman"/>
          <w:lang w:eastAsia="zh-CN"/>
        </w:rPr>
        <w:t xml:space="preserve">, i.e., VRB interleaving unit </w:t>
      </w:r>
      <m:oMath>
        <m:r>
          <w:rPr>
            <w:rFonts w:ascii="Cambria Math" w:eastAsia="Times New Roman" w:hAnsi="Cambria Math"/>
            <w:lang w:eastAsia="zh-CN"/>
          </w:rPr>
          <m:t>i</m:t>
        </m:r>
      </m:oMath>
      <w:r>
        <w:rPr>
          <w:rFonts w:eastAsia="Times New Roman"/>
          <w:lang w:eastAsia="zh-CN"/>
        </w:rPr>
        <w:t xml:space="preserve"> is mapped to PRB interleaving unit </w:t>
      </w:r>
      <m:oMath>
        <m:r>
          <w:rPr>
            <w:rFonts w:ascii="Cambria Math" w:eastAsia="Times New Roman" w:hAnsi="Cambria Math"/>
            <w:lang w:eastAsia="zh-CN"/>
          </w:rPr>
          <m:t>f</m:t>
        </m:r>
        <m:d>
          <m:dPr>
            <m:ctrlPr>
              <w:rPr>
                <w:rFonts w:ascii="Cambria Math" w:eastAsia="Times New Roman" w:hAnsi="Cambria Math"/>
                <w:i/>
                <w:lang w:eastAsia="zh-CN"/>
              </w:rPr>
            </m:ctrlPr>
          </m:dPr>
          <m:e>
            <m:r>
              <w:rPr>
                <w:rFonts w:ascii="Cambria Math" w:eastAsia="Times New Roman" w:hAnsi="Cambria Math"/>
                <w:lang w:eastAsia="zh-CN"/>
              </w:rPr>
              <m:t>i</m:t>
            </m:r>
          </m:e>
        </m:d>
      </m:oMath>
      <w:r>
        <w:rPr>
          <w:rFonts w:eastAsia="Times New Roman"/>
          <w:lang w:eastAsia="zh-CN"/>
        </w:rPr>
        <w:t xml:space="preserve">. Given number of columns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col</m:t>
            </m:r>
          </m:sub>
        </m:sSub>
      </m:oMath>
      <w:r>
        <w:rPr>
          <w:rFonts w:eastAsia="Times New Roman"/>
          <w:lang w:eastAsia="zh-CN"/>
        </w:rPr>
        <w:t xml:space="preserve">, the number of rows of the rectangular matrix is given by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row</m:t>
            </m:r>
          </m:sub>
        </m:sSub>
        <m:r>
          <w:rPr>
            <w:rFonts w:ascii="Cambria Math" w:eastAsia="Times New Roman" w:hAnsi="Cambria Math"/>
            <w:lang w:eastAsia="zh-CN"/>
          </w:rPr>
          <m:t>=</m:t>
        </m:r>
        <m:d>
          <m:dPr>
            <m:begChr m:val="⌈"/>
            <m:endChr m:val="⌉"/>
            <m:ctrlPr>
              <w:rPr>
                <w:rFonts w:ascii="Cambria Math" w:eastAsia="Times New Roman" w:hAnsi="Cambria Math"/>
                <w:lang w:eastAsia="zh-CN"/>
              </w:rPr>
            </m:ctrlPr>
          </m:dPr>
          <m:e>
            <m:f>
              <m:fPr>
                <m:type m:val="lin"/>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unit</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col</m:t>
                    </m:r>
                  </m:sub>
                </m:sSub>
              </m:den>
            </m:f>
          </m:e>
        </m:d>
      </m:oMath>
      <w:r>
        <w:rPr>
          <w:rFonts w:eastAsia="Times New Roman"/>
          <w:lang w:eastAsia="zh-CN"/>
        </w:rPr>
        <w:t xml:space="preserve">. Then VRB unit indices are written row by row in the rectangular matrix, and read out column by column. Nulls, which are ignored when reading out, can be inserted to fill the remaining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null</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col</m:t>
            </m:r>
          </m:sub>
        </m:sSub>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row</m:t>
            </m:r>
          </m:sub>
        </m:sSub>
        <m:r>
          <w:rPr>
            <w:rFonts w:ascii="Cambria Math" w:eastAsia="Times New Roman" w:hAnsi="Cambria Math"/>
            <w:lang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unit</m:t>
            </m:r>
            <m:ctrlPr>
              <w:rPr>
                <w:rFonts w:ascii="Cambria Math" w:eastAsia="Times New Roman" w:hAnsi="Cambria Math"/>
                <w:lang w:eastAsia="zh-CN"/>
              </w:rPr>
            </m:ctrlPr>
          </m:sub>
          <m:sup>
            <m:r>
              <m:rPr>
                <m:sty m:val="p"/>
              </m:rPr>
              <w:rPr>
                <w:rFonts w:ascii="Cambria Math" w:eastAsia="Times New Roman" w:hAnsi="Cambria Math"/>
                <w:lang w:eastAsia="zh-CN"/>
              </w:rPr>
              <m:t>BWP</m:t>
            </m:r>
          </m:sup>
        </m:sSubSup>
      </m:oMath>
      <w:r>
        <w:rPr>
          <w:rFonts w:eastAsia="Times New Roman"/>
          <w:lang w:eastAsia="zh-CN"/>
        </w:rPr>
        <w:t xml:space="preserve"> entries of the matrix. In some cases, nulls may also be used to avoid resource mapping to a specific unit, such as partial units whose sizes are less than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at the edges of the BWP.</w:t>
      </w:r>
    </w:p>
    <w:p w14:paraId="55FA1DEA" w14:textId="18F3C474" w:rsidR="003E668B" w:rsidRDefault="003E668B" w:rsidP="003E668B">
      <w:pPr>
        <w:rPr>
          <w:rFonts w:eastAsia="Times New Roman"/>
          <w:lang w:eastAsia="zh-CN"/>
        </w:rPr>
      </w:pPr>
      <w:r w:rsidRPr="00657B4D">
        <w:rPr>
          <w:rFonts w:eastAsia="Times New Roman"/>
          <w:b/>
          <w:u w:val="single"/>
          <w:lang w:eastAsia="zh-CN"/>
        </w:rPr>
        <w:t>Proposal</w:t>
      </w:r>
      <w:r w:rsidR="00D12A57">
        <w:rPr>
          <w:rFonts w:eastAsia="Times New Roman"/>
          <w:b/>
          <w:u w:val="single"/>
          <w:lang w:eastAsia="zh-CN"/>
        </w:rPr>
        <w:t xml:space="preserve"> 8</w:t>
      </w:r>
      <w:r w:rsidRPr="00657B4D">
        <w:rPr>
          <w:rFonts w:eastAsia="Times New Roman"/>
          <w:b/>
          <w:u w:val="single"/>
          <w:lang w:eastAsia="zh-CN"/>
        </w:rPr>
        <w:t>:</w:t>
      </w:r>
      <w:r>
        <w:rPr>
          <w:rFonts w:eastAsia="Times New Roman"/>
          <w:lang w:eastAsia="zh-CN"/>
        </w:rPr>
        <w:t xml:space="preserve"> RRC configuration of BWP may include the configuration of VRB-to-PRB mapping, i.e. the interleaving unit size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FFS: Number of columns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col</m:t>
            </m:r>
          </m:sub>
        </m:sSub>
      </m:oMath>
      <w:r>
        <w:rPr>
          <w:rFonts w:eastAsia="Times New Roman"/>
          <w:lang w:eastAsia="zh-CN"/>
        </w:rPr>
        <w:t xml:space="preserve"> to be specified or RRC-configured.</w:t>
      </w:r>
    </w:p>
    <w:p w14:paraId="07A73904" w14:textId="269F73C2" w:rsidR="00583503" w:rsidRPr="00583503" w:rsidRDefault="00583503" w:rsidP="00583503">
      <w:pPr>
        <w:rPr>
          <w:rFonts w:eastAsia="Times New Roman"/>
          <w:lang w:eastAsia="zh-CN"/>
        </w:rPr>
      </w:pPr>
    </w:p>
    <w:p w14:paraId="12F9DDB6" w14:textId="3A9D7C91" w:rsidR="00587EA1" w:rsidRDefault="007A468B" w:rsidP="00587EA1">
      <w:pPr>
        <w:pStyle w:val="Heading1"/>
      </w:pPr>
      <w:r>
        <w:t>TBS Determination</w:t>
      </w:r>
    </w:p>
    <w:p w14:paraId="46C0A5AF" w14:textId="51BAE76D" w:rsidR="00EB3C6C" w:rsidRPr="00EB3C6C" w:rsidRDefault="00850A04" w:rsidP="00EB3C6C">
      <w:pPr>
        <w:rPr>
          <w:lang w:val="en-GB"/>
        </w:rPr>
      </w:pPr>
      <w:r>
        <w:rPr>
          <w:lang w:val="en-GB"/>
        </w:rPr>
        <w:t xml:space="preserve">From RAN1 #90bis, the following progress was made on the TBS calculation in the agreement below. For this section, we discuss two remaining aspects of the design, namely the </w:t>
      </w:r>
      <w:r w:rsidR="00B243FF">
        <w:rPr>
          <w:lang w:val="en-GB"/>
        </w:rPr>
        <w:t xml:space="preserve">(1) </w:t>
      </w:r>
      <w:r>
        <w:rPr>
          <w:lang w:val="en-GB"/>
        </w:rPr>
        <w:t xml:space="preserve">quantization of X RE’s per PRB and </w:t>
      </w:r>
      <w:r w:rsidR="00B243FF">
        <w:rPr>
          <w:lang w:val="en-GB"/>
        </w:rPr>
        <w:t xml:space="preserve">(2) </w:t>
      </w:r>
      <w:r>
        <w:rPr>
          <w:lang w:val="en-GB"/>
        </w:rPr>
        <w:t>the further calcula</w:t>
      </w:r>
      <w:r w:rsidR="00B243FF">
        <w:rPr>
          <w:lang w:val="en-GB"/>
        </w:rPr>
        <w:t>tion of final TBS size from the</w:t>
      </w:r>
      <w:r w:rsidR="00B243FF">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oMath>
      <w:r w:rsidR="00B243FF">
        <w:rPr>
          <w:iCs/>
        </w:rPr>
        <w:t xml:space="preserve"> </w:t>
      </w:r>
      <w:r w:rsidR="00B243FF">
        <w:t xml:space="preserve">calculated in the first part and the </w:t>
      </w:r>
      <m:oMath>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m:t>
        </m:r>
      </m:oMath>
      <w:r w:rsidR="00B243FF">
        <w:t xml:space="preserve"> available from the DCI.</w:t>
      </w:r>
    </w:p>
    <w:p w14:paraId="02B8C4D6" w14:textId="77777777" w:rsidR="00583503" w:rsidRDefault="00583503" w:rsidP="00583503">
      <w:pPr>
        <w:rPr>
          <w:highlight w:val="green"/>
        </w:rPr>
      </w:pPr>
      <w:r>
        <w:rPr>
          <w:highlight w:val="green"/>
        </w:rPr>
        <w:t>Agreements:</w:t>
      </w:r>
    </w:p>
    <w:p w14:paraId="05640403" w14:textId="77777777" w:rsidR="00583503" w:rsidRDefault="00583503" w:rsidP="00583503">
      <w:pPr>
        <w:numPr>
          <w:ilvl w:val="0"/>
          <w:numId w:val="41"/>
        </w:numPr>
        <w:overflowPunct/>
        <w:autoSpaceDE/>
        <w:autoSpaceDN/>
        <w:adjustRightInd/>
        <w:spacing w:after="0"/>
        <w:ind w:left="1440"/>
        <w:textAlignment w:val="auto"/>
        <w:rPr>
          <w:szCs w:val="24"/>
        </w:rPr>
      </w:pPr>
      <w:r>
        <w:t xml:space="preserve">Calculate an “intermediate” number of information bits </w:t>
      </w:r>
      <w:r>
        <w:rPr>
          <w:i/>
        </w:rPr>
        <w:t>N</w:t>
      </w:r>
      <w:r>
        <w:rPr>
          <w:i/>
          <w:vertAlign w:val="subscript"/>
        </w:rPr>
        <w:t>RE</w:t>
      </w:r>
      <w:r>
        <w:rPr>
          <w:i/>
        </w:rPr>
        <w:t>*v*Q</w:t>
      </w:r>
      <w:r>
        <w:rPr>
          <w:i/>
          <w:vertAlign w:val="subscript"/>
        </w:rPr>
        <w:t>m</w:t>
      </w:r>
      <w:r>
        <w:rPr>
          <w:i/>
        </w:rPr>
        <w:t>*R</w:t>
      </w:r>
      <w:r>
        <w:t xml:space="preserve">  where </w:t>
      </w:r>
    </w:p>
    <w:p w14:paraId="68FA9865" w14:textId="77777777" w:rsidR="00583503" w:rsidRDefault="00583503" w:rsidP="00583503">
      <w:pPr>
        <w:numPr>
          <w:ilvl w:val="1"/>
          <w:numId w:val="41"/>
        </w:numPr>
        <w:overflowPunct/>
        <w:autoSpaceDE/>
        <w:autoSpaceDN/>
        <w:adjustRightInd/>
        <w:spacing w:after="0"/>
        <w:ind w:left="2160"/>
        <w:textAlignment w:val="auto"/>
      </w:pPr>
      <w:r>
        <w:rPr>
          <w:i/>
        </w:rPr>
        <w:t>v</w:t>
      </w:r>
      <w:r>
        <w:t xml:space="preserve"> is the number of layers, </w:t>
      </w:r>
    </w:p>
    <w:p w14:paraId="70B53917" w14:textId="77777777" w:rsidR="00583503" w:rsidRDefault="00583503" w:rsidP="00583503">
      <w:pPr>
        <w:numPr>
          <w:ilvl w:val="1"/>
          <w:numId w:val="41"/>
        </w:numPr>
        <w:overflowPunct/>
        <w:autoSpaceDE/>
        <w:autoSpaceDN/>
        <w:adjustRightInd/>
        <w:spacing w:after="0"/>
        <w:ind w:left="2160"/>
        <w:textAlignment w:val="auto"/>
      </w:pPr>
      <w:r>
        <w:rPr>
          <w:i/>
        </w:rPr>
        <w:t>Q</w:t>
      </w:r>
      <w:r>
        <w:rPr>
          <w:i/>
          <w:vertAlign w:val="subscript"/>
        </w:rPr>
        <w:t>m</w:t>
      </w:r>
      <w:r>
        <w:t xml:space="preserve"> is the modulation order, obtained from the MCS index</w:t>
      </w:r>
    </w:p>
    <w:p w14:paraId="735C132D" w14:textId="77777777" w:rsidR="00583503" w:rsidRDefault="00583503" w:rsidP="00583503">
      <w:pPr>
        <w:numPr>
          <w:ilvl w:val="1"/>
          <w:numId w:val="41"/>
        </w:numPr>
        <w:overflowPunct/>
        <w:autoSpaceDE/>
        <w:autoSpaceDN/>
        <w:adjustRightInd/>
        <w:spacing w:after="0"/>
        <w:ind w:left="2160"/>
        <w:textAlignment w:val="auto"/>
      </w:pPr>
      <w:r>
        <w:rPr>
          <w:i/>
        </w:rPr>
        <w:t>R</w:t>
      </w:r>
      <w:r>
        <w:t xml:space="preserve"> is the code rate, obtained from the MCS index</w:t>
      </w:r>
    </w:p>
    <w:p w14:paraId="2E588DE0" w14:textId="77777777" w:rsidR="00583503" w:rsidRDefault="00583503" w:rsidP="00583503">
      <w:pPr>
        <w:numPr>
          <w:ilvl w:val="1"/>
          <w:numId w:val="41"/>
        </w:numPr>
        <w:overflowPunct/>
        <w:autoSpaceDE/>
        <w:autoSpaceDN/>
        <w:adjustRightInd/>
        <w:spacing w:after="0"/>
        <w:ind w:left="2160"/>
        <w:textAlignment w:val="auto"/>
      </w:pPr>
      <w:r>
        <w:rPr>
          <w:i/>
        </w:rPr>
        <w:t>N</w:t>
      </w:r>
      <w:r>
        <w:rPr>
          <w:i/>
          <w:vertAlign w:val="subscript"/>
        </w:rPr>
        <w:t>RE</w:t>
      </w:r>
      <w:r>
        <w:t xml:space="preserve"> is number of resource elements</w:t>
      </w:r>
    </w:p>
    <w:p w14:paraId="16478CD7" w14:textId="77777777" w:rsidR="00583503" w:rsidRDefault="00583503" w:rsidP="00583503">
      <w:pPr>
        <w:numPr>
          <w:ilvl w:val="1"/>
          <w:numId w:val="41"/>
        </w:numPr>
        <w:overflowPunct/>
        <w:autoSpaceDE/>
        <w:autoSpaceDN/>
        <w:adjustRightInd/>
        <w:spacing w:after="0"/>
        <w:ind w:left="2160"/>
        <w:textAlignment w:val="auto"/>
      </w:pPr>
      <w:r>
        <w:rPr>
          <w:i/>
        </w:rPr>
        <w:t>N</w:t>
      </w:r>
      <w:r>
        <w:rPr>
          <w:i/>
          <w:vertAlign w:val="subscript"/>
        </w:rPr>
        <w:t>RE</w:t>
      </w:r>
      <w:r>
        <w:t xml:space="preserve"> = Y* #PRBs_scheduled</w:t>
      </w:r>
    </w:p>
    <w:p w14:paraId="51F2CC00" w14:textId="77777777" w:rsidR="00583503" w:rsidRDefault="00583503" w:rsidP="00583503">
      <w:pPr>
        <w:pStyle w:val="ListParagraph"/>
        <w:numPr>
          <w:ilvl w:val="0"/>
          <w:numId w:val="41"/>
        </w:numPr>
        <w:contextualSpacing/>
      </w:pPr>
      <w:r>
        <w:t xml:space="preserve">When determining </w:t>
      </w:r>
      <w:r>
        <w:rPr>
          <w:i/>
        </w:rPr>
        <w:t>N</w:t>
      </w:r>
      <w:r>
        <w:rPr>
          <w:i/>
          <w:vertAlign w:val="subscript"/>
        </w:rPr>
        <w:t>RE</w:t>
      </w:r>
      <w:r>
        <w:rPr>
          <w:iCs/>
          <w:lang w:eastAsia="zh-CN"/>
        </w:rPr>
        <w:t xml:space="preserve"> (number of REs) within a slot</w:t>
      </w:r>
    </w:p>
    <w:p w14:paraId="6A89092B" w14:textId="77777777" w:rsidR="00583503" w:rsidRDefault="00583503" w:rsidP="00583503">
      <w:pPr>
        <w:pStyle w:val="BodyText"/>
        <w:numPr>
          <w:ilvl w:val="1"/>
          <w:numId w:val="41"/>
        </w:numPr>
        <w:overflowPunct/>
        <w:autoSpaceDE/>
        <w:autoSpaceDN/>
        <w:adjustRightInd/>
        <w:textAlignment w:val="auto"/>
        <w:rPr>
          <w:szCs w:val="20"/>
        </w:rPr>
      </w:pPr>
      <w:r>
        <w:rPr>
          <w:szCs w:val="20"/>
        </w:rPr>
        <w:t xml:space="preserve">Determine  X =  12* #OFDM_symbols_scheduled – Xd – Xoh </w:t>
      </w:r>
    </w:p>
    <w:p w14:paraId="2631A96A" w14:textId="77777777" w:rsidR="00583503" w:rsidRDefault="00583503" w:rsidP="00583503">
      <w:pPr>
        <w:pStyle w:val="BodyText"/>
        <w:numPr>
          <w:ilvl w:val="2"/>
          <w:numId w:val="41"/>
        </w:numPr>
        <w:overflowPunct/>
        <w:autoSpaceDE/>
        <w:autoSpaceDN/>
        <w:adjustRightInd/>
        <w:textAlignment w:val="auto"/>
        <w:rPr>
          <w:szCs w:val="20"/>
        </w:rPr>
      </w:pPr>
      <w:r>
        <w:rPr>
          <w:szCs w:val="20"/>
        </w:rPr>
        <w:t>Xd = #REs_for_DMRS_per_PRB in the scheduled duration</w:t>
      </w:r>
    </w:p>
    <w:p w14:paraId="5A3D0579" w14:textId="77777777" w:rsidR="00583503" w:rsidRDefault="00583503" w:rsidP="00583503">
      <w:pPr>
        <w:pStyle w:val="BodyText"/>
        <w:numPr>
          <w:ilvl w:val="2"/>
          <w:numId w:val="41"/>
        </w:numPr>
        <w:overflowPunct/>
        <w:autoSpaceDE/>
        <w:autoSpaceDN/>
        <w:adjustRightInd/>
        <w:textAlignment w:val="auto"/>
        <w:rPr>
          <w:szCs w:val="20"/>
        </w:rPr>
      </w:pPr>
      <w:r>
        <w:rPr>
          <w:szCs w:val="20"/>
        </w:rPr>
        <w:t>Xoh = accounts for overhead from CSI-RS, CORESET, etc. One value for UL, one for DL.</w:t>
      </w:r>
    </w:p>
    <w:p w14:paraId="7207D51C" w14:textId="77777777" w:rsidR="00583503" w:rsidRDefault="00583503" w:rsidP="00583503">
      <w:pPr>
        <w:pStyle w:val="BodyText"/>
        <w:numPr>
          <w:ilvl w:val="3"/>
          <w:numId w:val="41"/>
        </w:numPr>
        <w:overflowPunct/>
        <w:autoSpaceDE/>
        <w:autoSpaceDN/>
        <w:adjustRightInd/>
        <w:textAlignment w:val="auto"/>
        <w:rPr>
          <w:szCs w:val="20"/>
        </w:rPr>
      </w:pPr>
      <w:r>
        <w:rPr>
          <w:szCs w:val="20"/>
        </w:rPr>
        <w:t>Xoh is semi-statically determined</w:t>
      </w:r>
    </w:p>
    <w:p w14:paraId="3187916D" w14:textId="77777777" w:rsidR="00583503" w:rsidRDefault="00583503" w:rsidP="00583503">
      <w:pPr>
        <w:pStyle w:val="BodyText"/>
        <w:numPr>
          <w:ilvl w:val="1"/>
          <w:numId w:val="41"/>
        </w:numPr>
        <w:overflowPunct/>
        <w:autoSpaceDE/>
        <w:autoSpaceDN/>
        <w:adjustRightInd/>
        <w:textAlignment w:val="auto"/>
        <w:rPr>
          <w:szCs w:val="20"/>
        </w:rPr>
      </w:pPr>
      <w:r>
        <w:rPr>
          <w:szCs w:val="20"/>
        </w:rPr>
        <w:t>Quantize X into one of a predefined set of values, resulting in Y</w:t>
      </w:r>
    </w:p>
    <w:p w14:paraId="38E2DEFC" w14:textId="77777777" w:rsidR="00583503" w:rsidRDefault="00583503" w:rsidP="00583503">
      <w:pPr>
        <w:pStyle w:val="BodyText"/>
        <w:numPr>
          <w:ilvl w:val="2"/>
          <w:numId w:val="41"/>
        </w:numPr>
        <w:overflowPunct/>
        <w:autoSpaceDE/>
        <w:autoSpaceDN/>
        <w:adjustRightInd/>
        <w:textAlignment w:val="auto"/>
        <w:rPr>
          <w:szCs w:val="20"/>
        </w:rPr>
      </w:pPr>
      <w:r>
        <w:rPr>
          <w:szCs w:val="20"/>
        </w:rPr>
        <w:t>[8] values</w:t>
      </w:r>
    </w:p>
    <w:p w14:paraId="729141F6" w14:textId="77777777" w:rsidR="00583503" w:rsidRDefault="00583503" w:rsidP="00583503">
      <w:pPr>
        <w:pStyle w:val="BodyText"/>
        <w:numPr>
          <w:ilvl w:val="3"/>
          <w:numId w:val="41"/>
        </w:numPr>
        <w:overflowPunct/>
        <w:autoSpaceDE/>
        <w:autoSpaceDN/>
        <w:adjustRightInd/>
        <w:textAlignment w:val="auto"/>
        <w:rPr>
          <w:szCs w:val="20"/>
        </w:rPr>
      </w:pPr>
      <w:r>
        <w:rPr>
          <w:szCs w:val="20"/>
        </w:rPr>
        <w:t>Should allow for reasonable accuracy for all transmission durations</w:t>
      </w:r>
    </w:p>
    <w:p w14:paraId="499C6118" w14:textId="77777777" w:rsidR="00583503" w:rsidRDefault="00583503" w:rsidP="00583503">
      <w:pPr>
        <w:pStyle w:val="BodyText"/>
        <w:numPr>
          <w:ilvl w:val="3"/>
          <w:numId w:val="41"/>
        </w:numPr>
        <w:overflowPunct/>
        <w:autoSpaceDE/>
        <w:autoSpaceDN/>
        <w:adjustRightInd/>
        <w:textAlignment w:val="auto"/>
        <w:rPr>
          <w:szCs w:val="20"/>
        </w:rPr>
      </w:pPr>
      <w:r>
        <w:rPr>
          <w:szCs w:val="20"/>
        </w:rPr>
        <w:t>May depend on the number of scheduled symbols</w:t>
      </w:r>
    </w:p>
    <w:p w14:paraId="0F45B0C3" w14:textId="77777777" w:rsidR="00583503" w:rsidRDefault="00583503" w:rsidP="00583503">
      <w:pPr>
        <w:pStyle w:val="BodyText"/>
        <w:numPr>
          <w:ilvl w:val="2"/>
          <w:numId w:val="41"/>
        </w:numPr>
        <w:overflowPunct/>
        <w:autoSpaceDE/>
        <w:autoSpaceDN/>
        <w:adjustRightInd/>
        <w:textAlignment w:val="auto"/>
        <w:rPr>
          <w:szCs w:val="20"/>
        </w:rPr>
      </w:pPr>
      <w:r>
        <w:rPr>
          <w:szCs w:val="20"/>
        </w:rPr>
        <w:t>FFS: floor, ceiling or some other quantization</w:t>
      </w:r>
    </w:p>
    <w:p w14:paraId="7F9AD08C" w14:textId="77777777" w:rsidR="00583503" w:rsidRDefault="00583503" w:rsidP="00583503">
      <w:pPr>
        <w:pStyle w:val="BodyText"/>
        <w:numPr>
          <w:ilvl w:val="2"/>
          <w:numId w:val="41"/>
        </w:numPr>
        <w:overflowPunct/>
        <w:autoSpaceDE/>
        <w:autoSpaceDN/>
        <w:adjustRightInd/>
        <w:textAlignment w:val="auto"/>
        <w:rPr>
          <w:szCs w:val="20"/>
        </w:rPr>
      </w:pPr>
      <w:r>
        <w:rPr>
          <w:szCs w:val="20"/>
        </w:rPr>
        <w:t>Note: quantization may not be needed</w:t>
      </w:r>
    </w:p>
    <w:p w14:paraId="713F9566" w14:textId="77777777" w:rsidR="00583503" w:rsidRDefault="00583503" w:rsidP="00583503">
      <w:pPr>
        <w:pStyle w:val="BodyText"/>
        <w:numPr>
          <w:ilvl w:val="2"/>
          <w:numId w:val="41"/>
        </w:numPr>
        <w:overflowPunct/>
        <w:autoSpaceDE/>
        <w:autoSpaceDN/>
        <w:adjustRightInd/>
        <w:textAlignment w:val="auto"/>
        <w:rPr>
          <w:szCs w:val="20"/>
        </w:rPr>
      </w:pPr>
      <w:r w:rsidRPr="008B3EA4">
        <w:rPr>
          <w:szCs w:val="20"/>
          <w:highlight w:val="magenta"/>
        </w:rPr>
        <w:t>FFS: Quantization step</w:t>
      </w:r>
      <w:r>
        <w:rPr>
          <w:szCs w:val="20"/>
        </w:rPr>
        <w:t xml:space="preserve"> should ensure the same TB size can be obtained between transmission and retransmission, irrespective of the number of layers used for the retransmission. otherwise Xd has to be independent of the number of layers</w:t>
      </w:r>
    </w:p>
    <w:p w14:paraId="2F5364B7" w14:textId="46C10E5B" w:rsidR="00583503" w:rsidRDefault="00583503" w:rsidP="00583503">
      <w:pPr>
        <w:pStyle w:val="BodyText"/>
        <w:numPr>
          <w:ilvl w:val="0"/>
          <w:numId w:val="41"/>
        </w:numPr>
        <w:overflowPunct/>
        <w:autoSpaceDE/>
        <w:autoSpaceDN/>
        <w:adjustRightInd/>
        <w:textAlignment w:val="auto"/>
      </w:pPr>
      <w:r>
        <w:t>Obtain the actual TB size from the intermediate number of information bits according to the channel coding decisions</w:t>
      </w:r>
    </w:p>
    <w:p w14:paraId="77509238" w14:textId="77777777" w:rsidR="005C5277" w:rsidRDefault="005C5277" w:rsidP="005C5277">
      <w:pPr>
        <w:pStyle w:val="BodyText"/>
        <w:overflowPunct/>
        <w:autoSpaceDE/>
        <w:autoSpaceDN/>
        <w:adjustRightInd/>
        <w:textAlignment w:val="auto"/>
      </w:pPr>
    </w:p>
    <w:p w14:paraId="12508F14" w14:textId="5D033D11" w:rsidR="005C5277" w:rsidRDefault="002D48B8" w:rsidP="005C5277">
      <w:pPr>
        <w:pStyle w:val="Heading2"/>
      </w:pPr>
      <w:r>
        <w:t>Quantization to Reference REs per RB</w:t>
      </w:r>
    </w:p>
    <w:p w14:paraId="010B8BE4" w14:textId="7566367B" w:rsidR="002D48B8" w:rsidRDefault="002D48B8" w:rsidP="002D48B8">
      <w:pPr>
        <w:rPr>
          <w:lang w:val="en-GB"/>
        </w:rPr>
      </w:pPr>
      <w:r>
        <w:rPr>
          <w:lang w:val="en-GB"/>
        </w:rPr>
        <w:t>In the above formulation, there is an FFS step on dealing quantization of the X. This can allow a coarser granularity which allows flexibility in re-transmission resource allocation if TBS sizes can be re-used. (Other techniques in the next section can also be employed to handle this). The tradeoff however is to ensure small deviation from the actual number of REs per RB calculated by X.</w:t>
      </w:r>
    </w:p>
    <w:p w14:paraId="6D4503AB" w14:textId="1733CD57" w:rsidR="002D48B8" w:rsidRDefault="002D48B8" w:rsidP="002D48B8">
      <w:pPr>
        <w:rPr>
          <w:lang w:val="en-GB"/>
        </w:rPr>
      </w:pPr>
      <w:r>
        <w:rPr>
          <w:lang w:val="en-GB"/>
        </w:rPr>
        <w:t xml:space="preserve">Given that the time domain allocations can vary from 1 symbol to 14 symbols, and that the DMRS overhead can reduce the number of REs by up to ½, the quantization set target can nominally target some effective number of symbols, e.g., 0.5, 1, </w:t>
      </w:r>
      <w:r w:rsidR="00603460">
        <w:rPr>
          <w:lang w:val="en-GB"/>
        </w:rPr>
        <w:t>1.5</w:t>
      </w:r>
      <w:r>
        <w:rPr>
          <w:lang w:val="en-GB"/>
        </w:rPr>
        <w:t>, 3, 6, 9, 12, thus giving a quantization set of {6,12,</w:t>
      </w:r>
      <w:r w:rsidR="00603460">
        <w:rPr>
          <w:lang w:val="en-GB"/>
        </w:rPr>
        <w:t>18</w:t>
      </w:r>
      <w:r>
        <w:rPr>
          <w:lang w:val="en-GB"/>
        </w:rPr>
        <w:t xml:space="preserve">,36,72,108,144} REs. </w:t>
      </w:r>
    </w:p>
    <w:p w14:paraId="7C102E90" w14:textId="7A0482A6" w:rsidR="002D48B8" w:rsidRDefault="002D48B8" w:rsidP="002D48B8">
      <w:pPr>
        <w:rPr>
          <w:lang w:val="en-GB"/>
        </w:rPr>
      </w:pPr>
      <w:r>
        <w:rPr>
          <w:lang w:val="en-GB"/>
        </w:rPr>
        <w:t>Additionally, it is also beneficial to allow this quantization set to be configurable to improve accuracy for peak rate driven applications, or to result in coarse granularity if there are no mini-slot PDSCH allocations supported.</w:t>
      </w:r>
    </w:p>
    <w:p w14:paraId="1A1508AD" w14:textId="43F81039" w:rsidR="002D48B8" w:rsidRDefault="002D48B8" w:rsidP="002D48B8">
      <w:pPr>
        <w:rPr>
          <w:lang w:val="en-GB"/>
        </w:rPr>
      </w:pPr>
      <w:r w:rsidRPr="00603460">
        <w:rPr>
          <w:b/>
          <w:u w:val="single"/>
          <w:lang w:val="en-GB"/>
        </w:rPr>
        <w:t>Proposal</w:t>
      </w:r>
      <w:r w:rsidR="00D12A57">
        <w:rPr>
          <w:b/>
          <w:u w:val="single"/>
          <w:lang w:val="en-GB"/>
        </w:rPr>
        <w:t xml:space="preserve"> 9</w:t>
      </w:r>
      <w:r w:rsidRPr="00603460">
        <w:rPr>
          <w:b/>
          <w:u w:val="single"/>
          <w:lang w:val="en-GB"/>
        </w:rPr>
        <w:t>:</w:t>
      </w:r>
      <w:r>
        <w:rPr>
          <w:lang w:val="en-GB"/>
        </w:rPr>
        <w:t xml:space="preserve"> The quantization of X into Y should use a predefined </w:t>
      </w:r>
      <w:r w:rsidR="00603460">
        <w:rPr>
          <w:lang w:val="en-GB"/>
        </w:rPr>
        <w:t>set of values {6,12,18,36,72,108,144}.</w:t>
      </w:r>
    </w:p>
    <w:p w14:paraId="2C5CB8E2" w14:textId="1B18B1AC" w:rsidR="00603460" w:rsidRDefault="00603460" w:rsidP="00603460">
      <w:pPr>
        <w:pStyle w:val="ListParagraph"/>
        <w:numPr>
          <w:ilvl w:val="0"/>
          <w:numId w:val="43"/>
        </w:numPr>
        <w:rPr>
          <w:lang w:val="en-GB"/>
        </w:rPr>
      </w:pPr>
      <w:r>
        <w:rPr>
          <w:lang w:val="en-GB"/>
        </w:rPr>
        <w:lastRenderedPageBreak/>
        <w:t>One or two additional subsets of these values may be configured to allow control between finer or coarser granularity.</w:t>
      </w:r>
    </w:p>
    <w:p w14:paraId="6E768B02" w14:textId="77777777" w:rsidR="00603460" w:rsidRDefault="00603460" w:rsidP="00707748">
      <w:pPr>
        <w:pStyle w:val="ListParagraph"/>
        <w:ind w:left="765"/>
        <w:rPr>
          <w:lang w:val="en-GB"/>
        </w:rPr>
      </w:pPr>
    </w:p>
    <w:p w14:paraId="47612BD2" w14:textId="77777777" w:rsidR="008B3EA4" w:rsidRDefault="008B3EA4" w:rsidP="00603460">
      <w:pPr>
        <w:ind w:left="405"/>
        <w:rPr>
          <w:lang w:val="en-GB"/>
        </w:rPr>
      </w:pPr>
    </w:p>
    <w:p w14:paraId="658C62EF" w14:textId="67EBBAEE" w:rsidR="007A468B" w:rsidRDefault="00A22588" w:rsidP="00A22588">
      <w:pPr>
        <w:pStyle w:val="Heading2"/>
      </w:pPr>
      <w:r>
        <w:t>TBS and Base-graph Determination Procedure</w:t>
      </w:r>
    </w:p>
    <w:p w14:paraId="2E2BF3C8" w14:textId="16DDF2EF" w:rsidR="00A22588" w:rsidRDefault="00A22588" w:rsidP="003B69F5">
      <w:pPr>
        <w:jc w:val="both"/>
        <w:rPr>
          <w:lang w:val="en-GB"/>
        </w:rPr>
      </w:pPr>
      <w:r>
        <w:rPr>
          <w:lang w:val="en-GB"/>
        </w:rPr>
        <w:t xml:space="preserve">There are two LDPC base-graphs </w:t>
      </w:r>
      <w:r w:rsidR="006C0B07">
        <w:rPr>
          <w:lang w:val="en-GB"/>
        </w:rPr>
        <w:t xml:space="preserve">(BG) </w:t>
      </w:r>
      <w:r>
        <w:rPr>
          <w:lang w:val="en-GB"/>
        </w:rPr>
        <w:t>in NR: base-graph 1 (BG1) and base-graph 2 (BG2). The choice of which to use depends on the TBS, code block size (CBS), and coding rate. The TBS however, must be segmented into equa</w:t>
      </w:r>
      <w:r w:rsidR="006C0B07">
        <w:rPr>
          <w:lang w:val="en-GB"/>
        </w:rPr>
        <w:t>lly sized code blocks, where segmentation is affected by the choice of LDPC base graph, leading to circular dependencies in TBS and BG determination. A TBS and base-graph determination procedure that resolves this circular dependency is presented and discussed in detail in the companion contribution</w:t>
      </w:r>
      <w:r w:rsidR="00204F32">
        <w:rPr>
          <w:lang w:val="en-GB"/>
        </w:rPr>
        <w:t xml:space="preserve"> </w:t>
      </w:r>
      <w:r w:rsidR="00204F32">
        <w:rPr>
          <w:lang w:val="en-GB"/>
        </w:rPr>
        <w:fldChar w:fldCharType="begin"/>
      </w:r>
      <w:r w:rsidR="00204F32">
        <w:rPr>
          <w:lang w:val="en-GB"/>
        </w:rPr>
        <w:instrText xml:space="preserve"> REF _Ref498712980 \r \h </w:instrText>
      </w:r>
      <w:r w:rsidR="003B69F5">
        <w:rPr>
          <w:lang w:val="en-GB"/>
        </w:rPr>
        <w:instrText xml:space="preserve"> \* MERGEFORMAT </w:instrText>
      </w:r>
      <w:r w:rsidR="00204F32">
        <w:rPr>
          <w:lang w:val="en-GB"/>
        </w:rPr>
      </w:r>
      <w:r w:rsidR="00204F32">
        <w:rPr>
          <w:lang w:val="en-GB"/>
        </w:rPr>
        <w:fldChar w:fldCharType="separate"/>
      </w:r>
      <w:r w:rsidR="00204F32">
        <w:rPr>
          <w:lang w:val="en-GB"/>
        </w:rPr>
        <w:t>[4]</w:t>
      </w:r>
      <w:r w:rsidR="00204F32">
        <w:rPr>
          <w:lang w:val="en-GB"/>
        </w:rPr>
        <w:fldChar w:fldCharType="end"/>
      </w:r>
      <w:r w:rsidR="006C0B07">
        <w:rPr>
          <w:lang w:val="en-GB"/>
        </w:rPr>
        <w:t>. In this section it is summarized and some of its properties are highlighted.</w:t>
      </w:r>
    </w:p>
    <w:p w14:paraId="6134A62C" w14:textId="4E6E4AE6" w:rsidR="006C0B07" w:rsidRDefault="006C0B07" w:rsidP="003B69F5">
      <w:pPr>
        <w:jc w:val="both"/>
        <w:rPr>
          <w:lang w:val="en-GB"/>
        </w:rPr>
      </w:pPr>
      <w:r>
        <w:rPr>
          <w:lang w:val="en-GB"/>
        </w:rPr>
        <w:t>The proposed procedure guarantees that no TB padding bits are needed when segmenting into equal sized code blocks (a requirement for BG1 and desirable for BG2). It also results in byte-aligned TBS (a requirement) and CBS (desirable).</w:t>
      </w:r>
    </w:p>
    <w:p w14:paraId="4950E6E5" w14:textId="0E63934C" w:rsidR="006C0B07" w:rsidRDefault="00603460" w:rsidP="00603460">
      <w:pPr>
        <w:overflowPunct/>
        <w:autoSpaceDE/>
        <w:autoSpaceDN/>
        <w:adjustRightInd/>
        <w:spacing w:after="0"/>
        <w:textAlignment w:val="auto"/>
        <w:rPr>
          <w:lang w:val="en-GB"/>
        </w:rPr>
      </w:pPr>
      <w:r w:rsidRPr="00603460">
        <w:rPr>
          <w:b/>
          <w:u w:val="single"/>
          <w:lang w:val="en-GB"/>
        </w:rPr>
        <w:t>Proposal</w:t>
      </w:r>
      <w:r w:rsidR="00D12A57">
        <w:rPr>
          <w:b/>
          <w:u w:val="single"/>
          <w:lang w:val="en-GB"/>
        </w:rPr>
        <w:t xml:space="preserve"> 10</w:t>
      </w:r>
      <w:r w:rsidRPr="00603460">
        <w:rPr>
          <w:b/>
          <w:u w:val="single"/>
          <w:lang w:val="en-GB"/>
        </w:rPr>
        <w:t>:</w:t>
      </w:r>
      <w:r>
        <w:rPr>
          <w:lang w:val="en-GB"/>
        </w:rPr>
        <w:t xml:space="preserve"> Given </w:t>
      </w:r>
      <w:r>
        <w:rPr>
          <w:i/>
        </w:rPr>
        <w:t>N</w:t>
      </w:r>
      <w:r>
        <w:rPr>
          <w:i/>
          <w:vertAlign w:val="subscript"/>
        </w:rPr>
        <w:t>RE</w:t>
      </w:r>
      <w:r>
        <w:t xml:space="preserve"> = Y* #PRBs_scheduled the remaining TBS </w:t>
      </w:r>
      <w:r w:rsidR="006C0B07">
        <w:rPr>
          <w:lang w:val="en-GB"/>
        </w:rPr>
        <w:t>determination procedure is as follows:</w:t>
      </w:r>
    </w:p>
    <w:p w14:paraId="56E1ECBB" w14:textId="77777777" w:rsidR="00603460" w:rsidRPr="00603460" w:rsidRDefault="00603460" w:rsidP="00603460">
      <w:pPr>
        <w:overflowPunct/>
        <w:autoSpaceDE/>
        <w:autoSpaceDN/>
        <w:adjustRightInd/>
        <w:spacing w:after="0"/>
        <w:textAlignment w:val="auto"/>
      </w:pPr>
    </w:p>
    <w:p w14:paraId="563BEDD4" w14:textId="74C7A741" w:rsidR="00A22588" w:rsidRPr="009F057B" w:rsidRDefault="00A22588"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t xml:space="preserve">Let </w:t>
      </w:r>
      <m:oMath>
        <m:r>
          <w:rPr>
            <w:rFonts w:ascii="Cambria Math" w:hAnsi="Cambria Math"/>
          </w:rPr>
          <m:t>X≥0</m:t>
        </m:r>
      </m:oMath>
      <w:r w:rsidR="006C0B07">
        <w:rPr>
          <w:iCs/>
        </w:rPr>
        <w:t xml:space="preserve"> be the rate back-off offset.</w:t>
      </w:r>
    </w:p>
    <w:p w14:paraId="541FB42F" w14:textId="77777777" w:rsidR="00A22588" w:rsidRPr="005E5F32" w:rsidRDefault="00C2122D"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.R.v-X</m:t>
        </m:r>
      </m:oMath>
      <w:r w:rsidR="00A22588" w:rsidRPr="005E5F32">
        <w:t>.</w:t>
      </w:r>
    </w:p>
    <w:p w14:paraId="5F504491" w14:textId="77777777" w:rsidR="00A22588" w:rsidRPr="005E5F32" w:rsidRDefault="00A22588"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14:paraId="2563522F" w14:textId="77777777" w:rsidR="00A22588" w:rsidRPr="005E5F32" w:rsidRDefault="00C2122D"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00A22588"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A22588"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00A22588" w:rsidRPr="005E5F32">
        <w:t>.</w:t>
      </w:r>
    </w:p>
    <w:p w14:paraId="6E5490F0" w14:textId="77777777" w:rsidR="00A22588" w:rsidRPr="005E5F32" w:rsidRDefault="00A22588"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3D494C69" w14:textId="77777777" w:rsidR="00A22588" w:rsidRPr="005E5F32" w:rsidRDefault="00204F32" w:rsidP="00A22588">
      <w:pPr>
        <w:pStyle w:val="ListParagraph"/>
        <w:numPr>
          <w:ilvl w:val="0"/>
          <w:numId w:val="47"/>
        </w:numPr>
        <w:pBdr>
          <w:top w:val="single" w:sz="4" w:space="1" w:color="auto"/>
          <w:left w:val="single" w:sz="4" w:space="4" w:color="auto"/>
          <w:bottom w:val="single" w:sz="4" w:space="1" w:color="auto"/>
          <w:right w:val="single" w:sz="4" w:space="4" w:color="auto"/>
        </w:pBdr>
        <w:spacing w:line="360" w:lineRule="auto"/>
        <w:ind w:left="1080" w:right="108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00A22588" w:rsidRPr="005E5F32">
        <w:t>.</w:t>
      </w:r>
    </w:p>
    <w:p w14:paraId="748CC087" w14:textId="77777777" w:rsidR="007343E7" w:rsidRDefault="007343E7" w:rsidP="00A22588">
      <w:pPr>
        <w:rPr>
          <w:lang w:val="en-GB"/>
        </w:rPr>
      </w:pPr>
    </w:p>
    <w:p w14:paraId="15CA8C6C" w14:textId="0DB9E963" w:rsidR="00A22588" w:rsidRDefault="007343E7" w:rsidP="003B69F5">
      <w:pPr>
        <w:jc w:val="both"/>
        <w:rPr>
          <w:lang w:val="en-GB"/>
        </w:rPr>
      </w:pPr>
      <w:r>
        <w:rPr>
          <w:lang w:val="en-GB"/>
        </w:rPr>
        <w:t xml:space="preserve">Different values for the rate back-off offset are tested in </w:t>
      </w:r>
      <w:r w:rsidR="00204F32">
        <w:rPr>
          <w:lang w:val="en-GB"/>
        </w:rPr>
        <w:fldChar w:fldCharType="begin"/>
      </w:r>
      <w:r w:rsidR="00204F32">
        <w:rPr>
          <w:lang w:val="en-GB"/>
        </w:rPr>
        <w:instrText xml:space="preserve"> REF _Ref498712980 \r \h </w:instrText>
      </w:r>
      <w:r w:rsidR="003B69F5">
        <w:rPr>
          <w:lang w:val="en-GB"/>
        </w:rPr>
        <w:instrText xml:space="preserve"> \* MERGEFORMAT </w:instrText>
      </w:r>
      <w:r w:rsidR="00204F32">
        <w:rPr>
          <w:lang w:val="en-GB"/>
        </w:rPr>
      </w:r>
      <w:r w:rsidR="00204F32">
        <w:rPr>
          <w:lang w:val="en-GB"/>
        </w:rPr>
        <w:fldChar w:fldCharType="separate"/>
      </w:r>
      <w:r w:rsidR="00204F32">
        <w:rPr>
          <w:lang w:val="en-GB"/>
        </w:rPr>
        <w:t>[4]</w:t>
      </w:r>
      <w:r w:rsidR="00204F32">
        <w:rPr>
          <w:lang w:val="en-GB"/>
        </w:rPr>
        <w:fldChar w:fldCharType="end"/>
      </w:r>
      <w:r>
        <w:rPr>
          <w:lang w:val="en-GB"/>
        </w:rPr>
        <w:fldChar w:fldCharType="begin"/>
      </w:r>
      <w:r>
        <w:rPr>
          <w:lang w:val="en-GB"/>
        </w:rPr>
        <w:instrText xml:space="preserve"> REF _Ref498711942 \r \h </w:instrText>
      </w:r>
      <w:r w:rsidR="003B69F5">
        <w:rPr>
          <w:lang w:val="en-GB"/>
        </w:rPr>
        <w:instrText xml:space="preserve"> \* MERGEFORMAT </w:instrText>
      </w:r>
      <w:r>
        <w:rPr>
          <w:lang w:val="en-GB"/>
        </w:rPr>
      </w:r>
      <w:r>
        <w:rPr>
          <w:lang w:val="en-GB"/>
        </w:rPr>
        <w:fldChar w:fldCharType="end"/>
      </w:r>
      <w:r>
        <w:rPr>
          <w:lang w:val="en-GB"/>
        </w:rPr>
        <w:t xml:space="preserve">, where it was shown that </w:t>
      </w:r>
      <m:oMath>
        <m:r>
          <w:rPr>
            <w:rFonts w:ascii="Cambria Math" w:hAnsi="Cambria Math"/>
            <w:lang w:val="en-GB"/>
          </w:rPr>
          <m:t>X=24</m:t>
        </m:r>
      </m:oMath>
      <w:r>
        <w:rPr>
          <w:lang w:val="en-GB"/>
        </w:rPr>
        <w:t xml:space="preserve"> results in effective rate that is within 0.4% of the nominal code rate for </w:t>
      </w:r>
      <w:r w:rsidR="00603460">
        <w:rPr>
          <w:lang w:val="en-GB"/>
        </w:rPr>
        <w:t>99% of the</w:t>
      </w:r>
      <w:r>
        <w:rPr>
          <w:lang w:val="en-GB"/>
        </w:rPr>
        <w:t xml:space="preserve"> TBs.</w:t>
      </w:r>
    </w:p>
    <w:p w14:paraId="323A9669" w14:textId="104291B0" w:rsidR="006C0B07" w:rsidRDefault="00603460" w:rsidP="00603460">
      <w:pPr>
        <w:pStyle w:val="Heading1"/>
      </w:pPr>
      <w:r>
        <w:t>Conclusions</w:t>
      </w:r>
    </w:p>
    <w:p w14:paraId="64DBC402" w14:textId="2EB8D5FB" w:rsidR="00D12A57" w:rsidRPr="00D12A57" w:rsidRDefault="00D12A57" w:rsidP="00D12A57">
      <w:pPr>
        <w:rPr>
          <w:i/>
          <w:lang w:val="en-GB"/>
        </w:rPr>
      </w:pPr>
      <w:r w:rsidRPr="00D12A57">
        <w:rPr>
          <w:i/>
          <w:lang w:val="en-GB"/>
        </w:rPr>
        <w:t xml:space="preserve">Regarding </w:t>
      </w:r>
      <w:r>
        <w:rPr>
          <w:i/>
          <w:lang w:val="en-GB"/>
        </w:rPr>
        <w:t>time</w:t>
      </w:r>
      <w:r w:rsidRPr="00D12A57">
        <w:rPr>
          <w:i/>
          <w:lang w:val="en-GB"/>
        </w:rPr>
        <w:t xml:space="preserve"> domain resource allocation:</w:t>
      </w:r>
    </w:p>
    <w:p w14:paraId="3093F9CD" w14:textId="5413EF49" w:rsidR="006E6AD1" w:rsidRDefault="006E6AD1" w:rsidP="006E6AD1">
      <w:pPr>
        <w:rPr>
          <w:lang w:val="en-GB"/>
        </w:rPr>
      </w:pPr>
      <w:r w:rsidRPr="007A1882">
        <w:rPr>
          <w:b/>
          <w:u w:val="single"/>
          <w:lang w:val="en-GB"/>
        </w:rPr>
        <w:t>Proposal</w:t>
      </w:r>
      <w:r w:rsidR="00D12A57">
        <w:rPr>
          <w:b/>
          <w:u w:val="single"/>
          <w:lang w:val="en-GB"/>
        </w:rPr>
        <w:t xml:space="preserve"> 1</w:t>
      </w:r>
      <w:r w:rsidRPr="007A1882">
        <w:rPr>
          <w:b/>
          <w:u w:val="single"/>
          <w:lang w:val="en-GB"/>
        </w:rPr>
        <w:t>:</w:t>
      </w:r>
      <w:r>
        <w:rPr>
          <w:lang w:val="en-GB"/>
        </w:rPr>
        <w:t xml:space="preserve"> For slot-based PDCCH, the time domain resource allocation of a slot-based PDSCH (or PUSCH) is indicated by the duration relative to the end of the control region, i.e., the last possible OFDM symbol of CORESET allowed by the configuration</w:t>
      </w:r>
      <w:r w:rsidR="00D12A57">
        <w:rPr>
          <w:lang w:val="en-GB"/>
        </w:rPr>
        <w:t xml:space="preserve"> (or may include guard)</w:t>
      </w:r>
      <w:r>
        <w:rPr>
          <w:lang w:val="en-GB"/>
        </w:rPr>
        <w:t>.</w:t>
      </w:r>
      <w:r w:rsidRPr="008C1A66">
        <w:rPr>
          <w:lang w:val="en-GB"/>
        </w:rPr>
        <w:t xml:space="preserve"> </w:t>
      </w:r>
      <w:r>
        <w:rPr>
          <w:lang w:val="en-GB"/>
        </w:rPr>
        <w:t>For downlink assignments, the position of the first DMRS symbol follows PDSCH mapping type A as given in [2].</w:t>
      </w:r>
    </w:p>
    <w:p w14:paraId="3AAE4612" w14:textId="08DF8C85" w:rsidR="006E6AD1" w:rsidRDefault="006E6AD1" w:rsidP="006E6AD1">
      <w:pPr>
        <w:rPr>
          <w:lang w:val="en-GB"/>
        </w:rPr>
      </w:pPr>
      <w:r w:rsidRPr="007A1882">
        <w:rPr>
          <w:b/>
          <w:u w:val="single"/>
          <w:lang w:val="en-GB"/>
        </w:rPr>
        <w:t>Proposal</w:t>
      </w:r>
      <w:r w:rsidR="00D12A57">
        <w:rPr>
          <w:b/>
          <w:u w:val="single"/>
          <w:lang w:val="en-GB"/>
        </w:rPr>
        <w:t xml:space="preserve"> 2</w:t>
      </w:r>
      <w:r w:rsidRPr="007A1882">
        <w:rPr>
          <w:b/>
          <w:u w:val="single"/>
          <w:lang w:val="en-GB"/>
        </w:rPr>
        <w:t>:</w:t>
      </w:r>
      <w:r>
        <w:rPr>
          <w:lang w:val="en-GB"/>
        </w:rPr>
        <w:t xml:space="preserve"> For slot-based PDCCH, the time domain resource allocation of a mini-slot-based PDSCH (or PUSCH) is indicated by the starting symbol and ending symbol location relative to the slot boundary. For downlink assignments, the position of the first DMRS symbol follows PDSCH mapping type B as given in [2].</w:t>
      </w:r>
    </w:p>
    <w:p w14:paraId="4AC2EE04" w14:textId="77777777" w:rsidR="006E6AD1" w:rsidRPr="008C1A66" w:rsidRDefault="006E6AD1" w:rsidP="006E6AD1">
      <w:pPr>
        <w:pStyle w:val="ListParagraph"/>
        <w:numPr>
          <w:ilvl w:val="0"/>
          <w:numId w:val="45"/>
        </w:numPr>
        <w:rPr>
          <w:lang w:val="en-GB"/>
        </w:rPr>
      </w:pPr>
      <w:r>
        <w:rPr>
          <w:lang w:val="en-GB"/>
        </w:rPr>
        <w:t>FFS if the same scheduling DCI can provide both mini-slot and slot-based PDSCH (or PUSCH) allocations.</w:t>
      </w:r>
    </w:p>
    <w:p w14:paraId="5E4D506F" w14:textId="77777777" w:rsidR="006E6AD1" w:rsidRPr="006E6AD1" w:rsidRDefault="006E6AD1" w:rsidP="006E6AD1">
      <w:pPr>
        <w:rPr>
          <w:lang w:val="en-GB"/>
        </w:rPr>
      </w:pPr>
    </w:p>
    <w:p w14:paraId="60D307B2" w14:textId="31515FC8" w:rsidR="006E6AD1" w:rsidRDefault="006E6AD1" w:rsidP="006E6AD1">
      <w:pPr>
        <w:rPr>
          <w:lang w:val="en-GB"/>
        </w:rPr>
      </w:pPr>
      <w:r w:rsidRPr="007A1882">
        <w:rPr>
          <w:b/>
          <w:u w:val="single"/>
          <w:lang w:val="en-GB"/>
        </w:rPr>
        <w:lastRenderedPageBreak/>
        <w:t>Proposal</w:t>
      </w:r>
      <w:r w:rsidR="00D12A57">
        <w:rPr>
          <w:b/>
          <w:u w:val="single"/>
          <w:lang w:val="en-GB"/>
        </w:rPr>
        <w:t xml:space="preserve"> 3</w:t>
      </w:r>
      <w:r w:rsidRPr="007A1882">
        <w:rPr>
          <w:b/>
          <w:u w:val="single"/>
          <w:lang w:val="en-GB"/>
        </w:rPr>
        <w:t>:</w:t>
      </w:r>
      <w:r>
        <w:rPr>
          <w:lang w:val="en-GB"/>
        </w:rPr>
        <w:t xml:space="preserve"> For mini-slot-based PDCCH, the time domain resource allocation of a mini-slot-based PDSCH (or PUSCH) is indicated by the starting symbol and ending symbol location relative to the slot boundary. For downlink assignments, the position of the first DMRS symbol follows PDSCH mapping type B. </w:t>
      </w:r>
    </w:p>
    <w:p w14:paraId="1ADB25F6" w14:textId="77777777" w:rsidR="006E6AD1" w:rsidRDefault="006E6AD1" w:rsidP="006E6AD1">
      <w:pPr>
        <w:pStyle w:val="ListParagraph"/>
        <w:numPr>
          <w:ilvl w:val="0"/>
          <w:numId w:val="45"/>
        </w:numPr>
        <w:rPr>
          <w:lang w:val="en-GB"/>
        </w:rPr>
      </w:pPr>
      <w:r>
        <w:rPr>
          <w:lang w:val="en-GB"/>
        </w:rPr>
        <w:t>Slot-based PDSCH allocations with PDSCH mapping type A cannot be scheduled from mini-slot based PDCCH.</w:t>
      </w:r>
    </w:p>
    <w:p w14:paraId="1EAD7BFA" w14:textId="77777777" w:rsidR="006E6AD1" w:rsidRPr="006E6AD1" w:rsidRDefault="006E6AD1" w:rsidP="006E6AD1">
      <w:pPr>
        <w:rPr>
          <w:lang w:val="en-GB"/>
        </w:rPr>
      </w:pPr>
    </w:p>
    <w:p w14:paraId="38F1CF6D" w14:textId="2F9A0E62" w:rsidR="006E6AD1" w:rsidRDefault="006E6AD1" w:rsidP="006E6AD1">
      <w:pPr>
        <w:rPr>
          <w:lang w:val="en-GB"/>
        </w:rPr>
      </w:pPr>
      <w:r w:rsidRPr="008B1593">
        <w:rPr>
          <w:b/>
          <w:u w:val="single"/>
          <w:lang w:val="en-GB"/>
        </w:rPr>
        <w:t>Observation</w:t>
      </w:r>
      <w:r w:rsidR="00D12A57">
        <w:rPr>
          <w:b/>
          <w:u w:val="single"/>
          <w:lang w:val="en-GB"/>
        </w:rPr>
        <w:t xml:space="preserve"> 1</w:t>
      </w:r>
      <w:r w:rsidRPr="008B1593">
        <w:rPr>
          <w:b/>
          <w:u w:val="single"/>
          <w:lang w:val="en-GB"/>
        </w:rPr>
        <w:t>:</w:t>
      </w:r>
      <w:r>
        <w:rPr>
          <w:lang w:val="en-GB"/>
        </w:rPr>
        <w:t xml:space="preserve"> The handling of multiple resource assignments by one UE is subject to the UE capabilities regarding both slot-based / mini-slot-based PDCCH support and simultaneous slot-based / mini-slot PDSCH (or PUSCH) support.</w:t>
      </w:r>
    </w:p>
    <w:p w14:paraId="44269ACC" w14:textId="27014567" w:rsidR="00D12A57" w:rsidRDefault="00D12A57" w:rsidP="006E6AD1">
      <w:pPr>
        <w:rPr>
          <w:lang w:val="en-GB"/>
        </w:rPr>
      </w:pPr>
    </w:p>
    <w:p w14:paraId="76D05336" w14:textId="514CDF3F" w:rsidR="00D12A57" w:rsidRPr="00D12A57" w:rsidRDefault="00D12A57" w:rsidP="006E6AD1">
      <w:pPr>
        <w:rPr>
          <w:i/>
          <w:lang w:val="en-GB"/>
        </w:rPr>
      </w:pPr>
      <w:r w:rsidRPr="00D12A57">
        <w:rPr>
          <w:i/>
          <w:lang w:val="en-GB"/>
        </w:rPr>
        <w:t>Regarding frequency domain resource allocation:</w:t>
      </w:r>
    </w:p>
    <w:p w14:paraId="3BF6DF47" w14:textId="781E0025" w:rsidR="00D12A57" w:rsidRDefault="00D12A57" w:rsidP="00D12A57">
      <w:pPr>
        <w:contextualSpacing/>
      </w:pPr>
      <w:r w:rsidRPr="00B60EE9">
        <w:rPr>
          <w:b/>
          <w:u w:val="single"/>
        </w:rPr>
        <w:t>Proposal</w:t>
      </w:r>
      <w:r>
        <w:rPr>
          <w:b/>
          <w:u w:val="single"/>
        </w:rPr>
        <w:t xml:space="preserve"> 4</w:t>
      </w:r>
      <w:r w:rsidRPr="00B60EE9">
        <w:rPr>
          <w:b/>
          <w:u w:val="single"/>
        </w:rPr>
        <w:t>:</w:t>
      </w:r>
      <w:r>
        <w:rPr>
          <w:b/>
        </w:rPr>
        <w:t xml:space="preserve"> </w:t>
      </w:r>
      <w:r>
        <w:t>The RBG sizes in the above table should satisfy the following requirements</w:t>
      </w:r>
    </w:p>
    <w:p w14:paraId="08E08DC0" w14:textId="77777777" w:rsidR="00D12A57" w:rsidRDefault="00D12A57" w:rsidP="00D12A57">
      <w:pPr>
        <w:pStyle w:val="ListParagraph"/>
        <w:numPr>
          <w:ilvl w:val="0"/>
          <w:numId w:val="45"/>
        </w:numPr>
        <w:contextualSpacing/>
      </w:pPr>
      <w:r>
        <w:t>For both configurations, the RBG sizes should scale up proportionally with bandwidth.</w:t>
      </w:r>
    </w:p>
    <w:p w14:paraId="29AAA1E5" w14:textId="77777777" w:rsidR="00D12A57" w:rsidRDefault="00D12A57" w:rsidP="00D12A57">
      <w:pPr>
        <w:pStyle w:val="ListParagraph"/>
        <w:numPr>
          <w:ilvl w:val="0"/>
          <w:numId w:val="45"/>
        </w:numPr>
        <w:contextualSpacing/>
      </w:pPr>
      <w:r>
        <w:t>Config 1 should have only RBG sizes 8 and 16 to allow for smaller DCI sizes and coarser scheduling granularity</w:t>
      </w:r>
    </w:p>
    <w:p w14:paraId="121188F0" w14:textId="77777777" w:rsidR="00D12A57" w:rsidRDefault="00D12A57" w:rsidP="00D12A57">
      <w:pPr>
        <w:pStyle w:val="ListParagraph"/>
        <w:numPr>
          <w:ilvl w:val="1"/>
          <w:numId w:val="45"/>
        </w:numPr>
        <w:contextualSpacing/>
      </w:pPr>
      <w:r>
        <w:t>This should be the fallback (or default) configuration</w:t>
      </w:r>
    </w:p>
    <w:p w14:paraId="45BF2240" w14:textId="77777777" w:rsidR="00D12A57" w:rsidRPr="00B60EE9" w:rsidRDefault="00D12A57" w:rsidP="00D12A57">
      <w:pPr>
        <w:pStyle w:val="ListParagraph"/>
        <w:numPr>
          <w:ilvl w:val="0"/>
          <w:numId w:val="45"/>
        </w:numPr>
        <w:contextualSpacing/>
      </w:pPr>
      <w:r>
        <w:t>Config 2 may have additional RBG sizes of 2,4,8 and 16 to allow for larger DCI szes and finer scheduling granularity.</w:t>
      </w:r>
    </w:p>
    <w:p w14:paraId="5091BA87" w14:textId="77777777" w:rsidR="00D12A57" w:rsidRDefault="00D12A57" w:rsidP="00D12A57">
      <w:pPr>
        <w:contextualSpacing/>
      </w:pPr>
    </w:p>
    <w:p w14:paraId="01ADBF9D" w14:textId="77777777" w:rsidR="00D12A57" w:rsidRDefault="00D12A57" w:rsidP="00D12A57">
      <w:pPr>
        <w:contextualSpacing/>
      </w:pPr>
      <w:r>
        <w:t>Finally, the configurability should be matched with the supported PRG sizes which are {2,4,full bandwidth}.</w:t>
      </w:r>
    </w:p>
    <w:p w14:paraId="019C931A" w14:textId="77777777" w:rsidR="00D12A57" w:rsidRDefault="00D12A57" w:rsidP="00D12A57">
      <w:pPr>
        <w:contextualSpacing/>
      </w:pPr>
    </w:p>
    <w:p w14:paraId="6EC3EE3D" w14:textId="28124A6A" w:rsidR="00D12A57" w:rsidRDefault="00D12A57" w:rsidP="00D12A57">
      <w:pPr>
        <w:contextualSpacing/>
      </w:pPr>
      <w:r w:rsidRPr="00F641B7">
        <w:rPr>
          <w:b/>
          <w:u w:val="single"/>
        </w:rPr>
        <w:t>Proposal</w:t>
      </w:r>
      <w:r>
        <w:rPr>
          <w:b/>
          <w:u w:val="single"/>
        </w:rPr>
        <w:t xml:space="preserve"> 5</w:t>
      </w:r>
      <w:r w:rsidRPr="00F641B7">
        <w:rPr>
          <w:b/>
          <w:u w:val="single"/>
        </w:rPr>
        <w:t>:</w:t>
      </w:r>
      <w:r>
        <w:t xml:space="preserve"> No RBG sizes that are multiples of 3 should be supported.</w:t>
      </w:r>
    </w:p>
    <w:p w14:paraId="7C668C16" w14:textId="379F78DB" w:rsidR="00D12A57" w:rsidRDefault="00D12A57" w:rsidP="006E6AD1">
      <w:pPr>
        <w:rPr>
          <w:lang w:val="en-GB"/>
        </w:rPr>
      </w:pPr>
    </w:p>
    <w:p w14:paraId="7BEC46EA" w14:textId="65AD9FAF" w:rsidR="00D12A57" w:rsidRPr="00D12A57" w:rsidRDefault="00D12A57" w:rsidP="006E6AD1">
      <w:pPr>
        <w:rPr>
          <w:i/>
          <w:lang w:val="en-GB"/>
        </w:rPr>
      </w:pPr>
      <w:r w:rsidRPr="00D12A57">
        <w:rPr>
          <w:i/>
          <w:lang w:val="en-GB"/>
        </w:rPr>
        <w:t>Regarding VRB to PRB interleaving:</w:t>
      </w:r>
    </w:p>
    <w:p w14:paraId="3324CF1B" w14:textId="29E69EC9" w:rsidR="006E6AD1" w:rsidRDefault="006E6AD1" w:rsidP="006E6AD1">
      <w:pPr>
        <w:rPr>
          <w:rFonts w:eastAsia="Times New Roman"/>
          <w:lang w:eastAsia="zh-CN"/>
        </w:rPr>
      </w:pPr>
      <w:r w:rsidRPr="000F1E17">
        <w:rPr>
          <w:rFonts w:eastAsia="Times New Roman"/>
          <w:b/>
          <w:u w:val="single"/>
          <w:lang w:eastAsia="zh-CN"/>
        </w:rPr>
        <w:t>Proposal</w:t>
      </w:r>
      <w:r w:rsidR="00D12A57">
        <w:rPr>
          <w:rFonts w:eastAsia="Times New Roman"/>
          <w:b/>
          <w:u w:val="single"/>
          <w:lang w:eastAsia="zh-CN"/>
        </w:rPr>
        <w:t xml:space="preserve"> 6</w:t>
      </w:r>
      <w:r w:rsidRPr="000F1E17">
        <w:rPr>
          <w:rFonts w:eastAsia="Times New Roman"/>
          <w:b/>
          <w:u w:val="single"/>
          <w:lang w:eastAsia="zh-CN"/>
        </w:rPr>
        <w:t>:</w:t>
      </w:r>
      <w:r>
        <w:rPr>
          <w:rFonts w:eastAsia="Times New Roman"/>
          <w:lang w:eastAsia="zh-CN"/>
        </w:rPr>
        <w:t xml:space="preserve"> Support full-BWP distributed VRB-to-PRB mapping at least for resource allocation type 1:</w:t>
      </w:r>
    </w:p>
    <w:p w14:paraId="262A185A" w14:textId="77777777" w:rsidR="006E6AD1" w:rsidRDefault="006E6AD1" w:rsidP="006E6AD1">
      <w:pPr>
        <w:pStyle w:val="ListParagraph"/>
        <w:numPr>
          <w:ilvl w:val="0"/>
          <w:numId w:val="43"/>
        </w:numPr>
        <w:rPr>
          <w:rFonts w:eastAsia="Times New Roman"/>
          <w:lang w:eastAsia="zh-CN"/>
        </w:rPr>
      </w:pPr>
      <w:r w:rsidRPr="008701E9">
        <w:rPr>
          <w:rFonts w:eastAsia="Times New Roman"/>
          <w:lang w:eastAsia="zh-CN"/>
        </w:rPr>
        <w:t>A single bit in the DCI can indicate localized or distributed VRB-to-PRB mapping.</w:t>
      </w:r>
    </w:p>
    <w:p w14:paraId="37F4EA7F" w14:textId="77777777" w:rsidR="006E6AD1" w:rsidRPr="008701E9" w:rsidRDefault="006E6AD1" w:rsidP="006E6AD1">
      <w:pPr>
        <w:pStyle w:val="ListParagraph"/>
        <w:numPr>
          <w:ilvl w:val="0"/>
          <w:numId w:val="43"/>
        </w:numPr>
        <w:rPr>
          <w:rFonts w:eastAsia="Times New Roman"/>
          <w:lang w:eastAsia="zh-CN"/>
        </w:rPr>
      </w:pPr>
      <w:r w:rsidRPr="008701E9">
        <w:rPr>
          <w:rFonts w:eastAsia="Times New Roman"/>
          <w:lang w:eastAsia="zh-CN"/>
        </w:rPr>
        <w:t>Distributed VRB-to-PRB mapping and one-bit indicator i</w:t>
      </w:r>
      <w:r>
        <w:rPr>
          <w:rFonts w:eastAsia="Times New Roman"/>
          <w:lang w:eastAsia="zh-CN"/>
        </w:rPr>
        <w:t>n the DCI are not supported for broadcast</w:t>
      </w:r>
      <w:r w:rsidRPr="008701E9">
        <w:rPr>
          <w:rFonts w:eastAsia="Times New Roman"/>
          <w:lang w:eastAsia="zh-CN"/>
        </w:rPr>
        <w:t xml:space="preserve"> PDSCH.</w:t>
      </w:r>
    </w:p>
    <w:p w14:paraId="49D4CDA6" w14:textId="77777777" w:rsidR="006E6AD1" w:rsidRPr="008701E9" w:rsidRDefault="006E6AD1" w:rsidP="006E6AD1">
      <w:pPr>
        <w:pStyle w:val="ListParagraph"/>
        <w:numPr>
          <w:ilvl w:val="0"/>
          <w:numId w:val="43"/>
        </w:numPr>
        <w:rPr>
          <w:rFonts w:eastAsia="Times New Roman"/>
          <w:lang w:eastAsia="zh-CN"/>
        </w:rPr>
      </w:pPr>
      <w:r w:rsidRPr="008701E9">
        <w:rPr>
          <w:rFonts w:eastAsia="Times New Roman"/>
          <w:lang w:eastAsia="zh-CN"/>
        </w:rPr>
        <w:t>One-bit indicator in the DCI is not supported for fallback DCI.</w:t>
      </w:r>
    </w:p>
    <w:p w14:paraId="21650316" w14:textId="1F1EF497" w:rsidR="006E6AD1" w:rsidRDefault="006E6AD1" w:rsidP="006E6AD1">
      <w:pPr>
        <w:rPr>
          <w:lang w:val="en-GB"/>
        </w:rPr>
      </w:pPr>
    </w:p>
    <w:p w14:paraId="5B6B4B4E" w14:textId="7F0A756B" w:rsidR="006E6AD1" w:rsidRDefault="006E6AD1" w:rsidP="006E6AD1">
      <w:pPr>
        <w:rPr>
          <w:rFonts w:eastAsia="Times New Roman"/>
          <w:lang w:eastAsia="zh-CN"/>
        </w:rPr>
      </w:pPr>
      <w:r w:rsidRPr="000F1E17">
        <w:rPr>
          <w:rFonts w:eastAsia="Times New Roman"/>
          <w:b/>
          <w:u w:val="single"/>
          <w:lang w:eastAsia="zh-CN"/>
        </w:rPr>
        <w:t>Proposal</w:t>
      </w:r>
      <w:r w:rsidR="00D12A57">
        <w:rPr>
          <w:rFonts w:eastAsia="Times New Roman"/>
          <w:b/>
          <w:u w:val="single"/>
          <w:lang w:eastAsia="zh-CN"/>
        </w:rPr>
        <w:t xml:space="preserve"> 7</w:t>
      </w:r>
      <w:r w:rsidRPr="000F1E17">
        <w:rPr>
          <w:rFonts w:eastAsia="Times New Roman"/>
          <w:b/>
          <w:u w:val="single"/>
          <w:lang w:eastAsia="zh-CN"/>
        </w:rPr>
        <w:t>:</w:t>
      </w:r>
      <w:r>
        <w:rPr>
          <w:rFonts w:eastAsia="Times New Roman"/>
          <w:lang w:eastAsia="zh-CN"/>
        </w:rPr>
        <w:t xml:space="preserve"> Unit-wise interleaving, where a unit is composed of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consecutive RBs, is supported. For units on the edges of a BWP, unit sizes smaller than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are allowed.</w:t>
      </w:r>
    </w:p>
    <w:p w14:paraId="2DA75D10" w14:textId="331FEEB0" w:rsidR="00707748" w:rsidRDefault="00707748" w:rsidP="00707748">
      <w:pPr>
        <w:rPr>
          <w:rFonts w:eastAsia="Times New Roman"/>
          <w:lang w:eastAsia="zh-CN"/>
        </w:rPr>
      </w:pPr>
      <w:r w:rsidRPr="00657B4D">
        <w:rPr>
          <w:rFonts w:eastAsia="Times New Roman"/>
          <w:b/>
          <w:u w:val="single"/>
          <w:lang w:eastAsia="zh-CN"/>
        </w:rPr>
        <w:t>Proposal</w:t>
      </w:r>
      <w:r w:rsidR="00D12A57">
        <w:rPr>
          <w:rFonts w:eastAsia="Times New Roman"/>
          <w:b/>
          <w:u w:val="single"/>
          <w:lang w:eastAsia="zh-CN"/>
        </w:rPr>
        <w:t xml:space="preserve"> 8</w:t>
      </w:r>
      <w:r w:rsidRPr="00657B4D">
        <w:rPr>
          <w:rFonts w:eastAsia="Times New Roman"/>
          <w:b/>
          <w:u w:val="single"/>
          <w:lang w:eastAsia="zh-CN"/>
        </w:rPr>
        <w:t>:</w:t>
      </w:r>
      <w:r>
        <w:rPr>
          <w:rFonts w:eastAsia="Times New Roman"/>
          <w:lang w:eastAsia="zh-CN"/>
        </w:rPr>
        <w:t xml:space="preserve"> RRC configuration of BWP may include the configuration of VRB-to-PRB mapping, i.e. the interleaving unit size </w:t>
      </w:r>
      <m:oMath>
        <m:acc>
          <m:accPr>
            <m:chr m:val="̃"/>
            <m:ctrlPr>
              <w:rPr>
                <w:rFonts w:ascii="Cambria Math" w:eastAsia="Times New Roman" w:hAnsi="Cambria Math"/>
                <w:i/>
                <w:lang w:eastAsia="zh-CN"/>
              </w:rPr>
            </m:ctrlPr>
          </m:accPr>
          <m:e>
            <m:r>
              <w:rPr>
                <w:rFonts w:ascii="Cambria Math" w:eastAsia="Times New Roman" w:hAnsi="Cambria Math"/>
                <w:lang w:eastAsia="zh-CN"/>
              </w:rPr>
              <m:t>P</m:t>
            </m:r>
          </m:e>
        </m:acc>
      </m:oMath>
      <w:r>
        <w:rPr>
          <w:rFonts w:eastAsia="Times New Roman"/>
          <w:lang w:eastAsia="zh-CN"/>
        </w:rPr>
        <w:t xml:space="preserve">. FFS: Number of columns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col</m:t>
            </m:r>
          </m:sub>
        </m:sSub>
      </m:oMath>
      <w:r>
        <w:rPr>
          <w:rFonts w:eastAsia="Times New Roman"/>
          <w:lang w:eastAsia="zh-CN"/>
        </w:rPr>
        <w:t xml:space="preserve"> to be specified or RRC-configured.</w:t>
      </w:r>
    </w:p>
    <w:p w14:paraId="5E5A1261" w14:textId="1F2C9024" w:rsidR="00D12A57" w:rsidRDefault="00D12A57" w:rsidP="00707748">
      <w:pPr>
        <w:rPr>
          <w:rFonts w:eastAsia="Times New Roman"/>
          <w:lang w:eastAsia="zh-CN"/>
        </w:rPr>
      </w:pPr>
    </w:p>
    <w:p w14:paraId="0BA287BA" w14:textId="16999ABA" w:rsidR="00D12A57" w:rsidRPr="00D12A57" w:rsidRDefault="00D12A57" w:rsidP="00707748">
      <w:pPr>
        <w:rPr>
          <w:rFonts w:eastAsia="Times New Roman"/>
          <w:i/>
          <w:lang w:eastAsia="zh-CN"/>
        </w:rPr>
      </w:pPr>
      <w:r w:rsidRPr="00D12A57">
        <w:rPr>
          <w:rFonts w:eastAsia="Times New Roman"/>
          <w:i/>
          <w:lang w:eastAsia="zh-CN"/>
        </w:rPr>
        <w:t>Regarding TBS determination:</w:t>
      </w:r>
    </w:p>
    <w:p w14:paraId="47AC878A" w14:textId="186D366E" w:rsidR="00707748" w:rsidRDefault="00707748" w:rsidP="00707748">
      <w:pPr>
        <w:rPr>
          <w:lang w:val="en-GB"/>
        </w:rPr>
      </w:pPr>
      <w:r w:rsidRPr="00603460">
        <w:rPr>
          <w:b/>
          <w:u w:val="single"/>
          <w:lang w:val="en-GB"/>
        </w:rPr>
        <w:t>Proposal</w:t>
      </w:r>
      <w:r w:rsidR="00D12A57">
        <w:rPr>
          <w:b/>
          <w:u w:val="single"/>
          <w:lang w:val="en-GB"/>
        </w:rPr>
        <w:t xml:space="preserve"> 9</w:t>
      </w:r>
      <w:r w:rsidRPr="00603460">
        <w:rPr>
          <w:b/>
          <w:u w:val="single"/>
          <w:lang w:val="en-GB"/>
        </w:rPr>
        <w:t>:</w:t>
      </w:r>
      <w:r>
        <w:rPr>
          <w:lang w:val="en-GB"/>
        </w:rPr>
        <w:t xml:space="preserve"> The quantization of X into Y should use a predefined set of values {6,12,18,36,72,108,144}.</w:t>
      </w:r>
    </w:p>
    <w:p w14:paraId="40D8826A" w14:textId="77777777" w:rsidR="00707748" w:rsidRDefault="00707748" w:rsidP="00707748">
      <w:pPr>
        <w:pStyle w:val="ListParagraph"/>
        <w:numPr>
          <w:ilvl w:val="0"/>
          <w:numId w:val="43"/>
        </w:numPr>
        <w:rPr>
          <w:lang w:val="en-GB"/>
        </w:rPr>
      </w:pPr>
      <w:r>
        <w:rPr>
          <w:lang w:val="en-GB"/>
        </w:rPr>
        <w:t>One or two additional subsets of these values may be configured to allow control between finer or coarser granularity.</w:t>
      </w:r>
    </w:p>
    <w:p w14:paraId="383D7ABF" w14:textId="77777777" w:rsidR="00603460" w:rsidRPr="00603460" w:rsidRDefault="00603460" w:rsidP="00603460">
      <w:pPr>
        <w:rPr>
          <w:lang w:val="en-GB"/>
        </w:rPr>
      </w:pPr>
    </w:p>
    <w:p w14:paraId="0D2F2F1F" w14:textId="2D5AC029" w:rsidR="00707748" w:rsidRPr="006E6AD1" w:rsidRDefault="00707748" w:rsidP="00707748">
      <w:pPr>
        <w:overflowPunct/>
        <w:autoSpaceDE/>
        <w:autoSpaceDN/>
        <w:adjustRightInd/>
        <w:spacing w:after="0"/>
        <w:textAlignment w:val="auto"/>
        <w:rPr>
          <w:lang w:val="en-GB"/>
        </w:rPr>
      </w:pPr>
      <w:r w:rsidRPr="00603460">
        <w:rPr>
          <w:b/>
          <w:u w:val="single"/>
          <w:lang w:val="en-GB"/>
        </w:rPr>
        <w:t>Proposal</w:t>
      </w:r>
      <w:r w:rsidR="00D12A57">
        <w:rPr>
          <w:b/>
          <w:u w:val="single"/>
          <w:lang w:val="en-GB"/>
        </w:rPr>
        <w:t xml:space="preserve"> 10</w:t>
      </w:r>
      <w:r w:rsidRPr="00603460">
        <w:rPr>
          <w:b/>
          <w:u w:val="single"/>
          <w:lang w:val="en-GB"/>
        </w:rPr>
        <w:t>:</w:t>
      </w:r>
      <w:r>
        <w:rPr>
          <w:lang w:val="en-GB"/>
        </w:rPr>
        <w:t xml:space="preserve"> Given </w:t>
      </w:r>
      <w:r>
        <w:rPr>
          <w:i/>
        </w:rPr>
        <w:t>N</w:t>
      </w:r>
      <w:r>
        <w:rPr>
          <w:i/>
          <w:vertAlign w:val="subscript"/>
        </w:rPr>
        <w:t>RE</w:t>
      </w:r>
      <w:r>
        <w:t xml:space="preserve"> = Y* #PRBs_scheduled the remaining TBS </w:t>
      </w:r>
      <w:r>
        <w:rPr>
          <w:lang w:val="en-GB"/>
        </w:rPr>
        <w:t>determination procedure is as follows:</w:t>
      </w:r>
    </w:p>
    <w:p w14:paraId="24F809E4" w14:textId="1D470A5A" w:rsidR="006E6AD1" w:rsidRPr="006E6AD1" w:rsidRDefault="006E6AD1" w:rsidP="006E6AD1">
      <w:pPr>
        <w:rPr>
          <w:rFonts w:ascii="Calibri" w:eastAsia="Calibri" w:hAnsi="Calibri"/>
          <w:iCs/>
          <w:sz w:val="22"/>
          <w:szCs w:val="22"/>
        </w:rPr>
      </w:pPr>
      <w:r>
        <w:rPr>
          <w:rFonts w:ascii="Calibri" w:eastAsia="Calibri" w:hAnsi="Calibri"/>
          <w:iCs/>
          <w:sz w:val="22"/>
          <w:szCs w:val="22"/>
        </w:rPr>
        <w:t xml:space="preserve"> </w:t>
      </w:r>
    </w:p>
    <w:p w14:paraId="2D8A57EF" w14:textId="04C3D187" w:rsidR="006E6AD1" w:rsidRPr="006E6AD1" w:rsidRDefault="006E6AD1"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jc w:val="both"/>
        <w:rPr>
          <w:iCs/>
        </w:rPr>
      </w:pPr>
      <w:r>
        <w:rPr>
          <w:iCs/>
        </w:rPr>
        <w:lastRenderedPageBreak/>
        <w:t xml:space="preserve">Let </w:t>
      </w:r>
      <w:r w:rsidRPr="006E6AD1">
        <w:rPr>
          <w:rFonts w:hint="eastAsia"/>
          <w:iCs/>
        </w:rPr>
        <w:t>X≥0</w:t>
      </w:r>
      <w:r>
        <w:rPr>
          <w:iCs/>
        </w:rPr>
        <w:t xml:space="preserve"> be the rate back-off offset.</w:t>
      </w:r>
    </w:p>
    <w:p w14:paraId="4236FB00" w14:textId="4BE8657D" w:rsidR="00707748" w:rsidRPr="005E5F32" w:rsidRDefault="00C2122D"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.R.v-X</m:t>
        </m:r>
      </m:oMath>
      <w:r w:rsidR="00707748" w:rsidRPr="005E5F32">
        <w:t>.</w:t>
      </w:r>
    </w:p>
    <w:p w14:paraId="5247FB47" w14:textId="77777777" w:rsidR="00707748" w:rsidRPr="005E5F32" w:rsidRDefault="00707748"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14:paraId="2E7FA930" w14:textId="77777777" w:rsidR="00707748" w:rsidRPr="005E5F32" w:rsidRDefault="00C2122D"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00707748"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707748"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00707748" w:rsidRPr="005E5F32">
        <w:t>.</w:t>
      </w:r>
    </w:p>
    <w:p w14:paraId="728A5A78" w14:textId="77777777" w:rsidR="00707748" w:rsidRPr="005E5F32" w:rsidRDefault="00707748"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14:paraId="40BDAB19" w14:textId="77777777" w:rsidR="00707748" w:rsidRPr="005E5F32" w:rsidRDefault="00707748" w:rsidP="00707748">
      <w:pPr>
        <w:pStyle w:val="ListParagraph"/>
        <w:numPr>
          <w:ilvl w:val="0"/>
          <w:numId w:val="48"/>
        </w:numPr>
        <w:pBdr>
          <w:top w:val="single" w:sz="4" w:space="1" w:color="auto"/>
          <w:left w:val="single" w:sz="4" w:space="4" w:color="auto"/>
          <w:bottom w:val="single" w:sz="4" w:space="1" w:color="auto"/>
          <w:right w:val="single" w:sz="4" w:space="4" w:color="auto"/>
        </w:pBdr>
        <w:spacing w:line="360" w:lineRule="auto"/>
        <w:ind w:left="1080" w:right="108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14:paraId="7B87551B" w14:textId="77777777" w:rsidR="006C0B07" w:rsidRPr="00A22588" w:rsidRDefault="006C0B07" w:rsidP="00A22588">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587EA1">
        <w:rPr>
          <w:lang w:val="en-US"/>
        </w:rPr>
        <w:t>References</w:t>
      </w:r>
    </w:p>
    <w:p w14:paraId="0CE3836B" w14:textId="4E39A772" w:rsidR="00352C3F" w:rsidRDefault="00887C4D" w:rsidP="00352C3F">
      <w:pPr>
        <w:numPr>
          <w:ilvl w:val="0"/>
          <w:numId w:val="2"/>
        </w:numPr>
        <w:spacing w:before="100" w:beforeAutospacing="1" w:after="100" w:afterAutospacing="1"/>
        <w:rPr>
          <w:szCs w:val="22"/>
        </w:rPr>
      </w:pPr>
      <w:r>
        <w:rPr>
          <w:szCs w:val="22"/>
        </w:rPr>
        <w:t>RAN1 #90bis Chairman’s Notes (updated with email approvals)</w:t>
      </w:r>
      <w:r w:rsidR="00D63565">
        <w:rPr>
          <w:szCs w:val="22"/>
        </w:rPr>
        <w:t>, Prague, Czech Republic</w:t>
      </w:r>
    </w:p>
    <w:p w14:paraId="14D9B215" w14:textId="5C1917DC" w:rsidR="007A1882" w:rsidRDefault="007A1882" w:rsidP="00352C3F">
      <w:pPr>
        <w:numPr>
          <w:ilvl w:val="0"/>
          <w:numId w:val="2"/>
        </w:numPr>
        <w:spacing w:before="100" w:beforeAutospacing="1" w:after="100" w:afterAutospacing="1"/>
        <w:rPr>
          <w:szCs w:val="22"/>
        </w:rPr>
      </w:pPr>
      <w:r>
        <w:rPr>
          <w:szCs w:val="22"/>
        </w:rPr>
        <w:t>R1-1720850, TS 38.211 v1.1.3</w:t>
      </w:r>
    </w:p>
    <w:p w14:paraId="49B52FAF" w14:textId="5E674028" w:rsidR="001F36BC" w:rsidRPr="002E4881" w:rsidRDefault="001F36BC" w:rsidP="001F36BC">
      <w:pPr>
        <w:numPr>
          <w:ilvl w:val="0"/>
          <w:numId w:val="2"/>
        </w:numPr>
        <w:spacing w:before="100" w:beforeAutospacing="1" w:after="100" w:afterAutospacing="1"/>
        <w:rPr>
          <w:szCs w:val="22"/>
        </w:rPr>
      </w:pPr>
      <w:bookmarkStart w:id="3" w:name="_Ref498711942"/>
      <w:r w:rsidRPr="001F36BC">
        <w:rPr>
          <w:szCs w:val="22"/>
        </w:rPr>
        <w:t>R1-1718568</w:t>
      </w:r>
      <w:r>
        <w:rPr>
          <w:szCs w:val="22"/>
        </w:rPr>
        <w:t>, “</w:t>
      </w:r>
      <w:r w:rsidRPr="001F36BC">
        <w:rPr>
          <w:szCs w:val="22"/>
        </w:rPr>
        <w:t>DL/UL Resource Allocation</w:t>
      </w:r>
      <w:r>
        <w:rPr>
          <w:szCs w:val="22"/>
        </w:rPr>
        <w:t>”, Qualcomm Incorporated, RAN1 #90bis, Prague, Czech Republic</w:t>
      </w:r>
    </w:p>
    <w:p w14:paraId="7208299E" w14:textId="618DC730" w:rsidR="00A22588" w:rsidRPr="002E4881" w:rsidRDefault="00A22588" w:rsidP="00352C3F">
      <w:pPr>
        <w:numPr>
          <w:ilvl w:val="0"/>
          <w:numId w:val="2"/>
        </w:numPr>
        <w:spacing w:before="100" w:beforeAutospacing="1" w:after="100" w:afterAutospacing="1"/>
        <w:rPr>
          <w:szCs w:val="22"/>
        </w:rPr>
      </w:pPr>
      <w:bookmarkStart w:id="4" w:name="_Ref498712980"/>
      <w:r>
        <w:rPr>
          <w:szCs w:val="22"/>
        </w:rPr>
        <w:t xml:space="preserve">R1-1720699, “TBS and Base-graph Determination,” Qualcomm </w:t>
      </w:r>
      <w:r>
        <w:t>Technologies Inc., RAN1-91, Reno, USA.</w:t>
      </w:r>
      <w:bookmarkEnd w:id="3"/>
      <w:bookmarkEnd w:id="4"/>
    </w:p>
    <w:p w14:paraId="2044FBA0" w14:textId="09841D0E" w:rsidR="002E4881" w:rsidRDefault="002E4881" w:rsidP="002E4881">
      <w:pPr>
        <w:spacing w:before="100" w:beforeAutospacing="1" w:after="100" w:afterAutospacing="1"/>
      </w:pPr>
    </w:p>
    <w:sectPr w:rsidR="002E488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87676" w14:textId="77777777" w:rsidR="00C2122D" w:rsidRDefault="00C2122D">
      <w:r>
        <w:separator/>
      </w:r>
    </w:p>
  </w:endnote>
  <w:endnote w:type="continuationSeparator" w:id="0">
    <w:p w14:paraId="58273862" w14:textId="77777777" w:rsidR="00C2122D" w:rsidRDefault="00C2122D">
      <w:r>
        <w:continuationSeparator/>
      </w:r>
    </w:p>
  </w:endnote>
  <w:endnote w:type="continuationNotice" w:id="1">
    <w:p w14:paraId="01BC2E01" w14:textId="77777777" w:rsidR="00C2122D" w:rsidRDefault="00C21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603460" w:rsidRDefault="006034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03460" w:rsidRDefault="006034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660F1328" w:rsidR="00603460" w:rsidRDefault="006034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103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103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5C568" w14:textId="77777777" w:rsidR="00C2122D" w:rsidRDefault="00C2122D">
      <w:r>
        <w:separator/>
      </w:r>
    </w:p>
  </w:footnote>
  <w:footnote w:type="continuationSeparator" w:id="0">
    <w:p w14:paraId="4275420E" w14:textId="77777777" w:rsidR="00C2122D" w:rsidRDefault="00C2122D">
      <w:r>
        <w:continuationSeparator/>
      </w:r>
    </w:p>
  </w:footnote>
  <w:footnote w:type="continuationNotice" w:id="1">
    <w:p w14:paraId="2574B059" w14:textId="77777777" w:rsidR="00C2122D" w:rsidRDefault="00C21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603460" w:rsidRDefault="006034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5219F"/>
    <w:multiLevelType w:val="hybridMultilevel"/>
    <w:tmpl w:val="0832D410"/>
    <w:lvl w:ilvl="0" w:tplc="9F3E7A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12"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59C0D8E"/>
    <w:multiLevelType w:val="multilevel"/>
    <w:tmpl w:val="5EF2C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7319F"/>
    <w:multiLevelType w:val="multilevel"/>
    <w:tmpl w:val="C228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6"/>
  </w:num>
  <w:num w:numId="5">
    <w:abstractNumId w:val="41"/>
  </w:num>
  <w:num w:numId="6">
    <w:abstractNumId w:val="42"/>
  </w:num>
  <w:num w:numId="7">
    <w:abstractNumId w:val="40"/>
  </w:num>
  <w:num w:numId="8">
    <w:abstractNumId w:val="14"/>
  </w:num>
  <w:num w:numId="9">
    <w:abstractNumId w:val="19"/>
  </w:num>
  <w:num w:numId="10">
    <w:abstractNumId w:val="23"/>
  </w:num>
  <w:num w:numId="11">
    <w:abstractNumId w:val="24"/>
  </w:num>
  <w:num w:numId="12">
    <w:abstractNumId w:val="8"/>
  </w:num>
  <w:num w:numId="13">
    <w:abstractNumId w:val="21"/>
  </w:num>
  <w:num w:numId="14">
    <w:abstractNumId w:val="5"/>
  </w:num>
  <w:num w:numId="15">
    <w:abstractNumId w:val="29"/>
  </w:num>
  <w:num w:numId="16">
    <w:abstractNumId w:val="43"/>
  </w:num>
  <w:num w:numId="17">
    <w:abstractNumId w:val="25"/>
  </w:num>
  <w:num w:numId="18">
    <w:abstractNumId w:val="6"/>
  </w:num>
  <w:num w:numId="19">
    <w:abstractNumId w:val="33"/>
  </w:num>
  <w:num w:numId="20">
    <w:abstractNumId w:val="12"/>
  </w:num>
  <w:num w:numId="21">
    <w:abstractNumId w:val="17"/>
  </w:num>
  <w:num w:numId="22">
    <w:abstractNumId w:val="39"/>
  </w:num>
  <w:num w:numId="23">
    <w:abstractNumId w:val="26"/>
  </w:num>
  <w:num w:numId="24">
    <w:abstractNumId w:val="9"/>
  </w:num>
  <w:num w:numId="25">
    <w:abstractNumId w:val="36"/>
  </w:num>
  <w:num w:numId="26">
    <w:abstractNumId w:val="35"/>
  </w:num>
  <w:num w:numId="27">
    <w:abstractNumId w:val="18"/>
  </w:num>
  <w:num w:numId="28">
    <w:abstractNumId w:val="34"/>
  </w:num>
  <w:num w:numId="29">
    <w:abstractNumId w:val="31"/>
  </w:num>
  <w:num w:numId="30">
    <w:abstractNumId w:val="22"/>
  </w:num>
  <w:num w:numId="31">
    <w:abstractNumId w:val="38"/>
  </w:num>
  <w:num w:numId="32">
    <w:abstractNumId w:val="14"/>
  </w:num>
  <w:num w:numId="33">
    <w:abstractNumId w:val="44"/>
  </w:num>
  <w:num w:numId="34">
    <w:abstractNumId w:val="27"/>
  </w:num>
  <w:num w:numId="35">
    <w:abstractNumId w:val="4"/>
  </w:num>
  <w:num w:numId="36">
    <w:abstractNumId w:val="10"/>
  </w:num>
  <w:num w:numId="37">
    <w:abstractNumId w:val="32"/>
  </w:num>
  <w:num w:numId="38">
    <w:abstractNumId w:val="30"/>
  </w:num>
  <w:num w:numId="39">
    <w:abstractNumId w:val="11"/>
  </w:num>
  <w:num w:numId="4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7"/>
  </w:num>
  <w:num w:numId="43">
    <w:abstractNumId w:val="28"/>
  </w:num>
  <w:num w:numId="44">
    <w:abstractNumId w:val="1"/>
  </w:num>
  <w:num w:numId="45">
    <w:abstractNumId w:val="45"/>
  </w:num>
  <w:num w:numId="46">
    <w:abstractNumId w:val="1"/>
  </w:num>
  <w:num w:numId="47">
    <w:abstractNumId w:val="2"/>
  </w:num>
  <w:num w:numId="48">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03D"/>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BFF"/>
    <w:rsid w:val="007A2D56"/>
    <w:rsid w:val="007A2F06"/>
    <w:rsid w:val="007A32E9"/>
    <w:rsid w:val="007A3395"/>
    <w:rsid w:val="007A3505"/>
    <w:rsid w:val="007A3BF2"/>
    <w:rsid w:val="007A4338"/>
    <w:rsid w:val="007A468B"/>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22D"/>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HR33RHYHUWRF-4-6092</_dlc_DocId>
    <_dlc_DocIdUrl xmlns="c06861ca-3f08-4d07-bff7-bb15bac121f4">
      <Url>https://projects.qualcomm.com/sites/pentari/_layouts/15/DocIdRedir.aspx?ID=HR33RHYHUWRF-4-6092</Url>
      <Description>HR33RHYHUWRF-4-6092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2CC291C-B603-44CB-A399-6D2F5F562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8</Pages>
  <Words>2831</Words>
  <Characters>16138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82</cp:revision>
  <cp:lastPrinted>2017-03-25T00:57:00Z</cp:lastPrinted>
  <dcterms:created xsi:type="dcterms:W3CDTF">2017-10-12T10:21:00Z</dcterms:created>
  <dcterms:modified xsi:type="dcterms:W3CDTF">2017-11-18T06:35:00Z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61a604e7-27ee-4017-ab33-12a933f8ee17</vt:lpwstr>
  </property>
  <property fmtid="{D5CDD505-2E9C-101B-9397-08002B2CF9AE}" pid="4" name="ContentTypeId">
    <vt:lpwstr>0x010100BC29BFD66497B943AA3B102F0C7B1355</vt:lpwstr>
  </property>
</Properties>
</file>