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37CA1" w14:textId="2C3E26F0" w:rsidR="0059638E" w:rsidRPr="00DA12F7" w:rsidRDefault="0059638E" w:rsidP="0059638E">
      <w:pPr>
        <w:tabs>
          <w:tab w:val="right" w:pos="9630"/>
        </w:tabs>
        <w:spacing w:after="0"/>
      </w:pPr>
      <w:r w:rsidRPr="00DA12F7">
        <w:rPr>
          <w:rFonts w:ascii="Arial" w:hAnsi="Arial" w:cs="Arial"/>
          <w:b/>
          <w:sz w:val="24"/>
        </w:rPr>
        <w:t xml:space="preserve">3GPP TSG RAN WG1 </w:t>
      </w:r>
      <w:r w:rsidR="005947FC">
        <w:rPr>
          <w:rFonts w:ascii="Arial" w:hAnsi="Arial" w:cs="Arial"/>
          <w:b/>
          <w:sz w:val="24"/>
        </w:rPr>
        <w:t>#91</w:t>
      </w:r>
      <w:r w:rsidRPr="00DA12F7">
        <w:rPr>
          <w:rFonts w:ascii="Arial" w:hAnsi="Arial" w:cs="Arial"/>
          <w:b/>
          <w:sz w:val="24"/>
        </w:rPr>
        <w:tab/>
        <w:t>R1-</w:t>
      </w:r>
      <w:r>
        <w:rPr>
          <w:rFonts w:ascii="Arial" w:hAnsi="Arial" w:cs="Arial"/>
          <w:b/>
          <w:sz w:val="24"/>
        </w:rPr>
        <w:t>17</w:t>
      </w:r>
      <w:r w:rsidR="00503080">
        <w:rPr>
          <w:rFonts w:ascii="Arial" w:hAnsi="Arial" w:cs="Arial"/>
          <w:b/>
          <w:sz w:val="24"/>
        </w:rPr>
        <w:t>20677</w:t>
      </w:r>
    </w:p>
    <w:p w14:paraId="50211516" w14:textId="05145F1C" w:rsidR="0059638E" w:rsidRDefault="005947FC" w:rsidP="0059638E">
      <w:pPr>
        <w:tabs>
          <w:tab w:val="right" w:pos="9630"/>
        </w:tabs>
        <w:spacing w:after="0"/>
        <w:rPr>
          <w:rFonts w:ascii="Arial" w:hAnsi="Arial" w:cs="Arial"/>
          <w:b/>
          <w:sz w:val="24"/>
          <w:szCs w:val="24"/>
        </w:rPr>
      </w:pPr>
      <w:r>
        <w:rPr>
          <w:rFonts w:ascii="Arial" w:hAnsi="Arial" w:cs="Arial"/>
          <w:b/>
          <w:sz w:val="24"/>
          <w:szCs w:val="24"/>
        </w:rPr>
        <w:t>Reno</w:t>
      </w:r>
      <w:r w:rsidR="0059638E">
        <w:rPr>
          <w:rFonts w:ascii="Arial" w:hAnsi="Arial" w:cs="Arial"/>
          <w:b/>
          <w:sz w:val="24"/>
          <w:szCs w:val="24"/>
        </w:rPr>
        <w:t xml:space="preserve">, </w:t>
      </w:r>
      <w:r>
        <w:rPr>
          <w:rFonts w:ascii="Arial" w:hAnsi="Arial" w:cs="Arial"/>
          <w:b/>
          <w:sz w:val="24"/>
          <w:szCs w:val="24"/>
        </w:rPr>
        <w:t>USA</w:t>
      </w:r>
    </w:p>
    <w:p w14:paraId="2032DCB6" w14:textId="2CDDCDD8" w:rsidR="0059638E" w:rsidRPr="00DA12F7" w:rsidRDefault="005947FC" w:rsidP="0059638E">
      <w:pPr>
        <w:tabs>
          <w:tab w:val="right" w:pos="9630"/>
        </w:tabs>
        <w:spacing w:after="0"/>
        <w:rPr>
          <w:rFonts w:ascii="Arial" w:hAnsi="Arial" w:cs="Arial"/>
          <w:b/>
          <w:sz w:val="24"/>
          <w:szCs w:val="24"/>
        </w:rPr>
      </w:pPr>
      <w:r>
        <w:rPr>
          <w:rFonts w:ascii="Arial" w:hAnsi="Arial" w:cs="Arial"/>
          <w:b/>
          <w:sz w:val="24"/>
          <w:szCs w:val="24"/>
        </w:rPr>
        <w:t>November</w:t>
      </w:r>
      <w:r w:rsidR="0059638E">
        <w:rPr>
          <w:rFonts w:ascii="Arial" w:hAnsi="Arial" w:cs="Arial"/>
          <w:b/>
          <w:sz w:val="24"/>
          <w:szCs w:val="24"/>
        </w:rPr>
        <w:t xml:space="preserve"> </w:t>
      </w:r>
      <w:r>
        <w:rPr>
          <w:rFonts w:ascii="Arial" w:hAnsi="Arial" w:cs="Arial"/>
          <w:b/>
          <w:sz w:val="24"/>
          <w:szCs w:val="24"/>
        </w:rPr>
        <w:t>27</w:t>
      </w:r>
      <w:r w:rsidR="0059638E" w:rsidRPr="00116328">
        <w:rPr>
          <w:rFonts w:ascii="Arial" w:hAnsi="Arial" w:cs="Arial"/>
          <w:b/>
          <w:sz w:val="24"/>
          <w:szCs w:val="24"/>
          <w:vertAlign w:val="superscript"/>
        </w:rPr>
        <w:t>t</w:t>
      </w:r>
      <w:r w:rsidR="0059638E">
        <w:rPr>
          <w:rFonts w:ascii="Arial" w:hAnsi="Arial" w:cs="Arial"/>
          <w:b/>
          <w:sz w:val="24"/>
          <w:szCs w:val="24"/>
          <w:vertAlign w:val="superscript"/>
        </w:rPr>
        <w:t>h</w:t>
      </w:r>
      <w:r>
        <w:rPr>
          <w:rFonts w:ascii="Arial" w:hAnsi="Arial" w:cs="Arial"/>
          <w:b/>
          <w:sz w:val="24"/>
          <w:szCs w:val="24"/>
        </w:rPr>
        <w:t xml:space="preserve"> – December 1</w:t>
      </w:r>
      <w:r w:rsidRPr="005947FC">
        <w:rPr>
          <w:rFonts w:ascii="Arial" w:hAnsi="Arial" w:cs="Arial"/>
          <w:b/>
          <w:sz w:val="24"/>
          <w:szCs w:val="24"/>
          <w:vertAlign w:val="superscript"/>
        </w:rPr>
        <w:t>st</w:t>
      </w:r>
      <w:r w:rsidR="0059638E" w:rsidRPr="00DA12F7">
        <w:rPr>
          <w:rFonts w:ascii="Arial" w:hAnsi="Arial" w:cs="Arial"/>
          <w:b/>
          <w:sz w:val="24"/>
          <w:szCs w:val="24"/>
        </w:rPr>
        <w:t xml:space="preserve"> 201</w:t>
      </w:r>
      <w:r w:rsidR="0059638E">
        <w:rPr>
          <w:rFonts w:ascii="Arial" w:hAnsi="Arial" w:cs="Arial"/>
          <w:b/>
          <w:sz w:val="24"/>
          <w:szCs w:val="24"/>
        </w:rPr>
        <w:t>7</w:t>
      </w:r>
    </w:p>
    <w:p w14:paraId="43B7F87B" w14:textId="77777777" w:rsidR="0068226B" w:rsidRPr="000A64D8" w:rsidRDefault="0068226B" w:rsidP="00480B03">
      <w:pPr>
        <w:pStyle w:val="Footer"/>
        <w:jc w:val="both"/>
        <w:rPr>
          <w:noProof w:val="0"/>
        </w:rPr>
      </w:pPr>
    </w:p>
    <w:p w14:paraId="43B7F87C" w14:textId="04AF58B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5D2C">
        <w:rPr>
          <w:rFonts w:ascii="Arial" w:hAnsi="Arial"/>
          <w:sz w:val="24"/>
        </w:rPr>
        <w:t>7</w:t>
      </w:r>
      <w:r w:rsidR="00955C57">
        <w:rPr>
          <w:rFonts w:ascii="Arial" w:hAnsi="Arial"/>
          <w:sz w:val="24"/>
        </w:rPr>
        <w:t>.3.1.</w:t>
      </w:r>
      <w:r w:rsidR="00F65D2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24BFCF1"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5686">
        <w:rPr>
          <w:rFonts w:ascii="Arial" w:hAnsi="Arial"/>
          <w:sz w:val="24"/>
          <w:szCs w:val="24"/>
        </w:rPr>
        <w:t>Remaining issues on slot format indication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A63B643" w14:textId="60C39D83" w:rsidR="00245E49" w:rsidRDefault="00245E49" w:rsidP="00753D9B">
      <w:pPr>
        <w:spacing w:after="120"/>
        <w:rPr>
          <w:szCs w:val="22"/>
        </w:rPr>
      </w:pPr>
      <w:r>
        <w:rPr>
          <w:szCs w:val="22"/>
        </w:rPr>
        <w:t>Related to the contents of group common PDCCH</w:t>
      </w:r>
      <w:r w:rsidR="00B0550D">
        <w:rPr>
          <w:szCs w:val="22"/>
        </w:rPr>
        <w:t xml:space="preserve"> (GC PDCCH)</w:t>
      </w:r>
      <w:r>
        <w:rPr>
          <w:szCs w:val="22"/>
        </w:rPr>
        <w:t xml:space="preserve">, the following agreements were made for ‘slot format related information’ (SFI). </w:t>
      </w:r>
    </w:p>
    <w:p w14:paraId="4673C678" w14:textId="77777777" w:rsidR="005947FC" w:rsidRPr="005947FC" w:rsidRDefault="005947FC" w:rsidP="005947FC">
      <w:pPr>
        <w:spacing w:after="0"/>
        <w:rPr>
          <w:szCs w:val="22"/>
          <w:lang w:val="en-GB"/>
        </w:rPr>
      </w:pPr>
      <w:r w:rsidRPr="005947FC">
        <w:rPr>
          <w:szCs w:val="22"/>
          <w:lang w:val="en-GB"/>
        </w:rPr>
        <w:t>RAN1 #88bis:</w:t>
      </w:r>
    </w:p>
    <w:p w14:paraId="6291CA53" w14:textId="77777777" w:rsidR="005947FC" w:rsidRPr="005947FC" w:rsidRDefault="005947FC" w:rsidP="005947FC">
      <w:pPr>
        <w:spacing w:after="0"/>
        <w:rPr>
          <w:szCs w:val="22"/>
        </w:rPr>
      </w:pPr>
      <w:r w:rsidRPr="005947FC">
        <w:rPr>
          <w:rFonts w:hint="eastAsia"/>
          <w:szCs w:val="22"/>
        </w:rPr>
        <w:t>Agreements:</w:t>
      </w:r>
    </w:p>
    <w:p w14:paraId="0E0BBF1A" w14:textId="77777777" w:rsidR="005947FC" w:rsidRPr="005947FC" w:rsidRDefault="005947FC" w:rsidP="00CB554E">
      <w:pPr>
        <w:numPr>
          <w:ilvl w:val="0"/>
          <w:numId w:val="15"/>
        </w:numPr>
        <w:spacing w:after="0"/>
        <w:rPr>
          <w:szCs w:val="22"/>
        </w:rPr>
      </w:pPr>
      <w:r w:rsidRPr="005947FC">
        <w:rPr>
          <w:rFonts w:hint="eastAsia"/>
          <w:szCs w:val="22"/>
        </w:rPr>
        <w:t>From UE signaling perspective,</w:t>
      </w:r>
    </w:p>
    <w:p w14:paraId="73AEFFF7" w14:textId="77777777" w:rsidR="005947FC" w:rsidRPr="005947FC" w:rsidRDefault="005947FC" w:rsidP="00CB554E">
      <w:pPr>
        <w:numPr>
          <w:ilvl w:val="1"/>
          <w:numId w:val="15"/>
        </w:numPr>
        <w:spacing w:after="0"/>
        <w:rPr>
          <w:szCs w:val="22"/>
        </w:rPr>
      </w:pPr>
      <w:r w:rsidRPr="005947FC">
        <w:rPr>
          <w:rFonts w:hint="eastAsia"/>
          <w:szCs w:val="22"/>
        </w:rPr>
        <w:t xml:space="preserve">The higher layer signalling for the semi-static assignment of DL/UL transmission direction for NR </w:t>
      </w:r>
      <w:r w:rsidRPr="005947FC">
        <w:rPr>
          <w:szCs w:val="22"/>
        </w:rPr>
        <w:t>can achieve</w:t>
      </w:r>
      <w:r w:rsidRPr="005947FC">
        <w:rPr>
          <w:rFonts w:hint="eastAsia"/>
          <w:szCs w:val="22"/>
        </w:rPr>
        <w:t xml:space="preserve"> at least the followings</w:t>
      </w:r>
    </w:p>
    <w:p w14:paraId="1B9E976D" w14:textId="77777777" w:rsidR="005947FC" w:rsidRPr="005947FC" w:rsidRDefault="005947FC" w:rsidP="00CB554E">
      <w:pPr>
        <w:numPr>
          <w:ilvl w:val="2"/>
          <w:numId w:val="15"/>
        </w:numPr>
        <w:spacing w:after="0"/>
        <w:rPr>
          <w:szCs w:val="22"/>
        </w:rPr>
      </w:pPr>
      <w:r w:rsidRPr="005947FC">
        <w:rPr>
          <w:rFonts w:hint="eastAsia"/>
          <w:szCs w:val="22"/>
        </w:rPr>
        <w:t xml:space="preserve">A periodicity where the configuration applies; </w:t>
      </w:r>
    </w:p>
    <w:p w14:paraId="2E23EB45" w14:textId="77777777" w:rsidR="005947FC" w:rsidRPr="005947FC" w:rsidRDefault="005947FC" w:rsidP="00CB554E">
      <w:pPr>
        <w:numPr>
          <w:ilvl w:val="3"/>
          <w:numId w:val="15"/>
        </w:numPr>
        <w:spacing w:after="0"/>
        <w:rPr>
          <w:szCs w:val="22"/>
        </w:rPr>
      </w:pPr>
      <w:r w:rsidRPr="005947FC">
        <w:rPr>
          <w:rFonts w:hint="eastAsia"/>
          <w:szCs w:val="22"/>
        </w:rPr>
        <w:t xml:space="preserve">FFS: Detailed periodicity set; </w:t>
      </w:r>
    </w:p>
    <w:p w14:paraId="33057229" w14:textId="77777777" w:rsidR="005947FC" w:rsidRPr="005947FC" w:rsidRDefault="005947FC" w:rsidP="00CB554E">
      <w:pPr>
        <w:numPr>
          <w:ilvl w:val="3"/>
          <w:numId w:val="15"/>
        </w:numPr>
        <w:spacing w:after="0"/>
        <w:rPr>
          <w:szCs w:val="22"/>
        </w:rPr>
      </w:pPr>
      <w:r w:rsidRPr="005947FC">
        <w:rPr>
          <w:szCs w:val="22"/>
        </w:rPr>
        <w:t>FFS: how to achieve the signaling of periodicity</w:t>
      </w:r>
    </w:p>
    <w:p w14:paraId="72F95C4B" w14:textId="77777777" w:rsidR="005947FC" w:rsidRPr="005947FC" w:rsidRDefault="005947FC" w:rsidP="00CB554E">
      <w:pPr>
        <w:numPr>
          <w:ilvl w:val="2"/>
          <w:numId w:val="15"/>
        </w:numPr>
        <w:spacing w:after="0"/>
        <w:rPr>
          <w:szCs w:val="22"/>
        </w:rPr>
      </w:pPr>
      <w:r w:rsidRPr="005947FC">
        <w:rPr>
          <w:rFonts w:hint="eastAsia"/>
          <w:szCs w:val="22"/>
        </w:rPr>
        <w:t>A subset of resources with fixed DL transmission;</w:t>
      </w:r>
    </w:p>
    <w:p w14:paraId="63569B6F" w14:textId="77777777" w:rsidR="005947FC" w:rsidRPr="005947FC" w:rsidRDefault="005947FC" w:rsidP="00CB554E">
      <w:pPr>
        <w:numPr>
          <w:ilvl w:val="3"/>
          <w:numId w:val="15"/>
        </w:numPr>
        <w:spacing w:after="0"/>
        <w:rPr>
          <w:szCs w:val="22"/>
        </w:rPr>
      </w:pPr>
      <w:r w:rsidRPr="005947FC">
        <w:rPr>
          <w:szCs w:val="22"/>
        </w:rPr>
        <w:t xml:space="preserve">FFS: </w:t>
      </w:r>
      <w:r w:rsidRPr="005947FC">
        <w:rPr>
          <w:rFonts w:hint="eastAsia"/>
          <w:szCs w:val="22"/>
        </w:rPr>
        <w:t xml:space="preserve">The subset of resources can be assigned in granularity of slot </w:t>
      </w:r>
      <w:r w:rsidRPr="005947FC">
        <w:rPr>
          <w:szCs w:val="22"/>
        </w:rPr>
        <w:t>and/</w:t>
      </w:r>
      <w:r w:rsidRPr="005947FC">
        <w:rPr>
          <w:rFonts w:hint="eastAsia"/>
          <w:szCs w:val="22"/>
        </w:rPr>
        <w:t>or symbol;</w:t>
      </w:r>
    </w:p>
    <w:p w14:paraId="0C95EAA3" w14:textId="77777777" w:rsidR="005947FC" w:rsidRPr="005947FC" w:rsidRDefault="005947FC" w:rsidP="00CB554E">
      <w:pPr>
        <w:numPr>
          <w:ilvl w:val="2"/>
          <w:numId w:val="15"/>
        </w:numPr>
        <w:spacing w:after="0"/>
        <w:rPr>
          <w:szCs w:val="22"/>
        </w:rPr>
      </w:pPr>
      <w:r w:rsidRPr="005947FC">
        <w:rPr>
          <w:rFonts w:hint="eastAsia"/>
          <w:szCs w:val="22"/>
        </w:rPr>
        <w:t>A subset of resources with fixed UL transmission;</w:t>
      </w:r>
    </w:p>
    <w:p w14:paraId="6E57259C" w14:textId="77777777" w:rsidR="005947FC" w:rsidRPr="005947FC" w:rsidRDefault="005947FC" w:rsidP="00CB554E">
      <w:pPr>
        <w:numPr>
          <w:ilvl w:val="3"/>
          <w:numId w:val="15"/>
        </w:numPr>
        <w:spacing w:after="0"/>
        <w:rPr>
          <w:szCs w:val="22"/>
        </w:rPr>
      </w:pPr>
      <w:r w:rsidRPr="005947FC">
        <w:rPr>
          <w:rFonts w:hint="eastAsia"/>
          <w:szCs w:val="22"/>
        </w:rPr>
        <w:t>Resources with fixed UL transmission happens in the ending part of the periodicity is supported;</w:t>
      </w:r>
    </w:p>
    <w:p w14:paraId="204ACCEE" w14:textId="77777777" w:rsidR="005947FC" w:rsidRPr="005947FC" w:rsidRDefault="005947FC" w:rsidP="00CB554E">
      <w:pPr>
        <w:numPr>
          <w:ilvl w:val="3"/>
          <w:numId w:val="15"/>
        </w:numPr>
        <w:spacing w:after="0"/>
        <w:rPr>
          <w:szCs w:val="22"/>
        </w:rPr>
      </w:pPr>
      <w:r w:rsidRPr="005947FC">
        <w:rPr>
          <w:szCs w:val="22"/>
        </w:rPr>
        <w:t xml:space="preserve">FFS: </w:t>
      </w:r>
      <w:r w:rsidRPr="005947FC">
        <w:rPr>
          <w:rFonts w:hint="eastAsia"/>
          <w:szCs w:val="22"/>
        </w:rPr>
        <w:t xml:space="preserve">The subset of resources can be assigned in granularity of slot </w:t>
      </w:r>
      <w:r w:rsidRPr="005947FC">
        <w:rPr>
          <w:szCs w:val="22"/>
        </w:rPr>
        <w:t>and/</w:t>
      </w:r>
      <w:r w:rsidRPr="005947FC">
        <w:rPr>
          <w:rFonts w:hint="eastAsia"/>
          <w:szCs w:val="22"/>
        </w:rPr>
        <w:t>or symbol;</w:t>
      </w:r>
    </w:p>
    <w:p w14:paraId="70A498A8" w14:textId="77777777" w:rsidR="005947FC" w:rsidRPr="005947FC" w:rsidRDefault="005947FC" w:rsidP="00CB554E">
      <w:pPr>
        <w:numPr>
          <w:ilvl w:val="1"/>
          <w:numId w:val="15"/>
        </w:numPr>
        <w:spacing w:after="0"/>
        <w:rPr>
          <w:szCs w:val="22"/>
        </w:rPr>
      </w:pPr>
      <w:r w:rsidRPr="005947FC">
        <w:rPr>
          <w:szCs w:val="22"/>
        </w:rPr>
        <w:t xml:space="preserve">FFS: </w:t>
      </w:r>
      <w:r w:rsidRPr="005947FC">
        <w:rPr>
          <w:rFonts w:hint="eastAsia"/>
          <w:szCs w:val="22"/>
        </w:rPr>
        <w:t xml:space="preserve">Other resources not indicated as </w:t>
      </w:r>
      <w:r w:rsidRPr="005947FC">
        <w:rPr>
          <w:rFonts w:hint="eastAsia"/>
          <w:szCs w:val="22"/>
        </w:rPr>
        <w:t>“</w:t>
      </w:r>
      <w:r w:rsidRPr="005947FC">
        <w:rPr>
          <w:rFonts w:hint="eastAsia"/>
          <w:szCs w:val="22"/>
        </w:rPr>
        <w:t>fixed UL</w:t>
      </w:r>
      <w:r w:rsidRPr="005947FC">
        <w:rPr>
          <w:rFonts w:hint="eastAsia"/>
          <w:szCs w:val="22"/>
        </w:rPr>
        <w:t>”</w:t>
      </w:r>
      <w:r w:rsidRPr="005947FC">
        <w:rPr>
          <w:rFonts w:hint="eastAsia"/>
          <w:szCs w:val="22"/>
        </w:rPr>
        <w:t xml:space="preserve"> or </w:t>
      </w:r>
      <w:r w:rsidRPr="005947FC">
        <w:rPr>
          <w:rFonts w:hint="eastAsia"/>
          <w:szCs w:val="22"/>
        </w:rPr>
        <w:t>“</w:t>
      </w:r>
      <w:r w:rsidRPr="005947FC">
        <w:rPr>
          <w:rFonts w:hint="eastAsia"/>
          <w:szCs w:val="22"/>
        </w:rPr>
        <w:t>fixed DL</w:t>
      </w:r>
      <w:r w:rsidRPr="005947FC">
        <w:rPr>
          <w:rFonts w:hint="eastAsia"/>
          <w:szCs w:val="22"/>
        </w:rPr>
        <w:t>”</w:t>
      </w:r>
      <w:r w:rsidRPr="005947FC">
        <w:rPr>
          <w:rFonts w:hint="eastAsia"/>
          <w:szCs w:val="22"/>
        </w:rPr>
        <w:t xml:space="preserve"> or </w:t>
      </w:r>
      <w:r w:rsidRPr="005947FC">
        <w:rPr>
          <w:rFonts w:hint="eastAsia"/>
          <w:szCs w:val="22"/>
        </w:rPr>
        <w:t>“</w:t>
      </w:r>
      <w:r w:rsidRPr="005947FC">
        <w:rPr>
          <w:rFonts w:hint="eastAsia"/>
          <w:szCs w:val="22"/>
        </w:rPr>
        <w:t>reserved/blank</w:t>
      </w:r>
      <w:r w:rsidRPr="005947FC">
        <w:rPr>
          <w:rFonts w:hint="eastAsia"/>
          <w:szCs w:val="22"/>
        </w:rPr>
        <w:t>”</w:t>
      </w:r>
      <w:r w:rsidRPr="005947FC">
        <w:rPr>
          <w:rFonts w:hint="eastAsia"/>
          <w:szCs w:val="22"/>
        </w:rPr>
        <w:t xml:space="preserve"> can be considered as </w:t>
      </w:r>
      <w:r w:rsidRPr="005947FC">
        <w:rPr>
          <w:rFonts w:hint="eastAsia"/>
          <w:szCs w:val="22"/>
        </w:rPr>
        <w:t>“</w:t>
      </w:r>
      <w:r w:rsidRPr="005947FC">
        <w:rPr>
          <w:rFonts w:hint="eastAsia"/>
          <w:szCs w:val="22"/>
        </w:rPr>
        <w:t>flexible resource</w:t>
      </w:r>
      <w:r w:rsidRPr="005947FC">
        <w:rPr>
          <w:rFonts w:hint="eastAsia"/>
          <w:szCs w:val="22"/>
        </w:rPr>
        <w:t>”</w:t>
      </w:r>
      <w:r w:rsidRPr="005947FC">
        <w:rPr>
          <w:rFonts w:hint="eastAsia"/>
          <w:szCs w:val="22"/>
        </w:rPr>
        <w:t>, where transmission direction can be changed dynamically.</w:t>
      </w:r>
    </w:p>
    <w:p w14:paraId="758148D5" w14:textId="77777777" w:rsidR="005947FC" w:rsidRPr="005947FC" w:rsidRDefault="005947FC" w:rsidP="005947FC">
      <w:pPr>
        <w:spacing w:after="0"/>
        <w:rPr>
          <w:szCs w:val="22"/>
        </w:rPr>
      </w:pPr>
      <w:r w:rsidRPr="005947FC">
        <w:rPr>
          <w:rFonts w:hint="eastAsia"/>
          <w:szCs w:val="22"/>
        </w:rPr>
        <w:t>Agreements:</w:t>
      </w:r>
    </w:p>
    <w:p w14:paraId="7BD4117B" w14:textId="77777777" w:rsidR="005947FC" w:rsidRPr="005947FC" w:rsidRDefault="005947FC" w:rsidP="00CB554E">
      <w:pPr>
        <w:numPr>
          <w:ilvl w:val="0"/>
          <w:numId w:val="16"/>
        </w:numPr>
        <w:spacing w:after="0"/>
        <w:rPr>
          <w:szCs w:val="22"/>
        </w:rPr>
      </w:pPr>
      <w:r w:rsidRPr="005947FC">
        <w:rPr>
          <w:szCs w:val="22"/>
        </w:rPr>
        <w:t>Strive for unified design regardless of whether the DL/UL resource partition is dynamic or semi-static</w:t>
      </w:r>
    </w:p>
    <w:p w14:paraId="11AF9080" w14:textId="77777777" w:rsidR="005947FC" w:rsidRPr="005947FC" w:rsidRDefault="005947FC" w:rsidP="00CB554E">
      <w:pPr>
        <w:numPr>
          <w:ilvl w:val="0"/>
          <w:numId w:val="16"/>
        </w:numPr>
        <w:spacing w:after="0"/>
        <w:rPr>
          <w:szCs w:val="22"/>
        </w:rPr>
      </w:pPr>
      <w:r w:rsidRPr="005947FC">
        <w:rPr>
          <w:szCs w:val="22"/>
        </w:rPr>
        <w:t>UE behaviors at least the following are common regardless of whether the DL/UL resource partition is dynamic or semi-static:</w:t>
      </w:r>
    </w:p>
    <w:p w14:paraId="174738DF" w14:textId="77777777" w:rsidR="005947FC" w:rsidRPr="005947FC" w:rsidRDefault="005947FC" w:rsidP="00CB554E">
      <w:pPr>
        <w:numPr>
          <w:ilvl w:val="1"/>
          <w:numId w:val="16"/>
        </w:numPr>
        <w:spacing w:after="0"/>
        <w:rPr>
          <w:szCs w:val="22"/>
        </w:rPr>
      </w:pPr>
      <w:r w:rsidRPr="005947FC">
        <w:rPr>
          <w:szCs w:val="22"/>
        </w:rPr>
        <w:t>Scheduling timing between control to the scheduled data</w:t>
      </w:r>
    </w:p>
    <w:p w14:paraId="225D8999" w14:textId="77777777" w:rsidR="005947FC" w:rsidRPr="005947FC" w:rsidRDefault="005947FC" w:rsidP="00CB554E">
      <w:pPr>
        <w:numPr>
          <w:ilvl w:val="1"/>
          <w:numId w:val="16"/>
        </w:numPr>
        <w:spacing w:after="0"/>
        <w:rPr>
          <w:szCs w:val="22"/>
        </w:rPr>
      </w:pPr>
      <w:r w:rsidRPr="005947FC">
        <w:rPr>
          <w:szCs w:val="22"/>
        </w:rPr>
        <w:t>HARQ-ACK feedback including timing</w:t>
      </w:r>
    </w:p>
    <w:p w14:paraId="79746A1A" w14:textId="77777777" w:rsidR="005947FC" w:rsidRPr="005947FC" w:rsidRDefault="005947FC" w:rsidP="00CB554E">
      <w:pPr>
        <w:numPr>
          <w:ilvl w:val="0"/>
          <w:numId w:val="16"/>
        </w:numPr>
        <w:spacing w:after="0"/>
        <w:rPr>
          <w:szCs w:val="22"/>
        </w:rPr>
      </w:pPr>
      <w:r w:rsidRPr="005947FC">
        <w:rPr>
          <w:szCs w:val="22"/>
        </w:rPr>
        <w:t>Strive for a limited number of semi-static DL/UL resource partition.</w:t>
      </w:r>
    </w:p>
    <w:p w14:paraId="02175824" w14:textId="77777777" w:rsidR="005947FC" w:rsidRPr="005947FC" w:rsidRDefault="005947FC" w:rsidP="00CB554E">
      <w:pPr>
        <w:numPr>
          <w:ilvl w:val="0"/>
          <w:numId w:val="16"/>
        </w:numPr>
        <w:spacing w:after="0"/>
        <w:rPr>
          <w:szCs w:val="22"/>
        </w:rPr>
      </w:pPr>
      <w:r w:rsidRPr="005947FC">
        <w:rPr>
          <w:szCs w:val="22"/>
        </w:rPr>
        <w:t>NR may include tools motivated by either dynamic or semi-static</w:t>
      </w:r>
      <w:r w:rsidRPr="005947FC">
        <w:rPr>
          <w:rFonts w:hint="eastAsia"/>
          <w:szCs w:val="22"/>
        </w:rPr>
        <w:t>.</w:t>
      </w:r>
    </w:p>
    <w:p w14:paraId="549D17BF" w14:textId="77777777" w:rsidR="005947FC" w:rsidRPr="005947FC" w:rsidRDefault="005947FC" w:rsidP="00CB554E">
      <w:pPr>
        <w:numPr>
          <w:ilvl w:val="0"/>
          <w:numId w:val="16"/>
        </w:numPr>
        <w:spacing w:after="0"/>
        <w:rPr>
          <w:szCs w:val="22"/>
        </w:rPr>
      </w:pPr>
      <w:r w:rsidRPr="005947FC">
        <w:rPr>
          <w:szCs w:val="22"/>
        </w:rPr>
        <w:t>FFS: UE behavior if there is a conflict between dynamic and semi-static signaling.</w:t>
      </w:r>
    </w:p>
    <w:p w14:paraId="29A4DCD9" w14:textId="77777777" w:rsidR="005947FC" w:rsidRPr="005947FC" w:rsidRDefault="005947FC" w:rsidP="005947FC">
      <w:pPr>
        <w:spacing w:after="0"/>
        <w:rPr>
          <w:szCs w:val="22"/>
        </w:rPr>
      </w:pPr>
    </w:p>
    <w:p w14:paraId="34B92EE0" w14:textId="77777777" w:rsidR="005947FC" w:rsidRPr="005947FC" w:rsidRDefault="005947FC" w:rsidP="005947FC">
      <w:pPr>
        <w:spacing w:after="0"/>
        <w:rPr>
          <w:szCs w:val="22"/>
          <w:lang w:val="en-GB"/>
        </w:rPr>
      </w:pPr>
      <w:r w:rsidRPr="005947FC">
        <w:rPr>
          <w:szCs w:val="22"/>
          <w:lang w:val="en-GB"/>
        </w:rPr>
        <w:t>RAN1 #89:</w:t>
      </w:r>
    </w:p>
    <w:p w14:paraId="3F480A23" w14:textId="77777777" w:rsidR="005947FC" w:rsidRPr="005947FC" w:rsidRDefault="005947FC" w:rsidP="005947FC">
      <w:pPr>
        <w:spacing w:after="0"/>
        <w:rPr>
          <w:szCs w:val="22"/>
        </w:rPr>
      </w:pPr>
      <w:r w:rsidRPr="005947FC">
        <w:rPr>
          <w:rFonts w:hint="eastAsia"/>
          <w:szCs w:val="22"/>
        </w:rPr>
        <w:t>Agreements:</w:t>
      </w:r>
    </w:p>
    <w:p w14:paraId="49B9B47C" w14:textId="77777777" w:rsidR="005947FC" w:rsidRPr="005947FC" w:rsidRDefault="005947FC" w:rsidP="00CB554E">
      <w:pPr>
        <w:numPr>
          <w:ilvl w:val="0"/>
          <w:numId w:val="17"/>
        </w:numPr>
        <w:spacing w:after="0"/>
        <w:rPr>
          <w:szCs w:val="22"/>
        </w:rPr>
      </w:pPr>
      <w:r w:rsidRPr="005947FC">
        <w:rPr>
          <w:szCs w:val="22"/>
        </w:rPr>
        <w:t>The SFI transmitted in a group-common PDCCH can indicate the slot format related information for one or more slots</w:t>
      </w:r>
    </w:p>
    <w:p w14:paraId="744DD5BB" w14:textId="77777777" w:rsidR="005947FC" w:rsidRPr="005947FC" w:rsidRDefault="005947FC" w:rsidP="00CB554E">
      <w:pPr>
        <w:numPr>
          <w:ilvl w:val="1"/>
          <w:numId w:val="17"/>
        </w:numPr>
        <w:spacing w:after="0"/>
        <w:rPr>
          <w:szCs w:val="22"/>
        </w:rPr>
      </w:pPr>
      <w:r w:rsidRPr="005947FC">
        <w:rPr>
          <w:szCs w:val="22"/>
        </w:rPr>
        <w:t>The slot format related information informs the UEs of the number of slots and the slot format(s) related information of those slots</w:t>
      </w:r>
    </w:p>
    <w:p w14:paraId="690D5B38" w14:textId="77777777" w:rsidR="005947FC" w:rsidRPr="005947FC" w:rsidRDefault="005947FC" w:rsidP="00CB554E">
      <w:pPr>
        <w:numPr>
          <w:ilvl w:val="1"/>
          <w:numId w:val="17"/>
        </w:numPr>
        <w:spacing w:after="0"/>
        <w:rPr>
          <w:szCs w:val="22"/>
        </w:rPr>
      </w:pPr>
      <w:r w:rsidRPr="005947FC">
        <w:rPr>
          <w:szCs w:val="22"/>
        </w:rPr>
        <w:t>FFS: how to interpret the SFI when the UE is configured with multiple bandwidth parts</w:t>
      </w:r>
    </w:p>
    <w:p w14:paraId="40716FF3" w14:textId="77777777" w:rsidR="005947FC" w:rsidRPr="005947FC" w:rsidRDefault="005947FC" w:rsidP="00CB554E">
      <w:pPr>
        <w:numPr>
          <w:ilvl w:val="1"/>
          <w:numId w:val="17"/>
        </w:numPr>
        <w:spacing w:after="0"/>
        <w:rPr>
          <w:szCs w:val="22"/>
        </w:rPr>
      </w:pPr>
      <w:r w:rsidRPr="005947FC">
        <w:rPr>
          <w:szCs w:val="22"/>
        </w:rPr>
        <w:t>FFS: details for UE behaviour</w:t>
      </w:r>
    </w:p>
    <w:p w14:paraId="5AE099BD" w14:textId="77777777" w:rsidR="005947FC" w:rsidRPr="005947FC" w:rsidRDefault="005947FC" w:rsidP="00CB554E">
      <w:pPr>
        <w:numPr>
          <w:ilvl w:val="0"/>
          <w:numId w:val="17"/>
        </w:numPr>
        <w:spacing w:after="0"/>
        <w:rPr>
          <w:szCs w:val="22"/>
        </w:rPr>
      </w:pPr>
      <w:r w:rsidRPr="005947FC">
        <w:rPr>
          <w:szCs w:val="22"/>
        </w:rPr>
        <w:t>FFS: A UE may be configured to monitor for at most one group-common PDCCH</w:t>
      </w:r>
    </w:p>
    <w:p w14:paraId="7576C70A" w14:textId="77777777" w:rsidR="005947FC" w:rsidRPr="005947FC" w:rsidRDefault="005947FC" w:rsidP="005947FC">
      <w:pPr>
        <w:spacing w:after="0"/>
        <w:rPr>
          <w:szCs w:val="22"/>
        </w:rPr>
      </w:pPr>
      <w:r w:rsidRPr="005947FC">
        <w:rPr>
          <w:rFonts w:hint="eastAsia"/>
          <w:szCs w:val="22"/>
        </w:rPr>
        <w:t>Agreements:</w:t>
      </w:r>
    </w:p>
    <w:p w14:paraId="68BED399" w14:textId="77777777" w:rsidR="005947FC" w:rsidRPr="005947FC" w:rsidRDefault="005947FC" w:rsidP="00CB554E">
      <w:pPr>
        <w:numPr>
          <w:ilvl w:val="0"/>
          <w:numId w:val="18"/>
        </w:numPr>
        <w:spacing w:after="0"/>
        <w:rPr>
          <w:szCs w:val="22"/>
        </w:rPr>
      </w:pPr>
      <w:r w:rsidRPr="005947FC">
        <w:rPr>
          <w:szCs w:val="22"/>
        </w:rPr>
        <w:t>Regarding to the periodicity that included in the higher layer signalling for the semi-static assignment of DL/UL transmission direction for NR, at least the following values are supported:</w:t>
      </w:r>
    </w:p>
    <w:p w14:paraId="7BC89648" w14:textId="77777777" w:rsidR="005947FC" w:rsidRPr="005947FC" w:rsidRDefault="005947FC" w:rsidP="00CB554E">
      <w:pPr>
        <w:numPr>
          <w:ilvl w:val="1"/>
          <w:numId w:val="18"/>
        </w:numPr>
        <w:spacing w:after="0"/>
        <w:rPr>
          <w:szCs w:val="22"/>
        </w:rPr>
      </w:pPr>
      <w:r w:rsidRPr="005947FC">
        <w:rPr>
          <w:szCs w:val="22"/>
        </w:rPr>
        <w:t>[Roughly 0.125ms, roughly 0.25ms,] 0.5ms, 1ms, 2ms, 5ms, 10ms;</w:t>
      </w:r>
    </w:p>
    <w:p w14:paraId="593A321B" w14:textId="77777777" w:rsidR="005947FC" w:rsidRPr="005947FC" w:rsidRDefault="005947FC" w:rsidP="00CB554E">
      <w:pPr>
        <w:numPr>
          <w:ilvl w:val="2"/>
          <w:numId w:val="18"/>
        </w:numPr>
        <w:spacing w:after="0"/>
        <w:rPr>
          <w:szCs w:val="22"/>
        </w:rPr>
      </w:pPr>
      <w:r w:rsidRPr="005947FC">
        <w:rPr>
          <w:szCs w:val="22"/>
        </w:rPr>
        <w:t>Each periodicity is supported for particular SCS(s)/slot duration(s)</w:t>
      </w:r>
    </w:p>
    <w:p w14:paraId="28A109A8" w14:textId="77777777" w:rsidR="005947FC" w:rsidRPr="005947FC" w:rsidRDefault="005947FC" w:rsidP="00CB554E">
      <w:pPr>
        <w:numPr>
          <w:ilvl w:val="1"/>
          <w:numId w:val="18"/>
        </w:numPr>
        <w:spacing w:after="0"/>
        <w:rPr>
          <w:szCs w:val="22"/>
        </w:rPr>
      </w:pPr>
      <w:r w:rsidRPr="005947FC">
        <w:rPr>
          <w:szCs w:val="22"/>
        </w:rPr>
        <w:t>FFS: details</w:t>
      </w:r>
    </w:p>
    <w:p w14:paraId="44FC2F53" w14:textId="77777777" w:rsidR="005947FC" w:rsidRPr="005947FC" w:rsidRDefault="005947FC" w:rsidP="005947FC">
      <w:pPr>
        <w:spacing w:after="0"/>
        <w:rPr>
          <w:szCs w:val="22"/>
        </w:rPr>
      </w:pPr>
      <w:r w:rsidRPr="005947FC">
        <w:rPr>
          <w:rFonts w:hint="eastAsia"/>
          <w:szCs w:val="22"/>
        </w:rPr>
        <w:t>Agreements:</w:t>
      </w:r>
    </w:p>
    <w:p w14:paraId="19B04CF6" w14:textId="77777777" w:rsidR="005947FC" w:rsidRPr="005947FC" w:rsidRDefault="005947FC" w:rsidP="00CB554E">
      <w:pPr>
        <w:numPr>
          <w:ilvl w:val="0"/>
          <w:numId w:val="19"/>
        </w:numPr>
        <w:spacing w:after="0"/>
        <w:rPr>
          <w:szCs w:val="22"/>
        </w:rPr>
      </w:pPr>
      <w:r w:rsidRPr="005947FC">
        <w:rPr>
          <w:szCs w:val="22"/>
        </w:rPr>
        <w:t>In ‘Slot format related information’, ‘other’ is at least:</w:t>
      </w:r>
    </w:p>
    <w:p w14:paraId="1B8529A0" w14:textId="77777777" w:rsidR="005947FC" w:rsidRPr="005947FC" w:rsidRDefault="005947FC" w:rsidP="00CB554E">
      <w:pPr>
        <w:numPr>
          <w:ilvl w:val="1"/>
          <w:numId w:val="19"/>
        </w:numPr>
        <w:spacing w:after="0"/>
        <w:rPr>
          <w:szCs w:val="22"/>
        </w:rPr>
      </w:pPr>
      <w:r w:rsidRPr="005947FC">
        <w:rPr>
          <w:szCs w:val="22"/>
        </w:rPr>
        <w:lastRenderedPageBreak/>
        <w:t>‘Unknown’</w:t>
      </w:r>
    </w:p>
    <w:p w14:paraId="5E9A91B3" w14:textId="77777777" w:rsidR="005947FC" w:rsidRPr="005947FC" w:rsidRDefault="005947FC" w:rsidP="00CB554E">
      <w:pPr>
        <w:numPr>
          <w:ilvl w:val="2"/>
          <w:numId w:val="19"/>
        </w:numPr>
        <w:spacing w:after="0"/>
        <w:rPr>
          <w:szCs w:val="22"/>
        </w:rPr>
      </w:pPr>
      <w:r w:rsidRPr="005947FC">
        <w:rPr>
          <w:szCs w:val="22"/>
        </w:rPr>
        <w:t>UE shall not assume anything for the symbol with ‘Unknown’ by this information</w:t>
      </w:r>
    </w:p>
    <w:p w14:paraId="6AD4712B" w14:textId="77777777" w:rsidR="005947FC" w:rsidRPr="005947FC" w:rsidRDefault="005947FC" w:rsidP="00CB554E">
      <w:pPr>
        <w:numPr>
          <w:ilvl w:val="2"/>
          <w:numId w:val="19"/>
        </w:numPr>
        <w:spacing w:after="0"/>
        <w:rPr>
          <w:szCs w:val="22"/>
        </w:rPr>
      </w:pPr>
      <w:r w:rsidRPr="005947FC">
        <w:rPr>
          <w:szCs w:val="22"/>
        </w:rPr>
        <w:t>FFS: UE behavior when the UE receives the information for the symbol from SFI and broadcast DCI and/or UE-specific DCI and/or semi-static signaling/configuration</w:t>
      </w:r>
    </w:p>
    <w:p w14:paraId="73066319" w14:textId="77777777" w:rsidR="005947FC" w:rsidRPr="005947FC" w:rsidRDefault="005947FC" w:rsidP="00CB554E">
      <w:pPr>
        <w:numPr>
          <w:ilvl w:val="1"/>
          <w:numId w:val="19"/>
        </w:numPr>
        <w:spacing w:after="0"/>
        <w:rPr>
          <w:szCs w:val="22"/>
        </w:rPr>
      </w:pPr>
      <w:r w:rsidRPr="005947FC">
        <w:rPr>
          <w:szCs w:val="22"/>
        </w:rPr>
        <w:t>FFS: ‘Empty’</w:t>
      </w:r>
    </w:p>
    <w:p w14:paraId="5714A640" w14:textId="77777777" w:rsidR="005947FC" w:rsidRPr="005947FC" w:rsidRDefault="005947FC" w:rsidP="00CB554E">
      <w:pPr>
        <w:numPr>
          <w:ilvl w:val="2"/>
          <w:numId w:val="19"/>
        </w:numPr>
        <w:spacing w:after="0"/>
        <w:rPr>
          <w:szCs w:val="22"/>
        </w:rPr>
      </w:pPr>
      <w:r w:rsidRPr="005947FC">
        <w:rPr>
          <w:szCs w:val="22"/>
        </w:rPr>
        <w:t>UEs can use this resource for interference measurement</w:t>
      </w:r>
    </w:p>
    <w:p w14:paraId="4E3ABBF1" w14:textId="77777777" w:rsidR="005947FC" w:rsidRPr="005947FC" w:rsidRDefault="005947FC" w:rsidP="00CB554E">
      <w:pPr>
        <w:numPr>
          <w:ilvl w:val="2"/>
          <w:numId w:val="19"/>
        </w:numPr>
        <w:spacing w:after="0"/>
        <w:rPr>
          <w:szCs w:val="22"/>
        </w:rPr>
      </w:pPr>
      <w:r w:rsidRPr="005947FC">
        <w:rPr>
          <w:szCs w:val="22"/>
        </w:rPr>
        <w:t>UE may assume there is no transmission</w:t>
      </w:r>
    </w:p>
    <w:p w14:paraId="3E48EC76" w14:textId="77777777" w:rsidR="005947FC" w:rsidRPr="005947FC" w:rsidRDefault="005947FC" w:rsidP="005947FC">
      <w:pPr>
        <w:spacing w:after="0"/>
        <w:rPr>
          <w:szCs w:val="22"/>
        </w:rPr>
      </w:pPr>
    </w:p>
    <w:p w14:paraId="0EA43187" w14:textId="77777777" w:rsidR="005947FC" w:rsidRPr="005947FC" w:rsidRDefault="005947FC" w:rsidP="005947FC">
      <w:pPr>
        <w:spacing w:after="0"/>
        <w:rPr>
          <w:szCs w:val="22"/>
          <w:lang w:val="en-GB"/>
        </w:rPr>
      </w:pPr>
      <w:r w:rsidRPr="005947FC">
        <w:rPr>
          <w:szCs w:val="22"/>
          <w:lang w:val="en-GB"/>
        </w:rPr>
        <w:t>NR Adhoc #2:</w:t>
      </w:r>
    </w:p>
    <w:p w14:paraId="4C0CC688" w14:textId="77777777" w:rsidR="005947FC" w:rsidRPr="005947FC" w:rsidRDefault="005947FC" w:rsidP="005947FC">
      <w:pPr>
        <w:spacing w:after="0"/>
        <w:rPr>
          <w:szCs w:val="22"/>
        </w:rPr>
      </w:pPr>
      <w:r w:rsidRPr="005947FC">
        <w:rPr>
          <w:rFonts w:hint="eastAsia"/>
          <w:szCs w:val="22"/>
        </w:rPr>
        <w:t>Agreements:</w:t>
      </w:r>
    </w:p>
    <w:p w14:paraId="21293BFB" w14:textId="77777777" w:rsidR="005947FC" w:rsidRPr="005947FC" w:rsidRDefault="005947FC" w:rsidP="00CB554E">
      <w:pPr>
        <w:numPr>
          <w:ilvl w:val="0"/>
          <w:numId w:val="8"/>
        </w:numPr>
        <w:spacing w:after="0"/>
        <w:rPr>
          <w:szCs w:val="22"/>
        </w:rPr>
      </w:pPr>
      <w:r w:rsidRPr="005947FC">
        <w:rPr>
          <w:szCs w:val="22"/>
        </w:rPr>
        <w:t>In ‘Slot format related information’, ‘Empty’ is not indicated explicitly.</w:t>
      </w:r>
    </w:p>
    <w:p w14:paraId="45EEC73A" w14:textId="77777777" w:rsidR="005947FC" w:rsidRPr="005947FC" w:rsidRDefault="005947FC" w:rsidP="00CB554E">
      <w:pPr>
        <w:numPr>
          <w:ilvl w:val="0"/>
          <w:numId w:val="8"/>
        </w:numPr>
        <w:spacing w:after="0"/>
        <w:rPr>
          <w:szCs w:val="22"/>
        </w:rPr>
      </w:pPr>
      <w:r w:rsidRPr="005947FC">
        <w:rPr>
          <w:szCs w:val="22"/>
        </w:rPr>
        <w:t>Note: RAN1 specification ensures that UE(s) is/are aware of which resources can be for ‘gap for DL-UL switching’ and/or ‘gap’</w:t>
      </w:r>
    </w:p>
    <w:p w14:paraId="745DDB00" w14:textId="77777777" w:rsidR="005947FC" w:rsidRPr="005947FC" w:rsidRDefault="005947FC" w:rsidP="00CB554E">
      <w:pPr>
        <w:numPr>
          <w:ilvl w:val="0"/>
          <w:numId w:val="8"/>
        </w:numPr>
        <w:spacing w:after="0"/>
        <w:rPr>
          <w:szCs w:val="22"/>
        </w:rPr>
      </w:pPr>
      <w:r w:rsidRPr="005947FC">
        <w:rPr>
          <w:szCs w:val="22"/>
        </w:rPr>
        <w:t>Note: RAN1 specification ensures that UE(s) is/are aware of which resources are for ‘CSI/interference measurement’.</w:t>
      </w:r>
    </w:p>
    <w:p w14:paraId="4FA79486" w14:textId="77777777" w:rsidR="005947FC" w:rsidRPr="005947FC" w:rsidRDefault="005947FC" w:rsidP="005947FC">
      <w:pPr>
        <w:spacing w:after="0"/>
        <w:rPr>
          <w:szCs w:val="22"/>
        </w:rPr>
      </w:pPr>
      <w:r w:rsidRPr="005947FC">
        <w:rPr>
          <w:rFonts w:hint="eastAsia"/>
          <w:szCs w:val="22"/>
        </w:rPr>
        <w:t>Agreements:</w:t>
      </w:r>
    </w:p>
    <w:p w14:paraId="6AF9A687" w14:textId="77777777" w:rsidR="005947FC" w:rsidRPr="005947FC" w:rsidRDefault="005947FC" w:rsidP="00CB554E">
      <w:pPr>
        <w:numPr>
          <w:ilvl w:val="0"/>
          <w:numId w:val="9"/>
        </w:numPr>
        <w:spacing w:after="0"/>
        <w:rPr>
          <w:szCs w:val="22"/>
        </w:rPr>
      </w:pPr>
      <w:r w:rsidRPr="005947FC">
        <w:rPr>
          <w:szCs w:val="22"/>
        </w:rPr>
        <w:t>UE is configured with a CORESET to monitor group-common PDCCH.</w:t>
      </w:r>
    </w:p>
    <w:p w14:paraId="06767EAF" w14:textId="77777777" w:rsidR="005947FC" w:rsidRPr="005947FC" w:rsidRDefault="005947FC" w:rsidP="00CB554E">
      <w:pPr>
        <w:numPr>
          <w:ilvl w:val="1"/>
          <w:numId w:val="9"/>
        </w:numPr>
        <w:spacing w:after="0"/>
        <w:rPr>
          <w:szCs w:val="22"/>
        </w:rPr>
      </w:pPr>
      <w:r w:rsidRPr="005947FC">
        <w:rPr>
          <w:szCs w:val="22"/>
        </w:rPr>
        <w:t>When configured, the g</w:t>
      </w:r>
      <w:r w:rsidRPr="005947FC">
        <w:rPr>
          <w:rFonts w:hint="eastAsia"/>
          <w:szCs w:val="22"/>
        </w:rPr>
        <w:t xml:space="preserve">roup-common PDCCH </w:t>
      </w:r>
      <w:r w:rsidRPr="005947FC">
        <w:rPr>
          <w:szCs w:val="22"/>
        </w:rPr>
        <w:t>follows the same CORESET configuration (e.g., REG-to-CCE mapping) of the CORESET.</w:t>
      </w:r>
    </w:p>
    <w:p w14:paraId="0AE6B9F2" w14:textId="77777777" w:rsidR="005947FC" w:rsidRPr="005947FC" w:rsidRDefault="005947FC" w:rsidP="00CB554E">
      <w:pPr>
        <w:numPr>
          <w:ilvl w:val="2"/>
          <w:numId w:val="9"/>
        </w:numPr>
        <w:spacing w:after="0"/>
        <w:rPr>
          <w:szCs w:val="22"/>
        </w:rPr>
      </w:pPr>
      <w:r w:rsidRPr="005947FC">
        <w:rPr>
          <w:szCs w:val="22"/>
        </w:rPr>
        <w:t>A group-common PDCCH is formed by an integer number of CCEs.</w:t>
      </w:r>
    </w:p>
    <w:p w14:paraId="50783F7F" w14:textId="77777777" w:rsidR="005947FC" w:rsidRPr="005947FC" w:rsidRDefault="005947FC" w:rsidP="00CB554E">
      <w:pPr>
        <w:numPr>
          <w:ilvl w:val="0"/>
          <w:numId w:val="9"/>
        </w:numPr>
        <w:spacing w:after="0"/>
        <w:rPr>
          <w:szCs w:val="22"/>
        </w:rPr>
      </w:pPr>
      <w:r w:rsidRPr="005947FC">
        <w:rPr>
          <w:szCs w:val="22"/>
        </w:rPr>
        <w:t>The CORESET for the monitored group-common PDCCH carrying SFI can be the same or different from the CORESET for the monitored PDCCH for other types of control signalling.</w:t>
      </w:r>
    </w:p>
    <w:p w14:paraId="3028C906" w14:textId="77777777" w:rsidR="005947FC" w:rsidRPr="005947FC" w:rsidRDefault="005947FC" w:rsidP="005947FC">
      <w:pPr>
        <w:spacing w:after="0"/>
        <w:rPr>
          <w:szCs w:val="22"/>
        </w:rPr>
      </w:pPr>
      <w:r w:rsidRPr="005947FC">
        <w:rPr>
          <w:rFonts w:hint="eastAsia"/>
          <w:szCs w:val="22"/>
        </w:rPr>
        <w:t>Agreements:</w:t>
      </w:r>
    </w:p>
    <w:p w14:paraId="27B4B583" w14:textId="77777777" w:rsidR="005947FC" w:rsidRPr="005947FC" w:rsidRDefault="005947FC" w:rsidP="00CB554E">
      <w:pPr>
        <w:numPr>
          <w:ilvl w:val="0"/>
          <w:numId w:val="10"/>
        </w:numPr>
        <w:spacing w:after="0"/>
        <w:rPr>
          <w:szCs w:val="22"/>
        </w:rPr>
      </w:pPr>
      <w:r w:rsidRPr="005947FC">
        <w:rPr>
          <w:szCs w:val="22"/>
        </w:rPr>
        <w:t>Prioritize discussion of SFI functionality of a group-common PDCCH.</w:t>
      </w:r>
    </w:p>
    <w:p w14:paraId="5AA41D42" w14:textId="77777777" w:rsidR="005947FC" w:rsidRPr="005947FC" w:rsidRDefault="005947FC" w:rsidP="00CB554E">
      <w:pPr>
        <w:numPr>
          <w:ilvl w:val="1"/>
          <w:numId w:val="10"/>
        </w:numPr>
        <w:spacing w:after="0"/>
        <w:rPr>
          <w:szCs w:val="22"/>
        </w:rPr>
      </w:pPr>
      <w:r w:rsidRPr="005947FC">
        <w:rPr>
          <w:szCs w:val="22"/>
        </w:rPr>
        <w:t>Further work will be on group-common PDCCH carrying the SFI at least in August meeting.</w:t>
      </w:r>
    </w:p>
    <w:p w14:paraId="65034F6E" w14:textId="77777777" w:rsidR="005947FC" w:rsidRPr="005947FC" w:rsidRDefault="005947FC" w:rsidP="005947FC">
      <w:pPr>
        <w:spacing w:after="0"/>
        <w:rPr>
          <w:szCs w:val="22"/>
        </w:rPr>
      </w:pPr>
    </w:p>
    <w:p w14:paraId="4B0B22BA" w14:textId="77777777" w:rsidR="005947FC" w:rsidRPr="005947FC" w:rsidRDefault="005947FC" w:rsidP="005947FC">
      <w:pPr>
        <w:spacing w:after="0"/>
        <w:rPr>
          <w:szCs w:val="22"/>
          <w:lang w:val="en-GB"/>
        </w:rPr>
      </w:pPr>
      <w:r w:rsidRPr="005947FC">
        <w:rPr>
          <w:szCs w:val="22"/>
          <w:lang w:val="en-GB"/>
        </w:rPr>
        <w:t>RAN1 #90:</w:t>
      </w:r>
    </w:p>
    <w:p w14:paraId="05400567" w14:textId="77777777" w:rsidR="005947FC" w:rsidRPr="005947FC" w:rsidRDefault="005947FC" w:rsidP="005947FC">
      <w:pPr>
        <w:spacing w:after="0"/>
        <w:rPr>
          <w:szCs w:val="22"/>
        </w:rPr>
      </w:pPr>
      <w:r w:rsidRPr="005947FC">
        <w:rPr>
          <w:rFonts w:hint="eastAsia"/>
          <w:szCs w:val="22"/>
        </w:rPr>
        <w:t>Working assumption</w:t>
      </w:r>
      <w:r w:rsidRPr="005947FC">
        <w:rPr>
          <w:szCs w:val="22"/>
        </w:rPr>
        <w:t>: (Confirmed in NR Adhoc #3)</w:t>
      </w:r>
    </w:p>
    <w:p w14:paraId="041BED01" w14:textId="77777777" w:rsidR="005947FC" w:rsidRPr="005947FC" w:rsidRDefault="005947FC" w:rsidP="00CB554E">
      <w:pPr>
        <w:numPr>
          <w:ilvl w:val="0"/>
          <w:numId w:val="11"/>
        </w:numPr>
        <w:spacing w:after="0"/>
        <w:rPr>
          <w:szCs w:val="22"/>
        </w:rPr>
      </w:pPr>
      <w:r w:rsidRPr="005947FC">
        <w:rPr>
          <w:szCs w:val="22"/>
        </w:rPr>
        <w:t xml:space="preserve"> ‘Unknown’ resource is ‘flexible’ and can be overridden by at least by DCI indication; ‘Unknown’ </w:t>
      </w:r>
      <w:r w:rsidRPr="005947FC">
        <w:rPr>
          <w:rFonts w:hint="eastAsia"/>
          <w:szCs w:val="22"/>
        </w:rPr>
        <w:t>is</w:t>
      </w:r>
      <w:r w:rsidRPr="005947FC">
        <w:rPr>
          <w:szCs w:val="22"/>
        </w:rPr>
        <w:t xml:space="preserve"> used to achieve the (FFS: exactly/approximately) the same as ‘Reserved’ if not overridden.</w:t>
      </w:r>
    </w:p>
    <w:p w14:paraId="3E5FF5C3" w14:textId="77777777" w:rsidR="005947FC" w:rsidRPr="005947FC" w:rsidRDefault="005947FC" w:rsidP="00CB554E">
      <w:pPr>
        <w:numPr>
          <w:ilvl w:val="1"/>
          <w:numId w:val="11"/>
        </w:numPr>
        <w:spacing w:after="0"/>
        <w:rPr>
          <w:szCs w:val="22"/>
        </w:rPr>
      </w:pPr>
      <w:r w:rsidRPr="005947FC">
        <w:rPr>
          <w:szCs w:val="22"/>
        </w:rPr>
        <w:t>‘Unknown’ is signalled at least by SFI in a group-common PDCCH</w:t>
      </w:r>
    </w:p>
    <w:p w14:paraId="02640EBD" w14:textId="77777777" w:rsidR="005947FC" w:rsidRPr="005947FC" w:rsidRDefault="005947FC" w:rsidP="00CB554E">
      <w:pPr>
        <w:numPr>
          <w:ilvl w:val="1"/>
          <w:numId w:val="11"/>
        </w:numPr>
        <w:spacing w:after="0"/>
        <w:rPr>
          <w:szCs w:val="22"/>
        </w:rPr>
      </w:pPr>
      <w:r w:rsidRPr="005947FC">
        <w:rPr>
          <w:szCs w:val="22"/>
        </w:rPr>
        <w:t>FFS: Possibility of overridden by some types of RRC (e.g., measurement configuration)</w:t>
      </w:r>
    </w:p>
    <w:p w14:paraId="5396146B" w14:textId="77777777" w:rsidR="005947FC" w:rsidRPr="005947FC" w:rsidRDefault="005947FC" w:rsidP="00CB554E">
      <w:pPr>
        <w:numPr>
          <w:ilvl w:val="0"/>
          <w:numId w:val="11"/>
        </w:numPr>
        <w:spacing w:after="0"/>
        <w:rPr>
          <w:szCs w:val="22"/>
        </w:rPr>
      </w:pPr>
      <w:r w:rsidRPr="005947FC">
        <w:rPr>
          <w:szCs w:val="22"/>
        </w:rPr>
        <w:t>‘Reserved’ resource is ‘not transmit’ and ‘not receive’ but cannot be overridden by DCI/SFI indication.</w:t>
      </w:r>
    </w:p>
    <w:p w14:paraId="3F9A29B6" w14:textId="77777777" w:rsidR="005947FC" w:rsidRPr="005947FC" w:rsidRDefault="005947FC" w:rsidP="00CB554E">
      <w:pPr>
        <w:numPr>
          <w:ilvl w:val="1"/>
          <w:numId w:val="11"/>
        </w:numPr>
        <w:spacing w:after="0"/>
        <w:rPr>
          <w:szCs w:val="22"/>
        </w:rPr>
      </w:pPr>
      <w:r w:rsidRPr="005947FC">
        <w:rPr>
          <w:szCs w:val="22"/>
        </w:rPr>
        <w:t>‘Reserved’ is signalled at least by RRC</w:t>
      </w:r>
    </w:p>
    <w:p w14:paraId="183EF79F" w14:textId="77777777" w:rsidR="005947FC" w:rsidRPr="005947FC" w:rsidRDefault="005947FC" w:rsidP="00CB554E">
      <w:pPr>
        <w:numPr>
          <w:ilvl w:val="0"/>
          <w:numId w:val="11"/>
        </w:numPr>
        <w:spacing w:after="0"/>
        <w:rPr>
          <w:szCs w:val="22"/>
        </w:rPr>
      </w:pPr>
      <w:r w:rsidRPr="005947FC">
        <w:rPr>
          <w:szCs w:val="22"/>
        </w:rPr>
        <w:t>FFS: handling of ‘gap’</w:t>
      </w:r>
    </w:p>
    <w:p w14:paraId="42AE53B2" w14:textId="77777777" w:rsidR="005947FC" w:rsidRPr="005947FC" w:rsidRDefault="005947FC" w:rsidP="00CB554E">
      <w:pPr>
        <w:numPr>
          <w:ilvl w:val="0"/>
          <w:numId w:val="11"/>
        </w:numPr>
        <w:spacing w:after="0"/>
        <w:rPr>
          <w:szCs w:val="22"/>
        </w:rPr>
      </w:pPr>
      <w:r w:rsidRPr="005947FC">
        <w:rPr>
          <w:szCs w:val="22"/>
        </w:rPr>
        <w:t>For semi-static DL/UL transmission direction, ‘Unknown’ can be informed as part of the semi-static configuration.</w:t>
      </w:r>
    </w:p>
    <w:p w14:paraId="34CDB1B3" w14:textId="77777777" w:rsidR="005947FC" w:rsidRPr="005947FC" w:rsidRDefault="005947FC" w:rsidP="005947FC">
      <w:pPr>
        <w:spacing w:after="0"/>
        <w:rPr>
          <w:szCs w:val="22"/>
        </w:rPr>
      </w:pPr>
    </w:p>
    <w:p w14:paraId="5226F84B" w14:textId="77777777" w:rsidR="005947FC" w:rsidRPr="005947FC" w:rsidRDefault="005947FC" w:rsidP="005947FC">
      <w:pPr>
        <w:spacing w:after="0"/>
        <w:rPr>
          <w:szCs w:val="22"/>
          <w:lang w:val="en-GB"/>
        </w:rPr>
      </w:pPr>
      <w:r w:rsidRPr="005947FC">
        <w:rPr>
          <w:szCs w:val="22"/>
          <w:lang w:val="en-GB"/>
        </w:rPr>
        <w:t>NR Adhoc #3</w:t>
      </w:r>
    </w:p>
    <w:p w14:paraId="3C102E09" w14:textId="77777777" w:rsidR="005947FC" w:rsidRPr="005947FC" w:rsidRDefault="005947FC" w:rsidP="005947FC">
      <w:pPr>
        <w:spacing w:after="0"/>
        <w:rPr>
          <w:szCs w:val="22"/>
        </w:rPr>
      </w:pPr>
      <w:r w:rsidRPr="005947FC">
        <w:rPr>
          <w:szCs w:val="22"/>
        </w:rPr>
        <w:t>Agreements:</w:t>
      </w:r>
    </w:p>
    <w:p w14:paraId="53C2F279" w14:textId="77777777" w:rsidR="005947FC" w:rsidRPr="005947FC" w:rsidRDefault="005947FC" w:rsidP="00CB554E">
      <w:pPr>
        <w:numPr>
          <w:ilvl w:val="0"/>
          <w:numId w:val="12"/>
        </w:numPr>
        <w:spacing w:after="0"/>
        <w:rPr>
          <w:szCs w:val="22"/>
        </w:rPr>
      </w:pPr>
      <w:r w:rsidRPr="005947FC">
        <w:rPr>
          <w:szCs w:val="22"/>
        </w:rPr>
        <w:t>Regarding dynamic SFI content definition</w:t>
      </w:r>
    </w:p>
    <w:p w14:paraId="78DCF8AD" w14:textId="77777777" w:rsidR="005947FC" w:rsidRPr="005947FC" w:rsidRDefault="005947FC" w:rsidP="00CB554E">
      <w:pPr>
        <w:numPr>
          <w:ilvl w:val="1"/>
          <w:numId w:val="12"/>
        </w:numPr>
        <w:spacing w:after="0"/>
        <w:rPr>
          <w:szCs w:val="22"/>
        </w:rPr>
      </w:pPr>
      <w:r w:rsidRPr="005947FC">
        <w:rPr>
          <w:szCs w:val="22"/>
        </w:rPr>
        <w:t xml:space="preserve">The SFI carries an index to a table that is UE-specifically configured via RRC </w:t>
      </w:r>
    </w:p>
    <w:p w14:paraId="503CF431" w14:textId="77777777" w:rsidR="005947FC" w:rsidRPr="005947FC" w:rsidRDefault="005947FC" w:rsidP="00CB554E">
      <w:pPr>
        <w:numPr>
          <w:ilvl w:val="2"/>
          <w:numId w:val="12"/>
        </w:numPr>
        <w:spacing w:after="0"/>
        <w:rPr>
          <w:szCs w:val="22"/>
        </w:rPr>
      </w:pPr>
      <w:r w:rsidRPr="005947FC">
        <w:rPr>
          <w:szCs w:val="22"/>
        </w:rPr>
        <w:t>FFS how to manage the table for future proof</w:t>
      </w:r>
    </w:p>
    <w:p w14:paraId="4D70D2A4" w14:textId="77777777" w:rsidR="005947FC" w:rsidRPr="005947FC" w:rsidRDefault="005947FC" w:rsidP="00CB554E">
      <w:pPr>
        <w:numPr>
          <w:ilvl w:val="2"/>
          <w:numId w:val="12"/>
        </w:numPr>
        <w:spacing w:after="0"/>
        <w:rPr>
          <w:szCs w:val="22"/>
        </w:rPr>
      </w:pPr>
      <w:r w:rsidRPr="005947FC">
        <w:rPr>
          <w:szCs w:val="22"/>
        </w:rPr>
        <w:t>FFS how to define entries in the table</w:t>
      </w:r>
    </w:p>
    <w:p w14:paraId="7C4DCB6B" w14:textId="77777777" w:rsidR="005947FC" w:rsidRPr="005947FC" w:rsidRDefault="005947FC" w:rsidP="00CB554E">
      <w:pPr>
        <w:numPr>
          <w:ilvl w:val="1"/>
          <w:numId w:val="12"/>
        </w:numPr>
        <w:spacing w:after="0"/>
        <w:rPr>
          <w:szCs w:val="22"/>
        </w:rPr>
      </w:pPr>
      <w:r w:rsidRPr="005947FC">
        <w:rPr>
          <w:szCs w:val="22"/>
        </w:rPr>
        <w:t>FFS whether to have separate or joint management of slot based SFI (SFI indicates the slot format of the corresponding slot) vs. multi-slot SFI (SFI indicates the slot format of more than one corresponding slots)</w:t>
      </w:r>
    </w:p>
    <w:p w14:paraId="4F81D303" w14:textId="77777777" w:rsidR="005947FC" w:rsidRPr="005947FC" w:rsidRDefault="005947FC" w:rsidP="005947FC">
      <w:pPr>
        <w:spacing w:after="0"/>
        <w:rPr>
          <w:szCs w:val="22"/>
        </w:rPr>
      </w:pPr>
      <w:r w:rsidRPr="005947FC">
        <w:rPr>
          <w:szCs w:val="22"/>
        </w:rPr>
        <w:t>Agreements:</w:t>
      </w:r>
    </w:p>
    <w:p w14:paraId="4288FFC5" w14:textId="77777777" w:rsidR="005947FC" w:rsidRPr="005947FC" w:rsidRDefault="005947FC" w:rsidP="00CB554E">
      <w:pPr>
        <w:numPr>
          <w:ilvl w:val="0"/>
          <w:numId w:val="13"/>
        </w:numPr>
        <w:spacing w:after="0"/>
        <w:rPr>
          <w:szCs w:val="22"/>
        </w:rPr>
      </w:pPr>
      <w:r w:rsidRPr="005947FC">
        <w:rPr>
          <w:szCs w:val="22"/>
        </w:rPr>
        <w:t xml:space="preserve">Confirm the following WA </w:t>
      </w:r>
    </w:p>
    <w:p w14:paraId="1CC8EEB4" w14:textId="77777777" w:rsidR="005947FC" w:rsidRPr="005947FC" w:rsidRDefault="005947FC" w:rsidP="00CB554E">
      <w:pPr>
        <w:numPr>
          <w:ilvl w:val="1"/>
          <w:numId w:val="13"/>
        </w:numPr>
        <w:spacing w:after="0"/>
        <w:rPr>
          <w:szCs w:val="22"/>
        </w:rPr>
      </w:pPr>
      <w:r w:rsidRPr="005947FC">
        <w:rPr>
          <w:szCs w:val="22"/>
        </w:rPr>
        <w:t>‘Unknown’ resource is ‘flexible’ and can be overridden by at least by DCI indication; ‘Unknown’ is used to achieve the (FFS: exactly/approximately) the same as ‘Reserved’ if not overridden.</w:t>
      </w:r>
    </w:p>
    <w:p w14:paraId="637A2377" w14:textId="77777777" w:rsidR="005947FC" w:rsidRPr="005947FC" w:rsidRDefault="005947FC" w:rsidP="00CB554E">
      <w:pPr>
        <w:numPr>
          <w:ilvl w:val="2"/>
          <w:numId w:val="13"/>
        </w:numPr>
        <w:spacing w:after="0"/>
        <w:rPr>
          <w:szCs w:val="22"/>
        </w:rPr>
      </w:pPr>
      <w:r w:rsidRPr="005947FC">
        <w:rPr>
          <w:szCs w:val="22"/>
        </w:rPr>
        <w:t>‘Unknown’ is signalled at least by SFI in a group-common PDCCH</w:t>
      </w:r>
    </w:p>
    <w:p w14:paraId="5FAF6F49" w14:textId="77777777" w:rsidR="005947FC" w:rsidRPr="005947FC" w:rsidRDefault="005947FC" w:rsidP="00CB554E">
      <w:pPr>
        <w:numPr>
          <w:ilvl w:val="2"/>
          <w:numId w:val="13"/>
        </w:numPr>
        <w:spacing w:after="0"/>
        <w:rPr>
          <w:szCs w:val="22"/>
        </w:rPr>
      </w:pPr>
      <w:r w:rsidRPr="005947FC">
        <w:rPr>
          <w:szCs w:val="22"/>
        </w:rPr>
        <w:t>FFS: Possibility of overridden by some types of RRC (e.g., measurement configuration)</w:t>
      </w:r>
    </w:p>
    <w:p w14:paraId="684D224D" w14:textId="77777777" w:rsidR="005947FC" w:rsidRPr="005947FC" w:rsidRDefault="005947FC" w:rsidP="00CB554E">
      <w:pPr>
        <w:numPr>
          <w:ilvl w:val="1"/>
          <w:numId w:val="13"/>
        </w:numPr>
        <w:spacing w:after="0"/>
        <w:rPr>
          <w:szCs w:val="22"/>
        </w:rPr>
      </w:pPr>
      <w:r w:rsidRPr="005947FC">
        <w:rPr>
          <w:szCs w:val="22"/>
        </w:rPr>
        <w:t>‘Reserved’ resource is ‘not transmit’ and ‘not receive’ but cannot be overridden by DCI/SFI indication.</w:t>
      </w:r>
    </w:p>
    <w:p w14:paraId="7229DB8E" w14:textId="77777777" w:rsidR="005947FC" w:rsidRPr="005947FC" w:rsidRDefault="005947FC" w:rsidP="00CB554E">
      <w:pPr>
        <w:numPr>
          <w:ilvl w:val="2"/>
          <w:numId w:val="13"/>
        </w:numPr>
        <w:spacing w:after="0"/>
        <w:rPr>
          <w:szCs w:val="22"/>
        </w:rPr>
      </w:pPr>
      <w:r w:rsidRPr="005947FC">
        <w:rPr>
          <w:szCs w:val="22"/>
        </w:rPr>
        <w:t>‘Reserved’ is signalled at least by RRC</w:t>
      </w:r>
    </w:p>
    <w:p w14:paraId="4AD8D2E4" w14:textId="77777777" w:rsidR="005947FC" w:rsidRPr="005947FC" w:rsidRDefault="005947FC" w:rsidP="00CB554E">
      <w:pPr>
        <w:numPr>
          <w:ilvl w:val="1"/>
          <w:numId w:val="13"/>
        </w:numPr>
        <w:spacing w:after="0"/>
        <w:rPr>
          <w:szCs w:val="22"/>
        </w:rPr>
      </w:pPr>
      <w:r w:rsidRPr="005947FC">
        <w:rPr>
          <w:szCs w:val="22"/>
        </w:rPr>
        <w:t>FFS: handling of ‘gap’</w:t>
      </w:r>
    </w:p>
    <w:p w14:paraId="7B1F5BDA" w14:textId="77777777" w:rsidR="005947FC" w:rsidRPr="005947FC" w:rsidRDefault="005947FC" w:rsidP="00CB554E">
      <w:pPr>
        <w:numPr>
          <w:ilvl w:val="1"/>
          <w:numId w:val="13"/>
        </w:numPr>
        <w:spacing w:after="0"/>
        <w:rPr>
          <w:szCs w:val="22"/>
        </w:rPr>
      </w:pPr>
      <w:r w:rsidRPr="005947FC">
        <w:rPr>
          <w:szCs w:val="22"/>
        </w:rPr>
        <w:t>For semi-static DL/UL transmission direction, ‘Unknown’ can be informed as part of the semi-static configuration.</w:t>
      </w:r>
    </w:p>
    <w:p w14:paraId="7D13B107" w14:textId="77777777" w:rsidR="005947FC" w:rsidRPr="005947FC" w:rsidRDefault="005947FC" w:rsidP="005947FC">
      <w:pPr>
        <w:spacing w:after="0"/>
        <w:rPr>
          <w:szCs w:val="22"/>
        </w:rPr>
      </w:pPr>
    </w:p>
    <w:p w14:paraId="777B5D0A" w14:textId="77777777" w:rsidR="005947FC" w:rsidRPr="005947FC" w:rsidRDefault="005947FC" w:rsidP="005947FC">
      <w:pPr>
        <w:spacing w:after="0"/>
        <w:rPr>
          <w:szCs w:val="22"/>
        </w:rPr>
      </w:pPr>
      <w:r w:rsidRPr="005947FC">
        <w:rPr>
          <w:szCs w:val="22"/>
        </w:rPr>
        <w:t>Agreements:</w:t>
      </w:r>
    </w:p>
    <w:p w14:paraId="52AD4071" w14:textId="77777777" w:rsidR="005947FC" w:rsidRPr="005947FC" w:rsidRDefault="005947FC" w:rsidP="00CB554E">
      <w:pPr>
        <w:numPr>
          <w:ilvl w:val="0"/>
          <w:numId w:val="14"/>
        </w:numPr>
        <w:spacing w:after="0"/>
        <w:rPr>
          <w:szCs w:val="22"/>
        </w:rPr>
      </w:pPr>
      <w:r w:rsidRPr="005947FC">
        <w:rPr>
          <w:szCs w:val="22"/>
        </w:rPr>
        <w:t xml:space="preserve">For semi-static DL/UL assignment </w:t>
      </w:r>
    </w:p>
    <w:p w14:paraId="5B8E19F9" w14:textId="77777777" w:rsidR="005947FC" w:rsidRPr="005947FC" w:rsidRDefault="005947FC" w:rsidP="00CB554E">
      <w:pPr>
        <w:numPr>
          <w:ilvl w:val="1"/>
          <w:numId w:val="14"/>
        </w:numPr>
        <w:spacing w:after="0"/>
        <w:rPr>
          <w:szCs w:val="22"/>
        </w:rPr>
      </w:pPr>
      <w:r w:rsidRPr="005947FC">
        <w:rPr>
          <w:szCs w:val="22"/>
        </w:rPr>
        <w:lastRenderedPageBreak/>
        <w:t>Cell-specific RRC configuration (SIB) + additionally UE-specific RRC configuration</w:t>
      </w:r>
    </w:p>
    <w:p w14:paraId="75874703" w14:textId="77777777" w:rsidR="005947FC" w:rsidRPr="005947FC" w:rsidRDefault="005947FC" w:rsidP="00CB554E">
      <w:pPr>
        <w:numPr>
          <w:ilvl w:val="2"/>
          <w:numId w:val="14"/>
        </w:numPr>
        <w:spacing w:after="0"/>
        <w:rPr>
          <w:szCs w:val="22"/>
        </w:rPr>
      </w:pPr>
      <w:r w:rsidRPr="005947FC">
        <w:rPr>
          <w:szCs w:val="22"/>
        </w:rPr>
        <w:t>UE-specific RRC configuration only overwrites the “unknown” state of the cell-specific RRC configuration</w:t>
      </w:r>
    </w:p>
    <w:p w14:paraId="61BC2AF5" w14:textId="77777777" w:rsidR="005947FC" w:rsidRPr="005947FC" w:rsidRDefault="005947FC" w:rsidP="005947FC">
      <w:pPr>
        <w:spacing w:after="0"/>
        <w:rPr>
          <w:szCs w:val="22"/>
        </w:rPr>
      </w:pPr>
    </w:p>
    <w:p w14:paraId="0AC8F65D" w14:textId="77777777" w:rsidR="005947FC" w:rsidRPr="005947FC" w:rsidRDefault="005947FC" w:rsidP="005947FC">
      <w:pPr>
        <w:spacing w:after="0"/>
        <w:rPr>
          <w:szCs w:val="22"/>
        </w:rPr>
      </w:pPr>
      <w:r w:rsidRPr="005947FC">
        <w:rPr>
          <w:szCs w:val="22"/>
        </w:rPr>
        <w:t>RAN1 #90bis</w:t>
      </w:r>
    </w:p>
    <w:p w14:paraId="5A9FFCD7" w14:textId="77777777" w:rsidR="005947FC" w:rsidRPr="005947FC" w:rsidRDefault="005947FC" w:rsidP="005947FC">
      <w:pPr>
        <w:spacing w:after="0"/>
        <w:rPr>
          <w:szCs w:val="22"/>
        </w:rPr>
      </w:pPr>
      <w:r w:rsidRPr="005947FC">
        <w:rPr>
          <w:szCs w:val="22"/>
        </w:rPr>
        <w:t>Agreements:</w:t>
      </w:r>
    </w:p>
    <w:p w14:paraId="46B3A0A4" w14:textId="77777777" w:rsidR="005947FC" w:rsidRPr="005947FC" w:rsidRDefault="005947FC" w:rsidP="00CB554E">
      <w:pPr>
        <w:numPr>
          <w:ilvl w:val="0"/>
          <w:numId w:val="20"/>
        </w:numPr>
        <w:spacing w:after="0"/>
        <w:rPr>
          <w:szCs w:val="22"/>
        </w:rPr>
      </w:pPr>
      <w:r w:rsidRPr="005947FC">
        <w:rPr>
          <w:szCs w:val="22"/>
        </w:rPr>
        <w:t>For GC-PDCCH monitoring, confirm the working assumption</w:t>
      </w:r>
    </w:p>
    <w:p w14:paraId="742699ED" w14:textId="77777777" w:rsidR="005947FC" w:rsidRPr="005947FC" w:rsidRDefault="005947FC" w:rsidP="00CB554E">
      <w:pPr>
        <w:numPr>
          <w:ilvl w:val="1"/>
          <w:numId w:val="20"/>
        </w:numPr>
        <w:spacing w:after="0"/>
        <w:rPr>
          <w:szCs w:val="22"/>
        </w:rPr>
      </w:pPr>
      <w:r w:rsidRPr="005947FC">
        <w:rPr>
          <w:szCs w:val="22"/>
        </w:rPr>
        <w:t xml:space="preserve">UE can be configured to monitor SFI in group common PDCCH for a Scell on a different cell </w:t>
      </w:r>
    </w:p>
    <w:p w14:paraId="07EC1DF3" w14:textId="77777777" w:rsidR="005947FC" w:rsidRPr="005947FC" w:rsidRDefault="005947FC" w:rsidP="005947FC">
      <w:pPr>
        <w:spacing w:after="0"/>
        <w:rPr>
          <w:szCs w:val="22"/>
        </w:rPr>
      </w:pPr>
      <w:r w:rsidRPr="005947FC">
        <w:rPr>
          <w:szCs w:val="22"/>
        </w:rPr>
        <w:t>Agreements:</w:t>
      </w:r>
    </w:p>
    <w:p w14:paraId="0845A8B4" w14:textId="77777777" w:rsidR="005947FC" w:rsidRPr="005947FC" w:rsidRDefault="005947FC" w:rsidP="00CB554E">
      <w:pPr>
        <w:numPr>
          <w:ilvl w:val="0"/>
          <w:numId w:val="7"/>
        </w:numPr>
        <w:spacing w:after="0"/>
        <w:rPr>
          <w:szCs w:val="22"/>
        </w:rPr>
      </w:pPr>
      <w:r w:rsidRPr="005947FC">
        <w:rPr>
          <w:szCs w:val="22"/>
        </w:rPr>
        <w:t>For cross cell GC-PDCCH monitoring, support by RRC configuration for a UE the following:</w:t>
      </w:r>
    </w:p>
    <w:p w14:paraId="7365C86B" w14:textId="77777777" w:rsidR="005947FC" w:rsidRPr="005947FC" w:rsidRDefault="005947FC" w:rsidP="00CB554E">
      <w:pPr>
        <w:numPr>
          <w:ilvl w:val="1"/>
          <w:numId w:val="7"/>
        </w:numPr>
        <w:spacing w:after="0"/>
        <w:rPr>
          <w:szCs w:val="22"/>
        </w:rPr>
      </w:pPr>
      <w:r w:rsidRPr="005947FC">
        <w:rPr>
          <w:szCs w:val="22"/>
        </w:rPr>
        <w:t>The same SFI can be applicable to more than one cell</w:t>
      </w:r>
    </w:p>
    <w:p w14:paraId="22C6B891" w14:textId="77777777" w:rsidR="005947FC" w:rsidRPr="005947FC" w:rsidRDefault="005947FC" w:rsidP="00CB554E">
      <w:pPr>
        <w:numPr>
          <w:ilvl w:val="1"/>
          <w:numId w:val="7"/>
        </w:numPr>
        <w:spacing w:after="0"/>
        <w:rPr>
          <w:szCs w:val="22"/>
        </w:rPr>
      </w:pPr>
      <w:r w:rsidRPr="005947FC">
        <w:rPr>
          <w:szCs w:val="22"/>
        </w:rPr>
        <w:t>Different SFI fields in one GC-PDCCH can be applied to different cells</w:t>
      </w:r>
    </w:p>
    <w:p w14:paraId="3CA36AB8" w14:textId="77777777" w:rsidR="005947FC" w:rsidRPr="005947FC" w:rsidRDefault="005947FC" w:rsidP="00CB554E">
      <w:pPr>
        <w:numPr>
          <w:ilvl w:val="1"/>
          <w:numId w:val="7"/>
        </w:numPr>
        <w:spacing w:after="0"/>
        <w:rPr>
          <w:szCs w:val="22"/>
        </w:rPr>
      </w:pPr>
      <w:r w:rsidRPr="005947FC">
        <w:rPr>
          <w:szCs w:val="22"/>
        </w:rPr>
        <w:t>FFS interaction with multiple BWP configuration per cell</w:t>
      </w:r>
    </w:p>
    <w:p w14:paraId="6441D8BA" w14:textId="77777777" w:rsidR="005947FC" w:rsidRPr="005947FC" w:rsidRDefault="005947FC" w:rsidP="005947FC">
      <w:pPr>
        <w:spacing w:after="0"/>
        <w:rPr>
          <w:szCs w:val="22"/>
        </w:rPr>
      </w:pPr>
    </w:p>
    <w:p w14:paraId="4D244723" w14:textId="77777777" w:rsidR="005947FC" w:rsidRPr="005947FC" w:rsidRDefault="005947FC" w:rsidP="005947FC">
      <w:pPr>
        <w:spacing w:after="0"/>
        <w:rPr>
          <w:szCs w:val="22"/>
        </w:rPr>
      </w:pPr>
      <w:r w:rsidRPr="005947FC">
        <w:rPr>
          <w:szCs w:val="22"/>
        </w:rPr>
        <w:t>Agreements:</w:t>
      </w:r>
    </w:p>
    <w:p w14:paraId="03C9F551" w14:textId="77777777" w:rsidR="005947FC" w:rsidRPr="005947FC" w:rsidRDefault="005947FC" w:rsidP="005947FC">
      <w:pPr>
        <w:spacing w:after="0"/>
        <w:rPr>
          <w:szCs w:val="22"/>
        </w:rPr>
      </w:pPr>
      <w:r w:rsidRPr="005947FC">
        <w:rPr>
          <w:szCs w:val="22"/>
        </w:rPr>
        <w:t>The UE is not expected to have conflict on link (DL or UL) direction between that of dynamic SFI and that of UE specific data (UE specific DCI triggered PDSCH, PUSCH (grant-based), and PUCCH with A/N for a PDSCH) in Rel-15</w:t>
      </w:r>
    </w:p>
    <w:p w14:paraId="75D4D19B" w14:textId="77777777" w:rsidR="005947FC" w:rsidRPr="005947FC" w:rsidRDefault="005947FC" w:rsidP="00CB554E">
      <w:pPr>
        <w:numPr>
          <w:ilvl w:val="1"/>
          <w:numId w:val="6"/>
        </w:numPr>
        <w:spacing w:after="0"/>
        <w:rPr>
          <w:szCs w:val="22"/>
        </w:rPr>
      </w:pPr>
      <w:r w:rsidRPr="005947FC">
        <w:rPr>
          <w:szCs w:val="22"/>
        </w:rPr>
        <w:t>Note: a link direction denoted as “unknown” in dynamic SFI is not deemed as in conflict with DL or UL</w:t>
      </w:r>
    </w:p>
    <w:p w14:paraId="007A1575" w14:textId="77777777" w:rsidR="005947FC" w:rsidRPr="005947FC" w:rsidRDefault="005947FC" w:rsidP="005947FC">
      <w:pPr>
        <w:spacing w:after="0"/>
        <w:rPr>
          <w:szCs w:val="22"/>
        </w:rPr>
      </w:pPr>
      <w:r w:rsidRPr="005947FC">
        <w:rPr>
          <w:szCs w:val="22"/>
        </w:rPr>
        <w:t>Agreements:</w:t>
      </w:r>
    </w:p>
    <w:p w14:paraId="6695DD94" w14:textId="77777777" w:rsidR="005947FC" w:rsidRPr="005947FC" w:rsidRDefault="005947FC" w:rsidP="00CB554E">
      <w:pPr>
        <w:numPr>
          <w:ilvl w:val="0"/>
          <w:numId w:val="21"/>
        </w:numPr>
        <w:spacing w:after="0"/>
        <w:rPr>
          <w:szCs w:val="22"/>
        </w:rPr>
      </w:pPr>
      <w:r w:rsidRPr="005947FC">
        <w:rPr>
          <w:szCs w:val="22"/>
        </w:rPr>
        <w:t xml:space="preserve">The single slot format table supports up to two D/U switching points per slot </w:t>
      </w:r>
    </w:p>
    <w:p w14:paraId="1E6259D3" w14:textId="77777777" w:rsidR="005947FC" w:rsidRPr="005947FC" w:rsidRDefault="005947FC" w:rsidP="00CB554E">
      <w:pPr>
        <w:numPr>
          <w:ilvl w:val="1"/>
          <w:numId w:val="21"/>
        </w:numPr>
        <w:spacing w:after="0"/>
        <w:rPr>
          <w:szCs w:val="22"/>
        </w:rPr>
      </w:pPr>
      <w:r w:rsidRPr="005947FC">
        <w:rPr>
          <w:szCs w:val="22"/>
        </w:rPr>
        <w:t>Zero switching point: 14 DL symbols, or 14 unknown symbols, or 14 UL symbols.</w:t>
      </w:r>
    </w:p>
    <w:p w14:paraId="3E1CB78A" w14:textId="77777777" w:rsidR="005947FC" w:rsidRPr="005947FC" w:rsidRDefault="005947FC" w:rsidP="00CB554E">
      <w:pPr>
        <w:numPr>
          <w:ilvl w:val="1"/>
          <w:numId w:val="21"/>
        </w:numPr>
        <w:spacing w:after="0"/>
        <w:rPr>
          <w:szCs w:val="22"/>
        </w:rPr>
      </w:pPr>
      <w:r w:rsidRPr="005947FC">
        <w:rPr>
          <w:szCs w:val="22"/>
        </w:rPr>
        <w:t>One D/U switching point of all combinations: Start with zero or more DL symbols, end with zero or more UL symbols, and with unknown symbols in between, where there is at least one unknown symbol and one DL or UL symbol.</w:t>
      </w:r>
    </w:p>
    <w:p w14:paraId="6EB9F256" w14:textId="77777777" w:rsidR="005947FC" w:rsidRPr="005947FC" w:rsidRDefault="005947FC" w:rsidP="00CB554E">
      <w:pPr>
        <w:numPr>
          <w:ilvl w:val="1"/>
          <w:numId w:val="21"/>
        </w:numPr>
        <w:spacing w:after="0"/>
        <w:rPr>
          <w:szCs w:val="22"/>
        </w:rPr>
      </w:pPr>
      <w:r w:rsidRPr="005947FC">
        <w:rPr>
          <w:szCs w:val="22"/>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6E92B8D6" w14:textId="77777777" w:rsidR="005947FC" w:rsidRPr="005947FC" w:rsidRDefault="005947FC" w:rsidP="00CB554E">
      <w:pPr>
        <w:numPr>
          <w:ilvl w:val="1"/>
          <w:numId w:val="21"/>
        </w:numPr>
        <w:spacing w:after="0"/>
        <w:rPr>
          <w:szCs w:val="22"/>
        </w:rPr>
      </w:pPr>
      <w:r w:rsidRPr="005947FC">
        <w:rPr>
          <w:szCs w:val="22"/>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0DC9E3A7" w14:textId="77777777" w:rsidR="005947FC" w:rsidRPr="005947FC" w:rsidRDefault="005947FC" w:rsidP="005947FC">
      <w:pPr>
        <w:spacing w:after="0"/>
        <w:rPr>
          <w:szCs w:val="22"/>
        </w:rPr>
      </w:pPr>
    </w:p>
    <w:p w14:paraId="152F4587" w14:textId="77777777" w:rsidR="005947FC" w:rsidRPr="005947FC" w:rsidRDefault="005947FC" w:rsidP="005947FC">
      <w:pPr>
        <w:spacing w:after="0"/>
        <w:rPr>
          <w:szCs w:val="22"/>
        </w:rPr>
      </w:pPr>
      <w:r w:rsidRPr="005947FC">
        <w:rPr>
          <w:szCs w:val="22"/>
        </w:rPr>
        <w:t>Agreements:</w:t>
      </w:r>
    </w:p>
    <w:p w14:paraId="518B06F0" w14:textId="77777777" w:rsidR="005947FC" w:rsidRPr="005947FC" w:rsidRDefault="005947FC" w:rsidP="00CB554E">
      <w:pPr>
        <w:numPr>
          <w:ilvl w:val="0"/>
          <w:numId w:val="22"/>
        </w:numPr>
        <w:spacing w:after="0"/>
        <w:rPr>
          <w:szCs w:val="22"/>
        </w:rPr>
      </w:pPr>
      <w:r w:rsidRPr="005947FC">
        <w:rPr>
          <w:szCs w:val="22"/>
        </w:rPr>
        <w:t>gNB configures a per serving cell GC-PDCCH (for dynamic SFI) monitoring periodicity of K slots (based on GC-PDCCH numerology), up to 8 choices</w:t>
      </w:r>
    </w:p>
    <w:p w14:paraId="5D95F62F" w14:textId="77777777" w:rsidR="005947FC" w:rsidRPr="005947FC" w:rsidRDefault="005947FC" w:rsidP="00CB554E">
      <w:pPr>
        <w:numPr>
          <w:ilvl w:val="1"/>
          <w:numId w:val="22"/>
        </w:numPr>
        <w:spacing w:after="0"/>
        <w:rPr>
          <w:szCs w:val="22"/>
        </w:rPr>
      </w:pPr>
      <w:r w:rsidRPr="005947FC">
        <w:rPr>
          <w:szCs w:val="22"/>
        </w:rPr>
        <w:t>K = 1, 2, 5, 10, 20</w:t>
      </w:r>
    </w:p>
    <w:p w14:paraId="5D125079" w14:textId="77777777" w:rsidR="005947FC" w:rsidRPr="005947FC" w:rsidRDefault="005947FC" w:rsidP="00CB554E">
      <w:pPr>
        <w:numPr>
          <w:ilvl w:val="2"/>
          <w:numId w:val="22"/>
        </w:numPr>
        <w:spacing w:after="0"/>
        <w:rPr>
          <w:szCs w:val="22"/>
        </w:rPr>
      </w:pPr>
      <w:r w:rsidRPr="005947FC">
        <w:rPr>
          <w:szCs w:val="22"/>
        </w:rPr>
        <w:t>FFS other values</w:t>
      </w:r>
    </w:p>
    <w:p w14:paraId="22A62546" w14:textId="77777777" w:rsidR="005947FC" w:rsidRPr="005947FC" w:rsidRDefault="005947FC" w:rsidP="005947FC">
      <w:pPr>
        <w:spacing w:after="0"/>
        <w:rPr>
          <w:szCs w:val="22"/>
        </w:rPr>
      </w:pPr>
      <w:r w:rsidRPr="005947FC">
        <w:rPr>
          <w:szCs w:val="22"/>
        </w:rPr>
        <w:t>Agreements:</w:t>
      </w:r>
    </w:p>
    <w:p w14:paraId="5AF0B6CF" w14:textId="77777777" w:rsidR="005947FC" w:rsidRPr="005947FC" w:rsidRDefault="005947FC" w:rsidP="005947FC">
      <w:pPr>
        <w:spacing w:after="0"/>
        <w:rPr>
          <w:szCs w:val="22"/>
        </w:rPr>
      </w:pPr>
      <w:r w:rsidRPr="005947FC">
        <w:rPr>
          <w:szCs w:val="22"/>
        </w:rPr>
        <w:t>For the UE specific single-slot/multi-slotset SFI table configuration</w:t>
      </w:r>
    </w:p>
    <w:p w14:paraId="5FA20EDF" w14:textId="77777777" w:rsidR="005947FC" w:rsidRPr="005947FC" w:rsidRDefault="005947FC" w:rsidP="00CB554E">
      <w:pPr>
        <w:numPr>
          <w:ilvl w:val="1"/>
          <w:numId w:val="6"/>
        </w:numPr>
        <w:spacing w:after="0"/>
        <w:rPr>
          <w:szCs w:val="22"/>
        </w:rPr>
      </w:pPr>
      <w:r w:rsidRPr="005947FC">
        <w:rPr>
          <w:szCs w:val="22"/>
        </w:rPr>
        <w:t xml:space="preserve">Each entry of the table indicates a sequence of configured single-slot slot formats </w:t>
      </w:r>
    </w:p>
    <w:p w14:paraId="67215B86" w14:textId="77777777" w:rsidR="005947FC" w:rsidRPr="005947FC" w:rsidRDefault="005947FC" w:rsidP="00CB554E">
      <w:pPr>
        <w:numPr>
          <w:ilvl w:val="2"/>
          <w:numId w:val="6"/>
        </w:numPr>
        <w:spacing w:after="0"/>
        <w:rPr>
          <w:szCs w:val="22"/>
        </w:rPr>
      </w:pPr>
      <w:r w:rsidRPr="005947FC">
        <w:rPr>
          <w:szCs w:val="22"/>
        </w:rPr>
        <w:t>Note if the sequence length is 1, the entry is a single-slot slot format</w:t>
      </w:r>
    </w:p>
    <w:p w14:paraId="05C10DB5" w14:textId="77777777" w:rsidR="005947FC" w:rsidRPr="005947FC" w:rsidRDefault="005947FC" w:rsidP="00CB554E">
      <w:pPr>
        <w:numPr>
          <w:ilvl w:val="2"/>
          <w:numId w:val="6"/>
        </w:numPr>
        <w:spacing w:after="0"/>
        <w:rPr>
          <w:szCs w:val="22"/>
        </w:rPr>
      </w:pPr>
      <w:r w:rsidRPr="005947FC">
        <w:rPr>
          <w:szCs w:val="22"/>
        </w:rPr>
        <w:t>Note if the sequence length is more than one, the entry is a multi-slot slot format</w:t>
      </w:r>
    </w:p>
    <w:p w14:paraId="5A378D0D" w14:textId="77777777" w:rsidR="005947FC" w:rsidRPr="005947FC" w:rsidRDefault="005947FC" w:rsidP="00CB554E">
      <w:pPr>
        <w:numPr>
          <w:ilvl w:val="2"/>
          <w:numId w:val="6"/>
        </w:numPr>
        <w:spacing w:after="0"/>
        <w:rPr>
          <w:szCs w:val="22"/>
        </w:rPr>
      </w:pPr>
      <w:r w:rsidRPr="005947FC">
        <w:rPr>
          <w:szCs w:val="22"/>
        </w:rPr>
        <w:t>Note that it is possible all the slots in a multi-slot slot-format can have the same slot format</w:t>
      </w:r>
    </w:p>
    <w:p w14:paraId="202B23AF" w14:textId="77777777" w:rsidR="005947FC" w:rsidRPr="005947FC" w:rsidRDefault="005947FC" w:rsidP="00CB554E">
      <w:pPr>
        <w:numPr>
          <w:ilvl w:val="2"/>
          <w:numId w:val="6"/>
        </w:numPr>
        <w:spacing w:after="0"/>
        <w:rPr>
          <w:szCs w:val="22"/>
        </w:rPr>
      </w:pPr>
      <w:r w:rsidRPr="005947FC">
        <w:rPr>
          <w:szCs w:val="22"/>
        </w:rPr>
        <w:t>Note The entries in the table can be of different length including a mix of single slot SFI and multi-slot SFI</w:t>
      </w:r>
    </w:p>
    <w:p w14:paraId="3204C2FF" w14:textId="77777777" w:rsidR="005947FC" w:rsidRPr="005947FC" w:rsidRDefault="005947FC" w:rsidP="00CB554E">
      <w:pPr>
        <w:numPr>
          <w:ilvl w:val="3"/>
          <w:numId w:val="6"/>
        </w:numPr>
        <w:spacing w:after="0"/>
        <w:rPr>
          <w:szCs w:val="22"/>
        </w:rPr>
      </w:pPr>
      <w:r w:rsidRPr="005947FC">
        <w:rPr>
          <w:szCs w:val="22"/>
        </w:rPr>
        <w:t>The length of each entry in the table is FFS, e.g., multiple of configured GC-PDCCH monitoring period, a fraction of the configuration GC-PDCCH monitoring period, etc.</w:t>
      </w:r>
    </w:p>
    <w:p w14:paraId="7BB982FB" w14:textId="77777777" w:rsidR="005947FC" w:rsidRPr="005947FC" w:rsidRDefault="005947FC" w:rsidP="005947FC">
      <w:pPr>
        <w:spacing w:after="0"/>
        <w:rPr>
          <w:szCs w:val="22"/>
        </w:rPr>
      </w:pPr>
      <w:r w:rsidRPr="005947FC">
        <w:rPr>
          <w:szCs w:val="22"/>
        </w:rPr>
        <w:t>Agreements:</w:t>
      </w:r>
    </w:p>
    <w:p w14:paraId="16E2C8ED" w14:textId="77777777" w:rsidR="005947FC" w:rsidRPr="005947FC" w:rsidRDefault="005947FC" w:rsidP="00CB554E">
      <w:pPr>
        <w:numPr>
          <w:ilvl w:val="0"/>
          <w:numId w:val="7"/>
        </w:numPr>
        <w:spacing w:after="0"/>
        <w:rPr>
          <w:szCs w:val="22"/>
        </w:rPr>
      </w:pPr>
      <w:r w:rsidRPr="005947FC">
        <w:rPr>
          <w:szCs w:val="22"/>
        </w:rPr>
        <w:t>GC-PDCCH for dynamic SFI monitoring</w:t>
      </w:r>
    </w:p>
    <w:p w14:paraId="1542FBC0" w14:textId="77777777" w:rsidR="005947FC" w:rsidRPr="005947FC" w:rsidRDefault="005947FC" w:rsidP="00CB554E">
      <w:pPr>
        <w:numPr>
          <w:ilvl w:val="1"/>
          <w:numId w:val="7"/>
        </w:numPr>
        <w:spacing w:after="0"/>
        <w:rPr>
          <w:szCs w:val="22"/>
        </w:rPr>
      </w:pPr>
      <w:r w:rsidRPr="005947FC">
        <w:rPr>
          <w:szCs w:val="22"/>
        </w:rPr>
        <w:t>For same cell GC-PDCCH monitoring: UE is required to monitor at most one GC-PDCCH per spatial QCL per configuration period carrying dynamic SFI in the active BWP in the cell</w:t>
      </w:r>
    </w:p>
    <w:p w14:paraId="45C0AB73" w14:textId="77777777" w:rsidR="005947FC" w:rsidRPr="005947FC" w:rsidRDefault="005947FC" w:rsidP="00CB554E">
      <w:pPr>
        <w:numPr>
          <w:ilvl w:val="2"/>
          <w:numId w:val="7"/>
        </w:numPr>
        <w:spacing w:after="0"/>
        <w:rPr>
          <w:szCs w:val="22"/>
        </w:rPr>
      </w:pPr>
      <w:r w:rsidRPr="005947FC">
        <w:rPr>
          <w:szCs w:val="22"/>
        </w:rPr>
        <w:t>The coreset(s) is located in the first 1/2/3 symbols in a slot</w:t>
      </w:r>
    </w:p>
    <w:p w14:paraId="0B7E252F" w14:textId="77777777" w:rsidR="005947FC" w:rsidRPr="005947FC" w:rsidRDefault="005947FC" w:rsidP="00CB554E">
      <w:pPr>
        <w:numPr>
          <w:ilvl w:val="2"/>
          <w:numId w:val="7"/>
        </w:numPr>
        <w:spacing w:after="0"/>
        <w:rPr>
          <w:szCs w:val="22"/>
        </w:rPr>
      </w:pPr>
      <w:r w:rsidRPr="005947FC">
        <w:rPr>
          <w:szCs w:val="22"/>
        </w:rPr>
        <w:t>Configuration of GC-PDCCH for UE to monitor is FFS especially considering interaction with BWP configuration</w:t>
      </w:r>
    </w:p>
    <w:p w14:paraId="01653DB7" w14:textId="77777777" w:rsidR="005947FC" w:rsidRPr="005947FC" w:rsidRDefault="005947FC" w:rsidP="00CB554E">
      <w:pPr>
        <w:numPr>
          <w:ilvl w:val="2"/>
          <w:numId w:val="7"/>
        </w:numPr>
        <w:spacing w:after="0"/>
        <w:rPr>
          <w:szCs w:val="22"/>
        </w:rPr>
      </w:pPr>
      <w:r w:rsidRPr="005947FC">
        <w:rPr>
          <w:szCs w:val="22"/>
        </w:rPr>
        <w:t xml:space="preserve">Note: This is not intended to address the case of multi-TRP which is deprioritized before Dec. </w:t>
      </w:r>
    </w:p>
    <w:p w14:paraId="23FD4D74" w14:textId="77777777" w:rsidR="005947FC" w:rsidRPr="005947FC" w:rsidRDefault="005947FC" w:rsidP="00CB554E">
      <w:pPr>
        <w:numPr>
          <w:ilvl w:val="1"/>
          <w:numId w:val="7"/>
        </w:numPr>
        <w:spacing w:after="0"/>
        <w:rPr>
          <w:szCs w:val="22"/>
        </w:rPr>
      </w:pPr>
      <w:r w:rsidRPr="005947FC">
        <w:rPr>
          <w:szCs w:val="22"/>
        </w:rPr>
        <w:t xml:space="preserve">When configuring the GC-PDCCH monitoring for dynamic SFI, the gNB will configure the payload length </w:t>
      </w:r>
    </w:p>
    <w:p w14:paraId="479128EB" w14:textId="77777777" w:rsidR="005947FC" w:rsidRPr="005947FC" w:rsidRDefault="005947FC" w:rsidP="00CB554E">
      <w:pPr>
        <w:numPr>
          <w:ilvl w:val="1"/>
          <w:numId w:val="7"/>
        </w:numPr>
        <w:spacing w:after="0"/>
        <w:rPr>
          <w:szCs w:val="22"/>
        </w:rPr>
      </w:pPr>
      <w:r w:rsidRPr="005947FC">
        <w:rPr>
          <w:szCs w:val="22"/>
        </w:rPr>
        <w:lastRenderedPageBreak/>
        <w:t>When configuring the GC PDCCH monitoring for dynamic SFI for a serving cell, the gNB will configure the location of the bits used for the dynamic SFI in the payload</w:t>
      </w:r>
    </w:p>
    <w:p w14:paraId="26DB932E" w14:textId="77777777" w:rsidR="005947FC" w:rsidRPr="005947FC" w:rsidRDefault="005947FC" w:rsidP="005947FC">
      <w:pPr>
        <w:spacing w:after="0"/>
        <w:rPr>
          <w:szCs w:val="22"/>
        </w:rPr>
      </w:pPr>
      <w:r w:rsidRPr="005947FC">
        <w:rPr>
          <w:szCs w:val="22"/>
        </w:rPr>
        <w:t>Agreements:</w:t>
      </w:r>
    </w:p>
    <w:p w14:paraId="50AA18BD" w14:textId="77777777" w:rsidR="005947FC" w:rsidRPr="005947FC" w:rsidRDefault="005947FC" w:rsidP="00CB554E">
      <w:pPr>
        <w:numPr>
          <w:ilvl w:val="0"/>
          <w:numId w:val="23"/>
        </w:numPr>
        <w:spacing w:after="0"/>
        <w:rPr>
          <w:szCs w:val="22"/>
        </w:rPr>
      </w:pPr>
      <w:r w:rsidRPr="005947FC">
        <w:rPr>
          <w:szCs w:val="22"/>
        </w:rPr>
        <w:t xml:space="preserve">For the cell-specific higher layer signalling on semi-static DL/UL assignment, the transmission indication is in pattern of DL-unknown-UL. The signaling include: </w:t>
      </w:r>
    </w:p>
    <w:p w14:paraId="2883DA03" w14:textId="77777777" w:rsidR="005947FC" w:rsidRPr="005947FC" w:rsidRDefault="005947FC" w:rsidP="00CB554E">
      <w:pPr>
        <w:numPr>
          <w:ilvl w:val="1"/>
          <w:numId w:val="23"/>
        </w:numPr>
        <w:spacing w:after="0"/>
        <w:rPr>
          <w:szCs w:val="22"/>
        </w:rPr>
      </w:pPr>
      <w:r w:rsidRPr="005947FC">
        <w:rPr>
          <w:szCs w:val="22"/>
        </w:rPr>
        <w:t>For DL resources indication, the signaling include:</w:t>
      </w:r>
    </w:p>
    <w:p w14:paraId="654F6647" w14:textId="77777777" w:rsidR="005947FC" w:rsidRPr="005947FC" w:rsidRDefault="005947FC" w:rsidP="00CB554E">
      <w:pPr>
        <w:numPr>
          <w:ilvl w:val="2"/>
          <w:numId w:val="23"/>
        </w:numPr>
        <w:spacing w:after="0"/>
        <w:rPr>
          <w:szCs w:val="22"/>
        </w:rPr>
      </w:pPr>
      <w:r w:rsidRPr="005947FC">
        <w:rPr>
          <w:szCs w:val="22"/>
        </w:rPr>
        <w:t>Number of full DL slot(s) (x1) at the beginning of the period. Values for x1 include {0,1,…, (Number of slots in a UL-DL switching periodicity)}</w:t>
      </w:r>
    </w:p>
    <w:p w14:paraId="32138CAF" w14:textId="77777777" w:rsidR="005947FC" w:rsidRPr="005947FC" w:rsidRDefault="005947FC" w:rsidP="00CB554E">
      <w:pPr>
        <w:numPr>
          <w:ilvl w:val="2"/>
          <w:numId w:val="23"/>
        </w:numPr>
        <w:spacing w:after="0"/>
        <w:rPr>
          <w:szCs w:val="22"/>
        </w:rPr>
      </w:pPr>
      <w:r w:rsidRPr="005947FC">
        <w:rPr>
          <w:szCs w:val="22"/>
        </w:rPr>
        <w:t>Number of DL symbol(s) follow the full DL slots (x2). Values for x2 include {0,1,…, 13}</w:t>
      </w:r>
    </w:p>
    <w:p w14:paraId="3308D5B7" w14:textId="77777777" w:rsidR="005947FC" w:rsidRPr="005947FC" w:rsidRDefault="005947FC" w:rsidP="00CB554E">
      <w:pPr>
        <w:numPr>
          <w:ilvl w:val="1"/>
          <w:numId w:val="23"/>
        </w:numPr>
        <w:spacing w:after="0"/>
        <w:rPr>
          <w:szCs w:val="22"/>
        </w:rPr>
      </w:pPr>
      <w:r w:rsidRPr="005947FC">
        <w:rPr>
          <w:szCs w:val="22"/>
        </w:rPr>
        <w:t>For UL resource indication, the signaling include:</w:t>
      </w:r>
    </w:p>
    <w:p w14:paraId="74FB9389" w14:textId="77777777" w:rsidR="005947FC" w:rsidRPr="005947FC" w:rsidRDefault="005947FC" w:rsidP="00CB554E">
      <w:pPr>
        <w:numPr>
          <w:ilvl w:val="2"/>
          <w:numId w:val="23"/>
        </w:numPr>
        <w:spacing w:after="0"/>
        <w:rPr>
          <w:szCs w:val="22"/>
        </w:rPr>
      </w:pPr>
      <w:r w:rsidRPr="005947FC">
        <w:rPr>
          <w:szCs w:val="22"/>
        </w:rPr>
        <w:t xml:space="preserve">Number of full UL slot(s) (y1) at the end of the period. Values for y1 include {0,1,…, (Number of slots in a UL-DL switching periodicity)} </w:t>
      </w:r>
    </w:p>
    <w:p w14:paraId="7257E89A" w14:textId="77777777" w:rsidR="005947FC" w:rsidRPr="005947FC" w:rsidRDefault="005947FC" w:rsidP="00CB554E">
      <w:pPr>
        <w:numPr>
          <w:ilvl w:val="2"/>
          <w:numId w:val="23"/>
        </w:numPr>
        <w:spacing w:after="0"/>
        <w:rPr>
          <w:szCs w:val="22"/>
        </w:rPr>
      </w:pPr>
      <w:r w:rsidRPr="005947FC">
        <w:rPr>
          <w:szCs w:val="22"/>
        </w:rPr>
        <w:t xml:space="preserve">Number of UL symbol(s) (y2) preceeds full UL slots. Values for y2 include {0,1,…, 13} </w:t>
      </w:r>
    </w:p>
    <w:p w14:paraId="31834346" w14:textId="77777777" w:rsidR="005947FC" w:rsidRPr="005947FC" w:rsidRDefault="005947FC" w:rsidP="00CB554E">
      <w:pPr>
        <w:numPr>
          <w:ilvl w:val="1"/>
          <w:numId w:val="23"/>
        </w:numPr>
        <w:spacing w:after="0"/>
        <w:rPr>
          <w:szCs w:val="22"/>
        </w:rPr>
      </w:pPr>
      <w:r w:rsidRPr="005947FC">
        <w:rPr>
          <w:szCs w:val="22"/>
        </w:rPr>
        <w:t>The resource(s) in a period between DL and UL segments are unknown resources.</w:t>
      </w:r>
    </w:p>
    <w:p w14:paraId="13B89A7E" w14:textId="77777777" w:rsidR="005947FC" w:rsidRPr="005947FC" w:rsidRDefault="005947FC" w:rsidP="00CB554E">
      <w:pPr>
        <w:numPr>
          <w:ilvl w:val="1"/>
          <w:numId w:val="23"/>
        </w:numPr>
        <w:spacing w:after="0"/>
        <w:rPr>
          <w:szCs w:val="22"/>
        </w:rPr>
      </w:pPr>
      <w:r w:rsidRPr="005947FC">
        <w:rPr>
          <w:szCs w:val="22"/>
        </w:rPr>
        <w:t>FFS The UE does not receive and not transmit on ‘Unknown’ resources in cell-specific higher layer signalling if not otherwise indicated.</w:t>
      </w:r>
    </w:p>
    <w:p w14:paraId="2C0B80E2" w14:textId="77777777" w:rsidR="005947FC" w:rsidRPr="005947FC" w:rsidRDefault="005947FC" w:rsidP="005947FC">
      <w:pPr>
        <w:spacing w:after="0"/>
        <w:rPr>
          <w:szCs w:val="22"/>
        </w:rPr>
      </w:pPr>
    </w:p>
    <w:p w14:paraId="505C1EEA" w14:textId="77777777" w:rsidR="005947FC" w:rsidRPr="005947FC" w:rsidRDefault="005947FC" w:rsidP="005947FC">
      <w:pPr>
        <w:spacing w:after="0"/>
        <w:rPr>
          <w:szCs w:val="22"/>
        </w:rPr>
      </w:pPr>
      <w:r w:rsidRPr="005947FC">
        <w:rPr>
          <w:szCs w:val="22"/>
        </w:rPr>
        <w:t>Agreements:</w:t>
      </w:r>
    </w:p>
    <w:p w14:paraId="791AD56A" w14:textId="77777777" w:rsidR="005947FC" w:rsidRPr="005947FC" w:rsidRDefault="005947FC" w:rsidP="00CB554E">
      <w:pPr>
        <w:numPr>
          <w:ilvl w:val="0"/>
          <w:numId w:val="24"/>
        </w:numPr>
        <w:spacing w:after="0"/>
        <w:rPr>
          <w:szCs w:val="22"/>
        </w:rPr>
      </w:pPr>
      <w:r w:rsidRPr="005947FC">
        <w:rPr>
          <w:szCs w:val="22"/>
        </w:rPr>
        <w:t xml:space="preserve">For the UE-specific higher layer signalling on semi-static DL/UL assignment, </w:t>
      </w:r>
    </w:p>
    <w:p w14:paraId="157A3E9E" w14:textId="77777777" w:rsidR="005947FC" w:rsidRPr="005947FC" w:rsidRDefault="005947FC" w:rsidP="00CB554E">
      <w:pPr>
        <w:numPr>
          <w:ilvl w:val="1"/>
          <w:numId w:val="24"/>
        </w:numPr>
        <w:spacing w:after="0"/>
        <w:rPr>
          <w:szCs w:val="22"/>
        </w:rPr>
      </w:pPr>
      <w:r w:rsidRPr="005947FC">
        <w:rPr>
          <w:szCs w:val="22"/>
        </w:rPr>
        <w:t>The signaling includes the indication as per slot basis, the signalling includes:</w:t>
      </w:r>
    </w:p>
    <w:p w14:paraId="0DC0F7A9" w14:textId="77777777" w:rsidR="005947FC" w:rsidRPr="005947FC" w:rsidRDefault="005947FC" w:rsidP="00CB554E">
      <w:pPr>
        <w:numPr>
          <w:ilvl w:val="2"/>
          <w:numId w:val="24"/>
        </w:numPr>
        <w:spacing w:after="0"/>
        <w:rPr>
          <w:szCs w:val="22"/>
        </w:rPr>
      </w:pPr>
      <w:r w:rsidRPr="005947FC">
        <w:rPr>
          <w:szCs w:val="22"/>
        </w:rPr>
        <w:t>Number of DL symbol(s) (y3) in the beginning of slot No.x3</w:t>
      </w:r>
    </w:p>
    <w:p w14:paraId="3EE9D414" w14:textId="77777777" w:rsidR="005947FC" w:rsidRPr="005947FC" w:rsidRDefault="005947FC" w:rsidP="00CB554E">
      <w:pPr>
        <w:numPr>
          <w:ilvl w:val="3"/>
          <w:numId w:val="24"/>
        </w:numPr>
        <w:spacing w:after="0"/>
        <w:rPr>
          <w:szCs w:val="22"/>
        </w:rPr>
      </w:pPr>
      <w:r w:rsidRPr="005947FC">
        <w:rPr>
          <w:szCs w:val="22"/>
        </w:rPr>
        <w:t>Values for x3 include {1,…, (Number of slots in a UL-DL switching periodicity)}</w:t>
      </w:r>
    </w:p>
    <w:p w14:paraId="2B79DA42" w14:textId="77777777" w:rsidR="005947FC" w:rsidRPr="005947FC" w:rsidRDefault="005947FC" w:rsidP="00CB554E">
      <w:pPr>
        <w:numPr>
          <w:ilvl w:val="3"/>
          <w:numId w:val="24"/>
        </w:numPr>
        <w:spacing w:after="0"/>
        <w:rPr>
          <w:szCs w:val="22"/>
        </w:rPr>
      </w:pPr>
      <w:r w:rsidRPr="005947FC">
        <w:rPr>
          <w:szCs w:val="22"/>
        </w:rPr>
        <w:t>Values for y3 include {0,1,…,13,14}</w:t>
      </w:r>
    </w:p>
    <w:p w14:paraId="7CB6EB64" w14:textId="77777777" w:rsidR="005947FC" w:rsidRPr="005947FC" w:rsidRDefault="005947FC" w:rsidP="00CB554E">
      <w:pPr>
        <w:numPr>
          <w:ilvl w:val="2"/>
          <w:numId w:val="24"/>
        </w:numPr>
        <w:spacing w:after="0"/>
        <w:rPr>
          <w:szCs w:val="22"/>
        </w:rPr>
      </w:pPr>
      <w:r w:rsidRPr="005947FC">
        <w:rPr>
          <w:szCs w:val="22"/>
        </w:rPr>
        <w:t>Number of UL symbol(s) (y4) in end of slot No.x4</w:t>
      </w:r>
    </w:p>
    <w:p w14:paraId="10715E3B" w14:textId="77777777" w:rsidR="005947FC" w:rsidRPr="005947FC" w:rsidRDefault="005947FC" w:rsidP="00CB554E">
      <w:pPr>
        <w:numPr>
          <w:ilvl w:val="3"/>
          <w:numId w:val="24"/>
        </w:numPr>
        <w:spacing w:after="0"/>
        <w:rPr>
          <w:szCs w:val="22"/>
        </w:rPr>
      </w:pPr>
      <w:r w:rsidRPr="005947FC">
        <w:rPr>
          <w:szCs w:val="22"/>
        </w:rPr>
        <w:t>Values for x4 include {1,…, (Number of slots in a UL-DL switching periodicity)}</w:t>
      </w:r>
    </w:p>
    <w:p w14:paraId="6838BD7F" w14:textId="77777777" w:rsidR="005947FC" w:rsidRPr="005947FC" w:rsidRDefault="005947FC" w:rsidP="00CB554E">
      <w:pPr>
        <w:numPr>
          <w:ilvl w:val="3"/>
          <w:numId w:val="24"/>
        </w:numPr>
        <w:spacing w:after="0"/>
        <w:rPr>
          <w:szCs w:val="22"/>
        </w:rPr>
      </w:pPr>
      <w:r w:rsidRPr="005947FC">
        <w:rPr>
          <w:szCs w:val="22"/>
        </w:rPr>
        <w:t>Values for y4 include {0,1,…,13,14}</w:t>
      </w:r>
    </w:p>
    <w:p w14:paraId="63CA9696" w14:textId="77777777" w:rsidR="005947FC" w:rsidRPr="005947FC" w:rsidRDefault="005947FC" w:rsidP="00CB554E">
      <w:pPr>
        <w:numPr>
          <w:ilvl w:val="2"/>
          <w:numId w:val="24"/>
        </w:numPr>
        <w:spacing w:after="0"/>
        <w:rPr>
          <w:szCs w:val="22"/>
        </w:rPr>
      </w:pPr>
      <w:r w:rsidRPr="005947FC">
        <w:rPr>
          <w:szCs w:val="22"/>
        </w:rPr>
        <w:t>The resource(s) in a slot without DL/UL indication are unknown resource(s).</w:t>
      </w:r>
    </w:p>
    <w:p w14:paraId="6DFFF672" w14:textId="77777777" w:rsidR="005947FC" w:rsidRPr="005947FC" w:rsidRDefault="005947FC" w:rsidP="00CB554E">
      <w:pPr>
        <w:numPr>
          <w:ilvl w:val="1"/>
          <w:numId w:val="24"/>
        </w:numPr>
        <w:spacing w:after="0"/>
        <w:rPr>
          <w:szCs w:val="22"/>
        </w:rPr>
      </w:pPr>
      <w:r w:rsidRPr="005947FC">
        <w:rPr>
          <w:szCs w:val="22"/>
        </w:rPr>
        <w:t>FFS the UE does not receive and not transmit on ‘Unknown’ resources in UE-specific higher layer signalling if not otherwise indicated.</w:t>
      </w:r>
    </w:p>
    <w:p w14:paraId="0F9E5A38" w14:textId="77777777" w:rsidR="005947FC" w:rsidRPr="005947FC" w:rsidRDefault="005947FC" w:rsidP="00CB554E">
      <w:pPr>
        <w:numPr>
          <w:ilvl w:val="1"/>
          <w:numId w:val="24"/>
        </w:numPr>
        <w:spacing w:after="0"/>
        <w:rPr>
          <w:szCs w:val="22"/>
        </w:rPr>
      </w:pPr>
      <w:r w:rsidRPr="005947FC">
        <w:rPr>
          <w:szCs w:val="22"/>
        </w:rPr>
        <w:t xml:space="preserve">FFS At most single DL/UL switching point exists in a UL-DL switching periodicity. </w:t>
      </w:r>
    </w:p>
    <w:p w14:paraId="48F7D1E9" w14:textId="77777777" w:rsidR="005947FC" w:rsidRPr="005947FC" w:rsidRDefault="005947FC" w:rsidP="005947FC">
      <w:pPr>
        <w:spacing w:after="0"/>
        <w:rPr>
          <w:szCs w:val="22"/>
        </w:rPr>
      </w:pPr>
    </w:p>
    <w:p w14:paraId="663CC0FE" w14:textId="77777777" w:rsidR="005947FC" w:rsidRPr="005947FC" w:rsidRDefault="005947FC" w:rsidP="005947FC">
      <w:pPr>
        <w:spacing w:after="0"/>
        <w:rPr>
          <w:szCs w:val="22"/>
        </w:rPr>
      </w:pPr>
      <w:r w:rsidRPr="005947FC">
        <w:rPr>
          <w:szCs w:val="22"/>
        </w:rPr>
        <w:t>Agreements:</w:t>
      </w:r>
    </w:p>
    <w:p w14:paraId="43C4B8F3" w14:textId="77777777" w:rsidR="005947FC" w:rsidRPr="005947FC" w:rsidRDefault="005947FC" w:rsidP="00CB554E">
      <w:pPr>
        <w:numPr>
          <w:ilvl w:val="0"/>
          <w:numId w:val="25"/>
        </w:numPr>
        <w:spacing w:after="0"/>
        <w:rPr>
          <w:szCs w:val="22"/>
        </w:rPr>
      </w:pPr>
      <w:r w:rsidRPr="005947FC">
        <w:rPr>
          <w:szCs w:val="22"/>
        </w:rPr>
        <w:t xml:space="preserve">GC-PDCCH for SFI is associated with a SFI RNTI by configuration </w:t>
      </w:r>
    </w:p>
    <w:p w14:paraId="6CF81299" w14:textId="77777777" w:rsidR="005947FC" w:rsidRPr="005947FC" w:rsidRDefault="005947FC" w:rsidP="005947FC">
      <w:pPr>
        <w:spacing w:after="0"/>
        <w:rPr>
          <w:szCs w:val="22"/>
        </w:rPr>
      </w:pPr>
    </w:p>
    <w:p w14:paraId="03EE6D00" w14:textId="77777777" w:rsidR="005947FC" w:rsidRPr="005947FC" w:rsidRDefault="005947FC" w:rsidP="005947FC">
      <w:pPr>
        <w:spacing w:after="0"/>
        <w:rPr>
          <w:szCs w:val="22"/>
        </w:rPr>
      </w:pPr>
      <w:r w:rsidRPr="005947FC">
        <w:rPr>
          <w:szCs w:val="22"/>
        </w:rPr>
        <w:t>Agreements:</w:t>
      </w:r>
    </w:p>
    <w:p w14:paraId="6CD83E63" w14:textId="77777777" w:rsidR="005947FC" w:rsidRPr="005947FC" w:rsidRDefault="005947FC" w:rsidP="00CB554E">
      <w:pPr>
        <w:numPr>
          <w:ilvl w:val="0"/>
          <w:numId w:val="27"/>
        </w:numPr>
        <w:spacing w:after="0"/>
        <w:rPr>
          <w:szCs w:val="22"/>
        </w:rPr>
      </w:pPr>
      <w:r w:rsidRPr="005947FC">
        <w:rPr>
          <w:szCs w:val="22"/>
        </w:rPr>
        <w:t>For the blind decoding of GC-PDCCH carrying SFI, the GC-PDCCH blind decoding is configured with up to two decoding candidates  with a configured aggregation level in a CSS or group-CSS in a configured corset</w:t>
      </w:r>
    </w:p>
    <w:p w14:paraId="3EDE4E4E" w14:textId="77777777" w:rsidR="005947FC" w:rsidRPr="005947FC" w:rsidRDefault="005947FC" w:rsidP="005947FC">
      <w:pPr>
        <w:spacing w:after="0"/>
        <w:rPr>
          <w:szCs w:val="22"/>
        </w:rPr>
      </w:pPr>
    </w:p>
    <w:p w14:paraId="716EE75E" w14:textId="77777777" w:rsidR="005947FC" w:rsidRPr="005947FC" w:rsidRDefault="005947FC" w:rsidP="005947FC">
      <w:pPr>
        <w:spacing w:after="0"/>
        <w:rPr>
          <w:szCs w:val="22"/>
        </w:rPr>
      </w:pPr>
      <w:r w:rsidRPr="005947FC">
        <w:rPr>
          <w:szCs w:val="22"/>
        </w:rPr>
        <w:t>Agreements:</w:t>
      </w:r>
    </w:p>
    <w:p w14:paraId="46AEE39B" w14:textId="77777777" w:rsidR="005947FC" w:rsidRPr="005947FC" w:rsidRDefault="005947FC" w:rsidP="00CB554E">
      <w:pPr>
        <w:numPr>
          <w:ilvl w:val="0"/>
          <w:numId w:val="6"/>
        </w:numPr>
        <w:spacing w:after="0"/>
        <w:rPr>
          <w:szCs w:val="22"/>
        </w:rPr>
      </w:pPr>
      <w:r w:rsidRPr="005947FC">
        <w:rPr>
          <w:szCs w:val="22"/>
        </w:rPr>
        <w:t>On overwriting rules across semi-static DL/UL assignment, dynamic SFI, DCI, etc</w:t>
      </w:r>
    </w:p>
    <w:p w14:paraId="3E5E7EDC" w14:textId="77777777" w:rsidR="005947FC" w:rsidRPr="005947FC" w:rsidRDefault="005947FC" w:rsidP="00CB554E">
      <w:pPr>
        <w:numPr>
          <w:ilvl w:val="0"/>
          <w:numId w:val="26"/>
        </w:numPr>
        <w:spacing w:after="0"/>
        <w:rPr>
          <w:szCs w:val="22"/>
        </w:rPr>
      </w:pPr>
      <w:r w:rsidRPr="005947FC">
        <w:rPr>
          <w:szCs w:val="22"/>
        </w:rPr>
        <w:t xml:space="preserve">Need to decide the overwriting rules between </w:t>
      </w:r>
    </w:p>
    <w:p w14:paraId="4A3597B0" w14:textId="77777777" w:rsidR="005947FC" w:rsidRPr="005947FC" w:rsidRDefault="005947FC" w:rsidP="00CB554E">
      <w:pPr>
        <w:numPr>
          <w:ilvl w:val="1"/>
          <w:numId w:val="26"/>
        </w:numPr>
        <w:spacing w:after="0"/>
        <w:rPr>
          <w:szCs w:val="22"/>
        </w:rPr>
      </w:pPr>
      <w:r w:rsidRPr="005947FC">
        <w:rPr>
          <w:szCs w:val="22"/>
        </w:rPr>
        <w:t xml:space="preserve">Semi-static DL/UL assignment (including states DL, UL, unknown) </w:t>
      </w:r>
    </w:p>
    <w:p w14:paraId="050905A5" w14:textId="77777777" w:rsidR="005947FC" w:rsidRPr="005947FC" w:rsidRDefault="005947FC" w:rsidP="00CB554E">
      <w:pPr>
        <w:numPr>
          <w:ilvl w:val="1"/>
          <w:numId w:val="26"/>
        </w:numPr>
        <w:spacing w:after="0"/>
        <w:rPr>
          <w:szCs w:val="22"/>
        </w:rPr>
      </w:pPr>
      <w:r w:rsidRPr="005947FC">
        <w:rPr>
          <w:szCs w:val="22"/>
        </w:rPr>
        <w:t>Dynamic SFI (indicated in GC-PDCCH with states DL, UL, and unknown)</w:t>
      </w:r>
    </w:p>
    <w:p w14:paraId="462A4217" w14:textId="77777777" w:rsidR="005947FC" w:rsidRPr="005947FC" w:rsidRDefault="005947FC" w:rsidP="00CB554E">
      <w:pPr>
        <w:numPr>
          <w:ilvl w:val="1"/>
          <w:numId w:val="26"/>
        </w:numPr>
        <w:spacing w:after="0"/>
        <w:rPr>
          <w:szCs w:val="22"/>
        </w:rPr>
      </w:pPr>
      <w:r w:rsidRPr="005947FC">
        <w:rPr>
          <w:szCs w:val="22"/>
        </w:rPr>
        <w:t xml:space="preserve">UE specific data transmission (UE specific DCI triggered PDSCH, PUSCH, and PUCCH with A/N for a PDSCH) </w:t>
      </w:r>
    </w:p>
    <w:p w14:paraId="5E363A34" w14:textId="77777777" w:rsidR="005947FC" w:rsidRPr="005947FC" w:rsidRDefault="005947FC" w:rsidP="00CB554E">
      <w:pPr>
        <w:numPr>
          <w:ilvl w:val="2"/>
          <w:numId w:val="26"/>
        </w:numPr>
        <w:spacing w:after="0"/>
        <w:rPr>
          <w:szCs w:val="22"/>
        </w:rPr>
      </w:pPr>
      <w:r w:rsidRPr="005947FC">
        <w:rPr>
          <w:szCs w:val="22"/>
        </w:rPr>
        <w:t>Also include DCI triggered aperiodic measurement related signals, such as aperiodic CSI-RS, aperiodic SRS, etc</w:t>
      </w:r>
    </w:p>
    <w:p w14:paraId="6163D287" w14:textId="77777777" w:rsidR="005947FC" w:rsidRPr="005947FC" w:rsidRDefault="005947FC" w:rsidP="00CB554E">
      <w:pPr>
        <w:numPr>
          <w:ilvl w:val="2"/>
          <w:numId w:val="26"/>
        </w:numPr>
        <w:spacing w:after="0"/>
        <w:rPr>
          <w:szCs w:val="22"/>
        </w:rPr>
      </w:pPr>
      <w:r w:rsidRPr="005947FC">
        <w:rPr>
          <w:szCs w:val="22"/>
        </w:rPr>
        <w:t>FFS: Broadcast transmission, sync, PRACH, RAR, UL data transmission without UL grant, …</w:t>
      </w:r>
    </w:p>
    <w:p w14:paraId="4D9065A0" w14:textId="77777777" w:rsidR="005947FC" w:rsidRPr="005947FC" w:rsidRDefault="005947FC" w:rsidP="00CB554E">
      <w:pPr>
        <w:numPr>
          <w:ilvl w:val="1"/>
          <w:numId w:val="26"/>
        </w:numPr>
        <w:spacing w:after="0"/>
        <w:rPr>
          <w:szCs w:val="22"/>
        </w:rPr>
      </w:pPr>
      <w:r w:rsidRPr="005947FC">
        <w:rPr>
          <w:szCs w:val="22"/>
        </w:rPr>
        <w:t xml:space="preserve">Measurement: Measurement related signals semi-statically configured by UE-specific RRC (eg. periodic/semi-persistent CSI-RS for CSI report, periodic CSI report, periodic/semi-persistent SRS) where a DL or UL direction will be assumed </w:t>
      </w:r>
    </w:p>
    <w:p w14:paraId="37978A23" w14:textId="77777777" w:rsidR="005947FC" w:rsidRPr="005947FC" w:rsidRDefault="005947FC" w:rsidP="00CB554E">
      <w:pPr>
        <w:numPr>
          <w:ilvl w:val="2"/>
          <w:numId w:val="26"/>
        </w:numPr>
        <w:spacing w:after="0"/>
        <w:rPr>
          <w:szCs w:val="22"/>
        </w:rPr>
      </w:pPr>
      <w:r w:rsidRPr="005947FC">
        <w:rPr>
          <w:szCs w:val="22"/>
        </w:rPr>
        <w:t>FFS: CSI-RS for RRM, TRS, etc</w:t>
      </w:r>
    </w:p>
    <w:p w14:paraId="4B9B207A" w14:textId="77777777" w:rsidR="005947FC" w:rsidRPr="005947FC" w:rsidRDefault="005947FC" w:rsidP="00CB554E">
      <w:pPr>
        <w:numPr>
          <w:ilvl w:val="1"/>
          <w:numId w:val="26"/>
        </w:numPr>
        <w:spacing w:after="0"/>
        <w:rPr>
          <w:szCs w:val="22"/>
        </w:rPr>
      </w:pPr>
      <w:r w:rsidRPr="005947FC">
        <w:rPr>
          <w:szCs w:val="22"/>
        </w:rPr>
        <w:t>FFS: Other signals, measurements, and monitoring (including configured coreset monitoring)</w:t>
      </w:r>
    </w:p>
    <w:p w14:paraId="1939D844" w14:textId="77777777" w:rsidR="005947FC" w:rsidRPr="005947FC" w:rsidRDefault="005947FC" w:rsidP="00CB554E">
      <w:pPr>
        <w:numPr>
          <w:ilvl w:val="0"/>
          <w:numId w:val="26"/>
        </w:numPr>
        <w:spacing w:after="0"/>
        <w:rPr>
          <w:szCs w:val="22"/>
        </w:rPr>
      </w:pPr>
      <w:r w:rsidRPr="005947FC">
        <w:rPr>
          <w:szCs w:val="22"/>
        </w:rPr>
        <w:t xml:space="preserve">Consider the following directions of potential overwriting in Rel. 15: </w:t>
      </w:r>
    </w:p>
    <w:p w14:paraId="5B2A6A6A" w14:textId="77777777" w:rsidR="005947FC" w:rsidRPr="005947FC" w:rsidRDefault="005947FC" w:rsidP="00CB554E">
      <w:pPr>
        <w:numPr>
          <w:ilvl w:val="1"/>
          <w:numId w:val="26"/>
        </w:numPr>
        <w:spacing w:after="0"/>
        <w:rPr>
          <w:szCs w:val="22"/>
        </w:rPr>
      </w:pPr>
      <w:r w:rsidRPr="005947FC">
        <w:rPr>
          <w:szCs w:val="22"/>
        </w:rPr>
        <w:t>States from semi-static DL/UL assignment overwritten by measurement, dynamic SFI, or UE specific data</w:t>
      </w:r>
    </w:p>
    <w:p w14:paraId="054149D1" w14:textId="77777777" w:rsidR="005947FC" w:rsidRPr="005947FC" w:rsidRDefault="005947FC" w:rsidP="00CB554E">
      <w:pPr>
        <w:numPr>
          <w:ilvl w:val="1"/>
          <w:numId w:val="26"/>
        </w:numPr>
        <w:spacing w:after="0"/>
        <w:rPr>
          <w:szCs w:val="22"/>
        </w:rPr>
      </w:pPr>
      <w:r w:rsidRPr="005947FC">
        <w:rPr>
          <w:szCs w:val="22"/>
        </w:rPr>
        <w:t>State from measurement overwritten by dynamic SFI or UE specific data</w:t>
      </w:r>
    </w:p>
    <w:p w14:paraId="34B97A38" w14:textId="77777777" w:rsidR="005947FC" w:rsidRPr="005947FC" w:rsidRDefault="005947FC" w:rsidP="00CB554E">
      <w:pPr>
        <w:numPr>
          <w:ilvl w:val="1"/>
          <w:numId w:val="26"/>
        </w:numPr>
        <w:spacing w:after="0"/>
        <w:rPr>
          <w:szCs w:val="22"/>
        </w:rPr>
      </w:pPr>
      <w:r w:rsidRPr="005947FC">
        <w:rPr>
          <w:szCs w:val="22"/>
        </w:rPr>
        <w:t>Dynamic SFI overwritten by UE specific data</w:t>
      </w:r>
    </w:p>
    <w:p w14:paraId="4A927F06" w14:textId="77777777" w:rsidR="005947FC" w:rsidRPr="005947FC" w:rsidRDefault="005947FC" w:rsidP="00CB554E">
      <w:pPr>
        <w:numPr>
          <w:ilvl w:val="1"/>
          <w:numId w:val="26"/>
        </w:numPr>
        <w:spacing w:after="0"/>
        <w:rPr>
          <w:szCs w:val="22"/>
        </w:rPr>
      </w:pPr>
      <w:r w:rsidRPr="005947FC">
        <w:rPr>
          <w:szCs w:val="22"/>
        </w:rPr>
        <w:t xml:space="preserve">FFS: UE-specific data and measurement related signals not semi-statically configured by RRC overwritten by “unknown” in dynamic SFI </w:t>
      </w:r>
    </w:p>
    <w:p w14:paraId="711FEA5C" w14:textId="77777777" w:rsidR="005947FC" w:rsidRPr="005947FC" w:rsidRDefault="005947FC" w:rsidP="00CB554E">
      <w:pPr>
        <w:numPr>
          <w:ilvl w:val="2"/>
          <w:numId w:val="26"/>
        </w:numPr>
        <w:spacing w:after="0"/>
        <w:rPr>
          <w:szCs w:val="22"/>
        </w:rPr>
      </w:pPr>
      <w:r w:rsidRPr="005947FC">
        <w:rPr>
          <w:szCs w:val="22"/>
        </w:rPr>
        <w:lastRenderedPageBreak/>
        <w:t>The timing requirement for overwriting</w:t>
      </w:r>
    </w:p>
    <w:p w14:paraId="706EBBD0" w14:textId="77777777" w:rsidR="005947FC" w:rsidRPr="005947FC" w:rsidRDefault="005947FC" w:rsidP="00CB554E">
      <w:pPr>
        <w:numPr>
          <w:ilvl w:val="2"/>
          <w:numId w:val="26"/>
        </w:numPr>
        <w:spacing w:after="0"/>
        <w:rPr>
          <w:szCs w:val="22"/>
        </w:rPr>
      </w:pPr>
      <w:r w:rsidRPr="005947FC">
        <w:rPr>
          <w:szCs w:val="22"/>
        </w:rPr>
        <w:t>UE behavior will be the cancellation of the measurement/data reception or measurement/data related transmission</w:t>
      </w:r>
    </w:p>
    <w:p w14:paraId="63280615" w14:textId="77777777" w:rsidR="005947FC" w:rsidRPr="005947FC" w:rsidRDefault="005947FC" w:rsidP="00CB554E">
      <w:pPr>
        <w:numPr>
          <w:ilvl w:val="0"/>
          <w:numId w:val="26"/>
        </w:numPr>
        <w:spacing w:after="0"/>
        <w:rPr>
          <w:szCs w:val="22"/>
        </w:rPr>
      </w:pPr>
      <w:r w:rsidRPr="005947FC">
        <w:rPr>
          <w:szCs w:val="22"/>
        </w:rPr>
        <w:t xml:space="preserve">For the states from semi-static DL/UL assignment </w:t>
      </w:r>
    </w:p>
    <w:p w14:paraId="117E46A6" w14:textId="77777777" w:rsidR="005947FC" w:rsidRPr="005947FC" w:rsidRDefault="005947FC" w:rsidP="00CB554E">
      <w:pPr>
        <w:numPr>
          <w:ilvl w:val="1"/>
          <w:numId w:val="26"/>
        </w:numPr>
        <w:spacing w:after="0"/>
        <w:rPr>
          <w:szCs w:val="22"/>
        </w:rPr>
      </w:pPr>
      <w:r w:rsidRPr="005947FC">
        <w:rPr>
          <w:szCs w:val="22"/>
        </w:rPr>
        <w:t>“Unknown” in semi-static DL/UL assignment can be overwritten by measurement, dynamic SFI, and UE specific data</w:t>
      </w:r>
    </w:p>
    <w:p w14:paraId="3468FAD0" w14:textId="77777777" w:rsidR="005947FC" w:rsidRPr="005947FC" w:rsidRDefault="005947FC" w:rsidP="00CB554E">
      <w:pPr>
        <w:numPr>
          <w:ilvl w:val="1"/>
          <w:numId w:val="26"/>
        </w:numPr>
        <w:spacing w:after="0"/>
        <w:rPr>
          <w:szCs w:val="22"/>
        </w:rPr>
      </w:pPr>
      <w:r w:rsidRPr="005947FC">
        <w:rPr>
          <w:szCs w:val="22"/>
        </w:rPr>
        <w:t>DL/UL in semi-static DL/UL assignment cannot be overwritten to the other direction (DL to UL or UL to DL) by measurement, dynamic SFI and UE specific data</w:t>
      </w:r>
    </w:p>
    <w:p w14:paraId="3A6AD35B" w14:textId="77777777" w:rsidR="005947FC" w:rsidRPr="005947FC" w:rsidRDefault="005947FC" w:rsidP="00CB554E">
      <w:pPr>
        <w:numPr>
          <w:ilvl w:val="1"/>
          <w:numId w:val="26"/>
        </w:numPr>
        <w:spacing w:after="0"/>
        <w:rPr>
          <w:szCs w:val="22"/>
        </w:rPr>
      </w:pPr>
      <w:r w:rsidRPr="005947FC">
        <w:rPr>
          <w:szCs w:val="22"/>
        </w:rPr>
        <w:t>DL/UL in semi-static DL/UL assignment cannot be overwritten by “unknown” by dynamic SFI</w:t>
      </w:r>
    </w:p>
    <w:p w14:paraId="2F3B2313" w14:textId="77777777" w:rsidR="005947FC" w:rsidRPr="005947FC" w:rsidRDefault="005947FC" w:rsidP="00CB554E">
      <w:pPr>
        <w:numPr>
          <w:ilvl w:val="0"/>
          <w:numId w:val="26"/>
        </w:numPr>
        <w:spacing w:after="0"/>
        <w:rPr>
          <w:szCs w:val="22"/>
        </w:rPr>
      </w:pPr>
      <w:r w:rsidRPr="005947FC">
        <w:rPr>
          <w:szCs w:val="22"/>
        </w:rPr>
        <w:t xml:space="preserve">For the states from measurement in symbols not under DL/UL from semi-static DL/UL assignment: </w:t>
      </w:r>
    </w:p>
    <w:p w14:paraId="0ABD61A7" w14:textId="77777777" w:rsidR="005947FC" w:rsidRPr="005947FC" w:rsidRDefault="005947FC" w:rsidP="00CB554E">
      <w:pPr>
        <w:numPr>
          <w:ilvl w:val="1"/>
          <w:numId w:val="26"/>
        </w:numPr>
        <w:spacing w:after="0"/>
        <w:rPr>
          <w:szCs w:val="22"/>
        </w:rPr>
      </w:pPr>
      <w:r w:rsidRPr="005947FC">
        <w:rPr>
          <w:szCs w:val="22"/>
        </w:rPr>
        <w:t xml:space="preserve">DL/UL direction implied by measurement can be overwritten by unknown in dynamic SFI </w:t>
      </w:r>
    </w:p>
    <w:p w14:paraId="1E57FDAA" w14:textId="77777777" w:rsidR="005947FC" w:rsidRPr="005947FC" w:rsidRDefault="005947FC" w:rsidP="00CB554E">
      <w:pPr>
        <w:numPr>
          <w:ilvl w:val="2"/>
          <w:numId w:val="26"/>
        </w:numPr>
        <w:spacing w:after="0"/>
        <w:rPr>
          <w:szCs w:val="22"/>
        </w:rPr>
      </w:pPr>
      <w:r w:rsidRPr="005947FC">
        <w:rPr>
          <w:szCs w:val="22"/>
        </w:rPr>
        <w:t>UE behavior will be the cancellation of the measurement or measurement related transmission</w:t>
      </w:r>
    </w:p>
    <w:p w14:paraId="30AB2CDD" w14:textId="77777777" w:rsidR="005947FC" w:rsidRPr="005947FC" w:rsidRDefault="005947FC" w:rsidP="00CB554E">
      <w:pPr>
        <w:numPr>
          <w:ilvl w:val="1"/>
          <w:numId w:val="26"/>
        </w:numPr>
        <w:spacing w:after="0"/>
        <w:rPr>
          <w:szCs w:val="22"/>
        </w:rPr>
      </w:pPr>
      <w:r w:rsidRPr="005947FC">
        <w:rPr>
          <w:szCs w:val="22"/>
        </w:rPr>
        <w:t xml:space="preserve">DL/UL direction implied by measurement can be overwritten by UL/DL from dynamic SFI </w:t>
      </w:r>
    </w:p>
    <w:p w14:paraId="31E4E66A" w14:textId="77777777" w:rsidR="005947FC" w:rsidRPr="005947FC" w:rsidRDefault="005947FC" w:rsidP="00CB554E">
      <w:pPr>
        <w:numPr>
          <w:ilvl w:val="2"/>
          <w:numId w:val="26"/>
        </w:numPr>
        <w:spacing w:after="0"/>
        <w:rPr>
          <w:szCs w:val="22"/>
        </w:rPr>
      </w:pPr>
      <w:r w:rsidRPr="005947FC">
        <w:rPr>
          <w:szCs w:val="22"/>
        </w:rPr>
        <w:t>UE behavior will be the cancellation of the measurement or measurement related transmission</w:t>
      </w:r>
    </w:p>
    <w:p w14:paraId="356838F7" w14:textId="77777777" w:rsidR="005947FC" w:rsidRPr="005947FC" w:rsidRDefault="005947FC" w:rsidP="00CB554E">
      <w:pPr>
        <w:numPr>
          <w:ilvl w:val="1"/>
          <w:numId w:val="26"/>
        </w:numPr>
        <w:spacing w:after="0"/>
        <w:rPr>
          <w:szCs w:val="22"/>
        </w:rPr>
      </w:pPr>
      <w:r w:rsidRPr="005947FC">
        <w:rPr>
          <w:szCs w:val="22"/>
        </w:rPr>
        <w:t xml:space="preserve">DL/UL direction implied by measurement can be overwritten by UE’s own UE-specific data if the UE specific data imples the other direction </w:t>
      </w:r>
    </w:p>
    <w:p w14:paraId="7A5E2801" w14:textId="77777777" w:rsidR="005947FC" w:rsidRPr="005947FC" w:rsidRDefault="005947FC" w:rsidP="00CB554E">
      <w:pPr>
        <w:numPr>
          <w:ilvl w:val="2"/>
          <w:numId w:val="26"/>
        </w:numPr>
        <w:spacing w:after="0"/>
        <w:rPr>
          <w:szCs w:val="22"/>
        </w:rPr>
      </w:pPr>
      <w:r w:rsidRPr="005947FC">
        <w:rPr>
          <w:szCs w:val="22"/>
        </w:rPr>
        <w:t>UE behavior will be the cancellation of the measurement or measurement related transmission</w:t>
      </w:r>
    </w:p>
    <w:p w14:paraId="0931AB1F" w14:textId="77777777" w:rsidR="005947FC" w:rsidRPr="005947FC" w:rsidRDefault="005947FC" w:rsidP="00CB554E">
      <w:pPr>
        <w:numPr>
          <w:ilvl w:val="2"/>
          <w:numId w:val="26"/>
        </w:numPr>
        <w:spacing w:after="0"/>
        <w:rPr>
          <w:szCs w:val="22"/>
        </w:rPr>
      </w:pPr>
      <w:r w:rsidRPr="005947FC">
        <w:rPr>
          <w:szCs w:val="22"/>
        </w:rPr>
        <w:t>UE will follow the DCI for UE-specific data transmission and reception</w:t>
      </w:r>
    </w:p>
    <w:p w14:paraId="517E885F" w14:textId="77777777" w:rsidR="005947FC" w:rsidRPr="005947FC" w:rsidRDefault="005947FC" w:rsidP="00CB554E">
      <w:pPr>
        <w:numPr>
          <w:ilvl w:val="0"/>
          <w:numId w:val="26"/>
        </w:numPr>
        <w:spacing w:after="0"/>
        <w:rPr>
          <w:szCs w:val="22"/>
        </w:rPr>
      </w:pPr>
      <w:r w:rsidRPr="005947FC">
        <w:rPr>
          <w:szCs w:val="22"/>
        </w:rPr>
        <w:t xml:space="preserve">For the states in dynamic SFI in symbols not under DL/UL from semi-static DL/UL assignment (Already agreed in other agreements and only include for completeness) </w:t>
      </w:r>
    </w:p>
    <w:p w14:paraId="7E42829E" w14:textId="77777777" w:rsidR="005947FC" w:rsidRPr="005947FC" w:rsidRDefault="005947FC" w:rsidP="00CB554E">
      <w:pPr>
        <w:numPr>
          <w:ilvl w:val="1"/>
          <w:numId w:val="26"/>
        </w:numPr>
        <w:spacing w:after="0"/>
        <w:rPr>
          <w:szCs w:val="22"/>
        </w:rPr>
      </w:pPr>
      <w:r w:rsidRPr="005947FC">
        <w:rPr>
          <w:szCs w:val="22"/>
        </w:rPr>
        <w:t xml:space="preserve">UL/DL in dynamic SFI cannot be overwritten by UE specific data </w:t>
      </w:r>
    </w:p>
    <w:p w14:paraId="5899ECFF" w14:textId="77777777" w:rsidR="005947FC" w:rsidRPr="005947FC" w:rsidRDefault="005947FC" w:rsidP="00CB554E">
      <w:pPr>
        <w:numPr>
          <w:ilvl w:val="2"/>
          <w:numId w:val="26"/>
        </w:numPr>
        <w:spacing w:after="0"/>
        <w:rPr>
          <w:szCs w:val="22"/>
        </w:rPr>
      </w:pPr>
      <w:r w:rsidRPr="005947FC">
        <w:rPr>
          <w:szCs w:val="22"/>
        </w:rPr>
        <w:t>UE will treat it as an error case when UE specific data and dynamic SFI imply different transmit directions</w:t>
      </w:r>
    </w:p>
    <w:p w14:paraId="2425C762" w14:textId="77777777" w:rsidR="005947FC" w:rsidRPr="005947FC" w:rsidRDefault="005947FC" w:rsidP="00CB554E">
      <w:pPr>
        <w:numPr>
          <w:ilvl w:val="1"/>
          <w:numId w:val="26"/>
        </w:numPr>
        <w:spacing w:after="0"/>
        <w:rPr>
          <w:szCs w:val="22"/>
        </w:rPr>
      </w:pPr>
      <w:r w:rsidRPr="005947FC">
        <w:rPr>
          <w:szCs w:val="22"/>
        </w:rPr>
        <w:t xml:space="preserve">Unknown in dynamic SFI can be overwritten by UE specific data (change to DL or UL) </w:t>
      </w:r>
    </w:p>
    <w:p w14:paraId="585EBEC9" w14:textId="77777777" w:rsidR="005947FC" w:rsidRPr="005947FC" w:rsidRDefault="005947FC" w:rsidP="00CB554E">
      <w:pPr>
        <w:numPr>
          <w:ilvl w:val="2"/>
          <w:numId w:val="26"/>
        </w:numPr>
        <w:spacing w:after="0"/>
        <w:rPr>
          <w:szCs w:val="22"/>
        </w:rPr>
      </w:pPr>
      <w:r w:rsidRPr="005947FC">
        <w:rPr>
          <w:szCs w:val="22"/>
        </w:rPr>
        <w:t>UE will follow the DCI for UE-specific data transmission and reception</w:t>
      </w:r>
    </w:p>
    <w:p w14:paraId="45CA0A19" w14:textId="77777777" w:rsidR="005947FC" w:rsidRPr="005947FC" w:rsidRDefault="005947FC" w:rsidP="005947FC">
      <w:pPr>
        <w:spacing w:after="0"/>
        <w:rPr>
          <w:szCs w:val="22"/>
        </w:rPr>
      </w:pPr>
    </w:p>
    <w:p w14:paraId="4B7E95D0" w14:textId="77777777" w:rsidR="005947FC" w:rsidRDefault="005947FC" w:rsidP="00753D9B">
      <w:pPr>
        <w:spacing w:after="120"/>
        <w:rPr>
          <w:szCs w:val="22"/>
        </w:rPr>
      </w:pPr>
    </w:p>
    <w:p w14:paraId="0B3BE98D" w14:textId="59FF2378" w:rsidR="0044173B" w:rsidRDefault="00EF785E" w:rsidP="0044173B">
      <w:pPr>
        <w:pStyle w:val="Heading1"/>
      </w:pPr>
      <w:r>
        <w:t>Encoding</w:t>
      </w:r>
      <w:r w:rsidR="00E47DF6">
        <w:t xml:space="preserve"> of Group Common PDCCH</w:t>
      </w:r>
    </w:p>
    <w:p w14:paraId="44B4CF0B" w14:textId="77777777" w:rsidR="00870637" w:rsidRDefault="00B0550D" w:rsidP="00E47DF6">
      <w:r>
        <w:t xml:space="preserve">One immediate option </w:t>
      </w:r>
      <w:r w:rsidR="007E0E84">
        <w:t xml:space="preserve">for GC PDCCH encoding </w:t>
      </w:r>
      <w:r>
        <w:t xml:space="preserve">is the reuse of regular DL control channel (PDCCH). However, </w:t>
      </w:r>
      <w:r w:rsidR="00DF662F">
        <w:t>it should be noted that the coding efficiency will be dependent on the size of the payload for GC PDCCH. This aspect is already captured in the agreement during RAN1#88bis</w:t>
      </w:r>
      <w:r w:rsidR="007E0E84">
        <w:t xml:space="preserve"> below</w:t>
      </w:r>
      <w:r w:rsidR="00DF662F">
        <w:t xml:space="preserve">. </w:t>
      </w:r>
    </w:p>
    <w:p w14:paraId="4BF5ABE5" w14:textId="77777777" w:rsidR="00870637" w:rsidRPr="004200DE" w:rsidRDefault="00870637" w:rsidP="00870637">
      <w:pPr>
        <w:rPr>
          <w:b/>
          <w:u w:val="single"/>
          <w:lang w:eastAsia="x-none"/>
        </w:rPr>
      </w:pPr>
      <w:r w:rsidRPr="004200DE">
        <w:rPr>
          <w:b/>
          <w:u w:val="single"/>
          <w:lang w:eastAsia="x-none"/>
        </w:rPr>
        <w:t>RAN1#88bis</w:t>
      </w:r>
    </w:p>
    <w:p w14:paraId="2AD05794" w14:textId="77777777" w:rsidR="00870637" w:rsidRDefault="00870637" w:rsidP="00870637">
      <w:pPr>
        <w:rPr>
          <w:rFonts w:eastAsia="MS Mincho"/>
          <w:b/>
          <w:highlight w:val="green"/>
          <w:u w:val="single"/>
          <w:lang w:eastAsia="ja-JP"/>
        </w:rPr>
      </w:pPr>
      <w:r>
        <w:rPr>
          <w:rFonts w:eastAsia="MS Mincho"/>
          <w:b/>
          <w:highlight w:val="green"/>
          <w:u w:val="single"/>
          <w:lang w:eastAsia="ja-JP"/>
        </w:rPr>
        <w:t xml:space="preserve">Agreement: </w:t>
      </w:r>
    </w:p>
    <w:p w14:paraId="15BC82B0" w14:textId="77777777" w:rsidR="00870637" w:rsidRDefault="00870637" w:rsidP="00CB554E">
      <w:pPr>
        <w:numPr>
          <w:ilvl w:val="0"/>
          <w:numId w:val="4"/>
        </w:numPr>
        <w:overflowPunct/>
        <w:autoSpaceDE/>
        <w:autoSpaceDN/>
        <w:adjustRightInd/>
        <w:spacing w:after="0"/>
        <w:textAlignment w:val="auto"/>
        <w:rPr>
          <w:rFonts w:eastAsia="MS Mincho"/>
          <w:lang w:eastAsia="ja-JP"/>
        </w:rPr>
      </w:pPr>
      <w:r>
        <w:rPr>
          <w:rFonts w:eastAsia="MS Mincho"/>
          <w:lang w:eastAsia="ja-JP"/>
        </w:rPr>
        <w:t>K=1 (if channel coding is applied):</w:t>
      </w:r>
    </w:p>
    <w:p w14:paraId="7BEE5D12" w14:textId="77777777" w:rsidR="00870637" w:rsidRDefault="00870637" w:rsidP="00CB554E">
      <w:pPr>
        <w:numPr>
          <w:ilvl w:val="1"/>
          <w:numId w:val="4"/>
        </w:numPr>
        <w:overflowPunct/>
        <w:autoSpaceDE/>
        <w:autoSpaceDN/>
        <w:adjustRightInd/>
        <w:spacing w:after="0"/>
        <w:textAlignment w:val="auto"/>
        <w:rPr>
          <w:rFonts w:eastAsia="MS Mincho"/>
          <w:lang w:eastAsia="ja-JP"/>
        </w:rPr>
      </w:pPr>
      <w:r>
        <w:rPr>
          <w:rFonts w:eastAsia="MS Mincho"/>
          <w:lang w:eastAsia="ja-JP"/>
        </w:rPr>
        <w:t>Repetition code</w:t>
      </w:r>
    </w:p>
    <w:p w14:paraId="02757228" w14:textId="77777777" w:rsidR="00870637" w:rsidRDefault="00870637" w:rsidP="00CB554E">
      <w:pPr>
        <w:numPr>
          <w:ilvl w:val="0"/>
          <w:numId w:val="4"/>
        </w:numPr>
        <w:overflowPunct/>
        <w:autoSpaceDE/>
        <w:autoSpaceDN/>
        <w:adjustRightInd/>
        <w:spacing w:after="0"/>
        <w:textAlignment w:val="auto"/>
        <w:rPr>
          <w:rFonts w:eastAsia="MS Mincho"/>
          <w:lang w:eastAsia="ja-JP"/>
        </w:rPr>
      </w:pPr>
      <w:r>
        <w:rPr>
          <w:rFonts w:eastAsia="MS Mincho"/>
          <w:lang w:eastAsia="ja-JP"/>
        </w:rPr>
        <w:t>K=2 (if channel coding is applied):</w:t>
      </w:r>
    </w:p>
    <w:p w14:paraId="6EA90A52" w14:textId="77777777" w:rsidR="00870637" w:rsidRDefault="00870637" w:rsidP="00CB554E">
      <w:pPr>
        <w:numPr>
          <w:ilvl w:val="1"/>
          <w:numId w:val="4"/>
        </w:numPr>
        <w:overflowPunct/>
        <w:autoSpaceDE/>
        <w:autoSpaceDN/>
        <w:adjustRightInd/>
        <w:spacing w:after="0"/>
        <w:textAlignment w:val="auto"/>
        <w:rPr>
          <w:rFonts w:eastAsia="MS Mincho"/>
          <w:lang w:eastAsia="ja-JP"/>
        </w:rPr>
      </w:pPr>
      <w:r>
        <w:rPr>
          <w:rFonts w:eastAsia="MS Mincho"/>
          <w:lang w:eastAsia="ja-JP"/>
        </w:rPr>
        <w:t>Simplex code</w:t>
      </w:r>
    </w:p>
    <w:p w14:paraId="65FDE8EB" w14:textId="77777777" w:rsidR="00870637" w:rsidRDefault="00870637" w:rsidP="00CB554E">
      <w:pPr>
        <w:numPr>
          <w:ilvl w:val="0"/>
          <w:numId w:val="4"/>
        </w:numPr>
        <w:overflowPunct/>
        <w:autoSpaceDE/>
        <w:autoSpaceDN/>
        <w:adjustRightInd/>
        <w:spacing w:after="0"/>
        <w:textAlignment w:val="auto"/>
        <w:rPr>
          <w:rFonts w:eastAsia="MS Mincho"/>
          <w:lang w:eastAsia="ja-JP"/>
        </w:rPr>
      </w:pPr>
      <w:r>
        <w:rPr>
          <w:rFonts w:eastAsia="MS Mincho"/>
          <w:lang w:eastAsia="ja-JP"/>
        </w:rPr>
        <w:t>3&lt;=K&lt;=11:</w:t>
      </w:r>
    </w:p>
    <w:p w14:paraId="58DD7D53" w14:textId="77777777" w:rsidR="00870637" w:rsidRDefault="00870637" w:rsidP="00CB554E">
      <w:pPr>
        <w:numPr>
          <w:ilvl w:val="1"/>
          <w:numId w:val="4"/>
        </w:numPr>
        <w:overflowPunct/>
        <w:autoSpaceDE/>
        <w:autoSpaceDN/>
        <w:adjustRightInd/>
        <w:spacing w:after="0"/>
        <w:textAlignment w:val="auto"/>
        <w:rPr>
          <w:rFonts w:eastAsia="MS Mincho"/>
          <w:lang w:eastAsia="ja-JP"/>
        </w:rPr>
      </w:pPr>
      <w:r>
        <w:rPr>
          <w:rFonts w:eastAsia="MS Mincho"/>
          <w:lang w:eastAsia="ja-JP"/>
        </w:rPr>
        <w:t>LTE RM code</w:t>
      </w:r>
    </w:p>
    <w:p w14:paraId="441DBFF4" w14:textId="77777777" w:rsidR="00870637" w:rsidRDefault="00870637" w:rsidP="00CB554E">
      <w:pPr>
        <w:numPr>
          <w:ilvl w:val="2"/>
          <w:numId w:val="4"/>
        </w:numPr>
        <w:overflowPunct/>
        <w:autoSpaceDE/>
        <w:autoSpaceDN/>
        <w:adjustRightInd/>
        <w:spacing w:after="0"/>
        <w:textAlignment w:val="auto"/>
        <w:rPr>
          <w:rFonts w:eastAsia="MS Mincho"/>
          <w:lang w:eastAsia="ja-JP"/>
        </w:rPr>
      </w:pPr>
      <w:r>
        <w:rPr>
          <w:rFonts w:eastAsia="MS Mincho"/>
          <w:lang w:eastAsia="ja-JP"/>
        </w:rPr>
        <w:t>Note that if NR requires a codeword size N that is not supported by the LTE RM code, then the LTE RM code will be extended by repetition as in LTE</w:t>
      </w:r>
    </w:p>
    <w:p w14:paraId="4459D592" w14:textId="77777777" w:rsidR="00870637" w:rsidRDefault="00870637" w:rsidP="00CB554E">
      <w:pPr>
        <w:numPr>
          <w:ilvl w:val="0"/>
          <w:numId w:val="4"/>
        </w:numPr>
        <w:overflowPunct/>
        <w:autoSpaceDE/>
        <w:autoSpaceDN/>
        <w:adjustRightInd/>
        <w:spacing w:after="0"/>
        <w:textAlignment w:val="auto"/>
        <w:rPr>
          <w:rFonts w:eastAsia="MS Mincho"/>
          <w:lang w:eastAsia="ja-JP"/>
        </w:rPr>
      </w:pPr>
      <w:r>
        <w:rPr>
          <w:rFonts w:eastAsia="MS Mincho"/>
          <w:lang w:eastAsia="ja-JP"/>
        </w:rPr>
        <w:t>12&lt;=K:</w:t>
      </w:r>
    </w:p>
    <w:p w14:paraId="45632B63" w14:textId="77777777" w:rsidR="00870637" w:rsidRDefault="00870637" w:rsidP="00CB554E">
      <w:pPr>
        <w:numPr>
          <w:ilvl w:val="1"/>
          <w:numId w:val="4"/>
        </w:numPr>
        <w:overflowPunct/>
        <w:autoSpaceDE/>
        <w:autoSpaceDN/>
        <w:adjustRightInd/>
        <w:spacing w:after="240"/>
        <w:textAlignment w:val="auto"/>
        <w:rPr>
          <w:rFonts w:eastAsia="MS Mincho"/>
          <w:lang w:eastAsia="ja-JP"/>
        </w:rPr>
      </w:pPr>
      <w:r>
        <w:rPr>
          <w:rFonts w:eastAsia="MS Mincho"/>
          <w:lang w:eastAsia="ja-JP"/>
        </w:rPr>
        <w:t>Polar code (single design for all control information sizes, except for possible omission of CRC bits for payloads &lt;= ~22 bits)</w:t>
      </w:r>
    </w:p>
    <w:p w14:paraId="5499AEF1" w14:textId="0C9F3C18" w:rsidR="00925579" w:rsidRDefault="00091ADD" w:rsidP="00E47DF6">
      <w:r>
        <w:t>I</w:t>
      </w:r>
      <w:r w:rsidR="00DF662F">
        <w:t xml:space="preserve">t is beneficial to have smaller payload as much as possible to minimize the overhead of this channel. Therefore, it is necessary to first </w:t>
      </w:r>
      <w:r w:rsidR="007E0E84">
        <w:t>understand</w:t>
      </w:r>
      <w:r w:rsidR="00DF662F">
        <w:t xml:space="preserve"> the contents of GC P</w:t>
      </w:r>
      <w:r w:rsidR="007E0E84">
        <w:t>DCCH</w:t>
      </w:r>
      <w:r w:rsidR="00DF662F">
        <w:t>. GC PDCCH contents and how to carry the SFI is discussed in detail in [</w:t>
      </w:r>
      <w:r w:rsidR="007B2302">
        <w:t>2</w:t>
      </w:r>
      <w:r w:rsidR="00DF662F">
        <w:t xml:space="preserve">]. </w:t>
      </w:r>
      <w:r w:rsidR="00925579">
        <w:t>As per discussion in [</w:t>
      </w:r>
      <w:r w:rsidR="007B2302">
        <w:t>2</w:t>
      </w:r>
      <w:r w:rsidR="00925579">
        <w:t xml:space="preserve">], there can be different payload size for GC PDCCH depending on deployment scenario. Also depending on </w:t>
      </w:r>
      <w:r>
        <w:t xml:space="preserve">the use of single slot SFI and multi-slot SFI, the payload size may differ as well. Practically speaking, the payload size of SFI may be at least 3 or more bits. In other words, we </w:t>
      </w:r>
      <w:r w:rsidR="00870637">
        <w:t xml:space="preserve">may </w:t>
      </w:r>
      <w:r>
        <w:t xml:space="preserve">need </w:t>
      </w:r>
      <w:r w:rsidR="00870637">
        <w:t xml:space="preserve">at least </w:t>
      </w:r>
      <w:r>
        <w:t>more than 4 SFI</w:t>
      </w:r>
      <w:r w:rsidR="00870637">
        <w:t>’s</w:t>
      </w:r>
      <w:r>
        <w:t xml:space="preserve"> for a given slot. Therefore, we consider two options for GC PDCCH encoding based on the agreement on channel coding scheme for control channel.</w:t>
      </w:r>
    </w:p>
    <w:p w14:paraId="7DB7463D" w14:textId="32C4B993" w:rsidR="00091ADD" w:rsidRPr="00091ADD" w:rsidRDefault="00091ADD" w:rsidP="00CB554E">
      <w:pPr>
        <w:pStyle w:val="ListParagraph"/>
        <w:numPr>
          <w:ilvl w:val="0"/>
          <w:numId w:val="5"/>
        </w:numPr>
        <w:rPr>
          <w:sz w:val="20"/>
          <w:szCs w:val="20"/>
        </w:rPr>
      </w:pPr>
      <w:r w:rsidRPr="00091ADD">
        <w:rPr>
          <w:sz w:val="20"/>
          <w:szCs w:val="20"/>
        </w:rPr>
        <w:lastRenderedPageBreak/>
        <w:t>Option 1: RM without CRC (</w:t>
      </w:r>
      <w:r w:rsidRPr="00091ADD">
        <w:rPr>
          <w:rFonts w:eastAsia="MS Mincho"/>
          <w:sz w:val="20"/>
          <w:szCs w:val="20"/>
          <w:lang w:eastAsia="ja-JP"/>
        </w:rPr>
        <w:t>3&lt;=K&lt;=11)</w:t>
      </w:r>
    </w:p>
    <w:p w14:paraId="386054F4" w14:textId="553AB535" w:rsidR="00091ADD" w:rsidRPr="00870637" w:rsidRDefault="00091ADD" w:rsidP="00CB554E">
      <w:pPr>
        <w:pStyle w:val="ListParagraph"/>
        <w:numPr>
          <w:ilvl w:val="0"/>
          <w:numId w:val="5"/>
        </w:numPr>
        <w:spacing w:after="120"/>
        <w:rPr>
          <w:sz w:val="20"/>
          <w:szCs w:val="20"/>
        </w:rPr>
      </w:pPr>
      <w:r w:rsidRPr="00091ADD">
        <w:rPr>
          <w:sz w:val="20"/>
          <w:szCs w:val="20"/>
        </w:rPr>
        <w:t>Option 2: Polar with CRC (</w:t>
      </w:r>
      <w:r w:rsidRPr="00091ADD">
        <w:rPr>
          <w:rFonts w:eastAsia="MS Mincho"/>
          <w:sz w:val="20"/>
          <w:szCs w:val="20"/>
          <w:lang w:eastAsia="ja-JP"/>
        </w:rPr>
        <w:t>12&lt;=K)</w:t>
      </w:r>
    </w:p>
    <w:p w14:paraId="48469E4D" w14:textId="6F292DE2" w:rsidR="00870637" w:rsidRPr="00870637" w:rsidRDefault="00870637" w:rsidP="00870637">
      <w:pPr>
        <w:spacing w:after="120"/>
      </w:pPr>
      <w:r>
        <w:t>The coding performance is compared in Figure 1 between Option 1 and Option 2. As expected, the larger the payload is, the more resources (higher AL) are required to achieve a certain error target performance. The other aspect of the GC PDCCH performance is the false alarm. The option 1 by nature does not have</w:t>
      </w:r>
      <w:r w:rsidR="000B19F8">
        <w:t xml:space="preserve"> a FA protection from CRC but RM code itself can provide a certain FA performance (~ 5 bit CRC) depending on the implementation. FA performance of RM will still be worse than 16 bit CRC. Therefore, depending on the need for FA target, different conclusion can be made. For example, if GC PDCCH is transmitted as per the configuration of GC PDCCH CORESET, FA performance may not matter. I</w:t>
      </w:r>
      <w:r w:rsidR="0081606D">
        <w:t>f GC PDCCH FA does not cause any critically detrimental effect, FA target can be loosened. On the other hand, if GC PDCCH FA target is critical on the operation, Option 2 may be desirable.</w:t>
      </w:r>
    </w:p>
    <w:p w14:paraId="596C0C8C" w14:textId="5D498A66" w:rsidR="00870637" w:rsidRDefault="00870637" w:rsidP="00870637">
      <w:pPr>
        <w:jc w:val="center"/>
      </w:pPr>
      <w:r w:rsidRPr="00297AD1">
        <w:rPr>
          <w:noProof/>
          <w:lang w:eastAsia="ko-KR"/>
        </w:rPr>
        <w:drawing>
          <wp:inline distT="0" distB="0" distL="0" distR="0" wp14:anchorId="6C97DDCE" wp14:editId="19252711">
            <wp:extent cx="5943600" cy="2682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694F4651" w14:textId="6E7DE55C" w:rsidR="00870637" w:rsidRDefault="00870637" w:rsidP="00870637">
      <w:pPr>
        <w:jc w:val="center"/>
      </w:pPr>
      <w:r>
        <w:t>(a) AWGN</w:t>
      </w:r>
    </w:p>
    <w:p w14:paraId="0BE3B997" w14:textId="77777777" w:rsidR="00870637" w:rsidRDefault="00870637" w:rsidP="00870637">
      <w:pPr>
        <w:keepNext/>
        <w:jc w:val="center"/>
      </w:pPr>
      <w:r w:rsidRPr="00297AD1">
        <w:rPr>
          <w:noProof/>
          <w:lang w:eastAsia="ko-KR"/>
        </w:rPr>
        <w:drawing>
          <wp:inline distT="0" distB="0" distL="0" distR="0" wp14:anchorId="41587B23" wp14:editId="7A78BDE3">
            <wp:extent cx="5943600" cy="2682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682395"/>
                    </a:xfrm>
                    <a:prstGeom prst="rect">
                      <a:avLst/>
                    </a:prstGeom>
                    <a:noFill/>
                    <a:ln>
                      <a:noFill/>
                    </a:ln>
                  </pic:spPr>
                </pic:pic>
              </a:graphicData>
            </a:graphic>
          </wp:inline>
        </w:drawing>
      </w:r>
    </w:p>
    <w:p w14:paraId="20B518AD" w14:textId="77777777" w:rsidR="00870637" w:rsidRDefault="00870637" w:rsidP="00870637">
      <w:pPr>
        <w:jc w:val="center"/>
      </w:pPr>
      <w:r>
        <w:t>(b) TDL-C 300 ns</w:t>
      </w:r>
    </w:p>
    <w:p w14:paraId="212A3DF7" w14:textId="05D84ACB" w:rsidR="00870637" w:rsidRDefault="00870637" w:rsidP="00870637">
      <w:pPr>
        <w:pStyle w:val="Caption"/>
        <w:jc w:val="center"/>
      </w:pPr>
      <w:r>
        <w:t xml:space="preserve">Figure </w:t>
      </w:r>
      <w:r w:rsidR="00891059">
        <w:fldChar w:fldCharType="begin"/>
      </w:r>
      <w:r w:rsidR="00891059">
        <w:instrText xml:space="preserve"> SEQ Figure \* ARABIC </w:instrText>
      </w:r>
      <w:r w:rsidR="00891059">
        <w:fldChar w:fldCharType="separate"/>
      </w:r>
      <w:r w:rsidR="000862B9">
        <w:rPr>
          <w:noProof/>
        </w:rPr>
        <w:t>1</w:t>
      </w:r>
      <w:r w:rsidR="00891059">
        <w:rPr>
          <w:noProof/>
        </w:rPr>
        <w:fldChar w:fldCharType="end"/>
      </w:r>
      <w:r>
        <w:t>: Coding performance comparison between Option 1 and Option 2</w:t>
      </w:r>
    </w:p>
    <w:p w14:paraId="5FBE9A04" w14:textId="77777777" w:rsidR="00091ADD" w:rsidRDefault="00091ADD" w:rsidP="00E47DF6"/>
    <w:p w14:paraId="0204A6CD" w14:textId="08C6666A" w:rsidR="0077115B" w:rsidRDefault="0077115B" w:rsidP="00E47DF6">
      <w:r>
        <w:t xml:space="preserve">Given GC PDCCH is intended to be delivered to the cell edge UEs without the aid of beamforming, </w:t>
      </w:r>
      <w:r w:rsidR="00925579">
        <w:t xml:space="preserve">the smaller payload will require less overhead for efficient NW utilization of GC PDCCH. </w:t>
      </w:r>
      <w:r w:rsidR="0081606D">
        <w:t>On the other hand, if NW intends to transmit GC PDCCH with multi-slot SFI, the required number of payload may be larger than 11 bits.</w:t>
      </w:r>
    </w:p>
    <w:p w14:paraId="3E53AF00" w14:textId="5C4E6FEB" w:rsidR="0081606D" w:rsidRDefault="0081606D" w:rsidP="00E47DF6">
      <w:r>
        <w:lastRenderedPageBreak/>
        <w:t>Considering the trade-off between the payload size and overhead, the use of single slot SFI and multi-slot SFI, the payload size dependence on the deployment scenario, different FA target need for GC PDCCH, it is proposed to allow both options for GC PDCCH encoding scheme. NW can configure appropriate encoding scheme based on the need.</w:t>
      </w:r>
    </w:p>
    <w:p w14:paraId="61BE59A8" w14:textId="5D77263D" w:rsidR="00DF662F" w:rsidRDefault="00DF662F" w:rsidP="00E47DF6">
      <w:bookmarkStart w:id="2" w:name="p1"/>
      <w:r w:rsidRPr="00A3651A">
        <w:rPr>
          <w:b/>
          <w:u w:val="single"/>
        </w:rPr>
        <w:t>Proposal</w:t>
      </w:r>
      <w:r w:rsidR="007B2302">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1</w:t>
      </w:r>
      <w:r w:rsidR="00CB554E">
        <w:rPr>
          <w:b/>
          <w:u w:val="single"/>
        </w:rPr>
        <w:fldChar w:fldCharType="end"/>
      </w:r>
      <w:r>
        <w:t>:</w:t>
      </w:r>
      <w:r w:rsidR="0081606D">
        <w:t xml:space="preserve"> </w:t>
      </w:r>
      <w:r w:rsidR="00AE2ECC">
        <w:t xml:space="preserve">The </w:t>
      </w:r>
      <w:r w:rsidR="005947FC">
        <w:t xml:space="preserve">encoding scheme for GC PDCCH depends on the </w:t>
      </w:r>
      <w:r w:rsidR="00AE2ECC">
        <w:t>configur</w:t>
      </w:r>
      <w:r w:rsidR="005947FC">
        <w:t>ed length of the GC-PDCCH and is selected between R</w:t>
      </w:r>
      <w:r w:rsidR="00AE2ECC">
        <w:t xml:space="preserve">M without CRC </w:t>
      </w:r>
      <w:r w:rsidR="005947FC">
        <w:t xml:space="preserve">when payload length is no more than 11 bits </w:t>
      </w:r>
      <w:r w:rsidR="00AE2ECC">
        <w:t>and Polar with CRC</w:t>
      </w:r>
      <w:r w:rsidR="005947FC">
        <w:t xml:space="preserve"> otherwise</w:t>
      </w:r>
      <w:r w:rsidR="00AE2ECC">
        <w:t xml:space="preserve">. </w:t>
      </w:r>
    </w:p>
    <w:bookmarkEnd w:id="2"/>
    <w:p w14:paraId="6848BF2A" w14:textId="10259BB5" w:rsidR="00082C23" w:rsidRDefault="005947FC" w:rsidP="00082C23">
      <w:pPr>
        <w:pStyle w:val="Heading1"/>
      </w:pPr>
      <w:r>
        <w:t>Semi-static DL/UL assignment configuration</w:t>
      </w:r>
    </w:p>
    <w:p w14:paraId="4F120DD6" w14:textId="77777777" w:rsidR="005947FC" w:rsidRPr="00D43582" w:rsidRDefault="005947FC" w:rsidP="005947FC">
      <w:pPr>
        <w:rPr>
          <w:lang w:val="en-GB"/>
        </w:rPr>
      </w:pPr>
      <w:r w:rsidRPr="00D43582">
        <w:rPr>
          <w:lang w:val="en-GB"/>
        </w:rPr>
        <w:t>For cell-specific semi-static DL/UL assignment, the following agreement was reached in #90bis</w:t>
      </w:r>
    </w:p>
    <w:p w14:paraId="02A9ABEE" w14:textId="77777777" w:rsidR="005947FC" w:rsidRPr="005947FC" w:rsidRDefault="005947FC" w:rsidP="00CB554E">
      <w:pPr>
        <w:pStyle w:val="ListParagraph"/>
        <w:widowControl w:val="0"/>
        <w:numPr>
          <w:ilvl w:val="0"/>
          <w:numId w:val="23"/>
        </w:numPr>
        <w:contextualSpacing/>
        <w:jc w:val="both"/>
        <w:rPr>
          <w:rFonts w:ascii="Times New Roman" w:hAnsi="Times New Roman"/>
          <w:sz w:val="20"/>
          <w:szCs w:val="20"/>
        </w:rPr>
      </w:pPr>
      <w:r w:rsidRPr="005947FC">
        <w:rPr>
          <w:rFonts w:ascii="Times New Roman" w:hAnsi="Times New Roman"/>
          <w:sz w:val="20"/>
          <w:szCs w:val="20"/>
        </w:rPr>
        <w:t xml:space="preserve">For the cell-specific higher layer signalling on semi-static DL/UL assignment, the transmission indication is in pattern of DL-unknown-UL. The signaling include: </w:t>
      </w:r>
    </w:p>
    <w:p w14:paraId="42356D21" w14:textId="77777777" w:rsidR="005947FC" w:rsidRPr="005947FC" w:rsidRDefault="005947FC" w:rsidP="00CB554E">
      <w:pPr>
        <w:pStyle w:val="ListParagraph"/>
        <w:widowControl w:val="0"/>
        <w:numPr>
          <w:ilvl w:val="1"/>
          <w:numId w:val="23"/>
        </w:numPr>
        <w:contextualSpacing/>
        <w:jc w:val="both"/>
        <w:rPr>
          <w:rFonts w:ascii="Times New Roman" w:hAnsi="Times New Roman"/>
          <w:sz w:val="20"/>
          <w:szCs w:val="20"/>
        </w:rPr>
      </w:pPr>
      <w:r w:rsidRPr="005947FC">
        <w:rPr>
          <w:rFonts w:ascii="Times New Roman" w:hAnsi="Times New Roman"/>
          <w:sz w:val="20"/>
          <w:szCs w:val="20"/>
        </w:rPr>
        <w:t>For DL resources indication, the signaling include:</w:t>
      </w:r>
    </w:p>
    <w:p w14:paraId="16A85027" w14:textId="77777777" w:rsidR="005947FC" w:rsidRPr="005947FC" w:rsidRDefault="005947FC" w:rsidP="00CB554E">
      <w:pPr>
        <w:pStyle w:val="ListParagraph"/>
        <w:widowControl w:val="0"/>
        <w:numPr>
          <w:ilvl w:val="2"/>
          <w:numId w:val="23"/>
        </w:numPr>
        <w:contextualSpacing/>
        <w:jc w:val="both"/>
        <w:rPr>
          <w:rFonts w:ascii="Times New Roman" w:hAnsi="Times New Roman"/>
          <w:sz w:val="20"/>
          <w:szCs w:val="20"/>
        </w:rPr>
      </w:pPr>
      <w:r w:rsidRPr="005947FC">
        <w:rPr>
          <w:rFonts w:ascii="Times New Roman" w:hAnsi="Times New Roman"/>
          <w:sz w:val="20"/>
          <w:szCs w:val="20"/>
        </w:rPr>
        <w:t xml:space="preserve">Number of full DL slot(s) (x1) at the beginning of the period. Values for x1 include {0,1,…, (Number of slots in a </w:t>
      </w:r>
      <w:r w:rsidRPr="005947FC">
        <w:rPr>
          <w:rFonts w:ascii="Times New Roman" w:eastAsia="MS Mincho" w:hAnsi="Times New Roman"/>
          <w:sz w:val="20"/>
          <w:szCs w:val="20"/>
        </w:rPr>
        <w:t>UL-DL switching periodicity)}</w:t>
      </w:r>
    </w:p>
    <w:p w14:paraId="5217A562" w14:textId="77777777" w:rsidR="005947FC" w:rsidRPr="005947FC" w:rsidRDefault="005947FC" w:rsidP="00CB554E">
      <w:pPr>
        <w:pStyle w:val="ListParagraph"/>
        <w:widowControl w:val="0"/>
        <w:numPr>
          <w:ilvl w:val="2"/>
          <w:numId w:val="23"/>
        </w:numPr>
        <w:contextualSpacing/>
        <w:jc w:val="both"/>
        <w:rPr>
          <w:rFonts w:ascii="Times New Roman" w:hAnsi="Times New Roman"/>
          <w:sz w:val="20"/>
          <w:szCs w:val="20"/>
        </w:rPr>
      </w:pPr>
      <w:r w:rsidRPr="005947FC">
        <w:rPr>
          <w:rFonts w:ascii="Times New Roman" w:hAnsi="Times New Roman"/>
          <w:sz w:val="20"/>
          <w:szCs w:val="20"/>
        </w:rPr>
        <w:t>Number of DL symbol(s) follow the full DL slots (x2). Values for x2 include {0,1,…, 13}</w:t>
      </w:r>
    </w:p>
    <w:p w14:paraId="703089CC" w14:textId="77777777" w:rsidR="005947FC" w:rsidRPr="005947FC" w:rsidRDefault="005947FC" w:rsidP="00CB554E">
      <w:pPr>
        <w:pStyle w:val="ListParagraph"/>
        <w:widowControl w:val="0"/>
        <w:numPr>
          <w:ilvl w:val="1"/>
          <w:numId w:val="23"/>
        </w:numPr>
        <w:contextualSpacing/>
        <w:jc w:val="both"/>
        <w:rPr>
          <w:rFonts w:ascii="Times New Roman" w:hAnsi="Times New Roman"/>
          <w:sz w:val="20"/>
          <w:szCs w:val="20"/>
        </w:rPr>
      </w:pPr>
      <w:r w:rsidRPr="005947FC">
        <w:rPr>
          <w:rFonts w:ascii="Times New Roman" w:hAnsi="Times New Roman"/>
          <w:sz w:val="20"/>
          <w:szCs w:val="20"/>
        </w:rPr>
        <w:t>For UL resource indication, the signaling include:</w:t>
      </w:r>
    </w:p>
    <w:p w14:paraId="11235837" w14:textId="77777777" w:rsidR="005947FC" w:rsidRPr="005947FC" w:rsidRDefault="005947FC" w:rsidP="00CB554E">
      <w:pPr>
        <w:pStyle w:val="ListParagraph"/>
        <w:widowControl w:val="0"/>
        <w:numPr>
          <w:ilvl w:val="2"/>
          <w:numId w:val="23"/>
        </w:numPr>
        <w:contextualSpacing/>
        <w:jc w:val="both"/>
        <w:rPr>
          <w:rFonts w:ascii="Times New Roman" w:hAnsi="Times New Roman"/>
          <w:sz w:val="20"/>
          <w:szCs w:val="20"/>
        </w:rPr>
      </w:pPr>
      <w:r w:rsidRPr="005947FC">
        <w:rPr>
          <w:rFonts w:ascii="Times New Roman" w:hAnsi="Times New Roman"/>
          <w:sz w:val="20"/>
          <w:szCs w:val="20"/>
        </w:rPr>
        <w:t xml:space="preserve">Number of full UL slot(s) (y1) at the end of the period. Values for y1 include {0,1,…, (Number of slots in a </w:t>
      </w:r>
      <w:r w:rsidRPr="005947FC">
        <w:rPr>
          <w:rFonts w:ascii="Times New Roman" w:eastAsia="MS Mincho" w:hAnsi="Times New Roman"/>
          <w:sz w:val="20"/>
          <w:szCs w:val="20"/>
        </w:rPr>
        <w:t>UL-DL switching periodicity)}</w:t>
      </w:r>
      <w:r w:rsidRPr="005947FC">
        <w:rPr>
          <w:rFonts w:ascii="Times New Roman" w:hAnsi="Times New Roman"/>
          <w:sz w:val="20"/>
          <w:szCs w:val="20"/>
        </w:rPr>
        <w:t xml:space="preserve"> </w:t>
      </w:r>
    </w:p>
    <w:p w14:paraId="13FBE843" w14:textId="77777777" w:rsidR="005947FC" w:rsidRPr="005947FC" w:rsidRDefault="005947FC" w:rsidP="00CB554E">
      <w:pPr>
        <w:pStyle w:val="ListParagraph"/>
        <w:widowControl w:val="0"/>
        <w:numPr>
          <w:ilvl w:val="2"/>
          <w:numId w:val="23"/>
        </w:numPr>
        <w:contextualSpacing/>
        <w:jc w:val="both"/>
        <w:rPr>
          <w:rFonts w:ascii="Times New Roman" w:hAnsi="Times New Roman"/>
          <w:sz w:val="20"/>
          <w:szCs w:val="20"/>
        </w:rPr>
      </w:pPr>
      <w:r w:rsidRPr="005947FC">
        <w:rPr>
          <w:rFonts w:ascii="Times New Roman" w:hAnsi="Times New Roman"/>
          <w:sz w:val="20"/>
          <w:szCs w:val="20"/>
        </w:rPr>
        <w:t>Number of UL symbol(s) (y2) preceeds full UL slots. Values for y2 include {0,1,…, 13</w:t>
      </w:r>
      <w:r w:rsidRPr="005947FC">
        <w:rPr>
          <w:rFonts w:ascii="Times New Roman" w:eastAsia="MS Mincho" w:hAnsi="Times New Roman"/>
          <w:sz w:val="20"/>
          <w:szCs w:val="20"/>
        </w:rPr>
        <w:t>}</w:t>
      </w:r>
      <w:r w:rsidRPr="005947FC">
        <w:rPr>
          <w:rFonts w:ascii="Times New Roman" w:hAnsi="Times New Roman"/>
          <w:sz w:val="20"/>
          <w:szCs w:val="20"/>
        </w:rPr>
        <w:t xml:space="preserve"> </w:t>
      </w:r>
    </w:p>
    <w:p w14:paraId="420A013F" w14:textId="77777777" w:rsidR="005947FC" w:rsidRPr="005947FC" w:rsidRDefault="005947FC" w:rsidP="00CB554E">
      <w:pPr>
        <w:pStyle w:val="ListParagraph"/>
        <w:widowControl w:val="0"/>
        <w:numPr>
          <w:ilvl w:val="1"/>
          <w:numId w:val="23"/>
        </w:numPr>
        <w:contextualSpacing/>
        <w:jc w:val="both"/>
        <w:rPr>
          <w:rFonts w:ascii="Times New Roman" w:hAnsi="Times New Roman"/>
          <w:sz w:val="20"/>
          <w:szCs w:val="20"/>
        </w:rPr>
      </w:pPr>
      <w:r w:rsidRPr="005947FC">
        <w:rPr>
          <w:rFonts w:ascii="Times New Roman" w:hAnsi="Times New Roman"/>
          <w:sz w:val="20"/>
          <w:szCs w:val="20"/>
        </w:rPr>
        <w:t>The resource(s) in a period between DL and UL segments are unknown resources.</w:t>
      </w:r>
    </w:p>
    <w:p w14:paraId="14DE9C7D" w14:textId="77777777" w:rsidR="005947FC" w:rsidRPr="005947FC" w:rsidRDefault="005947FC" w:rsidP="00CB554E">
      <w:pPr>
        <w:pStyle w:val="ListParagraph"/>
        <w:widowControl w:val="0"/>
        <w:numPr>
          <w:ilvl w:val="1"/>
          <w:numId w:val="23"/>
        </w:numPr>
        <w:contextualSpacing/>
        <w:jc w:val="both"/>
        <w:rPr>
          <w:rFonts w:ascii="Times New Roman" w:hAnsi="Times New Roman"/>
          <w:sz w:val="20"/>
          <w:szCs w:val="20"/>
        </w:rPr>
      </w:pPr>
      <w:r w:rsidRPr="005947FC">
        <w:rPr>
          <w:rFonts w:ascii="Times New Roman" w:hAnsi="Times New Roman"/>
          <w:sz w:val="20"/>
          <w:szCs w:val="20"/>
        </w:rPr>
        <w:t>FFS The UE does not receive and not transmit on ‘Unknown’ resources in cell-specific higher layer signalling if not otherwise indicated.</w:t>
      </w:r>
    </w:p>
    <w:p w14:paraId="7AC23B89" w14:textId="77777777" w:rsidR="005947FC" w:rsidRDefault="005947FC" w:rsidP="005947FC"/>
    <w:p w14:paraId="3B262FA4" w14:textId="67BA659E" w:rsidR="005947FC" w:rsidRDefault="005947FC" w:rsidP="005947FC">
      <w:r w:rsidRPr="005947FC">
        <w:t>The design captures the semi-static DL/UL assignment format starts with DL, ends with UL and has unknown in the middle. It was noticed that the flexility provided by such design is limited.</w:t>
      </w:r>
      <w:r>
        <w:t xml:space="preserve"> For example, it cannot support a cell-specific semi-static DL/UL assignment </w:t>
      </w:r>
      <w:r w:rsidR="00AA6007">
        <w:t>as shown in .</w:t>
      </w:r>
      <w:r w:rsidRPr="005947FC">
        <w:t xml:space="preserve"> </w:t>
      </w:r>
      <w:r w:rsidR="00AA6007">
        <w:t xml:space="preserve">It will be preferable to extend the design to make the configuration more flexiblel. One way to achieve the goal is to allow up to two </w:t>
      </w:r>
      <w:r w:rsidR="00AA6007" w:rsidRPr="005947FC">
        <w:t>DL-unknown-UL segments within each period of the semi-static DL/UL assignment. When two segments are configured within a period, z1 is the length  in slots for the first segment, and z2 is the length in slots of the second segment</w:t>
      </w:r>
      <w:r w:rsidR="00AA6007">
        <w:t xml:space="preserve">, where </w:t>
      </w:r>
      <w:r w:rsidR="00AA6007" w:rsidRPr="005947FC">
        <w:t>z1+z2 equal the length of the semi-static DL/UL assignment period</w:t>
      </w:r>
      <w:r w:rsidR="00AA6007">
        <w:t xml:space="preserve">. </w:t>
      </w:r>
      <w:r w:rsidR="00AA6007" w:rsidRPr="005947FC">
        <w:t>When two segments are configured within a period, separate {x1, x2, y1, y2} are configured for each segment</w:t>
      </w:r>
      <w:r w:rsidRPr="005947FC">
        <w:t>.</w:t>
      </w:r>
    </w:p>
    <w:p w14:paraId="3067D7C3" w14:textId="77777777" w:rsidR="00AA6007" w:rsidRDefault="00AA6007" w:rsidP="00AA6007">
      <w:pPr>
        <w:keepNext/>
        <w:jc w:val="center"/>
      </w:pPr>
      <w:r>
        <w:object w:dxaOrig="5511" w:dyaOrig="1916" w14:anchorId="79B0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95.65pt" o:ole="">
            <v:imagedata r:id="rId14" o:title=""/>
          </v:shape>
          <o:OLEObject Type="Embed" ProgID="Visio.Drawing.11" ShapeID="_x0000_i1025" DrawAspect="Content" ObjectID="_1572456288" r:id="rId15"/>
        </w:object>
      </w:r>
    </w:p>
    <w:p w14:paraId="74D9554F" w14:textId="6B22D6C6" w:rsidR="00AA6007" w:rsidRPr="005947FC" w:rsidRDefault="00AA6007" w:rsidP="00AA6007">
      <w:pPr>
        <w:pStyle w:val="Caption"/>
        <w:jc w:val="center"/>
      </w:pPr>
      <w:r>
        <w:t xml:space="preserve">Figure </w:t>
      </w:r>
      <w:r w:rsidR="00891059">
        <w:fldChar w:fldCharType="begin"/>
      </w:r>
      <w:r w:rsidR="00891059">
        <w:instrText xml:space="preserve"> SEQ Figure \* ARABIC </w:instrText>
      </w:r>
      <w:r w:rsidR="00891059">
        <w:fldChar w:fldCharType="separate"/>
      </w:r>
      <w:r w:rsidR="000862B9">
        <w:rPr>
          <w:noProof/>
        </w:rPr>
        <w:t>2</w:t>
      </w:r>
      <w:r w:rsidR="00891059">
        <w:rPr>
          <w:noProof/>
        </w:rPr>
        <w:fldChar w:fldCharType="end"/>
      </w:r>
      <w:r>
        <w:t>. Example Semi-Static DL/UL Assignment with Two DL-unknown-UL segments</w:t>
      </w:r>
    </w:p>
    <w:p w14:paraId="0DD32D3F" w14:textId="4D3665C2" w:rsidR="005947FC" w:rsidRPr="005947FC" w:rsidRDefault="00AA6007" w:rsidP="005947FC">
      <w:bookmarkStart w:id="3" w:name="p2"/>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2</w:t>
      </w:r>
      <w:r w:rsidR="00CB554E">
        <w:rPr>
          <w:b/>
          <w:u w:val="single"/>
        </w:rPr>
        <w:fldChar w:fldCharType="end"/>
      </w:r>
      <w:r>
        <w:t xml:space="preserve">: </w:t>
      </w:r>
      <w:r w:rsidR="005947FC" w:rsidRPr="005947FC">
        <w:t xml:space="preserve">For the cell-specific higher layer signalling on semi-static DL/UL assignment, support one or two DL-unknown-UL segments within each period of the semi-static DL/UL assignment. </w:t>
      </w:r>
    </w:p>
    <w:bookmarkEnd w:id="3"/>
    <w:p w14:paraId="3ACE737D" w14:textId="2FC04876" w:rsidR="00082C23" w:rsidRDefault="00AA6007" w:rsidP="00082C23">
      <w:pPr>
        <w:pStyle w:val="Heading1"/>
      </w:pPr>
      <w:r>
        <w:t>Overwriting rules</w:t>
      </w:r>
    </w:p>
    <w:p w14:paraId="72C976AF" w14:textId="77777777" w:rsidR="00AA6007" w:rsidRPr="00AA6007" w:rsidRDefault="00AA6007" w:rsidP="00AA6007">
      <w:pPr>
        <w:rPr>
          <w:lang w:val="en-GB"/>
        </w:rPr>
      </w:pPr>
      <w:r w:rsidRPr="00AA6007">
        <w:rPr>
          <w:lang w:val="en-GB"/>
        </w:rPr>
        <w:t>From RAN1 #90bis, the following overwriting rules are agreed:</w:t>
      </w:r>
    </w:p>
    <w:p w14:paraId="35DAFCBA" w14:textId="77777777" w:rsidR="00AA6007" w:rsidRPr="00AA6007" w:rsidRDefault="00AA6007" w:rsidP="00AA6007">
      <w:r w:rsidRPr="00AA6007">
        <w:t>On overwriting rules across semi-static DL/UL assignment, dynamic SFI, DCI, etc</w:t>
      </w:r>
    </w:p>
    <w:p w14:paraId="2D1E4DCE" w14:textId="77777777" w:rsidR="00AA6007" w:rsidRPr="00AA6007" w:rsidRDefault="00AA6007" w:rsidP="00CB554E">
      <w:pPr>
        <w:pStyle w:val="ListParagraph"/>
        <w:widowControl w:val="0"/>
        <w:numPr>
          <w:ilvl w:val="0"/>
          <w:numId w:val="26"/>
        </w:numPr>
        <w:contextualSpacing/>
        <w:jc w:val="both"/>
        <w:rPr>
          <w:rFonts w:ascii="Times New Roman" w:hAnsi="Times New Roman"/>
          <w:sz w:val="20"/>
          <w:szCs w:val="20"/>
        </w:rPr>
      </w:pPr>
      <w:r w:rsidRPr="00AA6007">
        <w:rPr>
          <w:rFonts w:ascii="Times New Roman" w:hAnsi="Times New Roman"/>
          <w:sz w:val="20"/>
          <w:szCs w:val="20"/>
        </w:rPr>
        <w:t xml:space="preserve">Need to decide the overwriting rules between </w:t>
      </w:r>
    </w:p>
    <w:p w14:paraId="7E9B9054"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Semi-static DL/UL assignment (including states DL, UL, unknown) </w:t>
      </w:r>
    </w:p>
    <w:p w14:paraId="30FCE512"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Dynamic SFI (indicated in GC-PDCCH with states DL, UL, and unknown)</w:t>
      </w:r>
    </w:p>
    <w:p w14:paraId="70ECB56F"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UE specific data transmission (UE specific DCI triggered PDSCH, PUSCH, and PUCCH with A/N for a PDSCH) </w:t>
      </w:r>
    </w:p>
    <w:p w14:paraId="43F9519E"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 xml:space="preserve">Also include DCI triggered aperiodic measurement related signals, such as aperiodic CSI-RS, </w:t>
      </w:r>
      <w:r w:rsidRPr="00AA6007">
        <w:rPr>
          <w:rFonts w:ascii="Times New Roman" w:hAnsi="Times New Roman"/>
          <w:sz w:val="20"/>
          <w:szCs w:val="20"/>
        </w:rPr>
        <w:lastRenderedPageBreak/>
        <w:t>aperiodic SRS, etc</w:t>
      </w:r>
    </w:p>
    <w:p w14:paraId="4EBD02A0"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FFS: Broadcast transmission, sync, PRACH, RAR, UL data transmission without UL grant, …</w:t>
      </w:r>
    </w:p>
    <w:p w14:paraId="441A8100"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Measurement: Measurement related signals semi-statically configured by UE-specific RRC (eg. periodic/semi-persistent CSI-RS for CSI report, periodic CSI report, periodic/semi-persistent SRS) where a DL or UL direction will be assumed </w:t>
      </w:r>
    </w:p>
    <w:p w14:paraId="47D3C4C7"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FFS: CSI-RS for RRM, TRS, etc</w:t>
      </w:r>
    </w:p>
    <w:p w14:paraId="2230CFBA"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FFS: Other signals, measurements, and monitoring (including configured coreset monitoring)</w:t>
      </w:r>
    </w:p>
    <w:p w14:paraId="459DC659" w14:textId="77777777" w:rsidR="00AA6007" w:rsidRPr="00AA6007" w:rsidRDefault="00AA6007" w:rsidP="00CB554E">
      <w:pPr>
        <w:pStyle w:val="ListParagraph"/>
        <w:widowControl w:val="0"/>
        <w:numPr>
          <w:ilvl w:val="0"/>
          <w:numId w:val="26"/>
        </w:numPr>
        <w:contextualSpacing/>
        <w:jc w:val="both"/>
        <w:rPr>
          <w:rFonts w:ascii="Times New Roman" w:hAnsi="Times New Roman"/>
          <w:sz w:val="20"/>
          <w:szCs w:val="20"/>
        </w:rPr>
      </w:pPr>
      <w:r w:rsidRPr="00AA6007">
        <w:rPr>
          <w:rFonts w:ascii="Times New Roman" w:hAnsi="Times New Roman"/>
          <w:sz w:val="20"/>
          <w:szCs w:val="20"/>
        </w:rPr>
        <w:t xml:space="preserve">Consider the following directions of potential overwriting in Rel. 15: </w:t>
      </w:r>
    </w:p>
    <w:p w14:paraId="50CF0B83"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States from semi-static DL/UL assignment overwritten by measurement, dynamic SFI, or UE specific data</w:t>
      </w:r>
    </w:p>
    <w:p w14:paraId="31F98FDC"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State from measurement overwritten by dynamic SFI or UE specific data</w:t>
      </w:r>
    </w:p>
    <w:p w14:paraId="4E10BAA5"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Dynamic SFI overwritten by UE specific data</w:t>
      </w:r>
    </w:p>
    <w:p w14:paraId="72D52FF8"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FFS: UE-specific data and measurement related signals not semi-statically configured by RRC overwritten by “unknown” in dynamic SFI </w:t>
      </w:r>
    </w:p>
    <w:p w14:paraId="779E29BD"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The timing requirement for overwriting</w:t>
      </w:r>
    </w:p>
    <w:p w14:paraId="09B42030"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behavior will be the cancellation of the measurement/data reception or measurement/data related transmission</w:t>
      </w:r>
    </w:p>
    <w:p w14:paraId="5E4393E6" w14:textId="77777777" w:rsidR="00AA6007" w:rsidRPr="00AA6007" w:rsidRDefault="00AA6007" w:rsidP="00CB554E">
      <w:pPr>
        <w:pStyle w:val="ListParagraph"/>
        <w:widowControl w:val="0"/>
        <w:numPr>
          <w:ilvl w:val="0"/>
          <w:numId w:val="26"/>
        </w:numPr>
        <w:contextualSpacing/>
        <w:jc w:val="both"/>
        <w:rPr>
          <w:rFonts w:ascii="Times New Roman" w:hAnsi="Times New Roman"/>
          <w:sz w:val="20"/>
          <w:szCs w:val="20"/>
        </w:rPr>
      </w:pPr>
      <w:r w:rsidRPr="00AA6007">
        <w:rPr>
          <w:rFonts w:ascii="Times New Roman" w:hAnsi="Times New Roman"/>
          <w:sz w:val="20"/>
          <w:szCs w:val="20"/>
        </w:rPr>
        <w:t xml:space="preserve">For the states from semi-static DL/UL assignment </w:t>
      </w:r>
    </w:p>
    <w:p w14:paraId="618DBCD0"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“Unknown” in semi-static DL/UL assignment can be overwritten by measurement, dynamic SFI, and UE specific data</w:t>
      </w:r>
    </w:p>
    <w:p w14:paraId="159164BC"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DL/UL in semi-static DL/UL assignment cannot be overwritten to the other direction (DL to UL or UL to DL) by measurement, dynamic SFI and UE specific data</w:t>
      </w:r>
    </w:p>
    <w:p w14:paraId="05D24CBA"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DL/UL in semi-static DL/UL assignment cannot be overwritten by “unknown” by dynamic SFI</w:t>
      </w:r>
    </w:p>
    <w:p w14:paraId="6FD63989" w14:textId="77777777" w:rsidR="00AA6007" w:rsidRPr="00AA6007" w:rsidRDefault="00AA6007" w:rsidP="00CB554E">
      <w:pPr>
        <w:pStyle w:val="ListParagraph"/>
        <w:widowControl w:val="0"/>
        <w:numPr>
          <w:ilvl w:val="0"/>
          <w:numId w:val="26"/>
        </w:numPr>
        <w:contextualSpacing/>
        <w:jc w:val="both"/>
        <w:rPr>
          <w:rFonts w:ascii="Times New Roman" w:hAnsi="Times New Roman"/>
          <w:sz w:val="20"/>
          <w:szCs w:val="20"/>
        </w:rPr>
      </w:pPr>
      <w:r w:rsidRPr="00AA6007">
        <w:rPr>
          <w:rFonts w:ascii="Times New Roman" w:hAnsi="Times New Roman"/>
          <w:sz w:val="20"/>
          <w:szCs w:val="20"/>
        </w:rPr>
        <w:t xml:space="preserve">For the states from measurement in symbols not under DL/UL from semi-static DL/UL assignment: </w:t>
      </w:r>
    </w:p>
    <w:p w14:paraId="086A1EEE"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DL/UL direction implied by measurement can be overwritten by unknown in dynamic SFI </w:t>
      </w:r>
    </w:p>
    <w:p w14:paraId="6A314223"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behavior will be the cancellation of the measurement or measurement related transmission</w:t>
      </w:r>
    </w:p>
    <w:p w14:paraId="7EC322F6"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DL/UL direction implied by measurement can be overwritten by UL/DL from dynamic SFI </w:t>
      </w:r>
    </w:p>
    <w:p w14:paraId="1F2126F0"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behavior will be the cancellation of the measurement or measurement related transmission</w:t>
      </w:r>
    </w:p>
    <w:p w14:paraId="55DF8A7F"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DL/UL direction implied by measurement can be overwritten by UE’s own UE-specific data if the UE specific data imples the other direction </w:t>
      </w:r>
    </w:p>
    <w:p w14:paraId="7BD104A6"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behavior will be the cancellation of the measurement or measurement related transmission</w:t>
      </w:r>
    </w:p>
    <w:p w14:paraId="1CAC3E55"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will follow the DCI for UE-specific data transmission and reception</w:t>
      </w:r>
    </w:p>
    <w:p w14:paraId="16DFF742" w14:textId="77777777" w:rsidR="00AA6007" w:rsidRPr="00AA6007" w:rsidRDefault="00AA6007" w:rsidP="00CB554E">
      <w:pPr>
        <w:pStyle w:val="ListParagraph"/>
        <w:widowControl w:val="0"/>
        <w:numPr>
          <w:ilvl w:val="0"/>
          <w:numId w:val="26"/>
        </w:numPr>
        <w:contextualSpacing/>
        <w:jc w:val="both"/>
        <w:rPr>
          <w:rFonts w:ascii="Times New Roman" w:hAnsi="Times New Roman"/>
          <w:sz w:val="20"/>
          <w:szCs w:val="20"/>
        </w:rPr>
      </w:pPr>
      <w:r w:rsidRPr="00AA6007">
        <w:rPr>
          <w:rFonts w:ascii="Times New Roman" w:hAnsi="Times New Roman"/>
          <w:sz w:val="20"/>
          <w:szCs w:val="20"/>
        </w:rPr>
        <w:t xml:space="preserve">For the states in dynamic SFI in symbols not under DL/UL from semi-static DL/UL assignment (Already agreed in other agreements and only include for completeness) </w:t>
      </w:r>
    </w:p>
    <w:p w14:paraId="291D512E"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UL/DL in dynamic SFI cannot be overwritten by UE specific data </w:t>
      </w:r>
    </w:p>
    <w:p w14:paraId="64C02002"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will treat it as an error case when UE specific data and dynamic SFI imply different transmit directions</w:t>
      </w:r>
    </w:p>
    <w:p w14:paraId="3998E5D0" w14:textId="77777777" w:rsidR="00AA6007" w:rsidRPr="00AA6007" w:rsidRDefault="00AA6007" w:rsidP="00CB554E">
      <w:pPr>
        <w:pStyle w:val="ListParagraph"/>
        <w:widowControl w:val="0"/>
        <w:numPr>
          <w:ilvl w:val="1"/>
          <w:numId w:val="26"/>
        </w:numPr>
        <w:contextualSpacing/>
        <w:jc w:val="both"/>
        <w:rPr>
          <w:rFonts w:ascii="Times New Roman" w:hAnsi="Times New Roman"/>
          <w:sz w:val="20"/>
          <w:szCs w:val="20"/>
        </w:rPr>
      </w:pPr>
      <w:r w:rsidRPr="00AA6007">
        <w:rPr>
          <w:rFonts w:ascii="Times New Roman" w:hAnsi="Times New Roman"/>
          <w:sz w:val="20"/>
          <w:szCs w:val="20"/>
        </w:rPr>
        <w:t xml:space="preserve">Unknown in dynamic SFI can be overwritten by UE specific data (change to DL or UL) </w:t>
      </w:r>
    </w:p>
    <w:p w14:paraId="39B5246B" w14:textId="77777777" w:rsidR="00AA6007" w:rsidRPr="00AA6007" w:rsidRDefault="00AA6007" w:rsidP="00CB554E">
      <w:pPr>
        <w:pStyle w:val="ListParagraph"/>
        <w:widowControl w:val="0"/>
        <w:numPr>
          <w:ilvl w:val="2"/>
          <w:numId w:val="26"/>
        </w:numPr>
        <w:contextualSpacing/>
        <w:jc w:val="both"/>
        <w:rPr>
          <w:rFonts w:ascii="Times New Roman" w:hAnsi="Times New Roman"/>
          <w:sz w:val="20"/>
          <w:szCs w:val="20"/>
        </w:rPr>
      </w:pPr>
      <w:r w:rsidRPr="00AA6007">
        <w:rPr>
          <w:rFonts w:ascii="Times New Roman" w:hAnsi="Times New Roman"/>
          <w:sz w:val="20"/>
          <w:szCs w:val="20"/>
        </w:rPr>
        <w:t>UE will follow the DCI for UE-specific data transmission and reception</w:t>
      </w:r>
    </w:p>
    <w:p w14:paraId="7542FE20" w14:textId="77777777" w:rsidR="00AA6007" w:rsidRPr="00AA6007" w:rsidRDefault="00AA6007" w:rsidP="00AA6007"/>
    <w:p w14:paraId="261C08FD" w14:textId="77777777" w:rsidR="00AA6007" w:rsidRPr="00AA6007" w:rsidRDefault="00AA6007" w:rsidP="00AA6007">
      <w:r w:rsidRPr="00AA6007">
        <w:t>From the above agreement, we already have the overwriting rules for “measurement” and “UE specific data transmission”. How to generalize the overwriting rules to other transmissions/receptions, including:</w:t>
      </w:r>
    </w:p>
    <w:p w14:paraId="1C919306" w14:textId="77777777" w:rsidR="00AA6007" w:rsidRPr="00AA6007" w:rsidRDefault="00AA6007" w:rsidP="00AA6007">
      <w:pPr>
        <w:pStyle w:val="bullet"/>
        <w:rPr>
          <w:rFonts w:ascii="Times New Roman" w:hAnsi="Times New Roman" w:cs="Times New Roman"/>
          <w:szCs w:val="20"/>
        </w:rPr>
      </w:pPr>
      <w:r w:rsidRPr="00AA6007">
        <w:rPr>
          <w:rFonts w:ascii="Times New Roman" w:hAnsi="Times New Roman" w:cs="Times New Roman"/>
          <w:szCs w:val="20"/>
        </w:rPr>
        <w:t>Sync channel</w:t>
      </w:r>
    </w:p>
    <w:p w14:paraId="17C2211A" w14:textId="77777777" w:rsidR="00AA6007" w:rsidRPr="00AA6007" w:rsidRDefault="00AA6007" w:rsidP="00AA6007">
      <w:pPr>
        <w:pStyle w:val="bullet"/>
        <w:rPr>
          <w:rFonts w:ascii="Times New Roman" w:hAnsi="Times New Roman" w:cs="Times New Roman"/>
          <w:szCs w:val="20"/>
        </w:rPr>
      </w:pPr>
      <w:r w:rsidRPr="00AA6007">
        <w:rPr>
          <w:rFonts w:ascii="Times New Roman" w:hAnsi="Times New Roman" w:cs="Times New Roman"/>
          <w:szCs w:val="20"/>
        </w:rPr>
        <w:t>RMSI/OSI</w:t>
      </w:r>
    </w:p>
    <w:p w14:paraId="0D7CA6B5" w14:textId="77777777" w:rsidR="00AA6007" w:rsidRPr="00AA6007" w:rsidRDefault="00AA6007" w:rsidP="00AA6007">
      <w:pPr>
        <w:pStyle w:val="bullet"/>
        <w:rPr>
          <w:rFonts w:ascii="Times New Roman" w:hAnsi="Times New Roman" w:cs="Times New Roman"/>
          <w:szCs w:val="20"/>
        </w:rPr>
      </w:pPr>
      <w:r w:rsidRPr="00AA6007">
        <w:rPr>
          <w:rFonts w:ascii="Times New Roman" w:hAnsi="Times New Roman" w:cs="Times New Roman"/>
          <w:szCs w:val="20"/>
        </w:rPr>
        <w:t>PRACH</w:t>
      </w:r>
    </w:p>
    <w:p w14:paraId="02143371" w14:textId="77777777" w:rsidR="00AA6007" w:rsidRPr="00AA6007" w:rsidRDefault="00AA6007" w:rsidP="00AA6007">
      <w:pPr>
        <w:pStyle w:val="bullet"/>
        <w:rPr>
          <w:rFonts w:ascii="Times New Roman" w:hAnsi="Times New Roman" w:cs="Times New Roman"/>
          <w:szCs w:val="20"/>
        </w:rPr>
      </w:pPr>
      <w:r w:rsidRPr="00AA6007">
        <w:rPr>
          <w:rFonts w:ascii="Times New Roman" w:hAnsi="Times New Roman" w:cs="Times New Roman"/>
          <w:szCs w:val="20"/>
        </w:rPr>
        <w:t>RAR</w:t>
      </w:r>
    </w:p>
    <w:p w14:paraId="5C0626AE" w14:textId="77777777" w:rsidR="00AA6007" w:rsidRPr="00AA6007" w:rsidRDefault="00AA6007" w:rsidP="00AA6007">
      <w:pPr>
        <w:pStyle w:val="bullet"/>
        <w:rPr>
          <w:rFonts w:ascii="Times New Roman" w:hAnsi="Times New Roman" w:cs="Times New Roman"/>
          <w:szCs w:val="20"/>
        </w:rPr>
      </w:pPr>
      <w:r w:rsidRPr="00AA6007">
        <w:rPr>
          <w:rFonts w:ascii="Times New Roman" w:hAnsi="Times New Roman" w:cs="Times New Roman"/>
          <w:szCs w:val="20"/>
        </w:rPr>
        <w:t>UL data transmission without UL grant,</w:t>
      </w:r>
    </w:p>
    <w:p w14:paraId="7306B6A1" w14:textId="77777777" w:rsidR="00AA6007" w:rsidRPr="00AA6007" w:rsidRDefault="00AA6007" w:rsidP="00AA6007">
      <w:pPr>
        <w:pStyle w:val="bullet"/>
        <w:rPr>
          <w:rFonts w:ascii="Times New Roman" w:hAnsi="Times New Roman" w:cs="Times New Roman"/>
          <w:szCs w:val="20"/>
        </w:rPr>
      </w:pPr>
      <w:r w:rsidRPr="00AA6007">
        <w:rPr>
          <w:rFonts w:ascii="Times New Roman" w:hAnsi="Times New Roman" w:cs="Times New Roman"/>
          <w:szCs w:val="20"/>
        </w:rPr>
        <w:t>CSI-RS for RRM, TRS, etc</w:t>
      </w:r>
    </w:p>
    <w:p w14:paraId="63993207" w14:textId="652F78C0" w:rsidR="00AA6007" w:rsidRDefault="00AA6007" w:rsidP="00AA6007">
      <w:pPr>
        <w:pStyle w:val="bullet"/>
        <w:numPr>
          <w:ilvl w:val="0"/>
          <w:numId w:val="0"/>
        </w:numPr>
        <w:rPr>
          <w:rFonts w:ascii="Times New Roman" w:hAnsi="Times New Roman" w:cs="Times New Roman"/>
          <w:szCs w:val="20"/>
        </w:rPr>
      </w:pPr>
    </w:p>
    <w:p w14:paraId="69383F4E" w14:textId="3FD548E0" w:rsidR="00AA6007" w:rsidRDefault="00AA6007" w:rsidP="00AA6007">
      <w:r>
        <w:t xml:space="preserve">For sync channel transmission, since the initial access UE </w:t>
      </w:r>
      <w:r w:rsidR="00140925">
        <w:t>is not RRC configured yet, the monitoring should not depends on the configuration. As a result, we believe the s</w:t>
      </w:r>
      <w:r w:rsidRPr="00AA6007">
        <w:t>ync channel transmission can happen in semi-static DL</w:t>
      </w:r>
      <w:r w:rsidR="00140925">
        <w:t xml:space="preserve"> or</w:t>
      </w:r>
      <w:r w:rsidRPr="00AA6007">
        <w:t xml:space="preserve"> unknown</w:t>
      </w:r>
      <w:r w:rsidR="00140925">
        <w:t xml:space="preserve">, but if the transmission happens in semi-static unknown, the transmission direction of the symbol </w:t>
      </w:r>
      <w:r w:rsidRPr="00AA6007">
        <w:t>cannot be overwritten to UL</w:t>
      </w:r>
      <w:r w:rsidR="00140925">
        <w:t>.</w:t>
      </w:r>
    </w:p>
    <w:p w14:paraId="6B527E6A" w14:textId="262B2C1A" w:rsidR="00AA6007" w:rsidRDefault="00140925" w:rsidP="00140925">
      <w:bookmarkStart w:id="4" w:name="p3"/>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3</w:t>
      </w:r>
      <w:r w:rsidR="00CB554E">
        <w:rPr>
          <w:b/>
          <w:u w:val="single"/>
        </w:rPr>
        <w:fldChar w:fldCharType="end"/>
      </w:r>
      <w:r>
        <w:t xml:space="preserve">: The </w:t>
      </w:r>
      <w:r w:rsidR="00AA6007" w:rsidRPr="00AA6007">
        <w:t>sync channel transmission</w:t>
      </w:r>
      <w:r>
        <w:t xml:space="preserve"> </w:t>
      </w:r>
      <w:r w:rsidR="00AA6007" w:rsidRPr="00AA6007">
        <w:t>can happen in semi-static DL</w:t>
      </w:r>
      <w:r>
        <w:t xml:space="preserve"> or </w:t>
      </w:r>
      <w:r w:rsidR="00AA6007" w:rsidRPr="00AA6007">
        <w:t>semi-static unknown</w:t>
      </w:r>
      <w:r>
        <w:t>. For the later case, the s</w:t>
      </w:r>
      <w:r w:rsidR="00AA6007" w:rsidRPr="00AA6007">
        <w:t>ymbols configured to transmit SSB cannot be overwritten to UL</w:t>
      </w:r>
      <w:r>
        <w:t>.</w:t>
      </w:r>
    </w:p>
    <w:bookmarkEnd w:id="4"/>
    <w:p w14:paraId="0084E901" w14:textId="45AF4AAB" w:rsidR="00140925" w:rsidRDefault="00140925" w:rsidP="00140925">
      <w:r>
        <w:lastRenderedPageBreak/>
        <w:t xml:space="preserve">Similarly, for transmission direction implied by cell-specific RRC configuration, such as PRACH, to avoid creating ambiguity to UEs haven’t been UE-specific RRC configured, it is preferred the transmission direction </w:t>
      </w:r>
      <w:r w:rsidRPr="00AA6007">
        <w:t>cannot be overwritten to the other direction</w:t>
      </w:r>
      <w:r>
        <w:t>.</w:t>
      </w:r>
    </w:p>
    <w:p w14:paraId="2BE27C9A" w14:textId="0BAE64AD" w:rsidR="00140925" w:rsidRDefault="00140925" w:rsidP="00140925">
      <w:bookmarkStart w:id="5" w:name="p4"/>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4</w:t>
      </w:r>
      <w:r w:rsidR="00CB554E">
        <w:rPr>
          <w:b/>
          <w:u w:val="single"/>
        </w:rPr>
        <w:fldChar w:fldCharType="end"/>
      </w:r>
      <w:r>
        <w:t xml:space="preserve">: </w:t>
      </w:r>
      <w:r w:rsidRPr="00140925">
        <w:t>Transmission direction implied</w:t>
      </w:r>
      <w:r>
        <w:t xml:space="preserve"> by cell-specific RRC configuration, such as RMSI and PRACH,</w:t>
      </w:r>
      <w:r w:rsidRPr="00140925">
        <w:t xml:space="preserve"> cannot be overwritten to the other direction</w:t>
      </w:r>
    </w:p>
    <w:bookmarkEnd w:id="5"/>
    <w:p w14:paraId="70D06BFE" w14:textId="4AEE74D4" w:rsidR="00140925" w:rsidRDefault="00140925" w:rsidP="00FD040D">
      <w:r>
        <w:t xml:space="preserve">For other signaling, for simplicity, </w:t>
      </w:r>
      <w:r w:rsidR="00FD040D">
        <w:t>transmission/reception triggered by DCI are treated the same as “UE-specific data transmission”. From existing agreements, these already include: UE specific DCI triggered PDSCH, PUSCH, and PUCCH with A/N for a PDSCH, DCI triggered aperiodic measurement related signals, such as aperiodic CSI-RS, aperiodic SRS, etc. Similarly, transmission/reception implied by UE-specific RRC configured are treated the same as “measurement”. From existing agreements, these already include: Measurement related signals semi-statically configured by UE-specific RRC (eg. periodic/semi-persistent CSI-RS for CSI report, periodic CSI report, periodic/semi-persistent SRS) where a DL or UL direction will be assumed.</w:t>
      </w:r>
    </w:p>
    <w:p w14:paraId="2AB6C260" w14:textId="4166A963" w:rsidR="00140925" w:rsidRDefault="00140925" w:rsidP="00140925">
      <w:bookmarkStart w:id="6" w:name="p5"/>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5</w:t>
      </w:r>
      <w:r w:rsidR="00CB554E">
        <w:rPr>
          <w:b/>
          <w:u w:val="single"/>
        </w:rPr>
        <w:fldChar w:fldCharType="end"/>
      </w:r>
      <w:r>
        <w:t xml:space="preserve">: </w:t>
      </w:r>
      <w:r w:rsidR="00FD040D">
        <w:t xml:space="preserve">Transmission/reception triggered by </w:t>
      </w:r>
      <w:r w:rsidRPr="00AA6007">
        <w:t>DCI</w:t>
      </w:r>
      <w:r w:rsidR="00FD040D">
        <w:t xml:space="preserve"> </w:t>
      </w:r>
      <w:r w:rsidRPr="00AA6007">
        <w:t xml:space="preserve">are treated </w:t>
      </w:r>
      <w:r w:rsidR="00FD040D">
        <w:t>the same</w:t>
      </w:r>
      <w:r w:rsidRPr="00AA6007">
        <w:t xml:space="preserve"> as “UE-specific data transmission”</w:t>
      </w:r>
      <w:r w:rsidR="00FD040D">
        <w:t>, and Transmission/reception implied by UE-specific RRC configuration are treated the same as “measurement”.</w:t>
      </w:r>
    </w:p>
    <w:bookmarkEnd w:id="6"/>
    <w:p w14:paraId="58468489" w14:textId="7EBAA57D" w:rsidR="00AA6007" w:rsidRDefault="00FD040D" w:rsidP="00AA6007">
      <w:r>
        <w:t xml:space="preserve">Another question from the previous email discussion is if </w:t>
      </w:r>
      <w:r w:rsidRPr="00FD040D">
        <w:t>UE-specific data and measurement related signals not semi-statically configured by RRC overwrit</w:t>
      </w:r>
      <w:r>
        <w:t>ten by “unknown” in dynamic SFI. For simplicity, for Rel 15, we would prefer not to consider it and leave it for future study.</w:t>
      </w:r>
    </w:p>
    <w:p w14:paraId="46A14627" w14:textId="43741B79" w:rsidR="00AA6007" w:rsidRDefault="00FD040D" w:rsidP="00FD040D">
      <w:bookmarkStart w:id="7" w:name="p6"/>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6</w:t>
      </w:r>
      <w:r w:rsidR="00CB554E">
        <w:rPr>
          <w:b/>
          <w:u w:val="single"/>
        </w:rPr>
        <w:fldChar w:fldCharType="end"/>
      </w:r>
      <w:r>
        <w:t xml:space="preserve">: In Rel. 15, </w:t>
      </w:r>
      <w:r w:rsidR="00CC62B7">
        <w:t xml:space="preserve">overwriting </w:t>
      </w:r>
      <w:r>
        <w:t>U</w:t>
      </w:r>
      <w:r w:rsidR="00AA6007" w:rsidRPr="00AA6007">
        <w:t>E-specific data and measurement related signals</w:t>
      </w:r>
      <w:r w:rsidR="00447538">
        <w:t>,</w:t>
      </w:r>
      <w:r w:rsidR="00AA6007" w:rsidRPr="00AA6007">
        <w:t xml:space="preserve"> not semi-statically configured by RRC</w:t>
      </w:r>
      <w:r w:rsidR="00447538">
        <w:t>,</w:t>
      </w:r>
      <w:r>
        <w:t xml:space="preserve"> </w:t>
      </w:r>
      <w:r w:rsidR="00AA6007" w:rsidRPr="00AA6007">
        <w:t xml:space="preserve">by “unknown” in </w:t>
      </w:r>
      <w:r>
        <w:t>dynamic SFI is not supported.</w:t>
      </w:r>
    </w:p>
    <w:bookmarkEnd w:id="7"/>
    <w:p w14:paraId="60B8CE66" w14:textId="2CEC2622" w:rsidR="00FD040D" w:rsidRDefault="00FD040D" w:rsidP="00067CA8">
      <w:pPr>
        <w:pStyle w:val="Heading1"/>
        <w:rPr>
          <w:lang w:eastAsia="zh-CN"/>
        </w:rPr>
      </w:pPr>
      <w:r>
        <w:rPr>
          <w:lang w:eastAsia="zh-CN"/>
        </w:rPr>
        <w:t>PDCCH monitoring under unknown state</w:t>
      </w:r>
    </w:p>
    <w:p w14:paraId="7A7FA3A4" w14:textId="7BF6B49B" w:rsidR="00FD040D" w:rsidRDefault="00FD040D" w:rsidP="00FD040D">
      <w:pPr>
        <w:rPr>
          <w:lang w:val="en-GB" w:eastAsia="zh-CN"/>
        </w:rPr>
      </w:pPr>
      <w:r>
        <w:rPr>
          <w:lang w:val="en-GB" w:eastAsia="zh-CN"/>
        </w:rPr>
        <w:t>It has been discussed if configured PDCCH monitoring happens during semi-static unknown or dynamic SFI unknown. Our understanding is the semi-static unknown is treated as flexible but dynamic SFI unknown is treated as reserved. So PDCCH monitoring should still happen under semi-static unknown, if not overwritten, and PDCCH monitoring can be skipped under dynamic SFI unknown, if not overwritten.</w:t>
      </w:r>
    </w:p>
    <w:p w14:paraId="281FA058" w14:textId="46590D7B" w:rsidR="00FD040D" w:rsidRDefault="00FD040D" w:rsidP="00FD040D">
      <w:bookmarkStart w:id="8" w:name="p7"/>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7</w:t>
      </w:r>
      <w:r w:rsidR="00CB554E">
        <w:rPr>
          <w:b/>
          <w:u w:val="single"/>
        </w:rPr>
        <w:fldChar w:fldCharType="end"/>
      </w:r>
      <w:r>
        <w:t xml:space="preserve">: </w:t>
      </w:r>
      <w:r>
        <w:rPr>
          <w:lang w:val="en-GB" w:eastAsia="zh-CN"/>
        </w:rPr>
        <w:t>PDCCH monitoring should still happen under semi-static unknown, if not overwritten, and PDCCH monitoring can be skipped under dynamic SFI unknown, if not overwritten.</w:t>
      </w:r>
    </w:p>
    <w:bookmarkEnd w:id="8"/>
    <w:p w14:paraId="7F715227" w14:textId="2FD3776E" w:rsidR="00FD040D" w:rsidRDefault="00FD040D" w:rsidP="00067CA8">
      <w:pPr>
        <w:pStyle w:val="Heading1"/>
        <w:rPr>
          <w:lang w:eastAsia="zh-CN"/>
        </w:rPr>
      </w:pPr>
      <w:r>
        <w:rPr>
          <w:lang w:eastAsia="zh-CN"/>
        </w:rPr>
        <w:t>GC-PDCCH monitoring</w:t>
      </w:r>
    </w:p>
    <w:p w14:paraId="3279CDF7" w14:textId="56194634" w:rsidR="008B5D75" w:rsidRDefault="00FD040D" w:rsidP="008B5D75">
      <w:r>
        <w:rPr>
          <w:lang w:val="en-GB" w:eastAsia="zh-CN"/>
        </w:rPr>
        <w:t xml:space="preserve">For a configured GC-PDCCH carrying SFI monitoring, if the </w:t>
      </w:r>
      <w:r w:rsidR="008B5D75">
        <w:rPr>
          <w:lang w:val="en-GB" w:eastAsia="zh-CN"/>
        </w:rPr>
        <w:t>UE failed to decode the GC-PDCCH, in this case, either SFI is transmitted but the UE failed to decode, or the SFI was actually not transmitted. To be safe, we believe the UE should cancel all measurement within the configured monitoring period, in case a dynamic SFI unknown was transmitted, but the UE keeps monitoring the configured PDCCH within the configured monitoring period, in case dynamic SFI DL was transmitted.</w:t>
      </w:r>
    </w:p>
    <w:p w14:paraId="4629EBBA" w14:textId="09CD8029" w:rsidR="008B5D75" w:rsidRDefault="008B5D75" w:rsidP="008B5D75">
      <w:pPr>
        <w:rPr>
          <w:lang w:val="en-GB" w:eastAsia="zh-CN"/>
        </w:rPr>
      </w:pPr>
      <w:bookmarkStart w:id="9" w:name="p8"/>
      <w:r w:rsidRPr="00A3651A">
        <w:rPr>
          <w:b/>
          <w:u w:val="single"/>
        </w:rPr>
        <w:t>Proposal</w:t>
      </w:r>
      <w:r>
        <w:rPr>
          <w:b/>
          <w:u w:val="single"/>
        </w:rPr>
        <w:t xml:space="preserve"> </w:t>
      </w:r>
      <w:r w:rsidR="00CB554E">
        <w:rPr>
          <w:b/>
          <w:u w:val="single"/>
        </w:rPr>
        <w:fldChar w:fldCharType="begin"/>
      </w:r>
      <w:r w:rsidR="00CB554E">
        <w:rPr>
          <w:b/>
          <w:u w:val="single"/>
        </w:rPr>
        <w:instrText xml:space="preserve"> seq p </w:instrText>
      </w:r>
      <w:r w:rsidR="00CB554E">
        <w:rPr>
          <w:b/>
          <w:u w:val="single"/>
        </w:rPr>
        <w:fldChar w:fldCharType="separate"/>
      </w:r>
      <w:r w:rsidR="000862B9">
        <w:rPr>
          <w:b/>
          <w:noProof/>
          <w:u w:val="single"/>
        </w:rPr>
        <w:t>8</w:t>
      </w:r>
      <w:r w:rsidR="00CB554E">
        <w:rPr>
          <w:b/>
          <w:u w:val="single"/>
        </w:rPr>
        <w:fldChar w:fldCharType="end"/>
      </w:r>
      <w:r>
        <w:t>:</w:t>
      </w:r>
      <w:r>
        <w:rPr>
          <w:lang w:val="en-GB" w:eastAsia="zh-CN"/>
        </w:rPr>
        <w:t xml:space="preserve"> For a configured GC-PDCCH carrying SFI monitoring, if the UE failed to decode the GC-PDCCH, the UE cancel all measurement but continue to monitor PDCCH during the configured monitoring period.</w:t>
      </w:r>
    </w:p>
    <w:bookmarkEnd w:id="9"/>
    <w:p w14:paraId="58D20E32" w14:textId="0C66BC09" w:rsidR="00CB554E" w:rsidRDefault="008B5D75" w:rsidP="008B5D75">
      <w:r>
        <w:t>Since decoding of GC-PDCCH takes time, the action time of GC-PDCCH needs to be discussed. On action time and effective range of dynamic SFI</w:t>
      </w:r>
      <w:r w:rsidR="00CB554E">
        <w:t xml:space="preserve">. </w:t>
      </w:r>
      <w:r>
        <w:t xml:space="preserve">Effective range should start from current slot the dynamic SFI is </w:t>
      </w:r>
      <w:r w:rsidR="00CB554E">
        <w:t xml:space="preserve">received. </w:t>
      </w:r>
      <w:r>
        <w:t xml:space="preserve">To cancel UL </w:t>
      </w:r>
      <w:r w:rsidR="00CB554E">
        <w:t xml:space="preserve">measurement related transmission, since transmission waveform needs to be prepared, the UE response time needs to take that into consideration. As a result, we can reuse the same </w:t>
      </w:r>
      <w:r>
        <w:t>N2 time</w:t>
      </w:r>
      <w:r w:rsidR="00CB554E">
        <w:t xml:space="preserve"> for UE capability. T</w:t>
      </w:r>
      <w:r>
        <w:t xml:space="preserve">o cancel DL </w:t>
      </w:r>
      <w:r w:rsidR="00CB554E">
        <w:t>measurement related reception</w:t>
      </w:r>
      <w:r>
        <w:t>, same slot will be enough</w:t>
      </w:r>
    </w:p>
    <w:p w14:paraId="1C3654AE" w14:textId="34FB68C8" w:rsidR="00CB554E" w:rsidRDefault="00CB554E" w:rsidP="00CB554E">
      <w:bookmarkStart w:id="10" w:name="p9"/>
      <w:r w:rsidRPr="00A3651A">
        <w:rPr>
          <w:b/>
          <w:u w:val="single"/>
        </w:rPr>
        <w:t>Proposal</w:t>
      </w:r>
      <w:r>
        <w:rPr>
          <w:b/>
          <w:u w:val="single"/>
        </w:rPr>
        <w:t xml:space="preserve"> </w:t>
      </w:r>
      <w:r>
        <w:rPr>
          <w:b/>
          <w:u w:val="single"/>
        </w:rPr>
        <w:fldChar w:fldCharType="begin"/>
      </w:r>
      <w:r>
        <w:rPr>
          <w:b/>
          <w:u w:val="single"/>
        </w:rPr>
        <w:instrText xml:space="preserve"> seq p </w:instrText>
      </w:r>
      <w:r>
        <w:rPr>
          <w:b/>
          <w:u w:val="single"/>
        </w:rPr>
        <w:fldChar w:fldCharType="separate"/>
      </w:r>
      <w:r w:rsidR="000862B9">
        <w:rPr>
          <w:b/>
          <w:noProof/>
          <w:u w:val="single"/>
        </w:rPr>
        <w:t>9</w:t>
      </w:r>
      <w:r>
        <w:rPr>
          <w:b/>
          <w:u w:val="single"/>
        </w:rPr>
        <w:fldChar w:fldCharType="end"/>
      </w:r>
      <w:r>
        <w:t>:</w:t>
      </w:r>
      <w:r>
        <w:rPr>
          <w:lang w:val="en-GB" w:eastAsia="zh-CN"/>
        </w:rPr>
        <w:t xml:space="preserve"> For a configured GC-PDCCH carrying SFI monitoring, the e</w:t>
      </w:r>
      <w:r>
        <w:t xml:space="preserve">ffective range should start from current slot the dynamic SFI is received. To cancel UL measurement related transmission, reuse the same N2 time for UE capability. To cancel DL measurement related reception, same slot </w:t>
      </w:r>
      <w:r w:rsidR="00E86D5D">
        <w:t>is allowed</w:t>
      </w:r>
      <w:r>
        <w:t>.</w:t>
      </w:r>
    </w:p>
    <w:bookmarkEnd w:id="10"/>
    <w:p w14:paraId="56D28D4B" w14:textId="38FDE61A" w:rsidR="00067CA8" w:rsidRPr="00226FE2" w:rsidRDefault="004503F9" w:rsidP="00067CA8">
      <w:pPr>
        <w:pStyle w:val="Heading1"/>
        <w:rPr>
          <w:lang w:eastAsia="zh-CN"/>
        </w:rPr>
      </w:pPr>
      <w:r>
        <w:rPr>
          <w:lang w:eastAsia="zh-CN"/>
        </w:rPr>
        <w:t>Conclusions</w:t>
      </w:r>
    </w:p>
    <w:p w14:paraId="55C02AD6" w14:textId="21A04D5E" w:rsidR="00AE2ECC" w:rsidRDefault="009A6180" w:rsidP="00AE2ECC">
      <w:pPr>
        <w:spacing w:after="120"/>
        <w:rPr>
          <w:szCs w:val="22"/>
        </w:rPr>
      </w:pPr>
      <w:r>
        <w:rPr>
          <w:szCs w:val="22"/>
        </w:rPr>
        <w:t>This contribution has discussed the open issues related to the SFI</w:t>
      </w:r>
      <w:r w:rsidR="00CB554E">
        <w:rPr>
          <w:szCs w:val="22"/>
        </w:rPr>
        <w:t xml:space="preserve">. </w:t>
      </w:r>
      <w:r w:rsidR="00AE2ECC">
        <w:rPr>
          <w:szCs w:val="22"/>
        </w:rPr>
        <w:t>The following proposal has been made:</w:t>
      </w:r>
    </w:p>
    <w:p w14:paraId="2BF5EAC5" w14:textId="77777777" w:rsidR="000862B9" w:rsidRDefault="00CB554E" w:rsidP="00E47DF6">
      <w:r>
        <w:rPr>
          <w:szCs w:val="22"/>
        </w:rPr>
        <w:lastRenderedPageBreak/>
        <w:fldChar w:fldCharType="begin"/>
      </w:r>
      <w:r>
        <w:rPr>
          <w:szCs w:val="22"/>
        </w:rPr>
        <w:instrText xml:space="preserve"> REF p1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1</w:t>
      </w:r>
      <w:r w:rsidR="000862B9">
        <w:t xml:space="preserve">: The encoding scheme for GC PDCCH depends on the configured length of the GC-PDCCH and is selected between RM without CRC when payload length is no more than 11 bits and Polar with CRC otherwise. </w:t>
      </w:r>
    </w:p>
    <w:p w14:paraId="2979AD1A" w14:textId="77777777" w:rsidR="000862B9" w:rsidRPr="005947FC" w:rsidRDefault="00CB554E" w:rsidP="005947FC">
      <w:r>
        <w:rPr>
          <w:szCs w:val="22"/>
        </w:rPr>
        <w:fldChar w:fldCharType="end"/>
      </w:r>
      <w:r>
        <w:rPr>
          <w:szCs w:val="22"/>
        </w:rPr>
        <w:fldChar w:fldCharType="begin"/>
      </w:r>
      <w:r>
        <w:rPr>
          <w:szCs w:val="22"/>
        </w:rPr>
        <w:instrText xml:space="preserve"> REF p2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2</w:t>
      </w:r>
      <w:r w:rsidR="000862B9">
        <w:t xml:space="preserve">: </w:t>
      </w:r>
      <w:r w:rsidR="000862B9" w:rsidRPr="005947FC">
        <w:t xml:space="preserve">For the cell-specific higher layer signalling on semi-static DL/UL assignment, support one or two DL-unknown-UL segments within each period of the semi-static DL/UL assignment. </w:t>
      </w:r>
    </w:p>
    <w:p w14:paraId="18C8EF3E" w14:textId="77777777" w:rsidR="000862B9" w:rsidRDefault="00CB554E" w:rsidP="00140925">
      <w:r>
        <w:rPr>
          <w:szCs w:val="22"/>
        </w:rPr>
        <w:fldChar w:fldCharType="end"/>
      </w:r>
      <w:r>
        <w:rPr>
          <w:szCs w:val="22"/>
        </w:rPr>
        <w:fldChar w:fldCharType="begin"/>
      </w:r>
      <w:r>
        <w:rPr>
          <w:szCs w:val="22"/>
        </w:rPr>
        <w:instrText xml:space="preserve"> REF p3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3</w:t>
      </w:r>
      <w:r w:rsidR="000862B9">
        <w:t xml:space="preserve">: The </w:t>
      </w:r>
      <w:r w:rsidR="000862B9" w:rsidRPr="00AA6007">
        <w:t>sync channel transmission</w:t>
      </w:r>
      <w:r w:rsidR="000862B9">
        <w:t xml:space="preserve"> </w:t>
      </w:r>
      <w:r w:rsidR="000862B9" w:rsidRPr="00AA6007">
        <w:t>can happen in semi-static DL</w:t>
      </w:r>
      <w:r w:rsidR="000862B9">
        <w:t xml:space="preserve"> or </w:t>
      </w:r>
      <w:r w:rsidR="000862B9" w:rsidRPr="00AA6007">
        <w:t>semi-static unknown</w:t>
      </w:r>
      <w:r w:rsidR="000862B9">
        <w:t>. For the later case, the s</w:t>
      </w:r>
      <w:r w:rsidR="000862B9" w:rsidRPr="00AA6007">
        <w:t>ymbols configured to transmit SSB cannot be overwritten to UL</w:t>
      </w:r>
      <w:r w:rsidR="000862B9">
        <w:t>.</w:t>
      </w:r>
    </w:p>
    <w:p w14:paraId="0731035E" w14:textId="77777777" w:rsidR="000862B9" w:rsidRDefault="00CB554E" w:rsidP="00140925">
      <w:r>
        <w:rPr>
          <w:szCs w:val="22"/>
        </w:rPr>
        <w:fldChar w:fldCharType="end"/>
      </w:r>
      <w:r>
        <w:rPr>
          <w:szCs w:val="22"/>
        </w:rPr>
        <w:fldChar w:fldCharType="begin"/>
      </w:r>
      <w:r>
        <w:rPr>
          <w:szCs w:val="22"/>
        </w:rPr>
        <w:instrText xml:space="preserve"> REF p4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4</w:t>
      </w:r>
      <w:r w:rsidR="000862B9">
        <w:t xml:space="preserve">: </w:t>
      </w:r>
      <w:r w:rsidR="000862B9" w:rsidRPr="00140925">
        <w:t>Transmission direction implied</w:t>
      </w:r>
      <w:r w:rsidR="000862B9">
        <w:t xml:space="preserve"> by cell-specific RRC configuration, such as RMSI and PRACH,</w:t>
      </w:r>
      <w:r w:rsidR="000862B9" w:rsidRPr="00140925">
        <w:t xml:space="preserve"> cannot be overwritten to the other direction</w:t>
      </w:r>
    </w:p>
    <w:p w14:paraId="60079D24" w14:textId="77777777" w:rsidR="000862B9" w:rsidRDefault="00CB554E" w:rsidP="00140925">
      <w:r>
        <w:rPr>
          <w:szCs w:val="22"/>
        </w:rPr>
        <w:fldChar w:fldCharType="end"/>
      </w:r>
      <w:r>
        <w:rPr>
          <w:szCs w:val="22"/>
        </w:rPr>
        <w:fldChar w:fldCharType="begin"/>
      </w:r>
      <w:r>
        <w:rPr>
          <w:szCs w:val="22"/>
        </w:rPr>
        <w:instrText xml:space="preserve"> REF p5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5</w:t>
      </w:r>
      <w:r w:rsidR="000862B9">
        <w:t xml:space="preserve">: Transmission/reception triggered by </w:t>
      </w:r>
      <w:r w:rsidR="000862B9" w:rsidRPr="00AA6007">
        <w:t>DCI</w:t>
      </w:r>
      <w:r w:rsidR="000862B9">
        <w:t xml:space="preserve"> </w:t>
      </w:r>
      <w:r w:rsidR="000862B9" w:rsidRPr="00AA6007">
        <w:t xml:space="preserve">are treated </w:t>
      </w:r>
      <w:r w:rsidR="000862B9">
        <w:t>the same</w:t>
      </w:r>
      <w:r w:rsidR="000862B9" w:rsidRPr="00AA6007">
        <w:t xml:space="preserve"> as “UE-specific data transmission”</w:t>
      </w:r>
      <w:r w:rsidR="000862B9">
        <w:t>, and Transmission/reception implied by UE-specific RRC configuration are treated the same as “measurement”.</w:t>
      </w:r>
    </w:p>
    <w:p w14:paraId="5D5E967A" w14:textId="77777777" w:rsidR="00E86D5D" w:rsidRDefault="00CB554E" w:rsidP="00FD040D">
      <w:r>
        <w:rPr>
          <w:szCs w:val="22"/>
        </w:rPr>
        <w:fldChar w:fldCharType="end"/>
      </w:r>
      <w:r>
        <w:rPr>
          <w:szCs w:val="22"/>
        </w:rPr>
        <w:fldChar w:fldCharType="begin"/>
      </w:r>
      <w:r>
        <w:rPr>
          <w:szCs w:val="22"/>
        </w:rPr>
        <w:instrText xml:space="preserve"> REF p6 \h </w:instrText>
      </w:r>
      <w:r>
        <w:rPr>
          <w:szCs w:val="22"/>
        </w:rPr>
      </w:r>
      <w:r>
        <w:rPr>
          <w:szCs w:val="22"/>
        </w:rPr>
        <w:fldChar w:fldCharType="separate"/>
      </w:r>
      <w:r w:rsidR="00E86D5D" w:rsidRPr="00A3651A">
        <w:rPr>
          <w:b/>
          <w:u w:val="single"/>
        </w:rPr>
        <w:t>Proposal</w:t>
      </w:r>
      <w:r w:rsidR="00E86D5D">
        <w:rPr>
          <w:b/>
          <w:u w:val="single"/>
        </w:rPr>
        <w:t xml:space="preserve"> </w:t>
      </w:r>
      <w:r w:rsidR="00E86D5D">
        <w:rPr>
          <w:b/>
          <w:noProof/>
          <w:u w:val="single"/>
        </w:rPr>
        <w:t>6</w:t>
      </w:r>
      <w:r w:rsidR="00E86D5D">
        <w:t>: In Rel. 15, overwriting U</w:t>
      </w:r>
      <w:r w:rsidR="00E86D5D" w:rsidRPr="00AA6007">
        <w:t>E-specific data and measurement related signals</w:t>
      </w:r>
      <w:r w:rsidR="00E86D5D">
        <w:t>,</w:t>
      </w:r>
      <w:r w:rsidR="00E86D5D" w:rsidRPr="00AA6007">
        <w:t xml:space="preserve"> not semi-statically configured by RRC</w:t>
      </w:r>
      <w:r w:rsidR="00E86D5D">
        <w:t xml:space="preserve">, </w:t>
      </w:r>
      <w:r w:rsidR="00E86D5D" w:rsidRPr="00AA6007">
        <w:t xml:space="preserve">by “unknown” in </w:t>
      </w:r>
      <w:r w:rsidR="00E86D5D">
        <w:t>dynamic SFI is not supported.</w:t>
      </w:r>
    </w:p>
    <w:p w14:paraId="72F76481" w14:textId="77777777" w:rsidR="000862B9" w:rsidRDefault="00CB554E" w:rsidP="00FD040D">
      <w:r>
        <w:rPr>
          <w:szCs w:val="22"/>
        </w:rPr>
        <w:fldChar w:fldCharType="end"/>
      </w:r>
      <w:r>
        <w:rPr>
          <w:szCs w:val="22"/>
        </w:rPr>
        <w:fldChar w:fldCharType="begin"/>
      </w:r>
      <w:r>
        <w:rPr>
          <w:szCs w:val="22"/>
        </w:rPr>
        <w:instrText xml:space="preserve"> REF p7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7</w:t>
      </w:r>
      <w:r w:rsidR="000862B9">
        <w:t xml:space="preserve">: </w:t>
      </w:r>
      <w:r w:rsidR="000862B9">
        <w:rPr>
          <w:lang w:val="en-GB" w:eastAsia="zh-CN"/>
        </w:rPr>
        <w:t>PDCCH monitoring should still happen under semi-static unknown, if not overwritten, and PDCCH monitoring can be skipped under dynamic SFI unknown, if not overwritten.</w:t>
      </w:r>
    </w:p>
    <w:p w14:paraId="0DF59202" w14:textId="77777777" w:rsidR="000862B9" w:rsidRDefault="00CB554E" w:rsidP="008B5D75">
      <w:pPr>
        <w:rPr>
          <w:lang w:val="en-GB" w:eastAsia="zh-CN"/>
        </w:rPr>
      </w:pPr>
      <w:r>
        <w:rPr>
          <w:szCs w:val="22"/>
        </w:rPr>
        <w:fldChar w:fldCharType="end"/>
      </w:r>
      <w:r>
        <w:rPr>
          <w:szCs w:val="22"/>
        </w:rPr>
        <w:fldChar w:fldCharType="begin"/>
      </w:r>
      <w:r>
        <w:rPr>
          <w:szCs w:val="22"/>
        </w:rPr>
        <w:instrText xml:space="preserve"> REF p8 \h </w:instrText>
      </w:r>
      <w:r>
        <w:rPr>
          <w:szCs w:val="22"/>
        </w:rPr>
      </w:r>
      <w:r>
        <w:rPr>
          <w:szCs w:val="22"/>
        </w:rPr>
        <w:fldChar w:fldCharType="separate"/>
      </w:r>
      <w:r w:rsidR="000862B9" w:rsidRPr="00A3651A">
        <w:rPr>
          <w:b/>
          <w:u w:val="single"/>
        </w:rPr>
        <w:t>Proposal</w:t>
      </w:r>
      <w:r w:rsidR="000862B9">
        <w:rPr>
          <w:b/>
          <w:u w:val="single"/>
        </w:rPr>
        <w:t xml:space="preserve"> </w:t>
      </w:r>
      <w:r w:rsidR="000862B9">
        <w:rPr>
          <w:b/>
          <w:noProof/>
          <w:u w:val="single"/>
        </w:rPr>
        <w:t>8</w:t>
      </w:r>
      <w:r w:rsidR="000862B9">
        <w:t>:</w:t>
      </w:r>
      <w:r w:rsidR="000862B9">
        <w:rPr>
          <w:lang w:val="en-GB" w:eastAsia="zh-CN"/>
        </w:rPr>
        <w:t xml:space="preserve"> For a configured GC-PDCCH carrying SFI monitoring, if the UE failed to decode the GC-PDCCH, the UE cancel all measurement but continue to monitor PDCCH during the configured monitoring period.</w:t>
      </w:r>
    </w:p>
    <w:p w14:paraId="6AEDB98B" w14:textId="77777777" w:rsidR="00F3642C" w:rsidRDefault="00CB554E" w:rsidP="00CB554E">
      <w:r>
        <w:rPr>
          <w:szCs w:val="22"/>
        </w:rPr>
        <w:fldChar w:fldCharType="end"/>
      </w:r>
      <w:r>
        <w:rPr>
          <w:szCs w:val="22"/>
        </w:rPr>
        <w:fldChar w:fldCharType="begin"/>
      </w:r>
      <w:r>
        <w:rPr>
          <w:szCs w:val="22"/>
        </w:rPr>
        <w:instrText xml:space="preserve"> REF p9 \h </w:instrText>
      </w:r>
      <w:r>
        <w:rPr>
          <w:szCs w:val="22"/>
        </w:rPr>
      </w:r>
      <w:r>
        <w:rPr>
          <w:szCs w:val="22"/>
        </w:rPr>
        <w:fldChar w:fldCharType="separate"/>
      </w:r>
      <w:r w:rsidR="00F3642C" w:rsidRPr="00A3651A">
        <w:rPr>
          <w:b/>
          <w:u w:val="single"/>
        </w:rPr>
        <w:t>Proposal</w:t>
      </w:r>
      <w:r w:rsidR="00F3642C">
        <w:rPr>
          <w:b/>
          <w:u w:val="single"/>
        </w:rPr>
        <w:t xml:space="preserve"> </w:t>
      </w:r>
      <w:r w:rsidR="00F3642C">
        <w:rPr>
          <w:b/>
          <w:noProof/>
          <w:u w:val="single"/>
        </w:rPr>
        <w:t>9</w:t>
      </w:r>
      <w:r w:rsidR="00F3642C">
        <w:t>:</w:t>
      </w:r>
      <w:r w:rsidR="00F3642C">
        <w:rPr>
          <w:lang w:val="en-GB" w:eastAsia="zh-CN"/>
        </w:rPr>
        <w:t xml:space="preserve"> For a configured GC-PDCCH carrying SFI monitoring, the e</w:t>
      </w:r>
      <w:r w:rsidR="00F3642C">
        <w:t>ffective range should start from current slot the dynamic SFI is received. To cancel UL measurement related transmission, reuse the same N2 time for UE capability. To cancel DL measurement related reception, same slot is allowed.</w:t>
      </w:r>
    </w:p>
    <w:p w14:paraId="1DC4C7CC" w14:textId="065ECD28" w:rsidR="00CB554E" w:rsidRDefault="00CB554E" w:rsidP="00AE2ECC">
      <w:pPr>
        <w:spacing w:after="120"/>
        <w:rPr>
          <w:szCs w:val="22"/>
        </w:rPr>
      </w:pPr>
      <w:r>
        <w:rPr>
          <w:szCs w:val="22"/>
        </w:rPr>
        <w:fldChar w:fldCharType="end"/>
      </w:r>
      <w:bookmarkStart w:id="11" w:name="_GoBack"/>
      <w:bookmarkEnd w:id="11"/>
    </w:p>
    <w:p w14:paraId="163739A4" w14:textId="46E2A1A3" w:rsidR="00B0550D" w:rsidRPr="00226FE2" w:rsidRDefault="00B0550D" w:rsidP="00B0550D">
      <w:pPr>
        <w:pStyle w:val="Heading1"/>
        <w:rPr>
          <w:lang w:eastAsia="zh-CN"/>
        </w:rPr>
      </w:pPr>
      <w:r>
        <w:rPr>
          <w:lang w:eastAsia="zh-CN"/>
        </w:rPr>
        <w:t>References</w:t>
      </w:r>
    </w:p>
    <w:p w14:paraId="22145BB2" w14:textId="7E01E8DF" w:rsidR="00753D9B" w:rsidRDefault="00753D9B" w:rsidP="00753D9B">
      <w:pPr>
        <w:rPr>
          <w:szCs w:val="22"/>
        </w:rPr>
      </w:pPr>
      <w:r>
        <w:rPr>
          <w:szCs w:val="22"/>
        </w:rPr>
        <w:t>[1] R1-1715171, “WF on slot format configuration”, Qualcomm Incorporated</w:t>
      </w:r>
    </w:p>
    <w:p w14:paraId="5FAAFB4E" w14:textId="69CF7B3D" w:rsidR="00B0550D" w:rsidRDefault="00B0550D" w:rsidP="00753D9B">
      <w:pPr>
        <w:rPr>
          <w:szCs w:val="22"/>
        </w:rPr>
      </w:pPr>
      <w:r>
        <w:rPr>
          <w:szCs w:val="22"/>
        </w:rPr>
        <w:t>[</w:t>
      </w:r>
      <w:r w:rsidR="00753D9B">
        <w:rPr>
          <w:szCs w:val="22"/>
        </w:rPr>
        <w:t>2</w:t>
      </w:r>
      <w:r>
        <w:rPr>
          <w:szCs w:val="22"/>
        </w:rPr>
        <w:t>] R1-171</w:t>
      </w:r>
      <w:r w:rsidR="007E0E84">
        <w:rPr>
          <w:szCs w:val="22"/>
        </w:rPr>
        <w:t>3423</w:t>
      </w:r>
      <w:r>
        <w:rPr>
          <w:szCs w:val="22"/>
        </w:rPr>
        <w:t>, “Contents of group common PDCCH”, Qualcomm Incorporated</w:t>
      </w:r>
    </w:p>
    <w:p w14:paraId="1616CBAD" w14:textId="7510FE1F" w:rsidR="00091ADD" w:rsidRDefault="00091ADD" w:rsidP="00091ADD">
      <w:pPr>
        <w:pStyle w:val="Heading1"/>
      </w:pPr>
      <w:r>
        <w:t>Appendix</w:t>
      </w:r>
    </w:p>
    <w:p w14:paraId="04082097" w14:textId="4566B6A4" w:rsidR="00091ADD" w:rsidRDefault="00091ADD" w:rsidP="00091ADD">
      <w:pPr>
        <w:pStyle w:val="Caption"/>
        <w:keepNext/>
        <w:jc w:val="center"/>
      </w:pPr>
      <w:r>
        <w:t xml:space="preserve">Table </w:t>
      </w:r>
      <w:r w:rsidR="00891059">
        <w:fldChar w:fldCharType="begin"/>
      </w:r>
      <w:r w:rsidR="00891059">
        <w:instrText xml:space="preserve"> SEQ Table \* ARABIC </w:instrText>
      </w:r>
      <w:r w:rsidR="00891059">
        <w:fldChar w:fldCharType="separate"/>
      </w:r>
      <w:r w:rsidR="000862B9">
        <w:rPr>
          <w:noProof/>
        </w:rPr>
        <w:t>1</w:t>
      </w:r>
      <w:r w:rsidR="00891059">
        <w:rPr>
          <w:noProof/>
        </w:rPr>
        <w:fldChar w:fldCharType="end"/>
      </w:r>
      <w:r>
        <w:t>:Simulation assumptions</w:t>
      </w:r>
    </w:p>
    <w:tbl>
      <w:tblPr>
        <w:tblStyle w:val="GridTable4-Accent1"/>
        <w:tblW w:w="8621" w:type="dxa"/>
        <w:jc w:val="center"/>
        <w:tblInd w:w="0" w:type="dxa"/>
        <w:tblLook w:val="0420" w:firstRow="1" w:lastRow="0" w:firstColumn="0" w:lastColumn="0" w:noHBand="0" w:noVBand="1"/>
      </w:tblPr>
      <w:tblGrid>
        <w:gridCol w:w="3685"/>
        <w:gridCol w:w="4936"/>
      </w:tblGrid>
      <w:tr w:rsidR="00091ADD" w14:paraId="7672D8FB"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140CF2BF" w14:textId="77777777" w:rsidR="00091ADD" w:rsidRDefault="00091ADD" w:rsidP="008C420C">
            <w:pPr>
              <w:spacing w:after="0"/>
              <w:jc w:val="center"/>
              <w:rPr>
                <w:b w:val="0"/>
                <w:szCs w:val="24"/>
              </w:rPr>
            </w:pPr>
            <w:r>
              <w:rPr>
                <w:szCs w:val="24"/>
              </w:rPr>
              <w:t>Parameter</w:t>
            </w:r>
          </w:p>
        </w:tc>
        <w:tc>
          <w:tcPr>
            <w:tcW w:w="4936" w:type="dxa"/>
            <w:hideMark/>
          </w:tcPr>
          <w:p w14:paraId="4FC93E96" w14:textId="77777777" w:rsidR="00091ADD" w:rsidRDefault="00091ADD" w:rsidP="008C420C">
            <w:pPr>
              <w:spacing w:after="0"/>
              <w:jc w:val="center"/>
              <w:rPr>
                <w:b w:val="0"/>
                <w:szCs w:val="24"/>
              </w:rPr>
            </w:pPr>
            <w:r>
              <w:rPr>
                <w:szCs w:val="24"/>
              </w:rPr>
              <w:t>Value</w:t>
            </w:r>
          </w:p>
        </w:tc>
      </w:tr>
      <w:tr w:rsidR="00091ADD" w14:paraId="15AF439D"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EFB02E1" w14:textId="77777777" w:rsidR="00091ADD" w:rsidRDefault="00091ADD" w:rsidP="008C420C">
            <w:pPr>
              <w:spacing w:after="0"/>
              <w:jc w:val="center"/>
              <w:rPr>
                <w:szCs w:val="24"/>
              </w:rPr>
            </w:pPr>
            <w:r>
              <w:rPr>
                <w:szCs w:val="24"/>
              </w:rPr>
              <w:t>Channel profile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AA4894" w14:textId="77777777" w:rsidR="00091ADD" w:rsidRDefault="00091ADD" w:rsidP="008C420C">
            <w:pPr>
              <w:spacing w:after="0"/>
              <w:jc w:val="center"/>
              <w:rPr>
                <w:szCs w:val="24"/>
              </w:rPr>
            </w:pPr>
            <w:r>
              <w:rPr>
                <w:szCs w:val="24"/>
              </w:rPr>
              <w:t>TDL-C 300ns / AWGN</w:t>
            </w:r>
          </w:p>
        </w:tc>
      </w:tr>
      <w:tr w:rsidR="00091ADD" w14:paraId="6DAFBBB2" w14:textId="77777777" w:rsidTr="00091ADD">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FC19C99" w14:textId="2AC97CA9" w:rsidR="00091ADD" w:rsidRDefault="00091ADD" w:rsidP="008C420C">
            <w:pPr>
              <w:spacing w:after="0"/>
              <w:jc w:val="center"/>
              <w:rPr>
                <w:szCs w:val="24"/>
              </w:rPr>
            </w:pPr>
            <w:r>
              <w:rPr>
                <w:szCs w:val="24"/>
              </w:rPr>
              <w:t>Number of BTS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1A18D1F" w14:textId="77777777" w:rsidR="00091ADD" w:rsidRDefault="00091ADD" w:rsidP="008C420C">
            <w:pPr>
              <w:spacing w:after="0"/>
              <w:jc w:val="center"/>
              <w:rPr>
                <w:szCs w:val="24"/>
              </w:rPr>
            </w:pPr>
            <w:r>
              <w:rPr>
                <w:szCs w:val="24"/>
              </w:rPr>
              <w:t>1</w:t>
            </w:r>
          </w:p>
        </w:tc>
      </w:tr>
      <w:tr w:rsidR="00091ADD" w14:paraId="5632ED95"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9C088EA" w14:textId="77777777" w:rsidR="00091ADD" w:rsidRDefault="00091ADD" w:rsidP="008C420C">
            <w:pPr>
              <w:spacing w:after="0"/>
              <w:jc w:val="center"/>
              <w:rPr>
                <w:szCs w:val="24"/>
              </w:rPr>
            </w:pPr>
            <w:r>
              <w:rPr>
                <w:szCs w:val="24"/>
              </w:rPr>
              <w:t>Number of UE antennas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A512631" w14:textId="77777777" w:rsidR="00091ADD" w:rsidRDefault="00091ADD" w:rsidP="008C420C">
            <w:pPr>
              <w:spacing w:after="0"/>
              <w:jc w:val="center"/>
              <w:rPr>
                <w:szCs w:val="24"/>
              </w:rPr>
            </w:pPr>
            <w:r>
              <w:rPr>
                <w:szCs w:val="24"/>
              </w:rPr>
              <w:t>1</w:t>
            </w:r>
          </w:p>
        </w:tc>
      </w:tr>
      <w:tr w:rsidR="00091ADD" w14:paraId="2638D8F0"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AD1476A" w14:textId="77777777" w:rsidR="00091ADD" w:rsidRDefault="00091ADD" w:rsidP="008C420C">
            <w:pPr>
              <w:spacing w:after="0"/>
              <w:jc w:val="center"/>
              <w:rPr>
                <w:szCs w:val="24"/>
              </w:rPr>
            </w:pPr>
            <w:r>
              <w:rPr>
                <w:szCs w:val="24"/>
              </w:rPr>
              <w:t>beamforming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9ADA8FD" w14:textId="77777777" w:rsidR="00091ADD" w:rsidRDefault="00091ADD" w:rsidP="008C420C">
            <w:pPr>
              <w:spacing w:after="0"/>
              <w:jc w:val="center"/>
              <w:rPr>
                <w:szCs w:val="24"/>
              </w:rPr>
            </w:pPr>
            <w:r>
              <w:rPr>
                <w:szCs w:val="24"/>
              </w:rPr>
              <w:t>no beamforming</w:t>
            </w:r>
          </w:p>
        </w:tc>
      </w:tr>
      <w:tr w:rsidR="00091ADD" w14:paraId="282E5A1D"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DE73FA8" w14:textId="77777777" w:rsidR="00091ADD" w:rsidRDefault="00091ADD" w:rsidP="008C420C">
            <w:pPr>
              <w:spacing w:after="0"/>
              <w:jc w:val="center"/>
              <w:rPr>
                <w:szCs w:val="24"/>
              </w:rPr>
            </w:pPr>
            <w:r>
              <w:rPr>
                <w:szCs w:val="24"/>
              </w:rPr>
              <w:t>Number of REGs(containing RS) for each CCE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B821361" w14:textId="77777777" w:rsidR="00091ADD" w:rsidRDefault="00091ADD" w:rsidP="008C420C">
            <w:pPr>
              <w:spacing w:after="0"/>
              <w:jc w:val="center"/>
              <w:rPr>
                <w:szCs w:val="24"/>
              </w:rPr>
            </w:pPr>
            <w:r>
              <w:rPr>
                <w:szCs w:val="24"/>
              </w:rPr>
              <w:t>6 REGs (1 REG = 1PRB in a single OFDM symbol)</w:t>
            </w:r>
          </w:p>
        </w:tc>
      </w:tr>
      <w:tr w:rsidR="00091ADD" w14:paraId="093B5963"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543D744" w14:textId="77777777" w:rsidR="00091ADD" w:rsidRDefault="00091ADD" w:rsidP="008C420C">
            <w:pPr>
              <w:spacing w:after="0"/>
              <w:jc w:val="center"/>
              <w:rPr>
                <w:szCs w:val="24"/>
              </w:rPr>
            </w:pPr>
            <w:r>
              <w:rPr>
                <w:szCs w:val="24"/>
              </w:rPr>
              <w:t>Number of symbols</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6A5FF2D" w14:textId="77777777" w:rsidR="00091ADD" w:rsidRDefault="00091ADD" w:rsidP="008C420C">
            <w:pPr>
              <w:spacing w:after="0"/>
              <w:jc w:val="center"/>
              <w:rPr>
                <w:szCs w:val="24"/>
              </w:rPr>
            </w:pPr>
            <w:r>
              <w:rPr>
                <w:szCs w:val="24"/>
              </w:rPr>
              <w:t>1</w:t>
            </w:r>
          </w:p>
        </w:tc>
      </w:tr>
      <w:tr w:rsidR="00091ADD" w14:paraId="04452542" w14:textId="77777777" w:rsidTr="00091ADD">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E0DDFE" w14:textId="77777777" w:rsidR="00091ADD" w:rsidRDefault="00091ADD" w:rsidP="008C420C">
            <w:pPr>
              <w:spacing w:after="0"/>
              <w:jc w:val="center"/>
              <w:rPr>
                <w:szCs w:val="24"/>
              </w:rPr>
            </w:pPr>
            <w:r>
              <w:rPr>
                <w:szCs w:val="24"/>
              </w:rPr>
              <w:t>RS density</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1B12781" w14:textId="77777777" w:rsidR="00091ADD" w:rsidRDefault="00091ADD" w:rsidP="008C420C">
            <w:pPr>
              <w:spacing w:after="0"/>
              <w:jc w:val="center"/>
              <w:rPr>
                <w:szCs w:val="24"/>
              </w:rPr>
            </w:pPr>
            <w:r>
              <w:rPr>
                <w:szCs w:val="24"/>
              </w:rPr>
              <w:t>1/3</w:t>
            </w:r>
          </w:p>
        </w:tc>
      </w:tr>
      <w:tr w:rsidR="00091ADD" w14:paraId="77BF6A9C" w14:textId="77777777" w:rsidTr="00091ADD">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B2FA97" w14:textId="77777777" w:rsidR="00091ADD" w:rsidRDefault="00091ADD" w:rsidP="008C420C">
            <w:pPr>
              <w:spacing w:after="0"/>
              <w:jc w:val="center"/>
              <w:rPr>
                <w:szCs w:val="24"/>
              </w:rPr>
            </w:pPr>
            <w:r>
              <w:rPr>
                <w:szCs w:val="24"/>
              </w:rPr>
              <w:t>subcarrier spacing</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C446ABB" w14:textId="77777777" w:rsidR="00091ADD" w:rsidRDefault="00091ADD" w:rsidP="008C420C">
            <w:pPr>
              <w:spacing w:after="0"/>
              <w:jc w:val="center"/>
              <w:rPr>
                <w:szCs w:val="24"/>
              </w:rPr>
            </w:pPr>
            <w:r>
              <w:rPr>
                <w:szCs w:val="24"/>
              </w:rPr>
              <w:t>30KHz</w:t>
            </w:r>
          </w:p>
        </w:tc>
      </w:tr>
      <w:tr w:rsidR="00091ADD" w14:paraId="14ABCC66"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569EB58" w14:textId="77777777" w:rsidR="00091ADD" w:rsidRDefault="00091ADD" w:rsidP="008C420C">
            <w:pPr>
              <w:spacing w:after="0"/>
              <w:jc w:val="center"/>
              <w:rPr>
                <w:szCs w:val="24"/>
              </w:rPr>
            </w:pPr>
            <w:r>
              <w:rPr>
                <w:szCs w:val="24"/>
              </w:rPr>
              <w:t>Channel Estimation</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B764E6F" w14:textId="77777777" w:rsidR="00091ADD" w:rsidRDefault="00091ADD" w:rsidP="008C420C">
            <w:pPr>
              <w:spacing w:after="0"/>
              <w:jc w:val="center"/>
              <w:rPr>
                <w:szCs w:val="24"/>
              </w:rPr>
            </w:pPr>
            <w:r>
              <w:rPr>
                <w:szCs w:val="24"/>
              </w:rPr>
              <w:t>Genie</w:t>
            </w:r>
          </w:p>
        </w:tc>
      </w:tr>
      <w:tr w:rsidR="00091ADD" w14:paraId="2C6306CF" w14:textId="77777777" w:rsidTr="00091ADD">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CD10E4" w14:textId="77777777" w:rsidR="00091ADD" w:rsidRDefault="00091ADD" w:rsidP="008C420C">
            <w:pPr>
              <w:spacing w:after="0"/>
              <w:jc w:val="center"/>
              <w:rPr>
                <w:szCs w:val="24"/>
              </w:rPr>
            </w:pPr>
            <w:r>
              <w:rPr>
                <w:szCs w:val="24"/>
              </w:rPr>
              <w:t>Search Space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F0DB845" w14:textId="790759FB" w:rsidR="00091ADD" w:rsidRDefault="00091ADD" w:rsidP="008C420C">
            <w:pPr>
              <w:spacing w:after="0"/>
              <w:jc w:val="center"/>
              <w:rPr>
                <w:szCs w:val="24"/>
              </w:rPr>
            </w:pPr>
            <w:r>
              <w:rPr>
                <w:szCs w:val="24"/>
              </w:rPr>
              <w:t xml:space="preserve">Distributed </w:t>
            </w:r>
          </w:p>
        </w:tc>
      </w:tr>
      <w:tr w:rsidR="00091ADD" w14:paraId="6DF0E287" w14:textId="77777777" w:rsidTr="00091ADD">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E090192" w14:textId="77777777" w:rsidR="00091ADD" w:rsidRDefault="00091ADD" w:rsidP="008C420C">
            <w:pPr>
              <w:spacing w:after="0"/>
              <w:jc w:val="center"/>
              <w:rPr>
                <w:szCs w:val="24"/>
              </w:rPr>
            </w:pPr>
            <w:r>
              <w:rPr>
                <w:szCs w:val="24"/>
              </w:rPr>
              <w:t>Diversity scheme</w:t>
            </w:r>
          </w:p>
        </w:tc>
        <w:tc>
          <w:tcPr>
            <w:tcW w:w="49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A8E3E17" w14:textId="77777777" w:rsidR="00091ADD" w:rsidRDefault="00091ADD" w:rsidP="008C420C">
            <w:pPr>
              <w:spacing w:after="0"/>
              <w:jc w:val="center"/>
              <w:rPr>
                <w:szCs w:val="24"/>
              </w:rPr>
            </w:pPr>
            <w:r>
              <w:rPr>
                <w:szCs w:val="24"/>
              </w:rPr>
              <w:t>None</w:t>
            </w:r>
          </w:p>
        </w:tc>
      </w:tr>
    </w:tbl>
    <w:p w14:paraId="27F1EFE3" w14:textId="60CCA763" w:rsidR="00091ADD" w:rsidRDefault="00091ADD" w:rsidP="00091ADD">
      <w:pPr>
        <w:rPr>
          <w:lang w:val="en-GB"/>
        </w:rPr>
      </w:pPr>
    </w:p>
    <w:p w14:paraId="5CD7BF8F" w14:textId="757402FE" w:rsidR="00091ADD" w:rsidRDefault="00091ADD" w:rsidP="00091ADD">
      <w:pPr>
        <w:pStyle w:val="Caption"/>
        <w:keepNext/>
        <w:jc w:val="center"/>
      </w:pPr>
      <w:r>
        <w:t xml:space="preserve">Table </w:t>
      </w:r>
      <w:r w:rsidR="00891059">
        <w:fldChar w:fldCharType="begin"/>
      </w:r>
      <w:r w:rsidR="00891059">
        <w:instrText xml:space="preserve"> SEQ Table \* ARABIC </w:instrText>
      </w:r>
      <w:r w:rsidR="00891059">
        <w:fldChar w:fldCharType="separate"/>
      </w:r>
      <w:r w:rsidR="000862B9">
        <w:rPr>
          <w:noProof/>
        </w:rPr>
        <w:t>2</w:t>
      </w:r>
      <w:r w:rsidR="00891059">
        <w:rPr>
          <w:noProof/>
        </w:rPr>
        <w:fldChar w:fldCharType="end"/>
      </w:r>
      <w:r>
        <w:t xml:space="preserve">: </w:t>
      </w:r>
      <w:r w:rsidR="00870637">
        <w:t>Coding schemes under comparison</w:t>
      </w:r>
    </w:p>
    <w:tbl>
      <w:tblPr>
        <w:tblStyle w:val="GridTable4-Accent1"/>
        <w:tblW w:w="7579" w:type="dxa"/>
        <w:jc w:val="center"/>
        <w:tblInd w:w="0" w:type="dxa"/>
        <w:tblLook w:val="0420" w:firstRow="1" w:lastRow="0" w:firstColumn="0" w:lastColumn="0" w:noHBand="0" w:noVBand="1"/>
      </w:tblPr>
      <w:tblGrid>
        <w:gridCol w:w="1909"/>
        <w:gridCol w:w="5670"/>
      </w:tblGrid>
      <w:tr w:rsidR="00091ADD" w14:paraId="70B7317D" w14:textId="77777777" w:rsidTr="00091ADD">
        <w:trPr>
          <w:cnfStyle w:val="100000000000" w:firstRow="1" w:lastRow="0" w:firstColumn="0" w:lastColumn="0" w:oddVBand="0" w:evenVBand="0" w:oddHBand="0" w:evenHBand="0" w:firstRowFirstColumn="0" w:firstRowLastColumn="0" w:lastRowFirstColumn="0" w:lastRowLastColumn="0"/>
          <w:trHeight w:val="23"/>
          <w:jc w:val="center"/>
        </w:trPr>
        <w:tc>
          <w:tcPr>
            <w:tcW w:w="1909" w:type="dxa"/>
            <w:hideMark/>
          </w:tcPr>
          <w:p w14:paraId="1CC2C09C" w14:textId="77777777" w:rsidR="00091ADD" w:rsidRDefault="00091ADD" w:rsidP="008C420C">
            <w:pPr>
              <w:spacing w:after="0"/>
              <w:jc w:val="center"/>
              <w:rPr>
                <w:b w:val="0"/>
                <w:szCs w:val="24"/>
              </w:rPr>
            </w:pPr>
            <w:r>
              <w:rPr>
                <w:szCs w:val="24"/>
              </w:rPr>
              <w:t>Coding scheme</w:t>
            </w:r>
          </w:p>
        </w:tc>
        <w:tc>
          <w:tcPr>
            <w:tcW w:w="5670" w:type="dxa"/>
            <w:hideMark/>
          </w:tcPr>
          <w:p w14:paraId="7663E0E2" w14:textId="77777777" w:rsidR="00091ADD" w:rsidRDefault="00091ADD" w:rsidP="008C420C">
            <w:pPr>
              <w:spacing w:after="0"/>
              <w:jc w:val="center"/>
              <w:rPr>
                <w:b w:val="0"/>
                <w:szCs w:val="24"/>
              </w:rPr>
            </w:pPr>
            <w:r>
              <w:rPr>
                <w:szCs w:val="24"/>
              </w:rPr>
              <w:t>Details</w:t>
            </w:r>
          </w:p>
        </w:tc>
      </w:tr>
      <w:tr w:rsidR="00091ADD" w14:paraId="00C1B053" w14:textId="77777777" w:rsidTr="00091ADD">
        <w:trPr>
          <w:cnfStyle w:val="000000100000" w:firstRow="0" w:lastRow="0" w:firstColumn="0" w:lastColumn="0" w:oddVBand="0" w:evenVBand="0" w:oddHBand="1" w:evenHBand="0" w:firstRowFirstColumn="0" w:firstRowLastColumn="0" w:lastRowFirstColumn="0" w:lastRowLastColumn="0"/>
          <w:trHeight w:val="70"/>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EF27E1F" w14:textId="77777777" w:rsidR="00091ADD" w:rsidRDefault="00091ADD" w:rsidP="008C420C">
            <w:pPr>
              <w:spacing w:after="0"/>
              <w:jc w:val="center"/>
              <w:rPr>
                <w:szCs w:val="24"/>
              </w:rPr>
            </w:pPr>
            <w:r>
              <w:rPr>
                <w:szCs w:val="24"/>
              </w:rPr>
              <w:t>LTE Reed-Muller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7DD52E2" w14:textId="77777777" w:rsidR="00091ADD" w:rsidRDefault="00091ADD" w:rsidP="008C420C">
            <w:pPr>
              <w:spacing w:after="0"/>
              <w:jc w:val="center"/>
              <w:rPr>
                <w:szCs w:val="24"/>
              </w:rPr>
            </w:pPr>
            <w:r>
              <w:rPr>
                <w:szCs w:val="24"/>
              </w:rPr>
              <w:t>K=3,7,11; no CRC; Generator matrix is based on N=32; rate matched to AL1,2,4,8; ML decoder</w:t>
            </w:r>
          </w:p>
        </w:tc>
      </w:tr>
      <w:tr w:rsidR="00091ADD" w14:paraId="432EDA1A" w14:textId="77777777" w:rsidTr="00091ADD">
        <w:trPr>
          <w:trHeight w:val="174"/>
          <w:jc w:val="center"/>
        </w:trPr>
        <w:tc>
          <w:tcPr>
            <w:tcW w:w="19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1961C52" w14:textId="77777777" w:rsidR="00091ADD" w:rsidRDefault="00091ADD" w:rsidP="008C420C">
            <w:pPr>
              <w:spacing w:after="0"/>
              <w:jc w:val="center"/>
              <w:rPr>
                <w:szCs w:val="24"/>
              </w:rPr>
            </w:pPr>
            <w:r>
              <w:rPr>
                <w:szCs w:val="24"/>
              </w:rPr>
              <w:lastRenderedPageBreak/>
              <w:t xml:space="preserve"> CA-Polar</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6C94A2A" w14:textId="77777777" w:rsidR="00091ADD" w:rsidRDefault="00091ADD" w:rsidP="008C420C">
            <w:pPr>
              <w:spacing w:after="0"/>
              <w:rPr>
                <w:szCs w:val="24"/>
              </w:rPr>
            </w:pPr>
            <w:r>
              <w:rPr>
                <w:szCs w:val="24"/>
              </w:rPr>
              <w:t>K=20; CRC=16bit; List size = 8; Construction: block puncture from the top with MI-DE based sequence.</w:t>
            </w:r>
          </w:p>
        </w:tc>
      </w:tr>
    </w:tbl>
    <w:p w14:paraId="263E7D1F" w14:textId="77777777" w:rsidR="00091ADD" w:rsidRPr="00091ADD" w:rsidRDefault="00091ADD" w:rsidP="00091ADD"/>
    <w:p w14:paraId="34DCA6F6" w14:textId="77777777" w:rsidR="00B0550D" w:rsidRDefault="00B0550D" w:rsidP="00B0550D"/>
    <w:p w14:paraId="27025F22" w14:textId="67AA605C" w:rsidR="00CF4022" w:rsidRDefault="00CF4022" w:rsidP="00CF4022"/>
    <w:sectPr w:rsidR="00CF4022"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A2628" w14:textId="77777777" w:rsidR="00891059" w:rsidRDefault="00891059">
      <w:r>
        <w:separator/>
      </w:r>
    </w:p>
  </w:endnote>
  <w:endnote w:type="continuationSeparator" w:id="0">
    <w:p w14:paraId="3AEB1389" w14:textId="77777777" w:rsidR="00891059" w:rsidRDefault="00891059">
      <w:r>
        <w:continuationSeparator/>
      </w:r>
    </w:p>
  </w:endnote>
  <w:endnote w:type="continuationNotice" w:id="1">
    <w:p w14:paraId="670F9CAB" w14:textId="77777777" w:rsidR="00891059" w:rsidRDefault="00891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5947FC" w:rsidRDefault="005947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5947FC" w:rsidRDefault="005947F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DC1DC08" w:rsidR="005947FC" w:rsidRDefault="005947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642C">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642C">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C0D20" w14:textId="77777777" w:rsidR="00891059" w:rsidRDefault="00891059">
      <w:r>
        <w:separator/>
      </w:r>
    </w:p>
  </w:footnote>
  <w:footnote w:type="continuationSeparator" w:id="0">
    <w:p w14:paraId="268E2F5D" w14:textId="77777777" w:rsidR="00891059" w:rsidRDefault="00891059">
      <w:r>
        <w:continuationSeparator/>
      </w:r>
    </w:p>
  </w:footnote>
  <w:footnote w:type="continuationNotice" w:id="1">
    <w:p w14:paraId="3779F7F1" w14:textId="77777777" w:rsidR="00891059" w:rsidRDefault="00891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5947FC" w:rsidRDefault="005947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2"/>
  </w:num>
  <w:num w:numId="4">
    <w:abstractNumId w:val="11"/>
  </w:num>
  <w:num w:numId="5">
    <w:abstractNumId w:val="22"/>
  </w:num>
  <w:num w:numId="6">
    <w:abstractNumId w:val="9"/>
  </w:num>
  <w:num w:numId="7">
    <w:abstractNumId w:val="19"/>
  </w:num>
  <w:num w:numId="8">
    <w:abstractNumId w:val="26"/>
  </w:num>
  <w:num w:numId="9">
    <w:abstractNumId w:val="16"/>
  </w:num>
  <w:num w:numId="10">
    <w:abstractNumId w:val="10"/>
  </w:num>
  <w:num w:numId="11">
    <w:abstractNumId w:val="15"/>
  </w:num>
  <w:num w:numId="12">
    <w:abstractNumId w:val="25"/>
  </w:num>
  <w:num w:numId="13">
    <w:abstractNumId w:val="2"/>
  </w:num>
  <w:num w:numId="14">
    <w:abstractNumId w:val="20"/>
  </w:num>
  <w:num w:numId="15">
    <w:abstractNumId w:val="17"/>
  </w:num>
  <w:num w:numId="16">
    <w:abstractNumId w:val="4"/>
  </w:num>
  <w:num w:numId="17">
    <w:abstractNumId w:val="3"/>
  </w:num>
  <w:num w:numId="18">
    <w:abstractNumId w:val="13"/>
  </w:num>
  <w:num w:numId="19">
    <w:abstractNumId w:val="21"/>
  </w:num>
  <w:num w:numId="20">
    <w:abstractNumId w:val="5"/>
  </w:num>
  <w:num w:numId="21">
    <w:abstractNumId w:val="23"/>
  </w:num>
  <w:num w:numId="22">
    <w:abstractNumId w:val="18"/>
  </w:num>
  <w:num w:numId="23">
    <w:abstractNumId w:val="27"/>
  </w:num>
  <w:num w:numId="24">
    <w:abstractNumId w:val="24"/>
  </w:num>
  <w:num w:numId="25">
    <w:abstractNumId w:val="6"/>
  </w:num>
  <w:num w:numId="26">
    <w:abstractNumId w:val="7"/>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44"/>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8F"/>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23"/>
    <w:rsid w:val="00082C90"/>
    <w:rsid w:val="000832D0"/>
    <w:rsid w:val="00083322"/>
    <w:rsid w:val="0008399B"/>
    <w:rsid w:val="00083ABE"/>
    <w:rsid w:val="00084255"/>
    <w:rsid w:val="00085239"/>
    <w:rsid w:val="00085F08"/>
    <w:rsid w:val="000862B9"/>
    <w:rsid w:val="000862BA"/>
    <w:rsid w:val="000862F6"/>
    <w:rsid w:val="00086B50"/>
    <w:rsid w:val="00086C4D"/>
    <w:rsid w:val="0008760B"/>
    <w:rsid w:val="0008782D"/>
    <w:rsid w:val="00087E29"/>
    <w:rsid w:val="0009037D"/>
    <w:rsid w:val="00090394"/>
    <w:rsid w:val="00090573"/>
    <w:rsid w:val="00090779"/>
    <w:rsid w:val="00091ADD"/>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64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925"/>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67"/>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1F74"/>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826"/>
    <w:rsid w:val="002D3968"/>
    <w:rsid w:val="002D425A"/>
    <w:rsid w:val="002D4314"/>
    <w:rsid w:val="002D4A54"/>
    <w:rsid w:val="002D4E37"/>
    <w:rsid w:val="002D52E0"/>
    <w:rsid w:val="002D5DEA"/>
    <w:rsid w:val="002D6127"/>
    <w:rsid w:val="002D61BE"/>
    <w:rsid w:val="002D61F0"/>
    <w:rsid w:val="002D6624"/>
    <w:rsid w:val="002D7235"/>
    <w:rsid w:val="002D7292"/>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998"/>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40E"/>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BC"/>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35F"/>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658"/>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DC4"/>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538"/>
    <w:rsid w:val="004478FA"/>
    <w:rsid w:val="00447FF5"/>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4B3"/>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1D7"/>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080"/>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29F"/>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B8"/>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D34"/>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7FC"/>
    <w:rsid w:val="0059486C"/>
    <w:rsid w:val="00595308"/>
    <w:rsid w:val="00595777"/>
    <w:rsid w:val="00595DA2"/>
    <w:rsid w:val="00595E51"/>
    <w:rsid w:val="00595E99"/>
    <w:rsid w:val="00596308"/>
    <w:rsid w:val="0059638E"/>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686"/>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77F39"/>
    <w:rsid w:val="0068013A"/>
    <w:rsid w:val="0068079C"/>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003"/>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7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20"/>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D9B"/>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E1"/>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302"/>
    <w:rsid w:val="007B2638"/>
    <w:rsid w:val="007B2BB1"/>
    <w:rsid w:val="007B3476"/>
    <w:rsid w:val="007B448A"/>
    <w:rsid w:val="007B44DC"/>
    <w:rsid w:val="007B4543"/>
    <w:rsid w:val="007B4937"/>
    <w:rsid w:val="007B4D3D"/>
    <w:rsid w:val="007B550D"/>
    <w:rsid w:val="007B5A66"/>
    <w:rsid w:val="007B630D"/>
    <w:rsid w:val="007B6B0D"/>
    <w:rsid w:val="007B77FB"/>
    <w:rsid w:val="007B7946"/>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6EC"/>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059"/>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D75"/>
    <w:rsid w:val="008B60ED"/>
    <w:rsid w:val="008B66CB"/>
    <w:rsid w:val="008B6E5C"/>
    <w:rsid w:val="008B6EEA"/>
    <w:rsid w:val="008C1161"/>
    <w:rsid w:val="008C18DB"/>
    <w:rsid w:val="008C2135"/>
    <w:rsid w:val="008C2236"/>
    <w:rsid w:val="008C2426"/>
    <w:rsid w:val="008C2453"/>
    <w:rsid w:val="008C26B4"/>
    <w:rsid w:val="008C2767"/>
    <w:rsid w:val="008C2BC8"/>
    <w:rsid w:val="008C3A0C"/>
    <w:rsid w:val="008C420C"/>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8"/>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CBB"/>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A1"/>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180"/>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01"/>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8E5"/>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A32"/>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17D"/>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A84"/>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07"/>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D4C"/>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EC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E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ABA"/>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258"/>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CD5"/>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54E"/>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B7"/>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690"/>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E3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01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123"/>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6D5D"/>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BCE"/>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5E"/>
    <w:rsid w:val="00EF7878"/>
    <w:rsid w:val="00EF7F14"/>
    <w:rsid w:val="00EF7F47"/>
    <w:rsid w:val="00F000F0"/>
    <w:rsid w:val="00F00180"/>
    <w:rsid w:val="00F004AB"/>
    <w:rsid w:val="00F006E4"/>
    <w:rsid w:val="00F0090F"/>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42C"/>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80B"/>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2C"/>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5A24"/>
    <w:rsid w:val="00F86165"/>
    <w:rsid w:val="00F862CA"/>
    <w:rsid w:val="00F863EB"/>
    <w:rsid w:val="00F86B20"/>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0D"/>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ullet">
    <w:name w:val="bullet"/>
    <w:basedOn w:val="ListParagraph"/>
    <w:link w:val="bulletChar"/>
    <w:qFormat/>
    <w:rsid w:val="005947FC"/>
    <w:pPr>
      <w:widowControl w:val="0"/>
      <w:numPr>
        <w:numId w:val="6"/>
      </w:numPr>
      <w:contextualSpacing/>
      <w:jc w:val="both"/>
    </w:pPr>
    <w:rPr>
      <w:rFonts w:asciiTheme="minorHAnsi" w:eastAsia="Times New Roman" w:hAnsiTheme="minorHAnsi" w:cstheme="minorBidi"/>
      <w:kern w:val="2"/>
      <w:sz w:val="20"/>
      <w:szCs w:val="24"/>
      <w:lang w:eastAsia="zh-CN"/>
    </w:rPr>
  </w:style>
  <w:style w:type="character" w:customStyle="1" w:styleId="bulletChar">
    <w:name w:val="bullet Char"/>
    <w:basedOn w:val="DefaultParagraphFont"/>
    <w:link w:val="bullet"/>
    <w:rsid w:val="00AA6007"/>
    <w:rPr>
      <w:rFonts w:asciiTheme="minorHAnsi" w:eastAsia="Times New Roman" w:hAnsiTheme="minorHAnsi" w:cstheme="minorBid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80694">
      <w:bodyDiv w:val="1"/>
      <w:marLeft w:val="0"/>
      <w:marRight w:val="0"/>
      <w:marTop w:val="0"/>
      <w:marBottom w:val="0"/>
      <w:divBdr>
        <w:top w:val="none" w:sz="0" w:space="0" w:color="auto"/>
        <w:left w:val="none" w:sz="0" w:space="0" w:color="auto"/>
        <w:bottom w:val="none" w:sz="0" w:space="0" w:color="auto"/>
        <w:right w:val="none" w:sz="0" w:space="0" w:color="auto"/>
      </w:divBdr>
      <w:divsChild>
        <w:div w:id="907112067">
          <w:marLeft w:val="360"/>
          <w:marRight w:val="0"/>
          <w:marTop w:val="200"/>
          <w:marBottom w:val="0"/>
          <w:divBdr>
            <w:top w:val="none" w:sz="0" w:space="0" w:color="auto"/>
            <w:left w:val="none" w:sz="0" w:space="0" w:color="auto"/>
            <w:bottom w:val="none" w:sz="0" w:space="0" w:color="auto"/>
            <w:right w:val="none" w:sz="0" w:space="0" w:color="auto"/>
          </w:divBdr>
        </w:div>
        <w:div w:id="2045330668">
          <w:marLeft w:val="1080"/>
          <w:marRight w:val="0"/>
          <w:marTop w:val="100"/>
          <w:marBottom w:val="0"/>
          <w:divBdr>
            <w:top w:val="none" w:sz="0" w:space="0" w:color="auto"/>
            <w:left w:val="none" w:sz="0" w:space="0" w:color="auto"/>
            <w:bottom w:val="none" w:sz="0" w:space="0" w:color="auto"/>
            <w:right w:val="none" w:sz="0" w:space="0" w:color="auto"/>
          </w:divBdr>
        </w:div>
        <w:div w:id="592784931">
          <w:marLeft w:val="1800"/>
          <w:marRight w:val="0"/>
          <w:marTop w:val="100"/>
          <w:marBottom w:val="0"/>
          <w:divBdr>
            <w:top w:val="none" w:sz="0" w:space="0" w:color="auto"/>
            <w:left w:val="none" w:sz="0" w:space="0" w:color="auto"/>
            <w:bottom w:val="none" w:sz="0" w:space="0" w:color="auto"/>
            <w:right w:val="none" w:sz="0" w:space="0" w:color="auto"/>
          </w:divBdr>
        </w:div>
        <w:div w:id="1804927000">
          <w:marLeft w:val="2520"/>
          <w:marRight w:val="0"/>
          <w:marTop w:val="100"/>
          <w:marBottom w:val="0"/>
          <w:divBdr>
            <w:top w:val="none" w:sz="0" w:space="0" w:color="auto"/>
            <w:left w:val="none" w:sz="0" w:space="0" w:color="auto"/>
            <w:bottom w:val="none" w:sz="0" w:space="0" w:color="auto"/>
            <w:right w:val="none" w:sz="0" w:space="0" w:color="auto"/>
          </w:divBdr>
        </w:div>
        <w:div w:id="308945535">
          <w:marLeft w:val="2520"/>
          <w:marRight w:val="0"/>
          <w:marTop w:val="100"/>
          <w:marBottom w:val="0"/>
          <w:divBdr>
            <w:top w:val="none" w:sz="0" w:space="0" w:color="auto"/>
            <w:left w:val="none" w:sz="0" w:space="0" w:color="auto"/>
            <w:bottom w:val="none" w:sz="0" w:space="0" w:color="auto"/>
            <w:right w:val="none" w:sz="0" w:space="0" w:color="auto"/>
          </w:divBdr>
        </w:div>
        <w:div w:id="1343896849">
          <w:marLeft w:val="1080"/>
          <w:marRight w:val="0"/>
          <w:marTop w:val="100"/>
          <w:marBottom w:val="0"/>
          <w:divBdr>
            <w:top w:val="none" w:sz="0" w:space="0" w:color="auto"/>
            <w:left w:val="none" w:sz="0" w:space="0" w:color="auto"/>
            <w:bottom w:val="none" w:sz="0" w:space="0" w:color="auto"/>
            <w:right w:val="none" w:sz="0" w:space="0" w:color="auto"/>
          </w:divBdr>
        </w:div>
        <w:div w:id="256250878">
          <w:marLeft w:val="1800"/>
          <w:marRight w:val="0"/>
          <w:marTop w:val="100"/>
          <w:marBottom w:val="0"/>
          <w:divBdr>
            <w:top w:val="none" w:sz="0" w:space="0" w:color="auto"/>
            <w:left w:val="none" w:sz="0" w:space="0" w:color="auto"/>
            <w:bottom w:val="none" w:sz="0" w:space="0" w:color="auto"/>
            <w:right w:val="none" w:sz="0" w:space="0" w:color="auto"/>
          </w:divBdr>
        </w:div>
        <w:div w:id="1652561009">
          <w:marLeft w:val="1080"/>
          <w:marRight w:val="0"/>
          <w:marTop w:val="100"/>
          <w:marBottom w:val="0"/>
          <w:divBdr>
            <w:top w:val="none" w:sz="0" w:space="0" w:color="auto"/>
            <w:left w:val="none" w:sz="0" w:space="0" w:color="auto"/>
            <w:bottom w:val="none" w:sz="0" w:space="0" w:color="auto"/>
            <w:right w:val="none" w:sz="0" w:space="0" w:color="auto"/>
          </w:divBdr>
        </w:div>
        <w:div w:id="1100445912">
          <w:marLeft w:val="1800"/>
          <w:marRight w:val="0"/>
          <w:marTop w:val="100"/>
          <w:marBottom w:val="0"/>
          <w:divBdr>
            <w:top w:val="none" w:sz="0" w:space="0" w:color="auto"/>
            <w:left w:val="none" w:sz="0" w:space="0" w:color="auto"/>
            <w:bottom w:val="none" w:sz="0" w:space="0" w:color="auto"/>
            <w:right w:val="none" w:sz="0" w:space="0" w:color="auto"/>
          </w:divBdr>
        </w:div>
      </w:divsChild>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9522580">
      <w:bodyDiv w:val="1"/>
      <w:marLeft w:val="0"/>
      <w:marRight w:val="0"/>
      <w:marTop w:val="0"/>
      <w:marBottom w:val="0"/>
      <w:divBdr>
        <w:top w:val="none" w:sz="0" w:space="0" w:color="auto"/>
        <w:left w:val="none" w:sz="0" w:space="0" w:color="auto"/>
        <w:bottom w:val="none" w:sz="0" w:space="0" w:color="auto"/>
        <w:right w:val="none" w:sz="0" w:space="0" w:color="auto"/>
      </w:divBdr>
      <w:divsChild>
        <w:div w:id="284435139">
          <w:marLeft w:val="360"/>
          <w:marRight w:val="0"/>
          <w:marTop w:val="200"/>
          <w:marBottom w:val="0"/>
          <w:divBdr>
            <w:top w:val="none" w:sz="0" w:space="0" w:color="auto"/>
            <w:left w:val="none" w:sz="0" w:space="0" w:color="auto"/>
            <w:bottom w:val="none" w:sz="0" w:space="0" w:color="auto"/>
            <w:right w:val="none" w:sz="0" w:space="0" w:color="auto"/>
          </w:divBdr>
        </w:div>
        <w:div w:id="1957639669">
          <w:marLeft w:val="1080"/>
          <w:marRight w:val="0"/>
          <w:marTop w:val="100"/>
          <w:marBottom w:val="0"/>
          <w:divBdr>
            <w:top w:val="none" w:sz="0" w:space="0" w:color="auto"/>
            <w:left w:val="none" w:sz="0" w:space="0" w:color="auto"/>
            <w:bottom w:val="none" w:sz="0" w:space="0" w:color="auto"/>
            <w:right w:val="none" w:sz="0" w:space="0" w:color="auto"/>
          </w:divBdr>
        </w:div>
        <w:div w:id="122432336">
          <w:marLeft w:val="1080"/>
          <w:marRight w:val="0"/>
          <w:marTop w:val="100"/>
          <w:marBottom w:val="0"/>
          <w:divBdr>
            <w:top w:val="none" w:sz="0" w:space="0" w:color="auto"/>
            <w:left w:val="none" w:sz="0" w:space="0" w:color="auto"/>
            <w:bottom w:val="none" w:sz="0" w:space="0" w:color="auto"/>
            <w:right w:val="none" w:sz="0" w:space="0" w:color="auto"/>
          </w:divBdr>
        </w:div>
        <w:div w:id="1483081315">
          <w:marLeft w:val="1080"/>
          <w:marRight w:val="0"/>
          <w:marTop w:val="100"/>
          <w:marBottom w:val="0"/>
          <w:divBdr>
            <w:top w:val="none" w:sz="0" w:space="0" w:color="auto"/>
            <w:left w:val="none" w:sz="0" w:space="0" w:color="auto"/>
            <w:bottom w:val="none" w:sz="0" w:space="0" w:color="auto"/>
            <w:right w:val="none" w:sz="0" w:space="0" w:color="auto"/>
          </w:divBdr>
        </w:div>
        <w:div w:id="2020542981">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HR33RHYHUWRF-4-6107</_dlc_DocId>
    <_dlc_DocIdUrl xmlns="c06861ca-3f08-4d07-bff7-bb15bac121f4">
      <Url>https://projects.qualcomm.com/sites/pentari/_layouts/15/DocIdRedir.aspx?ID=HR33RHYHUWRF-4-6107</Url>
      <Description>HR33RHYHUWRF-4-6107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2E576D0-7AEE-41D3-9390-F14ABFD0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11</Pages>
  <Words>4683</Words>
  <Characters>26695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18</cp:revision>
  <cp:lastPrinted>2014-11-07T05:38:00Z</cp:lastPrinted>
  <dcterms:created xsi:type="dcterms:W3CDTF">2017-09-12T05:04:00Z</dcterms:created>
  <dcterms:modified xsi:type="dcterms:W3CDTF">2017-11-18T04:17:00Z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e89df628-f187-4d83-b1cf-bb3560559ce9</vt:lpwstr>
  </property>
  <property fmtid="{D5CDD505-2E9C-101B-9397-08002B2CF9AE}" pid="10" name="_ReviewingToolsShownOnce">
    <vt:lpwstr/>
  </property>
</Properties>
</file>