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1B3A6701"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3950DB">
        <w:rPr>
          <w:rFonts w:cs="Arial"/>
          <w:bCs/>
          <w:sz w:val="20"/>
          <w:lang w:eastAsia="ja-JP"/>
        </w:rPr>
        <w:t>9</w:t>
      </w:r>
      <w:r w:rsidR="00486EC4">
        <w:rPr>
          <w:rFonts w:cs="Arial"/>
          <w:bCs/>
          <w:sz w:val="20"/>
          <w:lang w:eastAsia="ja-JP"/>
        </w:rPr>
        <w:t>1</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B4B7F" w:rsidRPr="003B4B7F">
        <w:rPr>
          <w:rFonts w:cs="Arial"/>
          <w:bCs/>
          <w:sz w:val="20"/>
          <w:lang w:eastAsia="ja-JP"/>
        </w:rPr>
        <w:t>R1-</w:t>
      </w:r>
      <w:r w:rsidR="002B5376" w:rsidRPr="003B4B7F">
        <w:rPr>
          <w:rFonts w:cs="Arial"/>
          <w:bCs/>
          <w:sz w:val="20"/>
          <w:lang w:eastAsia="ja-JP"/>
        </w:rPr>
        <w:t>17</w:t>
      </w:r>
      <w:r w:rsidR="00456700" w:rsidRPr="00456700">
        <w:rPr>
          <w:rFonts w:cs="Arial"/>
          <w:bCs/>
          <w:sz w:val="20"/>
          <w:lang w:eastAsia="ja-JP"/>
        </w:rPr>
        <w:t>20499</w:t>
      </w:r>
    </w:p>
    <w:p w14:paraId="1B7D766E" w14:textId="6A27A1FE" w:rsidR="003B3942" w:rsidRPr="003B3942" w:rsidRDefault="00486EC4" w:rsidP="003B3942">
      <w:pPr>
        <w:pStyle w:val="TdocHeader2"/>
        <w:jc w:val="left"/>
        <w:rPr>
          <w:rFonts w:eastAsia="SimSun"/>
          <w:lang w:val="en-US" w:eastAsia="zh-CN"/>
        </w:rPr>
      </w:pPr>
      <w:r>
        <w:rPr>
          <w:rFonts w:eastAsia="ＭＳ 明朝" w:cs="Arial"/>
          <w:bCs/>
          <w:sz w:val="20"/>
          <w:lang w:val="en-US" w:eastAsia="ja-JP"/>
        </w:rPr>
        <w:t>Reno</w:t>
      </w:r>
      <w:r w:rsidR="003950DB" w:rsidRPr="003950DB">
        <w:rPr>
          <w:rFonts w:eastAsia="ＭＳ 明朝" w:cs="Arial"/>
          <w:bCs/>
          <w:sz w:val="20"/>
          <w:lang w:val="en-US" w:eastAsia="ja-JP"/>
        </w:rPr>
        <w:t xml:space="preserve">, </w:t>
      </w:r>
      <w:r>
        <w:rPr>
          <w:rFonts w:eastAsia="ＭＳ 明朝" w:cs="Arial"/>
          <w:bCs/>
          <w:sz w:val="20"/>
          <w:lang w:val="en-US" w:eastAsia="ja-JP"/>
        </w:rPr>
        <w:t>USA</w:t>
      </w:r>
      <w:r w:rsidR="003950DB" w:rsidRPr="003950DB">
        <w:rPr>
          <w:rFonts w:eastAsia="ＭＳ 明朝" w:cs="Arial"/>
          <w:bCs/>
          <w:sz w:val="20"/>
          <w:lang w:val="en-US" w:eastAsia="ja-JP"/>
        </w:rPr>
        <w:t xml:space="preserve">, </w:t>
      </w:r>
      <w:r>
        <w:rPr>
          <w:rFonts w:eastAsia="ＭＳ 明朝" w:cs="Arial"/>
          <w:bCs/>
          <w:sz w:val="20"/>
          <w:lang w:val="en-US" w:eastAsia="ja-JP"/>
        </w:rPr>
        <w:t>27th Nov to 1st Dec</w:t>
      </w:r>
      <w:r w:rsidR="003950DB" w:rsidRPr="003950DB">
        <w:rPr>
          <w:rFonts w:eastAsia="ＭＳ 明朝" w:cs="Arial"/>
          <w:bCs/>
          <w:sz w:val="20"/>
          <w:lang w:val="en-US" w:eastAsia="ja-JP"/>
        </w:rPr>
        <w:t xml:space="preserve"> 2017</w:t>
      </w:r>
    </w:p>
    <w:p w14:paraId="3735256A" w14:textId="77777777" w:rsidR="0045740A" w:rsidRPr="007448D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277DBE74"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36BFA">
        <w:rPr>
          <w:b w:val="0"/>
          <w:sz w:val="20"/>
        </w:rPr>
        <w:t>CBG-based (re)transmission</w:t>
      </w:r>
      <w:r w:rsidR="00C54F85" w:rsidRPr="00C54F85">
        <w:rPr>
          <w:b w:val="0"/>
          <w:sz w:val="20"/>
        </w:rPr>
        <w:t xml:space="preserve"> </w:t>
      </w:r>
    </w:p>
    <w:p w14:paraId="4F6A3FAC" w14:textId="71C8339D"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950DB">
        <w:rPr>
          <w:rFonts w:ascii="Arial" w:eastAsia="Batang" w:hAnsi="Arial"/>
        </w:rPr>
        <w:t>7</w:t>
      </w:r>
      <w:r w:rsidR="00136BFA">
        <w:rPr>
          <w:rFonts w:ascii="Arial" w:eastAsia="Batang" w:hAnsi="Arial"/>
        </w:rPr>
        <w:t>.3.3.3</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26E50FC3" w14:textId="079F7EA4" w:rsidR="007448DA" w:rsidRDefault="007448DA" w:rsidP="00F018D7">
      <w:pPr>
        <w:rPr>
          <w:rFonts w:eastAsiaTheme="minorEastAsia" w:cs="Arial"/>
          <w:lang w:eastAsia="ja-JP"/>
        </w:rPr>
      </w:pPr>
      <w:r>
        <w:rPr>
          <w:rFonts w:eastAsiaTheme="minorEastAsia" w:cs="Arial"/>
          <w:lang w:eastAsia="ja-JP"/>
        </w:rPr>
        <w:t>This document describes our view on various CBG-based (re)transmission.</w:t>
      </w:r>
    </w:p>
    <w:p w14:paraId="1CFCCAB8" w14:textId="4F50EB68" w:rsidR="001214C1" w:rsidRPr="009B4503" w:rsidRDefault="001214C1" w:rsidP="00F018D7">
      <w:pPr>
        <w:rPr>
          <w:rFonts w:eastAsiaTheme="minorEastAsia" w:cs="Arial"/>
          <w:lang w:eastAsia="ja-JP"/>
        </w:rPr>
      </w:pP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2677249A" w14:textId="114A9568" w:rsidR="00335BDB" w:rsidRPr="008A170F" w:rsidRDefault="00335BDB" w:rsidP="00335BDB">
      <w:pPr>
        <w:rPr>
          <w:rFonts w:eastAsiaTheme="minorEastAsia" w:cs="Arial"/>
          <w:b/>
          <w:u w:val="single"/>
          <w:lang w:eastAsia="ja-JP"/>
        </w:rPr>
      </w:pPr>
      <w:r>
        <w:rPr>
          <w:rFonts w:eastAsiaTheme="minorEastAsia" w:cs="Arial" w:hint="eastAsia"/>
          <w:b/>
          <w:u w:val="single"/>
          <w:lang w:eastAsia="ja-JP"/>
        </w:rPr>
        <w:t>CBG and HARQ-ACK multiplexing</w:t>
      </w:r>
    </w:p>
    <w:p w14:paraId="488D2090" w14:textId="696DD59E" w:rsidR="001C2FF0" w:rsidRDefault="001C2FF0" w:rsidP="001C2FF0">
      <w:pPr>
        <w:ind w:left="400"/>
        <w:rPr>
          <w:rFonts w:eastAsiaTheme="minorEastAsia" w:cs="Arial"/>
          <w:lang w:eastAsia="ja-JP"/>
        </w:rPr>
      </w:pPr>
      <w:r>
        <w:rPr>
          <w:rFonts w:eastAsiaTheme="minorEastAsia" w:cs="Arial"/>
          <w:lang w:eastAsia="ja-JP"/>
        </w:rPr>
        <w:t xml:space="preserve">We propose HARQ-ACK multiplexing aspect including CBS is discussed in agenda item 7.3.3.2 DL/UL scheduling and HARQ management. Our contribution is [1]. </w:t>
      </w:r>
      <w:r w:rsidRPr="001C2FF0">
        <w:rPr>
          <w:rFonts w:eastAsiaTheme="minorEastAsia" w:cs="Arial"/>
          <w:lang w:eastAsia="ja-JP"/>
        </w:rPr>
        <w:t xml:space="preserve">DCI payload size increase by DAI is based on </w:t>
      </w:r>
      <w:r w:rsidRPr="00A57152">
        <w:rPr>
          <w:rFonts w:eastAsiaTheme="minorEastAsia" w:cs="Arial"/>
          <w:i/>
          <w:lang w:eastAsia="ja-JP"/>
        </w:rPr>
        <w:t>log(n)</w:t>
      </w:r>
      <w:r w:rsidRPr="001C2FF0">
        <w:rPr>
          <w:rFonts w:eastAsiaTheme="minorEastAsia" w:cs="Arial"/>
          <w:lang w:eastAsia="ja-JP"/>
        </w:rPr>
        <w:t xml:space="preserve"> order but HARQ-ACK bits increase is based on </w:t>
      </w:r>
      <w:r w:rsidRPr="00A57152">
        <w:rPr>
          <w:rFonts w:eastAsiaTheme="minorEastAsia" w:cs="Arial"/>
          <w:i/>
          <w:lang w:eastAsia="ja-JP"/>
        </w:rPr>
        <w:t xml:space="preserve">n </w:t>
      </w:r>
      <w:r w:rsidRPr="001C2FF0">
        <w:rPr>
          <w:rFonts w:eastAsiaTheme="minorEastAsia" w:cs="Arial"/>
          <w:lang w:eastAsia="ja-JP"/>
        </w:rPr>
        <w:t>order. Therefore, the signalling overhead by DAI is smaller than the signalling overhead by linear increase of HARQ-ACK bits.</w:t>
      </w:r>
      <w:r>
        <w:rPr>
          <w:rFonts w:eastAsiaTheme="minorEastAsia" w:cs="Arial"/>
          <w:lang w:eastAsia="ja-JP"/>
        </w:rPr>
        <w:t xml:space="preserve"> Therefore, it should be designed to support CBG based dynamic codebook.</w:t>
      </w:r>
    </w:p>
    <w:p w14:paraId="35A90097" w14:textId="118850DB" w:rsidR="0077282C" w:rsidRDefault="00194CBE" w:rsidP="001C2FF0">
      <w:pPr>
        <w:ind w:left="400"/>
        <w:rPr>
          <w:rFonts w:eastAsiaTheme="minorEastAsia" w:cs="Arial"/>
          <w:lang w:eastAsia="ja-JP"/>
        </w:rPr>
      </w:pPr>
      <w:r>
        <w:rPr>
          <w:rFonts w:eastAsiaTheme="minorEastAsia" w:cs="Arial" w:hint="eastAsia"/>
          <w:lang w:eastAsia="ja-JP"/>
        </w:rPr>
        <w:t>The handling of fallback DCI and HARQ-ACK multiplexing was recognized as FFS in RAN1#90bis</w:t>
      </w:r>
      <w:r>
        <w:rPr>
          <w:rFonts w:eastAsiaTheme="minorEastAsia" w:cs="Arial"/>
          <w:lang w:eastAsia="ja-JP"/>
        </w:rPr>
        <w:t>. We propose to conclude non-CBG aspect of HARQ-ACK multiplexing related to fallback should be concluded first. Then CBG handling should be discussed.</w:t>
      </w:r>
    </w:p>
    <w:p w14:paraId="65E17B53" w14:textId="77777777" w:rsidR="008B383C" w:rsidRDefault="008B383C" w:rsidP="00EB338F">
      <w:pPr>
        <w:ind w:left="400"/>
        <w:rPr>
          <w:rFonts w:eastAsiaTheme="minorEastAsia" w:cs="Arial"/>
          <w:lang w:eastAsia="ja-JP"/>
        </w:rPr>
      </w:pPr>
    </w:p>
    <w:p w14:paraId="562C3E8B" w14:textId="483B69FB" w:rsidR="008B383C" w:rsidRPr="008A170F" w:rsidRDefault="008B383C" w:rsidP="008B383C">
      <w:pPr>
        <w:rPr>
          <w:rFonts w:eastAsiaTheme="minorEastAsia" w:cs="Arial"/>
          <w:b/>
          <w:u w:val="single"/>
          <w:lang w:eastAsia="ja-JP"/>
        </w:rPr>
      </w:pPr>
      <w:r>
        <w:rPr>
          <w:rFonts w:eastAsiaTheme="minorEastAsia" w:cs="Arial" w:hint="eastAsia"/>
          <w:b/>
          <w:u w:val="single"/>
          <w:lang w:eastAsia="ja-JP"/>
        </w:rPr>
        <w:t>Reinterpretation of MCS/TBS field to CB</w:t>
      </w:r>
      <w:r w:rsidR="00D702E6">
        <w:rPr>
          <w:rFonts w:eastAsiaTheme="minorEastAsia" w:cs="Arial" w:hint="eastAsia"/>
          <w:b/>
          <w:u w:val="single"/>
          <w:lang w:eastAsia="ja-JP"/>
        </w:rPr>
        <w:t>G</w:t>
      </w:r>
      <w:r>
        <w:rPr>
          <w:rFonts w:eastAsiaTheme="minorEastAsia" w:cs="Arial" w:hint="eastAsia"/>
          <w:b/>
          <w:u w:val="single"/>
          <w:lang w:eastAsia="ja-JP"/>
        </w:rPr>
        <w:t>TI</w:t>
      </w:r>
    </w:p>
    <w:p w14:paraId="2D281EA8" w14:textId="3742B5FC" w:rsidR="00C6614D" w:rsidRDefault="00C6614D" w:rsidP="008B383C">
      <w:pPr>
        <w:ind w:left="400"/>
        <w:rPr>
          <w:rFonts w:eastAsiaTheme="minorEastAsia" w:cs="Arial"/>
          <w:lang w:eastAsia="ja-JP"/>
        </w:rPr>
      </w:pPr>
      <w:r>
        <w:rPr>
          <w:rFonts w:eastAsiaTheme="minorEastAsia" w:cs="Arial"/>
          <w:lang w:eastAsia="ja-JP"/>
        </w:rPr>
        <w:t xml:space="preserve">For MCS/TBS field, similar to LTE, we propose to have the entry to adjust modulation scheme, redundancy version, resource assignment without indicating TBS i.e. the network assumes/relies the first transmission of TBS is correctly received by UE. As separate NDI field from CBGTI and CBGFI are agreed via email, now there is no uncertainly to have HARQ-combining of different TBs. Current FFS point is whether MCS/TBS field is reinterpreted as CBGTI or not. </w:t>
      </w:r>
    </w:p>
    <w:p w14:paraId="24C6A589" w14:textId="7F5EDE7A" w:rsidR="000B42C6" w:rsidRDefault="00BC0DA5">
      <w:pPr>
        <w:ind w:left="400"/>
        <w:rPr>
          <w:rFonts w:eastAsiaTheme="minorEastAsia" w:cs="Arial"/>
          <w:lang w:eastAsia="ja-JP"/>
        </w:rPr>
      </w:pPr>
      <w:r>
        <w:rPr>
          <w:rFonts w:eastAsiaTheme="minorEastAsia" w:cs="Arial"/>
          <w:lang w:eastAsia="ja-JP"/>
        </w:rPr>
        <w:t xml:space="preserve">If we reinterpret MCS/TBS field to CBGTI, similar to the </w:t>
      </w:r>
      <w:r w:rsidRPr="00BC0DA5">
        <w:rPr>
          <w:rFonts w:eastAsiaTheme="minorEastAsia" w:cs="Arial"/>
          <w:lang w:eastAsia="ja-JP"/>
        </w:rPr>
        <w:t>entry to adjust modulation scheme, redundancy version, resource assignment without indicating TBS</w:t>
      </w:r>
      <w:r>
        <w:rPr>
          <w:rFonts w:eastAsiaTheme="minorEastAsia" w:cs="Arial"/>
          <w:lang w:eastAsia="ja-JP"/>
        </w:rPr>
        <w:t>, the network should assume initial transmission is correctly received. By judging of DTX or NACK, the network is able to distinguish whether the first transmission is correctly received or not for normal type of the retransmission. In such case, the reinterpretation of MCS/TBS field to CB</w:t>
      </w:r>
      <w:r w:rsidR="00A42CC6">
        <w:rPr>
          <w:rFonts w:eastAsiaTheme="minorEastAsia" w:cs="Arial" w:hint="eastAsia"/>
          <w:lang w:eastAsia="ja-JP"/>
        </w:rPr>
        <w:t>G</w:t>
      </w:r>
      <w:r>
        <w:rPr>
          <w:rFonts w:eastAsiaTheme="minorEastAsia" w:cs="Arial"/>
          <w:lang w:eastAsia="ja-JP"/>
        </w:rPr>
        <w:t xml:space="preserve">TI does work well. </w:t>
      </w:r>
      <w:r w:rsidR="00360CD0">
        <w:rPr>
          <w:rFonts w:eastAsiaTheme="minorEastAsia" w:cs="Arial"/>
          <w:lang w:eastAsia="ja-JP"/>
        </w:rPr>
        <w:t>We further needs to analysis two following cases.</w:t>
      </w:r>
    </w:p>
    <w:p w14:paraId="2B59EA3D" w14:textId="2A8E4152" w:rsidR="000B42C6" w:rsidRDefault="00360CD0">
      <w:pPr>
        <w:ind w:left="400"/>
        <w:rPr>
          <w:rFonts w:eastAsiaTheme="minorEastAsia" w:cs="Arial"/>
          <w:lang w:eastAsia="ja-JP"/>
        </w:rPr>
      </w:pPr>
      <w:r>
        <w:rPr>
          <w:rFonts w:eastAsiaTheme="minorEastAsia" w:cs="Arial"/>
          <w:lang w:eastAsia="ja-JP"/>
        </w:rPr>
        <w:t xml:space="preserve">Subsequent transmission: It means </w:t>
      </w:r>
      <w:r w:rsidR="00BC0DA5">
        <w:rPr>
          <w:rFonts w:eastAsiaTheme="minorEastAsia" w:cs="Arial"/>
          <w:lang w:eastAsia="ja-JP"/>
        </w:rPr>
        <w:t xml:space="preserve">the subsequent transmission is carried out before the reception of corresponding HARQ-ACK. If UE misses the first transmission to indicate MCS/TBS and UE receives subsequent transmission of reinterpretation to CBGTI, thanks to separate NDI, UE is able to judge </w:t>
      </w:r>
      <w:r w:rsidR="001A15A5">
        <w:rPr>
          <w:rFonts w:eastAsiaTheme="minorEastAsia" w:cs="Arial"/>
          <w:lang w:eastAsia="ja-JP"/>
        </w:rPr>
        <w:t>UE haven't know</w:t>
      </w:r>
      <w:r w:rsidR="00BC0DA5">
        <w:rPr>
          <w:rFonts w:eastAsiaTheme="minorEastAsia" w:cs="Arial"/>
          <w:lang w:eastAsia="ja-JP"/>
        </w:rPr>
        <w:t xml:space="preserve"> TBS but </w:t>
      </w:r>
      <w:r w:rsidR="001A15A5">
        <w:rPr>
          <w:rFonts w:eastAsiaTheme="minorEastAsia" w:cs="Arial"/>
          <w:lang w:eastAsia="ja-JP"/>
        </w:rPr>
        <w:t xml:space="preserve">UE receives CBGTI. UE is able to keep the received subsequent transmission contents and DTX can be replied if HARQ multiplexing is not used. Then network can send initial transmission. </w:t>
      </w:r>
      <w:r w:rsidR="004E1E3A">
        <w:rPr>
          <w:rFonts w:eastAsiaTheme="minorEastAsia" w:cs="Arial"/>
          <w:lang w:eastAsia="ja-JP"/>
        </w:rPr>
        <w:t>Therefore, complexity is increased but workable.</w:t>
      </w:r>
    </w:p>
    <w:p w14:paraId="16615918" w14:textId="2E6CA3DB" w:rsidR="00B94BAC" w:rsidRDefault="00B94BAC">
      <w:pPr>
        <w:ind w:left="400"/>
        <w:rPr>
          <w:rFonts w:eastAsiaTheme="minorEastAsia" w:cs="Arial"/>
          <w:lang w:eastAsia="ja-JP"/>
        </w:rPr>
      </w:pPr>
      <w:r>
        <w:rPr>
          <w:rFonts w:eastAsiaTheme="minorEastAsia" w:cs="Arial"/>
          <w:lang w:eastAsia="ja-JP"/>
        </w:rPr>
        <w:t>HARQ multiplexing: I</w:t>
      </w:r>
      <w:r w:rsidR="001A15A5">
        <w:rPr>
          <w:rFonts w:eastAsiaTheme="minorEastAsia" w:cs="Arial"/>
          <w:lang w:eastAsia="ja-JP"/>
        </w:rPr>
        <w:t xml:space="preserve">f HARQ multiplexing is used, only ACK or NACK would be reported. In such situation, there is not method to indicate initial transmission is missed. Therefore, our understanding is if HARQ multiplexing is not used, reinterpretation of MCS/TBS field to CBGTI is possible. On the other hand, if HARQ multiplexing is used, reinterpretation of MCS/TBS field to CBGTI has issue. </w:t>
      </w:r>
      <w:r w:rsidR="00C26EC0">
        <w:rPr>
          <w:rFonts w:eastAsiaTheme="minorEastAsia" w:cs="Arial"/>
          <w:lang w:eastAsia="ja-JP"/>
        </w:rPr>
        <w:t>As HARQ multiplexing is required function, we think at least no reinterpretation case of MCS/TBS field to TBS should be supported.</w:t>
      </w:r>
    </w:p>
    <w:p w14:paraId="416167AE" w14:textId="18D6E3D3" w:rsidR="001A15A5" w:rsidRDefault="00C26EC0">
      <w:pPr>
        <w:ind w:left="400"/>
        <w:rPr>
          <w:rFonts w:eastAsiaTheme="minorEastAsia" w:cs="Arial"/>
          <w:lang w:eastAsia="ja-JP"/>
        </w:rPr>
      </w:pPr>
      <w:r>
        <w:rPr>
          <w:rFonts w:eastAsiaTheme="minorEastAsia" w:cs="Arial"/>
          <w:lang w:eastAsia="ja-JP"/>
        </w:rPr>
        <w:t>Considering the meeting time availability, we think reinterpretation case of MCS/TBS field to TBS should not be supported even no HARQ-ACK multiplexing case as it is optimization.</w:t>
      </w:r>
    </w:p>
    <w:p w14:paraId="1246B327" w14:textId="62713849" w:rsidR="0037200E" w:rsidRDefault="0037200E" w:rsidP="0037200E">
      <w:pPr>
        <w:ind w:left="400"/>
        <w:rPr>
          <w:rFonts w:eastAsiaTheme="minorEastAsia" w:cs="Arial"/>
          <w:b/>
          <w:lang w:eastAsia="ja-JP"/>
        </w:rPr>
      </w:pPr>
      <w:r w:rsidRPr="00C34670">
        <w:rPr>
          <w:rFonts w:eastAsiaTheme="minorEastAsia" w:cs="Arial"/>
          <w:b/>
          <w:lang w:eastAsia="ja-JP"/>
        </w:rPr>
        <w:lastRenderedPageBreak/>
        <w:t>Proposal</w:t>
      </w:r>
      <w:r>
        <w:rPr>
          <w:rFonts w:eastAsiaTheme="minorEastAsia" w:cs="Arial"/>
          <w:b/>
          <w:lang w:eastAsia="ja-JP"/>
        </w:rPr>
        <w:t xml:space="preserve"> </w:t>
      </w:r>
      <w:r>
        <w:rPr>
          <w:rFonts w:eastAsiaTheme="minorEastAsia" w:cs="Arial" w:hint="eastAsia"/>
          <w:b/>
          <w:lang w:eastAsia="ja-JP"/>
        </w:rPr>
        <w:t>1</w:t>
      </w:r>
      <w:r w:rsidRPr="00C34670">
        <w:rPr>
          <w:rFonts w:eastAsiaTheme="minorEastAsia" w:cs="Arial"/>
          <w:b/>
          <w:lang w:eastAsia="ja-JP"/>
        </w:rPr>
        <w:t xml:space="preserve">: </w:t>
      </w:r>
      <w:r w:rsidRPr="0037200E">
        <w:rPr>
          <w:rFonts w:eastAsiaTheme="minorEastAsia" w:cs="Arial"/>
          <w:b/>
          <w:lang w:eastAsia="ja-JP"/>
        </w:rPr>
        <w:t>Reinterpretation of MCS/TBS field to CB</w:t>
      </w:r>
      <w:r w:rsidR="00D702E6">
        <w:rPr>
          <w:rFonts w:eastAsiaTheme="minorEastAsia" w:cs="Arial" w:hint="eastAsia"/>
          <w:b/>
          <w:lang w:eastAsia="ja-JP"/>
        </w:rPr>
        <w:t>G</w:t>
      </w:r>
      <w:r w:rsidRPr="0037200E">
        <w:rPr>
          <w:rFonts w:eastAsiaTheme="minorEastAsia" w:cs="Arial"/>
          <w:b/>
          <w:lang w:eastAsia="ja-JP"/>
        </w:rPr>
        <w:t>TI</w:t>
      </w:r>
      <w:r>
        <w:rPr>
          <w:rFonts w:eastAsiaTheme="minorEastAsia" w:cs="Arial"/>
          <w:b/>
          <w:lang w:eastAsia="ja-JP"/>
        </w:rPr>
        <w:t xml:space="preserve"> is not supported.</w:t>
      </w:r>
    </w:p>
    <w:p w14:paraId="6A95019E" w14:textId="0511B2B5" w:rsidR="00C26EC0" w:rsidRDefault="00C26EC0">
      <w:pPr>
        <w:ind w:left="400"/>
        <w:rPr>
          <w:rFonts w:eastAsiaTheme="minorEastAsia" w:cs="Arial"/>
          <w:lang w:eastAsia="ja-JP"/>
        </w:rPr>
      </w:pPr>
    </w:p>
    <w:p w14:paraId="188A0904" w14:textId="612C79EE" w:rsidR="008E268B" w:rsidRPr="008A170F" w:rsidRDefault="008E268B" w:rsidP="008E268B">
      <w:pPr>
        <w:rPr>
          <w:rFonts w:eastAsiaTheme="minorEastAsia" w:cs="Arial"/>
          <w:b/>
          <w:u w:val="single"/>
          <w:lang w:eastAsia="ja-JP"/>
        </w:rPr>
      </w:pPr>
      <w:r>
        <w:rPr>
          <w:rFonts w:eastAsiaTheme="minorEastAsia" w:cs="Arial" w:hint="eastAsia"/>
          <w:b/>
          <w:u w:val="single"/>
          <w:lang w:eastAsia="ja-JP"/>
        </w:rPr>
        <w:t xml:space="preserve">CB mapping when </w:t>
      </w:r>
      <w:r>
        <w:rPr>
          <w:rFonts w:eastAsiaTheme="minorEastAsia" w:cs="Arial"/>
          <w:b/>
          <w:u w:val="single"/>
          <w:lang w:eastAsia="ja-JP"/>
        </w:rPr>
        <w:t>CBG is configured</w:t>
      </w:r>
    </w:p>
    <w:p w14:paraId="63B4016A" w14:textId="7DC1B272" w:rsidR="008E6289" w:rsidRDefault="008E6289" w:rsidP="008E268B">
      <w:pPr>
        <w:ind w:left="400"/>
        <w:rPr>
          <w:rFonts w:eastAsiaTheme="minorEastAsia" w:cs="Arial"/>
          <w:lang w:eastAsia="ja-JP"/>
        </w:rPr>
      </w:pPr>
      <w:r>
        <w:rPr>
          <w:rFonts w:eastAsiaTheme="minorEastAsia" w:cs="Arial"/>
          <w:lang w:eastAsia="ja-JP"/>
        </w:rPr>
        <w:t>Although there has been proposed to adjust CB position like symbol alignment and so on</w:t>
      </w:r>
      <w:r w:rsidR="00361DB7">
        <w:rPr>
          <w:rFonts w:eastAsiaTheme="minorEastAsia" w:cs="Arial"/>
          <w:lang w:eastAsia="ja-JP"/>
        </w:rPr>
        <w:t xml:space="preserve"> for the punctured symbol alignment</w:t>
      </w:r>
      <w:r>
        <w:rPr>
          <w:rFonts w:eastAsiaTheme="minorEastAsia" w:cs="Arial"/>
          <w:lang w:eastAsia="ja-JP"/>
        </w:rPr>
        <w:t>, our view is CB mapping can be same regardless o</w:t>
      </w:r>
      <w:r w:rsidR="00361DB7">
        <w:rPr>
          <w:rFonts w:eastAsiaTheme="minorEastAsia" w:cs="Arial"/>
          <w:lang w:eastAsia="ja-JP"/>
        </w:rPr>
        <w:t>f CBG is configured or not as to have the alignment of CB to the symbol could unequal distribution of the coding rate of CB and the performance when no puncturing happens could be worse. We don't think the optimization only for CB puncturing is not required.</w:t>
      </w:r>
    </w:p>
    <w:p w14:paraId="22E27992" w14:textId="117BD144" w:rsidR="008E268B" w:rsidRDefault="008E268B" w:rsidP="008E268B">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sidR="000860A4">
        <w:rPr>
          <w:rFonts w:eastAsiaTheme="minorEastAsia" w:cs="Arial" w:hint="eastAsia"/>
          <w:b/>
          <w:lang w:eastAsia="ja-JP"/>
        </w:rPr>
        <w:t>2</w:t>
      </w:r>
      <w:r w:rsidRPr="00C34670">
        <w:rPr>
          <w:rFonts w:eastAsiaTheme="minorEastAsia" w:cs="Arial"/>
          <w:b/>
          <w:lang w:eastAsia="ja-JP"/>
        </w:rPr>
        <w:t xml:space="preserve">: </w:t>
      </w:r>
      <w:r w:rsidR="00361DB7">
        <w:rPr>
          <w:rFonts w:eastAsiaTheme="minorEastAsia" w:cs="Arial"/>
          <w:b/>
          <w:lang w:eastAsia="ja-JP"/>
        </w:rPr>
        <w:t xml:space="preserve">CB mapping is no difference </w:t>
      </w:r>
      <w:r w:rsidR="00321409">
        <w:rPr>
          <w:rFonts w:eastAsiaTheme="minorEastAsia" w:cs="Arial"/>
          <w:b/>
          <w:lang w:eastAsia="ja-JP"/>
        </w:rPr>
        <w:t>even if CBG is configured.</w:t>
      </w:r>
    </w:p>
    <w:p w14:paraId="34C15310" w14:textId="77777777" w:rsidR="00226B9B" w:rsidRPr="00AE4A2C" w:rsidRDefault="00226B9B" w:rsidP="00C944B4">
      <w:pPr>
        <w:ind w:left="400"/>
        <w:rPr>
          <w:rFonts w:eastAsiaTheme="minorEastAsia" w:cs="Arial"/>
          <w:lang w:eastAsia="ja-JP"/>
        </w:rPr>
      </w:pPr>
    </w:p>
    <w:p w14:paraId="3DC0E846" w14:textId="77777777" w:rsidR="0037063E" w:rsidRPr="00A85140"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93030D3" w14:textId="364F376A" w:rsidR="00BC7BE9" w:rsidRDefault="00BC7BE9" w:rsidP="00BC7BE9">
      <w:pPr>
        <w:rPr>
          <w:rFonts w:eastAsiaTheme="minorEastAsia" w:cs="Arial"/>
          <w:lang w:eastAsia="ja-JP"/>
        </w:rPr>
      </w:pPr>
      <w:r>
        <w:rPr>
          <w:rFonts w:eastAsiaTheme="minorEastAsia" w:cs="Arial"/>
          <w:lang w:eastAsia="ja-JP"/>
        </w:rPr>
        <w:t>This document described our view on various CBG-based (re)transmission aspect.</w:t>
      </w:r>
      <w:r w:rsidR="00223440">
        <w:rPr>
          <w:rFonts w:eastAsiaTheme="minorEastAsia" w:cs="Arial"/>
          <w:lang w:eastAsia="ja-JP"/>
        </w:rPr>
        <w:t xml:space="preserve"> We propose following.</w:t>
      </w:r>
    </w:p>
    <w:p w14:paraId="0401F29F" w14:textId="77777777" w:rsidR="00B17262" w:rsidRDefault="00B17262" w:rsidP="00B17262">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Pr>
          <w:rFonts w:eastAsiaTheme="minorEastAsia" w:cs="Arial" w:hint="eastAsia"/>
          <w:b/>
          <w:lang w:eastAsia="ja-JP"/>
        </w:rPr>
        <w:t>1</w:t>
      </w:r>
      <w:r w:rsidRPr="00C34670">
        <w:rPr>
          <w:rFonts w:eastAsiaTheme="minorEastAsia" w:cs="Arial"/>
          <w:b/>
          <w:lang w:eastAsia="ja-JP"/>
        </w:rPr>
        <w:t xml:space="preserve">: </w:t>
      </w:r>
      <w:r w:rsidRPr="0037200E">
        <w:rPr>
          <w:rFonts w:eastAsiaTheme="minorEastAsia" w:cs="Arial"/>
          <w:b/>
          <w:lang w:eastAsia="ja-JP"/>
        </w:rPr>
        <w:t>Reinterpretation of MCS/TBS field to CB</w:t>
      </w:r>
      <w:r>
        <w:rPr>
          <w:rFonts w:eastAsiaTheme="minorEastAsia" w:cs="Arial" w:hint="eastAsia"/>
          <w:b/>
          <w:lang w:eastAsia="ja-JP"/>
        </w:rPr>
        <w:t>G</w:t>
      </w:r>
      <w:r w:rsidRPr="0037200E">
        <w:rPr>
          <w:rFonts w:eastAsiaTheme="minorEastAsia" w:cs="Arial"/>
          <w:b/>
          <w:lang w:eastAsia="ja-JP"/>
        </w:rPr>
        <w:t>TI</w:t>
      </w:r>
      <w:r>
        <w:rPr>
          <w:rFonts w:eastAsiaTheme="minorEastAsia" w:cs="Arial"/>
          <w:b/>
          <w:lang w:eastAsia="ja-JP"/>
        </w:rPr>
        <w:t xml:space="preserve"> is not supported.</w:t>
      </w:r>
    </w:p>
    <w:p w14:paraId="7BC88BE0" w14:textId="77777777" w:rsidR="00B17262" w:rsidRDefault="00B17262" w:rsidP="00B17262">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Pr>
          <w:rFonts w:eastAsiaTheme="minorEastAsia" w:cs="Arial" w:hint="eastAsia"/>
          <w:b/>
          <w:lang w:eastAsia="ja-JP"/>
        </w:rPr>
        <w:t>2</w:t>
      </w:r>
      <w:r w:rsidRPr="00C34670">
        <w:rPr>
          <w:rFonts w:eastAsiaTheme="minorEastAsia" w:cs="Arial"/>
          <w:b/>
          <w:lang w:eastAsia="ja-JP"/>
        </w:rPr>
        <w:t xml:space="preserve">: </w:t>
      </w:r>
      <w:r>
        <w:rPr>
          <w:rFonts w:eastAsiaTheme="minorEastAsia" w:cs="Arial"/>
          <w:b/>
          <w:lang w:eastAsia="ja-JP"/>
        </w:rPr>
        <w:t>CB mapping is no difference even if CBG is configured.</w:t>
      </w:r>
    </w:p>
    <w:p w14:paraId="186C9DB0" w14:textId="3B624DCA" w:rsidR="00182A21" w:rsidRPr="00B17262" w:rsidRDefault="00182A21" w:rsidP="00C52ED5">
      <w:pPr>
        <w:rPr>
          <w:rFonts w:eastAsia="SimSun" w:cs="Arial"/>
          <w:lang w:eastAsia="zh-CN"/>
        </w:rPr>
      </w:pPr>
    </w:p>
    <w:p w14:paraId="53947347" w14:textId="32689091" w:rsidR="00182A21" w:rsidRDefault="00182A21" w:rsidP="00182A21">
      <w:pPr>
        <w:pStyle w:val="1"/>
        <w:numPr>
          <w:ilvl w:val="0"/>
          <w:numId w:val="0"/>
        </w:numPr>
        <w:ind w:left="26"/>
        <w:rPr>
          <w:szCs w:val="36"/>
          <w:lang w:eastAsia="ja-JP"/>
        </w:rPr>
      </w:pPr>
      <w:r>
        <w:rPr>
          <w:szCs w:val="36"/>
          <w:lang w:eastAsia="ja-JP"/>
        </w:rPr>
        <w:t>Reference</w:t>
      </w:r>
    </w:p>
    <w:p w14:paraId="0FBE73FE" w14:textId="1460420C" w:rsidR="00132618" w:rsidRDefault="00182A21" w:rsidP="00C52ED5">
      <w:pPr>
        <w:rPr>
          <w:rFonts w:eastAsia="SimSun" w:cs="Arial"/>
          <w:lang w:eastAsia="zh-CN"/>
        </w:rPr>
      </w:pPr>
      <w:r>
        <w:rPr>
          <w:rFonts w:eastAsia="SimSun" w:cs="Arial"/>
          <w:lang w:eastAsia="zh-CN"/>
        </w:rPr>
        <w:t>[1]</w:t>
      </w:r>
      <w:r>
        <w:rPr>
          <w:rFonts w:eastAsia="SimSun" w:cs="Arial"/>
          <w:lang w:eastAsia="zh-CN"/>
        </w:rPr>
        <w:tab/>
      </w:r>
      <w:r>
        <w:rPr>
          <w:rFonts w:eastAsia="SimSun" w:cs="Arial"/>
          <w:lang w:eastAsia="zh-CN"/>
        </w:rPr>
        <w:tab/>
      </w:r>
      <w:r w:rsidR="00370BCA" w:rsidRPr="00370BCA">
        <w:rPr>
          <w:rFonts w:eastAsia="SimSun" w:cs="Arial"/>
          <w:lang w:eastAsia="zh-CN"/>
        </w:rPr>
        <w:t>R1-1720498</w:t>
      </w:r>
      <w:r w:rsidR="00370BCA">
        <w:rPr>
          <w:rFonts w:eastAsiaTheme="minorEastAsia" w:cs="Arial" w:hint="eastAsia"/>
          <w:lang w:eastAsia="ja-JP"/>
        </w:rPr>
        <w:t>,</w:t>
      </w:r>
      <w:r w:rsidR="00370BCA" w:rsidRPr="00370BCA" w:rsidDel="00370BCA">
        <w:rPr>
          <w:rFonts w:eastAsia="SimSun" w:cs="Arial"/>
          <w:lang w:eastAsia="zh-CN"/>
        </w:rPr>
        <w:t xml:space="preserve"> </w:t>
      </w:r>
      <w:r w:rsidR="00132618" w:rsidRPr="00132618">
        <w:rPr>
          <w:rFonts w:eastAsia="SimSun" w:cs="Arial"/>
          <w:lang w:eastAsia="zh-CN"/>
        </w:rPr>
        <w:tab/>
      </w:r>
      <w:r w:rsidR="000F782D" w:rsidRPr="000F782D">
        <w:rPr>
          <w:rFonts w:eastAsia="SimSun" w:cs="Arial"/>
          <w:lang w:eastAsia="zh-CN"/>
        </w:rPr>
        <w:t>HARQ-ACK codebook for CBG-based transmission</w:t>
      </w:r>
      <w:r w:rsidR="00132618">
        <w:rPr>
          <w:rFonts w:eastAsia="SimSun" w:cs="Arial"/>
          <w:lang w:eastAsia="zh-CN"/>
        </w:rPr>
        <w:t>, Panasonic</w:t>
      </w:r>
    </w:p>
    <w:p w14:paraId="3A57BAD1" w14:textId="58DAE790" w:rsidR="00182A21" w:rsidRPr="00C52ED5" w:rsidRDefault="00182A21" w:rsidP="00C52ED5">
      <w:pPr>
        <w:rPr>
          <w:rFonts w:eastAsiaTheme="minorEastAsia" w:cs="Arial"/>
          <w:b/>
          <w:lang w:eastAsia="ja-JP"/>
        </w:rPr>
      </w:pPr>
    </w:p>
    <w:sectPr w:rsidR="00182A21" w:rsidRPr="00C52ED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5D583" w14:textId="77777777" w:rsidR="00E555A4" w:rsidRDefault="00E555A4">
      <w:r>
        <w:separator/>
      </w:r>
    </w:p>
  </w:endnote>
  <w:endnote w:type="continuationSeparator" w:id="0">
    <w:p w14:paraId="6C0D400B" w14:textId="77777777" w:rsidR="00E555A4" w:rsidRDefault="00E555A4">
      <w:r>
        <w:continuationSeparator/>
      </w:r>
    </w:p>
  </w:endnote>
  <w:endnote w:type="continuationNotice" w:id="1">
    <w:p w14:paraId="7A8CA607" w14:textId="77777777" w:rsidR="00E555A4" w:rsidRDefault="00E55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5B125360"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57152">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7EB4D" w14:textId="77777777" w:rsidR="00E555A4" w:rsidRDefault="00E555A4">
      <w:r>
        <w:separator/>
      </w:r>
    </w:p>
  </w:footnote>
  <w:footnote w:type="continuationSeparator" w:id="0">
    <w:p w14:paraId="6036F9D2" w14:textId="77777777" w:rsidR="00E555A4" w:rsidRDefault="00E555A4">
      <w:r>
        <w:continuationSeparator/>
      </w:r>
    </w:p>
  </w:footnote>
  <w:footnote w:type="continuationNotice" w:id="1">
    <w:p w14:paraId="771F459B" w14:textId="77777777" w:rsidR="00E555A4" w:rsidRDefault="00E55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4"/>
  </w:num>
  <w:num w:numId="4">
    <w:abstractNumId w:val="26"/>
  </w:num>
  <w:num w:numId="5">
    <w:abstractNumId w:val="17"/>
  </w:num>
  <w:num w:numId="6">
    <w:abstractNumId w:val="18"/>
  </w:num>
  <w:num w:numId="7">
    <w:abstractNumId w:val="16"/>
  </w:num>
  <w:num w:numId="8">
    <w:abstractNumId w:val="30"/>
  </w:num>
  <w:num w:numId="9">
    <w:abstractNumId w:val="7"/>
  </w:num>
  <w:num w:numId="10">
    <w:abstractNumId w:val="13"/>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9"/>
  </w:num>
  <w:num w:numId="16">
    <w:abstractNumId w:val="21"/>
  </w:num>
  <w:num w:numId="17">
    <w:abstractNumId w:val="28"/>
  </w:num>
  <w:num w:numId="18">
    <w:abstractNumId w:val="25"/>
  </w:num>
  <w:num w:numId="19">
    <w:abstractNumId w:val="34"/>
  </w:num>
  <w:num w:numId="20">
    <w:abstractNumId w:val="22"/>
  </w:num>
  <w:num w:numId="21">
    <w:abstractNumId w:val="11"/>
  </w:num>
  <w:num w:numId="22">
    <w:abstractNumId w:val="1"/>
  </w:num>
  <w:num w:numId="23">
    <w:abstractNumId w:val="23"/>
  </w:num>
  <w:num w:numId="24">
    <w:abstractNumId w:val="4"/>
  </w:num>
  <w:num w:numId="25">
    <w:abstractNumId w:val="5"/>
  </w:num>
  <w:num w:numId="26">
    <w:abstractNumId w:val="31"/>
  </w:num>
  <w:num w:numId="27">
    <w:abstractNumId w:val="6"/>
  </w:num>
  <w:num w:numId="28">
    <w:abstractNumId w:val="20"/>
  </w:num>
  <w:num w:numId="29">
    <w:abstractNumId w:val="33"/>
  </w:num>
  <w:num w:numId="30">
    <w:abstractNumId w:val="0"/>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4"/>
  </w:num>
  <w:num w:numId="36">
    <w:abstractNumId w:val="9"/>
  </w:num>
  <w:num w:numId="3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95"/>
    <w:rsid w:val="000803A0"/>
    <w:rsid w:val="00080BF7"/>
    <w:rsid w:val="00081405"/>
    <w:rsid w:val="00081998"/>
    <w:rsid w:val="00083B28"/>
    <w:rsid w:val="00083C62"/>
    <w:rsid w:val="00085A5C"/>
    <w:rsid w:val="000860A4"/>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1408"/>
    <w:rsid w:val="000A2457"/>
    <w:rsid w:val="000A2B63"/>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2C6"/>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2440"/>
    <w:rsid w:val="000D2B1C"/>
    <w:rsid w:val="000D2E56"/>
    <w:rsid w:val="000D3BAD"/>
    <w:rsid w:val="000D3D6D"/>
    <w:rsid w:val="000D4B0E"/>
    <w:rsid w:val="000D4E15"/>
    <w:rsid w:val="000D5107"/>
    <w:rsid w:val="000D59A5"/>
    <w:rsid w:val="000D5D0E"/>
    <w:rsid w:val="000D65DC"/>
    <w:rsid w:val="000D6922"/>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0F782D"/>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1F"/>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2618"/>
    <w:rsid w:val="00133987"/>
    <w:rsid w:val="00133AC1"/>
    <w:rsid w:val="00133CDF"/>
    <w:rsid w:val="001342AE"/>
    <w:rsid w:val="001348F9"/>
    <w:rsid w:val="00134BD7"/>
    <w:rsid w:val="00135362"/>
    <w:rsid w:val="00135BC5"/>
    <w:rsid w:val="00135BF0"/>
    <w:rsid w:val="00135EBE"/>
    <w:rsid w:val="00136301"/>
    <w:rsid w:val="00136BFA"/>
    <w:rsid w:val="00137388"/>
    <w:rsid w:val="001400CB"/>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0BF"/>
    <w:rsid w:val="0018259F"/>
    <w:rsid w:val="001827CC"/>
    <w:rsid w:val="00182A0D"/>
    <w:rsid w:val="00182A21"/>
    <w:rsid w:val="00182F10"/>
    <w:rsid w:val="00183562"/>
    <w:rsid w:val="001842BA"/>
    <w:rsid w:val="00184315"/>
    <w:rsid w:val="00184741"/>
    <w:rsid w:val="00184CFE"/>
    <w:rsid w:val="0018574D"/>
    <w:rsid w:val="00185992"/>
    <w:rsid w:val="00186179"/>
    <w:rsid w:val="001863D2"/>
    <w:rsid w:val="001863E3"/>
    <w:rsid w:val="001866E9"/>
    <w:rsid w:val="00186ECE"/>
    <w:rsid w:val="00187151"/>
    <w:rsid w:val="00187695"/>
    <w:rsid w:val="00190C74"/>
    <w:rsid w:val="00191C14"/>
    <w:rsid w:val="001926EC"/>
    <w:rsid w:val="00193AA8"/>
    <w:rsid w:val="00194CBE"/>
    <w:rsid w:val="00195154"/>
    <w:rsid w:val="00195181"/>
    <w:rsid w:val="00195842"/>
    <w:rsid w:val="00196E6C"/>
    <w:rsid w:val="0019753D"/>
    <w:rsid w:val="0019773E"/>
    <w:rsid w:val="00197E18"/>
    <w:rsid w:val="001A0C7D"/>
    <w:rsid w:val="001A1165"/>
    <w:rsid w:val="001A1581"/>
    <w:rsid w:val="001A15A5"/>
    <w:rsid w:val="001A1DDE"/>
    <w:rsid w:val="001A21CC"/>
    <w:rsid w:val="001A2F5A"/>
    <w:rsid w:val="001A3319"/>
    <w:rsid w:val="001A386B"/>
    <w:rsid w:val="001A45ED"/>
    <w:rsid w:val="001A4693"/>
    <w:rsid w:val="001A4B69"/>
    <w:rsid w:val="001A548D"/>
    <w:rsid w:val="001A6022"/>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151"/>
    <w:rsid w:val="001B7243"/>
    <w:rsid w:val="001B739E"/>
    <w:rsid w:val="001B7952"/>
    <w:rsid w:val="001B7A83"/>
    <w:rsid w:val="001B7E74"/>
    <w:rsid w:val="001C095C"/>
    <w:rsid w:val="001C0F66"/>
    <w:rsid w:val="001C148B"/>
    <w:rsid w:val="001C1999"/>
    <w:rsid w:val="001C2F8F"/>
    <w:rsid w:val="001C2FF0"/>
    <w:rsid w:val="001C3363"/>
    <w:rsid w:val="001C37FB"/>
    <w:rsid w:val="001C3850"/>
    <w:rsid w:val="001C4FC0"/>
    <w:rsid w:val="001C5A08"/>
    <w:rsid w:val="001C5CA7"/>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53B"/>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440"/>
    <w:rsid w:val="002252B4"/>
    <w:rsid w:val="00226787"/>
    <w:rsid w:val="00226B9B"/>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5E7"/>
    <w:rsid w:val="002436DF"/>
    <w:rsid w:val="00243AD9"/>
    <w:rsid w:val="00244DDE"/>
    <w:rsid w:val="00245839"/>
    <w:rsid w:val="00245E25"/>
    <w:rsid w:val="0024619B"/>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28F"/>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376"/>
    <w:rsid w:val="002B5A19"/>
    <w:rsid w:val="002B5D46"/>
    <w:rsid w:val="002B5E92"/>
    <w:rsid w:val="002B5F5B"/>
    <w:rsid w:val="002B5FC1"/>
    <w:rsid w:val="002B65BF"/>
    <w:rsid w:val="002B68E2"/>
    <w:rsid w:val="002B6F5B"/>
    <w:rsid w:val="002B7924"/>
    <w:rsid w:val="002B7A27"/>
    <w:rsid w:val="002B7AB5"/>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CA8"/>
    <w:rsid w:val="002D4DCA"/>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390"/>
    <w:rsid w:val="00306EFD"/>
    <w:rsid w:val="00310B73"/>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409"/>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5BDB"/>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0CD0"/>
    <w:rsid w:val="003612FC"/>
    <w:rsid w:val="0036143D"/>
    <w:rsid w:val="00361689"/>
    <w:rsid w:val="003619F3"/>
    <w:rsid w:val="00361DB7"/>
    <w:rsid w:val="0036204C"/>
    <w:rsid w:val="00362ED2"/>
    <w:rsid w:val="00363F50"/>
    <w:rsid w:val="003648F2"/>
    <w:rsid w:val="00365954"/>
    <w:rsid w:val="00366069"/>
    <w:rsid w:val="00367C06"/>
    <w:rsid w:val="00367C5D"/>
    <w:rsid w:val="0037063E"/>
    <w:rsid w:val="0037064E"/>
    <w:rsid w:val="00370BCA"/>
    <w:rsid w:val="00370E67"/>
    <w:rsid w:val="00371AC7"/>
    <w:rsid w:val="0037200E"/>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77B5A"/>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AD8"/>
    <w:rsid w:val="0039134B"/>
    <w:rsid w:val="0039178F"/>
    <w:rsid w:val="00392193"/>
    <w:rsid w:val="00392284"/>
    <w:rsid w:val="00392A34"/>
    <w:rsid w:val="00392CAB"/>
    <w:rsid w:val="00393011"/>
    <w:rsid w:val="00393E22"/>
    <w:rsid w:val="00394005"/>
    <w:rsid w:val="003945F8"/>
    <w:rsid w:val="003950DB"/>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796"/>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C7DA1"/>
    <w:rsid w:val="003D09A3"/>
    <w:rsid w:val="003D0D85"/>
    <w:rsid w:val="003D1842"/>
    <w:rsid w:val="003D3A66"/>
    <w:rsid w:val="003D5CF7"/>
    <w:rsid w:val="003D5E70"/>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ED"/>
    <w:rsid w:val="003F1C39"/>
    <w:rsid w:val="003F229D"/>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0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6EC4"/>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58E"/>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1E3A"/>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7A3"/>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5DB"/>
    <w:rsid w:val="0056094F"/>
    <w:rsid w:val="00561704"/>
    <w:rsid w:val="00561E90"/>
    <w:rsid w:val="005620C1"/>
    <w:rsid w:val="00562864"/>
    <w:rsid w:val="0056453F"/>
    <w:rsid w:val="00564AE7"/>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3E9"/>
    <w:rsid w:val="005C396B"/>
    <w:rsid w:val="005C3B9B"/>
    <w:rsid w:val="005C3F12"/>
    <w:rsid w:val="005C4414"/>
    <w:rsid w:val="005C462D"/>
    <w:rsid w:val="005C4BFA"/>
    <w:rsid w:val="005C4F35"/>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BA1"/>
    <w:rsid w:val="006221B2"/>
    <w:rsid w:val="00622225"/>
    <w:rsid w:val="006224DE"/>
    <w:rsid w:val="006226E4"/>
    <w:rsid w:val="00623272"/>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2AC2"/>
    <w:rsid w:val="00653233"/>
    <w:rsid w:val="006537AE"/>
    <w:rsid w:val="00653837"/>
    <w:rsid w:val="00653E0A"/>
    <w:rsid w:val="00653ECC"/>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45DC"/>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A0855"/>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15"/>
    <w:rsid w:val="006B136B"/>
    <w:rsid w:val="006B1E75"/>
    <w:rsid w:val="006B2854"/>
    <w:rsid w:val="006B3077"/>
    <w:rsid w:val="006B30E4"/>
    <w:rsid w:val="006B3451"/>
    <w:rsid w:val="006B35CB"/>
    <w:rsid w:val="006B39BB"/>
    <w:rsid w:val="006B6330"/>
    <w:rsid w:val="006B6A80"/>
    <w:rsid w:val="006B7239"/>
    <w:rsid w:val="006B768A"/>
    <w:rsid w:val="006B7DE9"/>
    <w:rsid w:val="006B7FBA"/>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187"/>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66BE"/>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4AC"/>
    <w:rsid w:val="00766939"/>
    <w:rsid w:val="00767306"/>
    <w:rsid w:val="00767C7A"/>
    <w:rsid w:val="00767CAB"/>
    <w:rsid w:val="00767F2D"/>
    <w:rsid w:val="00771C9A"/>
    <w:rsid w:val="0077282C"/>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4FFE"/>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301C"/>
    <w:rsid w:val="00803337"/>
    <w:rsid w:val="00803BED"/>
    <w:rsid w:val="008044A1"/>
    <w:rsid w:val="00805037"/>
    <w:rsid w:val="0080535C"/>
    <w:rsid w:val="00806200"/>
    <w:rsid w:val="008069D9"/>
    <w:rsid w:val="00807DE2"/>
    <w:rsid w:val="0081010A"/>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83C"/>
    <w:rsid w:val="008B3FB9"/>
    <w:rsid w:val="008B4253"/>
    <w:rsid w:val="008B4567"/>
    <w:rsid w:val="008B4736"/>
    <w:rsid w:val="008B4B23"/>
    <w:rsid w:val="008B4EB4"/>
    <w:rsid w:val="008B5997"/>
    <w:rsid w:val="008B5999"/>
    <w:rsid w:val="008B5F4E"/>
    <w:rsid w:val="008B6464"/>
    <w:rsid w:val="008B6B9D"/>
    <w:rsid w:val="008B7ECA"/>
    <w:rsid w:val="008C039C"/>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268B"/>
    <w:rsid w:val="008E33B4"/>
    <w:rsid w:val="008E39CA"/>
    <w:rsid w:val="008E3A31"/>
    <w:rsid w:val="008E50AC"/>
    <w:rsid w:val="008E5438"/>
    <w:rsid w:val="008E6289"/>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9E"/>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06633"/>
    <w:rsid w:val="009073E9"/>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4B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881"/>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8D0"/>
    <w:rsid w:val="009D7AB4"/>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653"/>
    <w:rsid w:val="00A2598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2CC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152"/>
    <w:rsid w:val="00A575DF"/>
    <w:rsid w:val="00A57F2B"/>
    <w:rsid w:val="00A6012E"/>
    <w:rsid w:val="00A6093B"/>
    <w:rsid w:val="00A614F0"/>
    <w:rsid w:val="00A6166C"/>
    <w:rsid w:val="00A62CF6"/>
    <w:rsid w:val="00A63980"/>
    <w:rsid w:val="00A63C7C"/>
    <w:rsid w:val="00A6430C"/>
    <w:rsid w:val="00A6440F"/>
    <w:rsid w:val="00A64537"/>
    <w:rsid w:val="00A64A43"/>
    <w:rsid w:val="00A64B09"/>
    <w:rsid w:val="00A64B50"/>
    <w:rsid w:val="00A64F65"/>
    <w:rsid w:val="00A64FC4"/>
    <w:rsid w:val="00A66146"/>
    <w:rsid w:val="00A662F3"/>
    <w:rsid w:val="00A66C39"/>
    <w:rsid w:val="00A66CC7"/>
    <w:rsid w:val="00A7047E"/>
    <w:rsid w:val="00A7061F"/>
    <w:rsid w:val="00A70794"/>
    <w:rsid w:val="00A70D5E"/>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2D0C"/>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597"/>
    <w:rsid w:val="00B02772"/>
    <w:rsid w:val="00B02F57"/>
    <w:rsid w:val="00B03112"/>
    <w:rsid w:val="00B03424"/>
    <w:rsid w:val="00B036F7"/>
    <w:rsid w:val="00B03A42"/>
    <w:rsid w:val="00B03D3F"/>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262"/>
    <w:rsid w:val="00B1755C"/>
    <w:rsid w:val="00B17815"/>
    <w:rsid w:val="00B17EF2"/>
    <w:rsid w:val="00B2028B"/>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677"/>
    <w:rsid w:val="00B67930"/>
    <w:rsid w:val="00B67B76"/>
    <w:rsid w:val="00B703D2"/>
    <w:rsid w:val="00B706C1"/>
    <w:rsid w:val="00B70AED"/>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87EE3"/>
    <w:rsid w:val="00B909F5"/>
    <w:rsid w:val="00B91C1B"/>
    <w:rsid w:val="00B92176"/>
    <w:rsid w:val="00B9390B"/>
    <w:rsid w:val="00B940F0"/>
    <w:rsid w:val="00B94BAC"/>
    <w:rsid w:val="00B95EC7"/>
    <w:rsid w:val="00B96099"/>
    <w:rsid w:val="00B96AD3"/>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1FAE"/>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0DA5"/>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6EC0"/>
    <w:rsid w:val="00C27D82"/>
    <w:rsid w:val="00C27FF9"/>
    <w:rsid w:val="00C30C08"/>
    <w:rsid w:val="00C314AC"/>
    <w:rsid w:val="00C31F3E"/>
    <w:rsid w:val="00C328AA"/>
    <w:rsid w:val="00C32E4B"/>
    <w:rsid w:val="00C33665"/>
    <w:rsid w:val="00C33A96"/>
    <w:rsid w:val="00C34670"/>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F11"/>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32DB"/>
    <w:rsid w:val="00C6409C"/>
    <w:rsid w:val="00C6431C"/>
    <w:rsid w:val="00C6444E"/>
    <w:rsid w:val="00C64869"/>
    <w:rsid w:val="00C64AC4"/>
    <w:rsid w:val="00C64C19"/>
    <w:rsid w:val="00C650A7"/>
    <w:rsid w:val="00C65E47"/>
    <w:rsid w:val="00C6614D"/>
    <w:rsid w:val="00C66FD0"/>
    <w:rsid w:val="00C70245"/>
    <w:rsid w:val="00C70327"/>
    <w:rsid w:val="00C70A67"/>
    <w:rsid w:val="00C7113E"/>
    <w:rsid w:val="00C711A8"/>
    <w:rsid w:val="00C713D8"/>
    <w:rsid w:val="00C71435"/>
    <w:rsid w:val="00C714D9"/>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6F7E"/>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8A0"/>
    <w:rsid w:val="00D210CC"/>
    <w:rsid w:val="00D21927"/>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00D"/>
    <w:rsid w:val="00D32340"/>
    <w:rsid w:val="00D32845"/>
    <w:rsid w:val="00D33DDC"/>
    <w:rsid w:val="00D342DF"/>
    <w:rsid w:val="00D34678"/>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AF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2E6"/>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709"/>
    <w:rsid w:val="00DA4901"/>
    <w:rsid w:val="00DA4B2C"/>
    <w:rsid w:val="00DA56F3"/>
    <w:rsid w:val="00DA5FF7"/>
    <w:rsid w:val="00DA645E"/>
    <w:rsid w:val="00DA6736"/>
    <w:rsid w:val="00DA69AD"/>
    <w:rsid w:val="00DA6AB6"/>
    <w:rsid w:val="00DA6F2C"/>
    <w:rsid w:val="00DA7193"/>
    <w:rsid w:val="00DB02BA"/>
    <w:rsid w:val="00DB0302"/>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5D1"/>
    <w:rsid w:val="00DC05EE"/>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0D"/>
    <w:rsid w:val="00DE145B"/>
    <w:rsid w:val="00DE2282"/>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4524"/>
    <w:rsid w:val="00DF4CF1"/>
    <w:rsid w:val="00DF4EF3"/>
    <w:rsid w:val="00DF4FE3"/>
    <w:rsid w:val="00DF50BD"/>
    <w:rsid w:val="00DF559C"/>
    <w:rsid w:val="00DF5669"/>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8D8"/>
    <w:rsid w:val="00E409FD"/>
    <w:rsid w:val="00E42289"/>
    <w:rsid w:val="00E42E00"/>
    <w:rsid w:val="00E432E9"/>
    <w:rsid w:val="00E43CF2"/>
    <w:rsid w:val="00E442F6"/>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55A4"/>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A9D"/>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69A"/>
    <w:rsid w:val="00EB28EC"/>
    <w:rsid w:val="00EB3364"/>
    <w:rsid w:val="00EB338F"/>
    <w:rsid w:val="00EB3442"/>
    <w:rsid w:val="00EB3F2A"/>
    <w:rsid w:val="00EB468C"/>
    <w:rsid w:val="00EB5145"/>
    <w:rsid w:val="00EB5FEB"/>
    <w:rsid w:val="00EB6058"/>
    <w:rsid w:val="00EB6EFB"/>
    <w:rsid w:val="00EB72D8"/>
    <w:rsid w:val="00EC029B"/>
    <w:rsid w:val="00EC1A23"/>
    <w:rsid w:val="00EC1BFD"/>
    <w:rsid w:val="00EC1DF4"/>
    <w:rsid w:val="00EC1F67"/>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D77AA"/>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2431"/>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3E77225D-986B-43D0-9BF9-52EDD5FC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
    <w:link w:val="aff3"/>
    <w:uiPriority w:val="34"/>
    <w:qFormat/>
    <w:rsid w:val="003950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7E3D1-D691-4283-B17B-BE5EC8FC1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657</Words>
  <Characters>3750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14</cp:revision>
  <cp:lastPrinted>2010-04-02T09:58:00Z</cp:lastPrinted>
  <dcterms:created xsi:type="dcterms:W3CDTF">2017-11-17T10:03:00Z</dcterms:created>
  <dcterms:modified xsi:type="dcterms:W3CDTF">2017-11-17T10:51:00Z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