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81B31" w14:textId="3398442E"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605AA3">
        <w:rPr>
          <w:rFonts w:ascii="Arial" w:hAnsi="Arial" w:cs="Arial"/>
          <w:b/>
          <w:sz w:val="24"/>
          <w:szCs w:val="24"/>
        </w:rPr>
        <w:t>9</w:t>
      </w:r>
      <w:r w:rsidR="00683106">
        <w:rPr>
          <w:rFonts w:ascii="Arial" w:hAnsi="Arial" w:cs="Arial"/>
          <w:b/>
          <w:sz w:val="24"/>
          <w:szCs w:val="24"/>
        </w:rPr>
        <w:t>1</w:t>
      </w:r>
      <w:r w:rsidRPr="000A64D8">
        <w:rPr>
          <w:rFonts w:ascii="Arial" w:hAnsi="Arial" w:cs="Arial"/>
          <w:b/>
          <w:sz w:val="24"/>
          <w:szCs w:val="24"/>
        </w:rPr>
        <w:tab/>
      </w:r>
      <w:r w:rsidR="00556F3D" w:rsidRPr="00556F3D">
        <w:rPr>
          <w:rFonts w:ascii="Arial" w:hAnsi="Arial" w:cs="Arial"/>
          <w:b/>
          <w:sz w:val="24"/>
          <w:szCs w:val="24"/>
        </w:rPr>
        <w:t>R1-</w:t>
      </w:r>
      <w:r w:rsidR="005648A0" w:rsidRPr="005648A0">
        <w:rPr>
          <w:rFonts w:ascii="Arial" w:hAnsi="Arial" w:cs="Arial"/>
          <w:b/>
          <w:sz w:val="24"/>
          <w:szCs w:val="24"/>
        </w:rPr>
        <w:t>17</w:t>
      </w:r>
      <w:r w:rsidR="00DF7729">
        <w:rPr>
          <w:rFonts w:ascii="Arial" w:hAnsi="Arial" w:cs="Arial" w:hint="eastAsia"/>
          <w:b/>
          <w:sz w:val="24"/>
          <w:szCs w:val="24"/>
          <w:lang w:eastAsia="zh-CN"/>
        </w:rPr>
        <w:t>20428</w:t>
      </w:r>
    </w:p>
    <w:p w14:paraId="563872CF" w14:textId="37E66859" w:rsidR="00605AA3" w:rsidRDefault="00683106" w:rsidP="005648A0">
      <w:pPr>
        <w:tabs>
          <w:tab w:val="right" w:pos="9630"/>
        </w:tabs>
        <w:spacing w:after="0"/>
        <w:jc w:val="both"/>
        <w:rPr>
          <w:rFonts w:ascii="Arial" w:hAnsi="Arial" w:cs="Arial"/>
          <w:b/>
          <w:sz w:val="24"/>
          <w:szCs w:val="24"/>
        </w:rPr>
      </w:pPr>
      <w:r>
        <w:rPr>
          <w:rFonts w:ascii="Arial" w:hAnsi="Arial" w:cs="Arial"/>
          <w:b/>
          <w:sz w:val="24"/>
          <w:szCs w:val="24"/>
        </w:rPr>
        <w:t>27</w:t>
      </w:r>
      <w:r w:rsidR="004C78B0" w:rsidRPr="004C78B0">
        <w:rPr>
          <w:rFonts w:ascii="Arial" w:hAnsi="Arial" w:cs="Arial"/>
          <w:b/>
          <w:sz w:val="24"/>
          <w:szCs w:val="24"/>
          <w:vertAlign w:val="superscript"/>
        </w:rPr>
        <w:t>th</w:t>
      </w:r>
      <w:r w:rsidR="004C78B0">
        <w:rPr>
          <w:rFonts w:ascii="Arial" w:hAnsi="Arial" w:cs="Arial"/>
          <w:b/>
          <w:sz w:val="24"/>
          <w:szCs w:val="24"/>
        </w:rPr>
        <w:t xml:space="preserve"> </w:t>
      </w:r>
      <w:r>
        <w:rPr>
          <w:rFonts w:ascii="Arial" w:hAnsi="Arial" w:cs="Arial"/>
          <w:b/>
          <w:sz w:val="24"/>
          <w:szCs w:val="24"/>
        </w:rPr>
        <w:t xml:space="preserve">November </w:t>
      </w:r>
      <w:r w:rsidR="009611DA">
        <w:rPr>
          <w:rFonts w:ascii="Arial" w:hAnsi="Arial" w:cs="Arial"/>
          <w:b/>
          <w:sz w:val="24"/>
          <w:szCs w:val="24"/>
        </w:rPr>
        <w:t>–</w:t>
      </w:r>
      <w:r w:rsidR="009611DA" w:rsidRPr="003732BA">
        <w:rPr>
          <w:rFonts w:ascii="Arial" w:hAnsi="Arial" w:cs="Arial"/>
          <w:b/>
          <w:sz w:val="24"/>
          <w:szCs w:val="24"/>
        </w:rPr>
        <w:t xml:space="preserve"> </w:t>
      </w:r>
      <w:r w:rsidR="005B6EDA">
        <w:rPr>
          <w:rFonts w:ascii="Arial" w:hAnsi="Arial" w:cs="Arial"/>
          <w:b/>
          <w:sz w:val="24"/>
          <w:szCs w:val="24"/>
        </w:rPr>
        <w:t>1</w:t>
      </w:r>
      <w:r w:rsidRPr="00683106">
        <w:rPr>
          <w:rFonts w:ascii="Arial" w:hAnsi="Arial" w:cs="Arial"/>
          <w:b/>
          <w:sz w:val="24"/>
          <w:szCs w:val="24"/>
          <w:vertAlign w:val="superscript"/>
        </w:rPr>
        <w:t>st</w:t>
      </w:r>
      <w:r>
        <w:rPr>
          <w:rFonts w:ascii="Arial" w:hAnsi="Arial" w:cs="Arial"/>
          <w:b/>
          <w:sz w:val="24"/>
          <w:szCs w:val="24"/>
        </w:rPr>
        <w:t xml:space="preserve"> December</w:t>
      </w:r>
      <w:r w:rsidR="009611DA">
        <w:rPr>
          <w:rFonts w:ascii="Arial" w:hAnsi="Arial" w:cs="Arial"/>
          <w:b/>
          <w:sz w:val="24"/>
          <w:szCs w:val="24"/>
        </w:rPr>
        <w:t xml:space="preserve"> 2017</w:t>
      </w:r>
    </w:p>
    <w:p w14:paraId="1866D85A" w14:textId="3BFBAAD7" w:rsidR="009611DA" w:rsidRPr="00FD021C" w:rsidRDefault="00683106" w:rsidP="005648A0">
      <w:pPr>
        <w:tabs>
          <w:tab w:val="right" w:pos="9630"/>
        </w:tabs>
        <w:spacing w:after="0"/>
        <w:jc w:val="both"/>
        <w:rPr>
          <w:rFonts w:ascii="Arial" w:hAnsi="Arial" w:cs="Arial"/>
          <w:b/>
          <w:sz w:val="24"/>
          <w:szCs w:val="24"/>
        </w:rPr>
      </w:pPr>
      <w:r>
        <w:rPr>
          <w:rFonts w:ascii="Arial" w:hAnsi="Arial" w:cs="Arial"/>
          <w:b/>
          <w:sz w:val="24"/>
          <w:szCs w:val="24"/>
        </w:rPr>
        <w:t>Reno</w:t>
      </w:r>
      <w:r w:rsidR="009611DA" w:rsidRPr="00CA6BDF">
        <w:rPr>
          <w:rFonts w:ascii="Arial" w:hAnsi="Arial" w:cs="Arial"/>
          <w:b/>
          <w:sz w:val="24"/>
          <w:szCs w:val="24"/>
        </w:rPr>
        <w:t xml:space="preserve">, </w:t>
      </w:r>
      <w:r>
        <w:rPr>
          <w:rFonts w:ascii="Arial" w:hAnsi="Arial" w:cs="Arial"/>
          <w:b/>
          <w:sz w:val="24"/>
          <w:szCs w:val="24"/>
        </w:rPr>
        <w:t>USA</w:t>
      </w:r>
    </w:p>
    <w:p w14:paraId="26881B34" w14:textId="77777777" w:rsidR="0068226B" w:rsidRPr="000A64D8" w:rsidRDefault="0068226B" w:rsidP="00480B03">
      <w:pPr>
        <w:pStyle w:val="Footer"/>
        <w:jc w:val="both"/>
        <w:rPr>
          <w:noProof w:val="0"/>
        </w:rPr>
      </w:pPr>
    </w:p>
    <w:p w14:paraId="26881B35" w14:textId="15F15D8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F4E12">
        <w:rPr>
          <w:rFonts w:ascii="Arial" w:hAnsi="Arial"/>
          <w:sz w:val="24"/>
        </w:rPr>
        <w:t>6</w:t>
      </w:r>
      <w:r w:rsidR="009A1DC8" w:rsidRPr="009A1DC8">
        <w:rPr>
          <w:rFonts w:ascii="Arial" w:hAnsi="Arial"/>
          <w:sz w:val="24"/>
        </w:rPr>
        <w:t>.2.</w:t>
      </w:r>
      <w:r w:rsidR="00BF4E12">
        <w:rPr>
          <w:rFonts w:ascii="Arial" w:hAnsi="Arial"/>
          <w:sz w:val="24"/>
        </w:rPr>
        <w:t>6</w:t>
      </w:r>
      <w:r w:rsidR="009A1DC8" w:rsidRPr="009A1DC8">
        <w:rPr>
          <w:rFonts w:ascii="Arial" w:hAnsi="Arial"/>
          <w:sz w:val="24"/>
        </w:rPr>
        <w:t>.</w:t>
      </w:r>
      <w:r w:rsidR="00BF4E12">
        <w:rPr>
          <w:rFonts w:ascii="Arial" w:hAnsi="Arial"/>
          <w:sz w:val="24"/>
        </w:rPr>
        <w:t>3</w:t>
      </w:r>
      <w:r w:rsidR="00265BBD">
        <w:rPr>
          <w:rFonts w:ascii="Arial" w:hAnsi="Arial"/>
          <w:sz w:val="24"/>
        </w:rPr>
        <w:t>.</w:t>
      </w:r>
      <w:r w:rsidR="00622D53">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993D0EB"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22D53">
        <w:rPr>
          <w:rFonts w:ascii="Arial" w:hAnsi="Arial"/>
          <w:sz w:val="24"/>
        </w:rPr>
        <w:t>Downlink aspects of TDD</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65FEFD91" w14:textId="4670EEDA" w:rsidR="00536814" w:rsidRDefault="00C1213E" w:rsidP="00777CEC">
      <w:pPr>
        <w:pStyle w:val="ListParagraph"/>
        <w:spacing w:after="180"/>
        <w:ind w:left="0"/>
        <w:jc w:val="both"/>
        <w:rPr>
          <w:rFonts w:ascii="Times New Roman" w:hAnsi="Times New Roman"/>
          <w:sz w:val="20"/>
          <w:szCs w:val="20"/>
        </w:rPr>
      </w:pPr>
      <w:r>
        <w:rPr>
          <w:rFonts w:ascii="Times New Roman" w:hAnsi="Times New Roman"/>
          <w:sz w:val="20"/>
          <w:szCs w:val="20"/>
          <w:lang w:val="en-GB"/>
        </w:rPr>
        <w:t xml:space="preserve">In </w:t>
      </w:r>
      <w:r w:rsidR="00BF4E12">
        <w:rPr>
          <w:rFonts w:ascii="Times New Roman" w:hAnsi="Times New Roman"/>
          <w:sz w:val="20"/>
          <w:szCs w:val="20"/>
          <w:lang w:val="en-GB"/>
        </w:rPr>
        <w:t>RAN1#90</w:t>
      </w:r>
      <w:r w:rsidR="00740B27">
        <w:rPr>
          <w:rFonts w:ascii="Times New Roman" w:hAnsi="Times New Roman"/>
          <w:sz w:val="20"/>
          <w:szCs w:val="20"/>
          <w:lang w:val="en-GB"/>
        </w:rPr>
        <w:t>bis</w:t>
      </w:r>
      <w:r w:rsidR="00BF4E12">
        <w:rPr>
          <w:rFonts w:ascii="Times New Roman" w:hAnsi="Times New Roman"/>
          <w:sz w:val="20"/>
          <w:szCs w:val="20"/>
          <w:lang w:val="en-GB"/>
        </w:rPr>
        <w:t xml:space="preserve"> meeting, the downlink aspects of NB-IoT TDD were discussed. The following agreements were reached [1].</w:t>
      </w:r>
      <w:r w:rsidR="00BF4E12">
        <w:rPr>
          <w:rFonts w:ascii="Times New Roman" w:hAnsi="Times New Roman"/>
          <w:sz w:val="20"/>
          <w:szCs w:val="20"/>
        </w:rPr>
        <w:t xml:space="preserve"> </w:t>
      </w:r>
    </w:p>
    <w:p w14:paraId="16072A1C" w14:textId="77777777" w:rsidR="00CF17D4" w:rsidRPr="001338B8" w:rsidRDefault="00CF17D4" w:rsidP="00CF17D4">
      <w:pPr>
        <w:rPr>
          <w:highlight w:val="green"/>
        </w:rPr>
      </w:pPr>
      <w:r w:rsidRPr="001338B8">
        <w:rPr>
          <w:highlight w:val="green"/>
        </w:rPr>
        <w:t>Agreements</w:t>
      </w:r>
    </w:p>
    <w:p w14:paraId="2BE7319D" w14:textId="77777777" w:rsidR="00CF17D4" w:rsidRPr="001338B8" w:rsidRDefault="00CF17D4" w:rsidP="00CF17D4">
      <w:pPr>
        <w:numPr>
          <w:ilvl w:val="0"/>
          <w:numId w:val="18"/>
        </w:numPr>
        <w:overflowPunct/>
        <w:autoSpaceDE/>
        <w:autoSpaceDN/>
        <w:adjustRightInd/>
        <w:spacing w:after="0"/>
        <w:textAlignment w:val="auto"/>
      </w:pPr>
      <w:r w:rsidRPr="001338B8">
        <w:rPr>
          <w:iCs/>
        </w:rPr>
        <w:t>MIB-NB is transmitted on the same NB-IoT carrier as NPSS/NSSS.</w:t>
      </w:r>
    </w:p>
    <w:p w14:paraId="5B0AE118" w14:textId="77777777" w:rsidR="00CF17D4" w:rsidRPr="001338B8" w:rsidRDefault="00CF17D4" w:rsidP="00CF17D4">
      <w:pPr>
        <w:numPr>
          <w:ilvl w:val="0"/>
          <w:numId w:val="19"/>
        </w:numPr>
        <w:overflowPunct/>
        <w:autoSpaceDE/>
        <w:autoSpaceDN/>
        <w:adjustRightInd/>
        <w:spacing w:after="0"/>
        <w:textAlignment w:val="auto"/>
      </w:pPr>
      <w:r w:rsidRPr="001338B8">
        <w:t>It is supported that SIB1-NB is transmitted only on the anchor carrier</w:t>
      </w:r>
    </w:p>
    <w:p w14:paraId="4B6A4237" w14:textId="77777777" w:rsidR="00CF17D4" w:rsidRPr="001338B8" w:rsidRDefault="00CF17D4" w:rsidP="00CF17D4">
      <w:pPr>
        <w:numPr>
          <w:ilvl w:val="1"/>
          <w:numId w:val="19"/>
        </w:numPr>
        <w:overflowPunct/>
        <w:autoSpaceDE/>
        <w:autoSpaceDN/>
        <w:adjustRightInd/>
        <w:spacing w:after="0"/>
        <w:textAlignment w:val="auto"/>
      </w:pPr>
      <w:r w:rsidRPr="001338B8">
        <w:t>In at least subframe #0 in odd frames</w:t>
      </w:r>
    </w:p>
    <w:p w14:paraId="467B126B" w14:textId="77777777" w:rsidR="00CF17D4" w:rsidRPr="001338B8" w:rsidRDefault="00CF17D4" w:rsidP="00CF17D4">
      <w:pPr>
        <w:numPr>
          <w:ilvl w:val="0"/>
          <w:numId w:val="19"/>
        </w:numPr>
        <w:overflowPunct/>
        <w:autoSpaceDE/>
        <w:autoSpaceDN/>
        <w:adjustRightInd/>
        <w:spacing w:after="0"/>
        <w:textAlignment w:val="auto"/>
      </w:pPr>
      <w:r w:rsidRPr="001338B8">
        <w:t>It is supported that SIB1-NB can be transmitted on non-anchor carrier, FFS details</w:t>
      </w:r>
    </w:p>
    <w:p w14:paraId="7A7E75EC" w14:textId="77777777" w:rsidR="00CF17D4" w:rsidRPr="001338B8" w:rsidRDefault="00CF17D4" w:rsidP="00CF17D4">
      <w:pPr>
        <w:numPr>
          <w:ilvl w:val="1"/>
          <w:numId w:val="19"/>
        </w:numPr>
        <w:overflowPunct/>
        <w:autoSpaceDE/>
        <w:autoSpaceDN/>
        <w:adjustRightInd/>
        <w:spacing w:after="0"/>
        <w:textAlignment w:val="auto"/>
      </w:pPr>
      <w:r w:rsidRPr="001338B8">
        <w:t>It is necessary to consider SFN wraparound as part of FFS</w:t>
      </w:r>
    </w:p>
    <w:p w14:paraId="607EE3E1" w14:textId="77777777" w:rsidR="00CF17D4" w:rsidRPr="001338B8" w:rsidRDefault="00CF17D4" w:rsidP="00CF17D4">
      <w:pPr>
        <w:numPr>
          <w:ilvl w:val="0"/>
          <w:numId w:val="19"/>
        </w:numPr>
        <w:overflowPunct/>
        <w:autoSpaceDE/>
        <w:autoSpaceDN/>
        <w:adjustRightInd/>
        <w:spacing w:after="0"/>
        <w:textAlignment w:val="auto"/>
      </w:pPr>
      <w:r w:rsidRPr="001338B8">
        <w:t>Periodicity of SIB1-NB in TDD is the same as FDD (i.e. 2560ms)</w:t>
      </w:r>
    </w:p>
    <w:p w14:paraId="7EF92665" w14:textId="52B223C7" w:rsidR="00CF17D4" w:rsidRDefault="00CF17D4" w:rsidP="00CF17D4">
      <w:pPr>
        <w:numPr>
          <w:ilvl w:val="0"/>
          <w:numId w:val="19"/>
        </w:numPr>
        <w:overflowPunct/>
        <w:autoSpaceDE/>
        <w:autoSpaceDN/>
        <w:adjustRightInd/>
        <w:spacing w:after="0"/>
        <w:textAlignment w:val="auto"/>
      </w:pPr>
      <w:r w:rsidRPr="001338B8">
        <w:t>One transport block of SIB1-NB is transmitted over 8 SIB1-NB subframes (i.e. same as FDD)</w:t>
      </w:r>
    </w:p>
    <w:p w14:paraId="17135C51" w14:textId="77777777" w:rsidR="00CF17D4" w:rsidRPr="001338B8" w:rsidRDefault="00CF17D4" w:rsidP="00CF17D4">
      <w:pPr>
        <w:overflowPunct/>
        <w:autoSpaceDE/>
        <w:autoSpaceDN/>
        <w:adjustRightInd/>
        <w:spacing w:after="0"/>
        <w:ind w:left="720"/>
        <w:textAlignment w:val="auto"/>
      </w:pPr>
    </w:p>
    <w:p w14:paraId="2FA08075" w14:textId="77777777" w:rsidR="00CF17D4" w:rsidRPr="001338B8" w:rsidRDefault="00CF17D4" w:rsidP="00CF17D4">
      <w:pPr>
        <w:rPr>
          <w:highlight w:val="green"/>
        </w:rPr>
      </w:pPr>
      <w:r w:rsidRPr="001338B8">
        <w:rPr>
          <w:highlight w:val="green"/>
        </w:rPr>
        <w:t>Agreements:</w:t>
      </w:r>
    </w:p>
    <w:p w14:paraId="3B6CD109" w14:textId="77777777" w:rsidR="00CF17D4" w:rsidRPr="001338B8" w:rsidRDefault="00CF17D4" w:rsidP="00CF17D4">
      <w:pPr>
        <w:numPr>
          <w:ilvl w:val="0"/>
          <w:numId w:val="20"/>
        </w:numPr>
        <w:overflowPunct/>
        <w:autoSpaceDE/>
        <w:autoSpaceDN/>
        <w:adjustRightInd/>
        <w:spacing w:after="0"/>
        <w:textAlignment w:val="auto"/>
      </w:pPr>
      <w:r w:rsidRPr="001338B8">
        <w:t>For NPSS, NSSS and NPBCH transmission in TDD:</w:t>
      </w:r>
    </w:p>
    <w:p w14:paraId="589C1984" w14:textId="77777777" w:rsidR="00CF17D4" w:rsidRPr="001338B8" w:rsidRDefault="00CF17D4" w:rsidP="00CF17D4">
      <w:pPr>
        <w:numPr>
          <w:ilvl w:val="1"/>
          <w:numId w:val="20"/>
        </w:numPr>
        <w:overflowPunct/>
        <w:autoSpaceDE/>
        <w:autoSpaceDN/>
        <w:adjustRightInd/>
        <w:spacing w:after="0"/>
        <w:textAlignment w:val="auto"/>
      </w:pPr>
      <w:r w:rsidRPr="001338B8">
        <w:t>NPSS is transmitted on subframe #5 in every radio frame</w:t>
      </w:r>
    </w:p>
    <w:p w14:paraId="778BAF39" w14:textId="77777777" w:rsidR="00CF17D4" w:rsidRPr="001338B8" w:rsidRDefault="00CF17D4" w:rsidP="00CF17D4">
      <w:pPr>
        <w:numPr>
          <w:ilvl w:val="1"/>
          <w:numId w:val="20"/>
        </w:numPr>
        <w:overflowPunct/>
        <w:autoSpaceDE/>
        <w:autoSpaceDN/>
        <w:adjustRightInd/>
        <w:spacing w:after="0"/>
        <w:textAlignment w:val="auto"/>
      </w:pPr>
      <w:r w:rsidRPr="001338B8">
        <w:t>NSSS is transmitted on subframe #0 in every even-numbered radio frame</w:t>
      </w:r>
    </w:p>
    <w:p w14:paraId="44CE087B" w14:textId="77777777" w:rsidR="00CF17D4" w:rsidRPr="001338B8" w:rsidRDefault="00CF17D4" w:rsidP="00CF17D4">
      <w:pPr>
        <w:numPr>
          <w:ilvl w:val="1"/>
          <w:numId w:val="20"/>
        </w:numPr>
        <w:overflowPunct/>
        <w:autoSpaceDE/>
        <w:autoSpaceDN/>
        <w:adjustRightInd/>
        <w:spacing w:after="0"/>
        <w:textAlignment w:val="auto"/>
      </w:pPr>
      <w:r w:rsidRPr="001338B8">
        <w:t>NPBCH is in subframe 9 in every radio frame on the same carrier as NPSS/NSSS.</w:t>
      </w:r>
    </w:p>
    <w:p w14:paraId="7FAC03BC" w14:textId="1921F30C" w:rsidR="00CF17D4" w:rsidRPr="00CF17D4" w:rsidRDefault="00CF17D4" w:rsidP="00605AA3">
      <w:pPr>
        <w:overflowPunct/>
        <w:autoSpaceDE/>
        <w:autoSpaceDN/>
        <w:adjustRightInd/>
        <w:spacing w:after="0"/>
        <w:textAlignment w:val="auto"/>
        <w:rPr>
          <w:rFonts w:eastAsia="MS Mincho"/>
          <w:lang w:eastAsia="ja-JP"/>
        </w:rPr>
      </w:pPr>
    </w:p>
    <w:p w14:paraId="1CFD7B65" w14:textId="2BBDB703" w:rsidR="00F03373" w:rsidRPr="00F03373" w:rsidRDefault="002C1E49" w:rsidP="00C1213E">
      <w:pPr>
        <w:jc w:val="both"/>
        <w:rPr>
          <w:i/>
          <w:iCs/>
          <w:lang w:val="en-GB" w:eastAsia="x-none"/>
        </w:rPr>
      </w:pPr>
      <w:r>
        <w:t xml:space="preserve">In this contribution, we </w:t>
      </w:r>
      <w:r w:rsidR="00D5371D">
        <w:t>continue to</w:t>
      </w:r>
      <w:r w:rsidR="00621455">
        <w:t xml:space="preserve"> </w:t>
      </w:r>
      <w:r>
        <w:t>discu</w:t>
      </w:r>
      <w:r w:rsidR="00605AA3">
        <w:t xml:space="preserve">ss the </w:t>
      </w:r>
      <w:r w:rsidR="00CF17D4">
        <w:t xml:space="preserve">remaining design details </w:t>
      </w:r>
      <w:r w:rsidR="00D5371D">
        <w:t>of</w:t>
      </w:r>
      <w:r w:rsidR="00CF17D4">
        <w:t xml:space="preserve"> </w:t>
      </w:r>
      <w:r w:rsidR="00A6527F">
        <w:t xml:space="preserve">DL </w:t>
      </w:r>
      <w:r w:rsidR="00C1213E">
        <w:t xml:space="preserve">aspects, such as </w:t>
      </w:r>
      <w:r w:rsidR="00CF17D4">
        <w:t xml:space="preserve">SIB1-NB on the non-anchor carrier and NPDCCH/NPDSCH </w:t>
      </w:r>
      <w:r w:rsidR="00796791">
        <w:t xml:space="preserve">presence </w:t>
      </w:r>
      <w:r w:rsidR="00CF17D4">
        <w:t xml:space="preserve">in </w:t>
      </w:r>
      <w:proofErr w:type="spellStart"/>
      <w:r w:rsidR="00CF17D4">
        <w:t>DwPTS</w:t>
      </w:r>
      <w:proofErr w:type="spellEnd"/>
      <w:r w:rsidR="00C1213E">
        <w:t>.</w:t>
      </w:r>
      <w:r w:rsidR="00F03373">
        <w:t xml:space="preserve"> </w:t>
      </w:r>
      <w:r w:rsidR="00F03373" w:rsidRPr="00F03373">
        <w:t>Th</w:t>
      </w:r>
      <w:r w:rsidR="00CF17D4">
        <w:t xml:space="preserve">is </w:t>
      </w:r>
      <w:proofErr w:type="spellStart"/>
      <w:r w:rsidR="00CF17D4">
        <w:t>Tdoc</w:t>
      </w:r>
      <w:proofErr w:type="spellEnd"/>
      <w:r w:rsidR="00CF17D4">
        <w:t xml:space="preserve"> is a revision of R1-171</w:t>
      </w:r>
      <w:r w:rsidR="00F03373" w:rsidRPr="00F03373">
        <w:t>814</w:t>
      </w:r>
      <w:r w:rsidR="00CF17D4">
        <w:t>6</w:t>
      </w:r>
      <w:r w:rsidR="00F03373" w:rsidRPr="00F03373">
        <w:t xml:space="preserve"> [2].</w:t>
      </w:r>
    </w:p>
    <w:p w14:paraId="6A808625" w14:textId="65D99727" w:rsidR="007D7698" w:rsidRDefault="00A55AF1" w:rsidP="00564597">
      <w:pPr>
        <w:pStyle w:val="Heading1"/>
      </w:pPr>
      <w:r>
        <w:t>Discussion</w:t>
      </w:r>
      <w:r w:rsidR="00AC5978">
        <w:t xml:space="preserve"> </w:t>
      </w:r>
    </w:p>
    <w:p w14:paraId="4B8AB0F0" w14:textId="2FC1B528" w:rsidR="00193D48" w:rsidRDefault="00193D48" w:rsidP="00193D48">
      <w:pPr>
        <w:pStyle w:val="Heading2"/>
      </w:pPr>
      <w:r>
        <w:t>SIB</w:t>
      </w:r>
      <w:r w:rsidR="00D5371D">
        <w:t>1-NB</w:t>
      </w:r>
    </w:p>
    <w:p w14:paraId="74200C9F" w14:textId="63619E8C" w:rsidR="002A0D2C" w:rsidRDefault="002A0D2C" w:rsidP="00193D48">
      <w:pPr>
        <w:jc w:val="both"/>
        <w:rPr>
          <w:lang w:val="en-GB" w:eastAsia="zh-CN"/>
        </w:rPr>
      </w:pPr>
      <w:r>
        <w:rPr>
          <w:lang w:val="en-GB" w:eastAsia="zh-CN"/>
        </w:rPr>
        <w:t>For t</w:t>
      </w:r>
      <w:r>
        <w:rPr>
          <w:rFonts w:hint="eastAsia"/>
          <w:lang w:val="en-GB" w:eastAsia="zh-CN"/>
        </w:rPr>
        <w:t>he SIB1-NB on the anchor carrier</w:t>
      </w:r>
      <w:r>
        <w:rPr>
          <w:lang w:val="en-GB" w:eastAsia="zh-CN"/>
        </w:rPr>
        <w:t>, the performance</w:t>
      </w:r>
      <w:r>
        <w:rPr>
          <w:rFonts w:hint="eastAsia"/>
          <w:lang w:val="en-GB" w:eastAsia="zh-CN"/>
        </w:rPr>
        <w:t xml:space="preserve"> </w:t>
      </w:r>
      <w:r>
        <w:rPr>
          <w:lang w:val="en-GB" w:eastAsia="zh-CN"/>
        </w:rPr>
        <w:t xml:space="preserve">will </w:t>
      </w:r>
      <w:r>
        <w:rPr>
          <w:rFonts w:hint="eastAsia"/>
          <w:lang w:val="en-GB" w:eastAsia="zh-CN"/>
        </w:rPr>
        <w:t xml:space="preserve">be degraded by interference from NSSS of </w:t>
      </w:r>
      <w:proofErr w:type="spellStart"/>
      <w:r>
        <w:rPr>
          <w:rFonts w:hint="eastAsia"/>
          <w:lang w:val="en-GB" w:eastAsia="zh-CN"/>
        </w:rPr>
        <w:t>neighboring</w:t>
      </w:r>
      <w:proofErr w:type="spellEnd"/>
      <w:r>
        <w:rPr>
          <w:rFonts w:hint="eastAsia"/>
          <w:lang w:val="en-GB" w:eastAsia="zh-CN"/>
        </w:rPr>
        <w:t xml:space="preserve"> cell when the repetition level is 16. </w:t>
      </w:r>
      <w:r>
        <w:rPr>
          <w:lang w:val="en-GB" w:eastAsia="zh-CN"/>
        </w:rPr>
        <w:t xml:space="preserve">In such case, transmitting the SIB-NB on the non-anchor carrier will not suffer from interference from NSSS, and the SIB1-NB of </w:t>
      </w:r>
      <w:r w:rsidR="00796791">
        <w:rPr>
          <w:lang w:val="en-GB" w:eastAsia="zh-CN"/>
        </w:rPr>
        <w:t xml:space="preserve">the two </w:t>
      </w:r>
      <w:proofErr w:type="spellStart"/>
      <w:r>
        <w:rPr>
          <w:lang w:val="en-GB" w:eastAsia="zh-CN"/>
        </w:rPr>
        <w:t>neighboring</w:t>
      </w:r>
      <w:proofErr w:type="spellEnd"/>
      <w:r>
        <w:rPr>
          <w:lang w:val="en-GB" w:eastAsia="zh-CN"/>
        </w:rPr>
        <w:t xml:space="preserve"> cells can be time domain multiplexed with different frame offset same as FDD. </w:t>
      </w:r>
      <w:r w:rsidR="005008B2">
        <w:rPr>
          <w:lang w:val="en-GB" w:eastAsia="zh-CN"/>
        </w:rPr>
        <w:t xml:space="preserve">However, it is observed that the power boosting on the non-anchor carrier may be different from that of the anchor carrier. According to [3], for LTE </w:t>
      </w:r>
      <w:proofErr w:type="spellStart"/>
      <w:r w:rsidR="005008B2">
        <w:rPr>
          <w:lang w:val="en-GB" w:eastAsia="zh-CN"/>
        </w:rPr>
        <w:t>inband</w:t>
      </w:r>
      <w:proofErr w:type="spellEnd"/>
      <w:r w:rsidR="005008B2">
        <w:rPr>
          <w:lang w:val="en-GB" w:eastAsia="zh-CN"/>
        </w:rPr>
        <w:t xml:space="preserve"> deployment, the maximum power boosting on the non-anchor carrier is only 3dB </w:t>
      </w:r>
      <w:r w:rsidR="00796791">
        <w:rPr>
          <w:lang w:val="en-GB" w:eastAsia="zh-CN"/>
        </w:rPr>
        <w:t>which is smaller than the</w:t>
      </w:r>
      <w:r w:rsidR="005008B2">
        <w:rPr>
          <w:lang w:val="en-GB" w:eastAsia="zh-CN"/>
        </w:rPr>
        <w:t xml:space="preserve"> 6dB on the anchor carrier. Therefore, the performance of the SIB1-NB on the non-anchor carrier will be worse than the anchor carrier. </w:t>
      </w:r>
    </w:p>
    <w:p w14:paraId="37614757" w14:textId="5078C754" w:rsidR="005008B2" w:rsidRDefault="005008B2" w:rsidP="00193D48">
      <w:pPr>
        <w:jc w:val="both"/>
        <w:rPr>
          <w:lang w:eastAsia="zh-CN"/>
        </w:rPr>
      </w:pPr>
      <w:r>
        <w:rPr>
          <w:lang w:eastAsia="zh-CN"/>
        </w:rPr>
        <w:t xml:space="preserve">However, the power boosting is related </w:t>
      </w:r>
      <w:r w:rsidR="00796791">
        <w:rPr>
          <w:lang w:eastAsia="zh-CN"/>
        </w:rPr>
        <w:t xml:space="preserve">to </w:t>
      </w:r>
      <w:r>
        <w:rPr>
          <w:lang w:eastAsia="zh-CN"/>
        </w:rPr>
        <w:t>whether the shared PA is used for LTE system and NB-IoT. At least for standalone or guard</w:t>
      </w:r>
      <w:r w:rsidR="00821EEE">
        <w:rPr>
          <w:lang w:eastAsia="zh-CN"/>
        </w:rPr>
        <w:t xml:space="preserve"> </w:t>
      </w:r>
      <w:r>
        <w:rPr>
          <w:lang w:eastAsia="zh-CN"/>
        </w:rPr>
        <w:t xml:space="preserve">band deployment scenario, it is possible to use a separate PA for the NB-IoT system. In such case, it shall be possible to have the same PSD on both anchor and non-anchor carrier. Even for LTE </w:t>
      </w:r>
      <w:proofErr w:type="spellStart"/>
      <w:r>
        <w:rPr>
          <w:lang w:eastAsia="zh-CN"/>
        </w:rPr>
        <w:t>inband</w:t>
      </w:r>
      <w:proofErr w:type="spellEnd"/>
      <w:r>
        <w:rPr>
          <w:lang w:eastAsia="zh-CN"/>
        </w:rPr>
        <w:t xml:space="preserve"> deployment with shared PA, it is still possible to </w:t>
      </w:r>
      <w:r w:rsidR="00796791">
        <w:rPr>
          <w:lang w:eastAsia="zh-CN"/>
        </w:rPr>
        <w:t>use</w:t>
      </w:r>
      <w:r>
        <w:rPr>
          <w:lang w:eastAsia="zh-CN"/>
        </w:rPr>
        <w:t xml:space="preserve"> 6dB power boosting on </w:t>
      </w:r>
      <w:r w:rsidR="00821EEE">
        <w:rPr>
          <w:lang w:eastAsia="zh-CN"/>
        </w:rPr>
        <w:t xml:space="preserve">the </w:t>
      </w:r>
      <w:r>
        <w:rPr>
          <w:lang w:eastAsia="zh-CN"/>
        </w:rPr>
        <w:t>non-anchor carrier by blanking more PRBs</w:t>
      </w:r>
      <w:r w:rsidR="00796791">
        <w:rPr>
          <w:lang w:eastAsia="zh-CN"/>
        </w:rPr>
        <w:t xml:space="preserve"> in LTE system</w:t>
      </w:r>
      <w:r>
        <w:rPr>
          <w:lang w:eastAsia="zh-CN"/>
        </w:rPr>
        <w:t xml:space="preserve">. </w:t>
      </w:r>
    </w:p>
    <w:p w14:paraId="66A11E33" w14:textId="2664060F" w:rsidR="00821EEE" w:rsidRDefault="00821EEE" w:rsidP="00821EEE">
      <w:pPr>
        <w:rPr>
          <w:b/>
          <w:lang w:val="en-GB"/>
        </w:rPr>
      </w:pPr>
      <w:r>
        <w:rPr>
          <w:b/>
          <w:u w:val="single"/>
          <w:lang w:val="en-GB"/>
        </w:rPr>
        <w:t>Observation 1</w:t>
      </w:r>
      <w:r w:rsidRPr="005648A0">
        <w:rPr>
          <w:b/>
          <w:lang w:val="en-GB"/>
        </w:rPr>
        <w:t xml:space="preserve">: </w:t>
      </w:r>
      <w:r>
        <w:rPr>
          <w:b/>
          <w:lang w:val="en-GB"/>
        </w:rPr>
        <w:t xml:space="preserve">The maximum 6dB power boosting on the non-anchor carrier is feasible for standalone or guard band deployment when a separate PA is used for NB-IoT. </w:t>
      </w:r>
    </w:p>
    <w:p w14:paraId="7C324EFA" w14:textId="77777777" w:rsidR="00821EEE" w:rsidRPr="00821EEE" w:rsidRDefault="00821EEE" w:rsidP="00193D48">
      <w:pPr>
        <w:jc w:val="both"/>
        <w:rPr>
          <w:lang w:val="en-GB" w:eastAsia="zh-CN"/>
        </w:rPr>
      </w:pPr>
    </w:p>
    <w:p w14:paraId="4A88B665" w14:textId="2EF05531" w:rsidR="00821EEE" w:rsidRDefault="00821EEE" w:rsidP="00821EEE">
      <w:pPr>
        <w:jc w:val="both"/>
        <w:rPr>
          <w:lang w:eastAsia="zh-CN"/>
        </w:rPr>
      </w:pPr>
      <w:r>
        <w:rPr>
          <w:lang w:eastAsia="zh-CN"/>
        </w:rPr>
        <w:t xml:space="preserve">The following two options were proposed </w:t>
      </w:r>
      <w:r w:rsidR="00796791">
        <w:rPr>
          <w:lang w:eastAsia="zh-CN"/>
        </w:rPr>
        <w:t>for t</w:t>
      </w:r>
      <w:r>
        <w:rPr>
          <w:lang w:eastAsia="zh-CN"/>
        </w:rPr>
        <w:t>he SIB1-NB configured on the non-anchor carrier.</w:t>
      </w:r>
      <w:r w:rsidR="00796791">
        <w:rPr>
          <w:lang w:eastAsia="zh-CN"/>
        </w:rPr>
        <w:t xml:space="preserve"> </w:t>
      </w:r>
    </w:p>
    <w:p w14:paraId="79CA288A" w14:textId="7070044C" w:rsidR="00821EEE" w:rsidRPr="001338B8" w:rsidRDefault="00821EEE" w:rsidP="00796791">
      <w:pPr>
        <w:numPr>
          <w:ilvl w:val="0"/>
          <w:numId w:val="18"/>
        </w:numPr>
        <w:overflowPunct/>
        <w:autoSpaceDE/>
        <w:autoSpaceDN/>
        <w:adjustRightInd/>
        <w:spacing w:after="60"/>
        <w:ind w:left="714" w:hanging="357"/>
        <w:textAlignment w:val="auto"/>
      </w:pPr>
      <w:r>
        <w:rPr>
          <w:iCs/>
        </w:rPr>
        <w:t>Option 1: SIB1-NB is transmitted only on the non-anchor carrier</w:t>
      </w:r>
    </w:p>
    <w:p w14:paraId="5B822CE5" w14:textId="21349763" w:rsidR="00821EEE" w:rsidRPr="001338B8" w:rsidRDefault="00821EEE" w:rsidP="00821EEE">
      <w:pPr>
        <w:numPr>
          <w:ilvl w:val="0"/>
          <w:numId w:val="18"/>
        </w:numPr>
        <w:overflowPunct/>
        <w:autoSpaceDE/>
        <w:autoSpaceDN/>
        <w:adjustRightInd/>
        <w:ind w:left="714" w:hanging="357"/>
        <w:textAlignment w:val="auto"/>
      </w:pPr>
      <w:r>
        <w:rPr>
          <w:iCs/>
        </w:rPr>
        <w:t>Option 2: SIB1-NB is transmitted on both anchor and non-anchor carrier</w:t>
      </w:r>
    </w:p>
    <w:p w14:paraId="062DF0F9" w14:textId="713CA282" w:rsidR="00821EEE" w:rsidRDefault="00796791" w:rsidP="00193D48">
      <w:pPr>
        <w:jc w:val="both"/>
        <w:rPr>
          <w:lang w:eastAsia="zh-CN"/>
        </w:rPr>
      </w:pPr>
      <w:r>
        <w:rPr>
          <w:lang w:eastAsia="zh-CN"/>
        </w:rPr>
        <w:t>T</w:t>
      </w:r>
      <w:r>
        <w:rPr>
          <w:lang w:eastAsia="zh-CN"/>
        </w:rPr>
        <w:t>he consideration for Option 2 is the insufficient power boosting on the non-anchor carrier and therefore it is not possible to transmit the SIB1-NB only on the non-anchor carrier.</w:t>
      </w:r>
      <w:r>
        <w:rPr>
          <w:lang w:eastAsia="zh-CN"/>
        </w:rPr>
        <w:t xml:space="preserve"> </w:t>
      </w:r>
      <w:r w:rsidR="00821EEE">
        <w:rPr>
          <w:rFonts w:hint="eastAsia"/>
          <w:lang w:eastAsia="zh-CN"/>
        </w:rPr>
        <w:t xml:space="preserve">Figure 1 </w:t>
      </w:r>
      <w:r w:rsidR="00821EEE">
        <w:rPr>
          <w:lang w:eastAsia="zh-CN"/>
        </w:rPr>
        <w:t>b</w:t>
      </w:r>
      <w:r w:rsidR="00821EEE">
        <w:rPr>
          <w:rFonts w:hint="eastAsia"/>
          <w:lang w:eastAsia="zh-CN"/>
        </w:rPr>
        <w:t>elow</w:t>
      </w:r>
      <w:r w:rsidR="00821EEE">
        <w:rPr>
          <w:lang w:eastAsia="zh-CN"/>
        </w:rPr>
        <w:t xml:space="preserve"> shows an example of Option 2 where the anchor and non-anchor</w:t>
      </w:r>
      <w:r w:rsidR="00D166F9">
        <w:rPr>
          <w:lang w:eastAsia="zh-CN"/>
        </w:rPr>
        <w:t xml:space="preserve"> carrier are time multiplexed for every block of </w:t>
      </w:r>
      <w:r w:rsidR="00821EEE">
        <w:rPr>
          <w:lang w:eastAsia="zh-CN"/>
        </w:rPr>
        <w:t xml:space="preserve">160ms. </w:t>
      </w:r>
    </w:p>
    <w:p w14:paraId="2EBE6160" w14:textId="3C4829E9" w:rsidR="00821EEE" w:rsidRDefault="00821EEE" w:rsidP="00821EEE">
      <w:pPr>
        <w:spacing w:after="0"/>
        <w:jc w:val="center"/>
        <w:rPr>
          <w:lang w:eastAsia="zh-CN"/>
        </w:rPr>
      </w:pPr>
      <w:r w:rsidRPr="00821EEE">
        <w:rPr>
          <w:noProof/>
        </w:rPr>
        <w:drawing>
          <wp:inline distT="0" distB="0" distL="0" distR="0" wp14:anchorId="17645075" wp14:editId="3999CFE2">
            <wp:extent cx="5549900" cy="1387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2424" cy="1388106"/>
                    </a:xfrm>
                    <a:prstGeom prst="rect">
                      <a:avLst/>
                    </a:prstGeom>
                    <a:noFill/>
                    <a:ln>
                      <a:noFill/>
                    </a:ln>
                  </pic:spPr>
                </pic:pic>
              </a:graphicData>
            </a:graphic>
          </wp:inline>
        </w:drawing>
      </w:r>
    </w:p>
    <w:p w14:paraId="1360C37B" w14:textId="5743301D" w:rsidR="00821EEE" w:rsidRDefault="00821EEE" w:rsidP="00821EEE">
      <w:pPr>
        <w:jc w:val="center"/>
        <w:rPr>
          <w:b/>
          <w:lang w:val="en-GB" w:eastAsia="zh-CN"/>
        </w:rPr>
      </w:pPr>
      <w:r w:rsidRPr="006959E0">
        <w:rPr>
          <w:rFonts w:hint="eastAsia"/>
          <w:b/>
          <w:lang w:val="en-GB" w:eastAsia="zh-CN"/>
        </w:rPr>
        <w:t xml:space="preserve">Figure </w:t>
      </w:r>
      <w:r>
        <w:rPr>
          <w:b/>
          <w:lang w:val="en-GB" w:eastAsia="zh-CN"/>
        </w:rPr>
        <w:t>1</w:t>
      </w:r>
      <w:r w:rsidRPr="006959E0">
        <w:rPr>
          <w:rFonts w:hint="eastAsia"/>
          <w:b/>
          <w:lang w:val="en-GB" w:eastAsia="zh-CN"/>
        </w:rPr>
        <w:t xml:space="preserve">: </w:t>
      </w:r>
      <w:r>
        <w:rPr>
          <w:b/>
          <w:lang w:val="en-GB" w:eastAsia="zh-CN"/>
        </w:rPr>
        <w:t>Example of SIB1-NB on both anchor and non-anchor carrier</w:t>
      </w:r>
    </w:p>
    <w:p w14:paraId="377CB4E0" w14:textId="692825FF" w:rsidR="00821EEE" w:rsidRDefault="00CB5296" w:rsidP="00D65EC4">
      <w:pPr>
        <w:jc w:val="both"/>
        <w:rPr>
          <w:lang w:eastAsia="zh-CN"/>
        </w:rPr>
      </w:pPr>
      <w:r w:rsidRPr="00362931">
        <w:rPr>
          <w:lang w:eastAsia="zh-CN"/>
        </w:rPr>
        <w:t xml:space="preserve">For </w:t>
      </w:r>
      <w:r w:rsidR="00D166F9" w:rsidRPr="00362931">
        <w:rPr>
          <w:rFonts w:hint="eastAsia"/>
          <w:lang w:eastAsia="zh-CN"/>
        </w:rPr>
        <w:t>O</w:t>
      </w:r>
      <w:r w:rsidR="00D166F9" w:rsidRPr="00362931">
        <w:rPr>
          <w:lang w:eastAsia="zh-CN"/>
        </w:rPr>
        <w:t>ption 2</w:t>
      </w:r>
      <w:r w:rsidRPr="00362931">
        <w:rPr>
          <w:lang w:eastAsia="zh-CN"/>
        </w:rPr>
        <w:t xml:space="preserve">, </w:t>
      </w:r>
      <w:r w:rsidR="00362931" w:rsidRPr="00362931">
        <w:rPr>
          <w:lang w:eastAsia="zh-CN"/>
        </w:rPr>
        <w:t xml:space="preserve">more repetitions </w:t>
      </w:r>
      <w:r w:rsidR="00ED0AE4">
        <w:rPr>
          <w:lang w:eastAsia="zh-CN"/>
        </w:rPr>
        <w:t xml:space="preserve">(or transmission subframes) </w:t>
      </w:r>
      <w:r w:rsidR="00362931" w:rsidRPr="00362931">
        <w:rPr>
          <w:lang w:eastAsia="zh-CN"/>
        </w:rPr>
        <w:t xml:space="preserve">on the non-anchor carrier are needed </w:t>
      </w:r>
      <w:r w:rsidR="00ED0AE4">
        <w:rPr>
          <w:lang w:eastAsia="zh-CN"/>
        </w:rPr>
        <w:t>due to insufficient power boosting on the non-anchor carrier</w:t>
      </w:r>
      <w:r w:rsidR="00362931" w:rsidRPr="00362931">
        <w:rPr>
          <w:lang w:eastAsia="zh-CN"/>
        </w:rPr>
        <w:t xml:space="preserve">. For example, the SIB1 is transmitted on the subframe #0 of every radio frame in the non-anchor carrier. </w:t>
      </w:r>
      <w:r w:rsidR="00ED0AE4">
        <w:rPr>
          <w:lang w:eastAsia="zh-CN"/>
        </w:rPr>
        <w:t xml:space="preserve">This may require UE to </w:t>
      </w:r>
      <w:r w:rsidR="00547CC2">
        <w:rPr>
          <w:lang w:eastAsia="zh-CN"/>
        </w:rPr>
        <w:t>decode more subframes in the same period thus increasing the power consumption. F</w:t>
      </w:r>
      <w:r w:rsidR="00362931">
        <w:rPr>
          <w:lang w:eastAsia="zh-CN"/>
        </w:rPr>
        <w:t xml:space="preserve">or Option 1, </w:t>
      </w:r>
      <w:r w:rsidR="00D65EC4">
        <w:rPr>
          <w:lang w:eastAsia="zh-CN"/>
        </w:rPr>
        <w:t>it is assumed that the full power boosting can be used for the non-anchor carrier.</w:t>
      </w:r>
      <w:r w:rsidR="00D65EC4">
        <w:rPr>
          <w:lang w:eastAsia="zh-CN"/>
        </w:rPr>
        <w:t xml:space="preserve"> Therefore, t</w:t>
      </w:r>
      <w:r w:rsidR="00362931">
        <w:rPr>
          <w:lang w:eastAsia="zh-CN"/>
        </w:rPr>
        <w:t xml:space="preserve">he SIB1-NB transmission </w:t>
      </w:r>
      <w:r w:rsidR="00547CC2">
        <w:rPr>
          <w:lang w:eastAsia="zh-CN"/>
        </w:rPr>
        <w:t xml:space="preserve">on the non-anchor carrier </w:t>
      </w:r>
      <w:r w:rsidR="00362931">
        <w:rPr>
          <w:lang w:eastAsia="zh-CN"/>
        </w:rPr>
        <w:t xml:space="preserve">can be same as FDD except for </w:t>
      </w:r>
      <w:r w:rsidR="00547CC2">
        <w:rPr>
          <w:lang w:eastAsia="zh-CN"/>
        </w:rPr>
        <w:t>replacing</w:t>
      </w:r>
      <w:r w:rsidR="00362931">
        <w:rPr>
          <w:lang w:eastAsia="zh-CN"/>
        </w:rPr>
        <w:t xml:space="preserve"> subframe #</w:t>
      </w:r>
      <w:r w:rsidR="00547CC2">
        <w:rPr>
          <w:lang w:eastAsia="zh-CN"/>
        </w:rPr>
        <w:t>4</w:t>
      </w:r>
      <w:r w:rsidR="00362931">
        <w:rPr>
          <w:lang w:eastAsia="zh-CN"/>
        </w:rPr>
        <w:t xml:space="preserve"> </w:t>
      </w:r>
      <w:r w:rsidR="00547CC2">
        <w:rPr>
          <w:lang w:eastAsia="zh-CN"/>
        </w:rPr>
        <w:t xml:space="preserve">with </w:t>
      </w:r>
      <w:r w:rsidR="00362931">
        <w:rPr>
          <w:lang w:eastAsia="zh-CN"/>
        </w:rPr>
        <w:t>subframe #</w:t>
      </w:r>
      <w:r w:rsidR="00547CC2">
        <w:rPr>
          <w:lang w:eastAsia="zh-CN"/>
        </w:rPr>
        <w:t xml:space="preserve">0 considering MBSFN subframe </w:t>
      </w:r>
      <w:r w:rsidR="00D65EC4">
        <w:rPr>
          <w:lang w:eastAsia="zh-CN"/>
        </w:rPr>
        <w:t>allocation</w:t>
      </w:r>
      <w:r w:rsidR="00547CC2">
        <w:rPr>
          <w:lang w:eastAsia="zh-CN"/>
        </w:rPr>
        <w:t xml:space="preserve"> in TDD</w:t>
      </w:r>
      <w:r w:rsidR="00362931">
        <w:rPr>
          <w:lang w:eastAsia="zh-CN"/>
        </w:rPr>
        <w:t xml:space="preserve">. </w:t>
      </w:r>
      <w:r w:rsidR="00D65EC4">
        <w:rPr>
          <w:lang w:eastAsia="zh-CN"/>
        </w:rPr>
        <w:t>The SIB1-NB will be transmitted every 20ms, and t</w:t>
      </w:r>
      <w:r w:rsidR="00547CC2">
        <w:rPr>
          <w:lang w:eastAsia="zh-CN"/>
        </w:rPr>
        <w:t>he exact radio frame can be determined by cell ID and the number of repetition by reusing the same scheduling information table</w:t>
      </w:r>
      <w:r w:rsidR="00D65EC4">
        <w:rPr>
          <w:lang w:eastAsia="zh-CN"/>
        </w:rPr>
        <w:t xml:space="preserve"> of FDD</w:t>
      </w:r>
      <w:r w:rsidR="00547CC2">
        <w:rPr>
          <w:lang w:eastAsia="zh-CN"/>
        </w:rPr>
        <w:t>.</w:t>
      </w:r>
      <w:r w:rsidR="00D65EC4">
        <w:rPr>
          <w:lang w:eastAsia="zh-CN"/>
        </w:rPr>
        <w:t xml:space="preserve"> </w:t>
      </w:r>
    </w:p>
    <w:p w14:paraId="4446A657" w14:textId="74FF6827" w:rsidR="00D65EC4" w:rsidRDefault="00D65EC4" w:rsidP="00D65EC4">
      <w:pPr>
        <w:jc w:val="both"/>
        <w:rPr>
          <w:lang w:eastAsia="zh-CN"/>
        </w:rPr>
      </w:pPr>
      <w:r>
        <w:rPr>
          <w:lang w:eastAsia="zh-CN"/>
        </w:rPr>
        <w:t>As we discuss the power boosting on the non-anchor carrier is not an issue. Option 1 has a benefit to reuse FDD design as much as possible. Therefore, we prefer to Option 1 for SIB1-NB transmission on the non-anchor carrier.</w:t>
      </w:r>
    </w:p>
    <w:p w14:paraId="2830B2AE" w14:textId="402CC153" w:rsidR="007C5878" w:rsidRDefault="007C5878" w:rsidP="007C5878">
      <w:pPr>
        <w:rPr>
          <w:b/>
          <w:lang w:val="en-GB"/>
        </w:rPr>
      </w:pPr>
      <w:r w:rsidRPr="005648A0">
        <w:rPr>
          <w:b/>
          <w:u w:val="single"/>
          <w:lang w:val="en-GB"/>
        </w:rPr>
        <w:t xml:space="preserve">Proposal </w:t>
      </w:r>
      <w:r>
        <w:rPr>
          <w:b/>
          <w:u w:val="single"/>
          <w:lang w:val="en-GB"/>
        </w:rPr>
        <w:t>1</w:t>
      </w:r>
      <w:r w:rsidRPr="005648A0">
        <w:rPr>
          <w:b/>
          <w:lang w:val="en-GB"/>
        </w:rPr>
        <w:t xml:space="preserve">: </w:t>
      </w:r>
      <w:r>
        <w:rPr>
          <w:b/>
          <w:lang w:val="en-GB"/>
        </w:rPr>
        <w:t xml:space="preserve">The SIB1-NB can be transmitted on either the anchor or non-anchor carrier according to the 1-bit indicator in </w:t>
      </w:r>
      <w:r w:rsidR="007C7EAC">
        <w:rPr>
          <w:b/>
          <w:lang w:val="en-GB"/>
        </w:rPr>
        <w:t xml:space="preserve">the </w:t>
      </w:r>
      <w:r>
        <w:rPr>
          <w:b/>
          <w:lang w:val="en-GB"/>
        </w:rPr>
        <w:t>MIB</w:t>
      </w:r>
      <w:r w:rsidR="00ED0AE4">
        <w:rPr>
          <w:b/>
          <w:lang w:val="en-GB"/>
        </w:rPr>
        <w:t>-NB</w:t>
      </w:r>
      <w:r>
        <w:rPr>
          <w:b/>
          <w:lang w:val="en-GB"/>
        </w:rPr>
        <w:t>.</w:t>
      </w:r>
    </w:p>
    <w:p w14:paraId="3183AFF8" w14:textId="78812D46" w:rsidR="00547CC2" w:rsidRDefault="00547CC2" w:rsidP="00547CC2">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The SIB1-NB is transmitted on subframe #0 of every alternate radio frame. The scheduling information table of FDD is reused to determine the radio frame to transmit on the non-anchor carrier.</w:t>
      </w:r>
    </w:p>
    <w:p w14:paraId="1069757B" w14:textId="66155AF7" w:rsidR="007C7EAC" w:rsidRDefault="007C5878" w:rsidP="00362931">
      <w:pPr>
        <w:jc w:val="both"/>
        <w:rPr>
          <w:lang w:val="en-GB" w:eastAsia="zh-CN"/>
        </w:rPr>
      </w:pPr>
      <w:r>
        <w:rPr>
          <w:lang w:val="en-GB" w:eastAsia="zh-CN"/>
        </w:rPr>
        <w:t>Another open issue is the frequency domain location of the non-anchor carrier. One solution is to use a predefined non-anchor carrier, e.g., the next one or the previous one to the anchor carrier. The relative offset to the anchor carrier can be based on the cell ID to avoid explicit signalling</w:t>
      </w:r>
      <w:r w:rsidR="007C7EAC">
        <w:rPr>
          <w:lang w:val="en-GB" w:eastAsia="zh-CN"/>
        </w:rPr>
        <w:t xml:space="preserve"> in the MIB</w:t>
      </w:r>
      <w:r w:rsidR="00D65EC4">
        <w:rPr>
          <w:lang w:val="en-GB" w:eastAsia="zh-CN"/>
        </w:rPr>
        <w:t>-NB</w:t>
      </w:r>
      <w:r>
        <w:rPr>
          <w:lang w:val="en-GB" w:eastAsia="zh-CN"/>
        </w:rPr>
        <w:t xml:space="preserve">. </w:t>
      </w:r>
      <w:r w:rsidR="007C7EAC">
        <w:rPr>
          <w:lang w:val="en-GB" w:eastAsia="zh-CN"/>
        </w:rPr>
        <w:t xml:space="preserve">However, for LTE </w:t>
      </w:r>
      <w:proofErr w:type="spellStart"/>
      <w:r w:rsidR="007C7EAC">
        <w:rPr>
          <w:lang w:val="en-GB" w:eastAsia="zh-CN"/>
        </w:rPr>
        <w:t>inband</w:t>
      </w:r>
      <w:proofErr w:type="spellEnd"/>
      <w:r w:rsidR="007C7EAC">
        <w:rPr>
          <w:lang w:val="en-GB" w:eastAsia="zh-CN"/>
        </w:rPr>
        <w:t xml:space="preserve"> deployment, the </w:t>
      </w:r>
      <w:r w:rsidR="00141B16">
        <w:rPr>
          <w:lang w:val="en-GB" w:eastAsia="zh-CN"/>
        </w:rPr>
        <w:t>arbitrary</w:t>
      </w:r>
      <w:r w:rsidR="007C7EAC">
        <w:rPr>
          <w:lang w:val="en-GB" w:eastAsia="zh-CN"/>
        </w:rPr>
        <w:t xml:space="preserve"> selection of the non-anchor carrier may result in the anchor and non-anchor carrier not in the same RBG which may degrade the PRB resource utilization for the LTE system. As shown in Figure 2 below, </w:t>
      </w:r>
      <w:r w:rsidR="00141B16">
        <w:rPr>
          <w:lang w:val="en-GB" w:eastAsia="zh-CN"/>
        </w:rPr>
        <w:t xml:space="preserve">if PRB index 9 is used for the anchor carrier it is preferable to select the next PRB#10 as the non-anchor carrier. Similarly, if PRB #35 is used for the anchor carrier then the non-anchor carrier can be on PRB#34 to ensure both </w:t>
      </w:r>
      <w:r w:rsidR="00D65EC4">
        <w:rPr>
          <w:lang w:val="en-GB" w:eastAsia="zh-CN"/>
        </w:rPr>
        <w:t xml:space="preserve">carriers </w:t>
      </w:r>
      <w:r w:rsidR="00141B16">
        <w:rPr>
          <w:lang w:val="en-GB" w:eastAsia="zh-CN"/>
        </w:rPr>
        <w:t xml:space="preserve">on the same RBG. Therefore, the non-anchor carrier position shall be dependent on the frequency location of the anchor carrier. </w:t>
      </w:r>
    </w:p>
    <w:p w14:paraId="1B2FF8C7" w14:textId="53761069" w:rsidR="007C7EAC" w:rsidRDefault="007C7EAC" w:rsidP="00362931">
      <w:pPr>
        <w:jc w:val="both"/>
        <w:rPr>
          <w:lang w:val="en-GB" w:eastAsia="zh-CN"/>
        </w:rPr>
      </w:pPr>
      <w:r w:rsidRPr="007C7EAC">
        <w:rPr>
          <w:noProof/>
        </w:rPr>
        <w:drawing>
          <wp:inline distT="0" distB="0" distL="0" distR="0" wp14:anchorId="7B989814" wp14:editId="18217053">
            <wp:extent cx="6332220" cy="4826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482682"/>
                    </a:xfrm>
                    <a:prstGeom prst="rect">
                      <a:avLst/>
                    </a:prstGeom>
                    <a:noFill/>
                    <a:ln>
                      <a:noFill/>
                    </a:ln>
                  </pic:spPr>
                </pic:pic>
              </a:graphicData>
            </a:graphic>
          </wp:inline>
        </w:drawing>
      </w:r>
    </w:p>
    <w:p w14:paraId="3C634BCF" w14:textId="26E2B226" w:rsidR="00141B16" w:rsidRDefault="00141B16" w:rsidP="00141B16">
      <w:pPr>
        <w:jc w:val="center"/>
        <w:rPr>
          <w:b/>
          <w:lang w:val="en-GB" w:eastAsia="zh-CN"/>
        </w:rPr>
      </w:pPr>
      <w:r w:rsidRPr="006959E0">
        <w:rPr>
          <w:rFonts w:hint="eastAsia"/>
          <w:b/>
          <w:lang w:val="en-GB" w:eastAsia="zh-CN"/>
        </w:rPr>
        <w:t xml:space="preserve">Figure </w:t>
      </w:r>
      <w:r>
        <w:rPr>
          <w:b/>
          <w:lang w:val="en-GB" w:eastAsia="zh-CN"/>
        </w:rPr>
        <w:t>2</w:t>
      </w:r>
      <w:r w:rsidRPr="006959E0">
        <w:rPr>
          <w:rFonts w:hint="eastAsia"/>
          <w:b/>
          <w:lang w:val="en-GB" w:eastAsia="zh-CN"/>
        </w:rPr>
        <w:t xml:space="preserve">: </w:t>
      </w:r>
      <w:r>
        <w:rPr>
          <w:b/>
          <w:lang w:val="en-GB" w:eastAsia="zh-CN"/>
        </w:rPr>
        <w:t xml:space="preserve">Relationship between the anchor/non-anchor carrier and </w:t>
      </w:r>
      <w:r w:rsidR="00ED0AE4">
        <w:rPr>
          <w:b/>
          <w:lang w:val="en-GB" w:eastAsia="zh-CN"/>
        </w:rPr>
        <w:t xml:space="preserve">LTE </w:t>
      </w:r>
      <w:r>
        <w:rPr>
          <w:b/>
          <w:lang w:val="en-GB" w:eastAsia="zh-CN"/>
        </w:rPr>
        <w:t>RBG (10MHz BW)</w:t>
      </w:r>
    </w:p>
    <w:p w14:paraId="5F1E8CB0" w14:textId="68E462B8" w:rsidR="00ED0AE4" w:rsidRDefault="00ED0AE4" w:rsidP="00ED0AE4">
      <w:pPr>
        <w:rPr>
          <w:b/>
          <w:lang w:val="en-GB"/>
        </w:rPr>
      </w:pPr>
      <w:r w:rsidRPr="005648A0">
        <w:rPr>
          <w:b/>
          <w:u w:val="single"/>
          <w:lang w:val="en-GB"/>
        </w:rPr>
        <w:t xml:space="preserve">Proposal </w:t>
      </w:r>
      <w:r w:rsidR="00547CC2">
        <w:rPr>
          <w:b/>
          <w:u w:val="single"/>
          <w:lang w:val="en-GB"/>
        </w:rPr>
        <w:t>3</w:t>
      </w:r>
      <w:r w:rsidRPr="005648A0">
        <w:rPr>
          <w:b/>
          <w:lang w:val="en-GB"/>
        </w:rPr>
        <w:t xml:space="preserve">: </w:t>
      </w:r>
      <w:r>
        <w:rPr>
          <w:b/>
          <w:lang w:val="en-GB"/>
        </w:rPr>
        <w:t xml:space="preserve">The </w:t>
      </w:r>
      <w:r w:rsidR="0037270D">
        <w:rPr>
          <w:b/>
          <w:lang w:val="en-GB"/>
        </w:rPr>
        <w:t xml:space="preserve">frequency </w:t>
      </w:r>
      <w:r>
        <w:rPr>
          <w:b/>
          <w:lang w:val="en-GB"/>
        </w:rPr>
        <w:t xml:space="preserve">position of the non-anchor carrier shall be based on the location of the anchor carrier at least for </w:t>
      </w:r>
      <w:proofErr w:type="spellStart"/>
      <w:r>
        <w:rPr>
          <w:b/>
          <w:lang w:val="en-GB"/>
        </w:rPr>
        <w:t>inband</w:t>
      </w:r>
      <w:proofErr w:type="spellEnd"/>
      <w:r>
        <w:rPr>
          <w:b/>
          <w:lang w:val="en-GB"/>
        </w:rPr>
        <w:t xml:space="preserve"> deployment. Using 1 or 2 bits in the MIB-NB to indicate the relative offset to the anchor carrier. </w:t>
      </w:r>
    </w:p>
    <w:p w14:paraId="654B749D" w14:textId="524F1433" w:rsidR="00B0279F" w:rsidRDefault="00B0279F" w:rsidP="00B0279F">
      <w:pPr>
        <w:pStyle w:val="Heading2"/>
      </w:pPr>
      <w:r>
        <w:lastRenderedPageBreak/>
        <w:t>NPDCCH/NPDSCH</w:t>
      </w:r>
    </w:p>
    <w:p w14:paraId="54FB8111" w14:textId="64386E56" w:rsidR="00F35589" w:rsidRDefault="00B0279F" w:rsidP="00C471F2">
      <w:pPr>
        <w:jc w:val="both"/>
        <w:rPr>
          <w:lang w:val="en-GB" w:eastAsia="zh-CN"/>
        </w:rPr>
      </w:pPr>
      <w:r>
        <w:rPr>
          <w:rFonts w:hint="eastAsia"/>
          <w:lang w:val="en-GB" w:eastAsia="zh-CN"/>
        </w:rPr>
        <w:t xml:space="preserve">For NPDCCH/NPDSCH </w:t>
      </w:r>
      <w:r>
        <w:rPr>
          <w:lang w:val="en-GB" w:eastAsia="zh-CN"/>
        </w:rPr>
        <w:t>of NB-IoT</w:t>
      </w:r>
      <w:r w:rsidR="00F35589">
        <w:rPr>
          <w:lang w:val="en-GB" w:eastAsia="zh-CN"/>
        </w:rPr>
        <w:t xml:space="preserve"> TDD</w:t>
      </w:r>
      <w:r>
        <w:rPr>
          <w:rFonts w:hint="eastAsia"/>
          <w:lang w:val="en-GB" w:eastAsia="zh-CN"/>
        </w:rPr>
        <w:t xml:space="preserve">, </w:t>
      </w:r>
      <w:r w:rsidR="00901713">
        <w:rPr>
          <w:lang w:val="en-GB" w:eastAsia="zh-CN"/>
        </w:rPr>
        <w:t xml:space="preserve">we can adopt FDD design as much as possible. Due to the limited number of DL subframes for some TDD UL/DL configurations, the NPDCCH/NPDSCH may be transmitted on the non-anchor carrier </w:t>
      </w:r>
      <w:r w:rsidR="003F68E1">
        <w:rPr>
          <w:lang w:val="en-GB" w:eastAsia="zh-CN"/>
        </w:rPr>
        <w:t>also for broadcast transmission</w:t>
      </w:r>
      <w:r w:rsidR="00901713">
        <w:rPr>
          <w:lang w:val="en-GB" w:eastAsia="zh-CN"/>
        </w:rPr>
        <w:t xml:space="preserve">. </w:t>
      </w:r>
      <w:r w:rsidR="003F68E1">
        <w:rPr>
          <w:lang w:val="en-GB" w:eastAsia="zh-CN"/>
        </w:rPr>
        <w:t xml:space="preserve">Another </w:t>
      </w:r>
      <w:r w:rsidR="00901713">
        <w:rPr>
          <w:lang w:val="en-GB" w:eastAsia="zh-CN"/>
        </w:rPr>
        <w:t>key differen</w:t>
      </w:r>
      <w:r w:rsidR="0019655E">
        <w:rPr>
          <w:lang w:val="en-GB" w:eastAsia="zh-CN"/>
        </w:rPr>
        <w:t>ce</w:t>
      </w:r>
      <w:r w:rsidR="00901713">
        <w:rPr>
          <w:lang w:val="en-GB" w:eastAsia="zh-CN"/>
        </w:rPr>
        <w:t xml:space="preserve"> </w:t>
      </w:r>
      <w:r w:rsidR="0019655E">
        <w:rPr>
          <w:lang w:val="en-GB" w:eastAsia="zh-CN"/>
        </w:rPr>
        <w:t>for NB-IoT</w:t>
      </w:r>
      <w:r w:rsidR="00901713">
        <w:rPr>
          <w:lang w:val="en-GB" w:eastAsia="zh-CN"/>
        </w:rPr>
        <w:t xml:space="preserve"> </w:t>
      </w:r>
      <w:r w:rsidR="00F35589">
        <w:rPr>
          <w:lang w:val="en-GB" w:eastAsia="zh-CN"/>
        </w:rPr>
        <w:t xml:space="preserve">TDD </w:t>
      </w:r>
      <w:r w:rsidR="00901713">
        <w:rPr>
          <w:lang w:val="en-GB" w:eastAsia="zh-CN"/>
        </w:rPr>
        <w:t>is whether to support NPDCCH/NPDSCH in the special subframe.</w:t>
      </w:r>
    </w:p>
    <w:p w14:paraId="2E2A251F" w14:textId="4753157E" w:rsidR="00F35589" w:rsidRDefault="00F35589" w:rsidP="00C471F2">
      <w:pPr>
        <w:jc w:val="both"/>
        <w:rPr>
          <w:lang w:val="en-GB" w:eastAsia="zh-CN"/>
        </w:rPr>
      </w:pPr>
      <w:r>
        <w:rPr>
          <w:rFonts w:hint="eastAsia"/>
          <w:lang w:val="en-GB" w:eastAsia="zh-CN"/>
        </w:rPr>
        <w:t xml:space="preserve">There </w:t>
      </w:r>
      <w:r>
        <w:rPr>
          <w:lang w:val="en-GB" w:eastAsia="zh-CN"/>
        </w:rPr>
        <w:t>could</w:t>
      </w:r>
      <w:r>
        <w:rPr>
          <w:rFonts w:hint="eastAsia"/>
          <w:lang w:val="en-GB" w:eastAsia="zh-CN"/>
        </w:rPr>
        <w:t xml:space="preserve"> </w:t>
      </w:r>
      <w:r>
        <w:rPr>
          <w:lang w:val="en-GB" w:eastAsia="zh-CN"/>
        </w:rPr>
        <w:t>be the following choices for NPDCCH/NDSCH in the special subframe:</w:t>
      </w:r>
    </w:p>
    <w:p w14:paraId="75D1D8D4" w14:textId="6BFD7AF5" w:rsidR="00704AF6" w:rsidRPr="00F35589" w:rsidRDefault="00F35589" w:rsidP="00F35589">
      <w:pPr>
        <w:numPr>
          <w:ilvl w:val="0"/>
          <w:numId w:val="18"/>
        </w:numPr>
        <w:overflowPunct/>
        <w:autoSpaceDE/>
        <w:autoSpaceDN/>
        <w:adjustRightInd/>
        <w:ind w:left="714" w:hanging="357"/>
        <w:textAlignment w:val="auto"/>
        <w:rPr>
          <w:lang w:val="en-GB"/>
        </w:rPr>
      </w:pPr>
      <w:r>
        <w:rPr>
          <w:lang w:val="en-GB"/>
        </w:rPr>
        <w:t xml:space="preserve">Option 1: </w:t>
      </w:r>
      <w:r w:rsidR="00AF3C7E" w:rsidRPr="00F35589">
        <w:rPr>
          <w:lang w:val="en-GB"/>
        </w:rPr>
        <w:t>NPDSCH/NPDCCH would not be allocated on special sub-frames. If repetition is configured, the allocation would be postponed to the next possible DL sub-frame.</w:t>
      </w:r>
    </w:p>
    <w:p w14:paraId="32A6C390" w14:textId="6A8BEDD7" w:rsidR="00704AF6" w:rsidRPr="00F35589" w:rsidRDefault="00F35589" w:rsidP="00F35589">
      <w:pPr>
        <w:numPr>
          <w:ilvl w:val="0"/>
          <w:numId w:val="18"/>
        </w:numPr>
        <w:overflowPunct/>
        <w:autoSpaceDE/>
        <w:autoSpaceDN/>
        <w:adjustRightInd/>
        <w:ind w:left="714" w:hanging="357"/>
        <w:textAlignment w:val="auto"/>
        <w:rPr>
          <w:lang w:val="en-GB"/>
        </w:rPr>
      </w:pPr>
      <w:r>
        <w:rPr>
          <w:lang w:val="en-GB"/>
        </w:rPr>
        <w:t xml:space="preserve">Option 2: </w:t>
      </w:r>
      <w:r w:rsidR="00AF3C7E" w:rsidRPr="00F35589">
        <w:rPr>
          <w:lang w:val="en-GB"/>
        </w:rPr>
        <w:t>NPDSCH/NPDCCH shall be assumed to be allocated on special sub-frames, but the entire subframe shall be punctured. UE shall ignore such special sub-frames while receiving NPDSCH.</w:t>
      </w:r>
    </w:p>
    <w:p w14:paraId="7D42DABC" w14:textId="5CD2A2C1" w:rsidR="00F35589" w:rsidRPr="00F35589" w:rsidRDefault="00F35589" w:rsidP="00F35589">
      <w:pPr>
        <w:numPr>
          <w:ilvl w:val="0"/>
          <w:numId w:val="18"/>
        </w:numPr>
        <w:overflowPunct/>
        <w:autoSpaceDE/>
        <w:autoSpaceDN/>
        <w:adjustRightInd/>
        <w:ind w:left="714" w:hanging="357"/>
        <w:textAlignment w:val="auto"/>
        <w:rPr>
          <w:lang w:val="en-GB"/>
        </w:rPr>
      </w:pPr>
      <w:r>
        <w:rPr>
          <w:lang w:val="en-GB"/>
        </w:rPr>
        <w:t xml:space="preserve">Option 3: </w:t>
      </w:r>
      <w:r w:rsidRPr="00F35589">
        <w:rPr>
          <w:lang w:val="en-GB"/>
        </w:rPr>
        <w:t xml:space="preserve">NPDSCH/NPDCCH shall be assumed to be allocated as in other sub-frames. </w:t>
      </w:r>
      <w:r>
        <w:rPr>
          <w:lang w:val="en-GB"/>
        </w:rPr>
        <w:t xml:space="preserve">Puncturing shall be applied for the </w:t>
      </w:r>
      <w:r w:rsidRPr="00F35589">
        <w:rPr>
          <w:lang w:val="en-GB"/>
        </w:rPr>
        <w:t xml:space="preserve">OFDM symbols </w:t>
      </w:r>
      <w:r>
        <w:rPr>
          <w:lang w:val="en-GB"/>
        </w:rPr>
        <w:t xml:space="preserve">used for GP and </w:t>
      </w:r>
      <w:proofErr w:type="spellStart"/>
      <w:r>
        <w:rPr>
          <w:lang w:val="en-GB"/>
        </w:rPr>
        <w:t>UpPTS</w:t>
      </w:r>
      <w:proofErr w:type="spellEnd"/>
      <w:r>
        <w:rPr>
          <w:lang w:val="en-GB"/>
        </w:rPr>
        <w:t>.</w:t>
      </w:r>
    </w:p>
    <w:p w14:paraId="39DD615E" w14:textId="252B0208" w:rsidR="00F35589" w:rsidRPr="00F35589" w:rsidRDefault="00F35589" w:rsidP="00F35589">
      <w:pPr>
        <w:numPr>
          <w:ilvl w:val="0"/>
          <w:numId w:val="18"/>
        </w:numPr>
        <w:overflowPunct/>
        <w:autoSpaceDE/>
        <w:autoSpaceDN/>
        <w:adjustRightInd/>
        <w:ind w:left="714" w:hanging="357"/>
        <w:textAlignment w:val="auto"/>
        <w:rPr>
          <w:lang w:val="en-GB"/>
        </w:rPr>
      </w:pPr>
      <w:r>
        <w:rPr>
          <w:lang w:val="en-GB"/>
        </w:rPr>
        <w:t xml:space="preserve">Option 4: </w:t>
      </w:r>
      <w:r w:rsidRPr="00F35589">
        <w:rPr>
          <w:lang w:val="en-GB"/>
        </w:rPr>
        <w:t>NPDSCH/NPDCCH shall be assumed to be allocated on special sub-frames. The rate matching shall be done accounting for the reduced number of OFDM symbols</w:t>
      </w:r>
    </w:p>
    <w:p w14:paraId="0C43ADFA" w14:textId="792D7DC5" w:rsidR="00F35589" w:rsidRDefault="00F35589" w:rsidP="00C471F2">
      <w:pPr>
        <w:jc w:val="both"/>
        <w:rPr>
          <w:lang w:eastAsia="zh-CN"/>
        </w:rPr>
      </w:pPr>
      <w:r>
        <w:rPr>
          <w:rFonts w:hint="eastAsia"/>
          <w:lang w:eastAsia="zh-CN"/>
        </w:rPr>
        <w:t>We thin</w:t>
      </w:r>
      <w:r w:rsidR="00D65EC4">
        <w:rPr>
          <w:rFonts w:hint="eastAsia"/>
          <w:lang w:eastAsia="zh-CN"/>
        </w:rPr>
        <w:t>k the NPDCCH/NPDSCH allocation i</w:t>
      </w:r>
      <w:r>
        <w:rPr>
          <w:rFonts w:hint="eastAsia"/>
          <w:lang w:eastAsia="zh-CN"/>
        </w:rPr>
        <w:t xml:space="preserve">n </w:t>
      </w:r>
      <w:r w:rsidR="00D65EC4">
        <w:rPr>
          <w:lang w:eastAsia="zh-CN"/>
        </w:rPr>
        <w:t xml:space="preserve">the </w:t>
      </w:r>
      <w:r>
        <w:rPr>
          <w:rFonts w:hint="eastAsia"/>
          <w:lang w:eastAsia="zh-CN"/>
        </w:rPr>
        <w:t xml:space="preserve">special subframe can be a function of special subframe configuration. </w:t>
      </w:r>
      <w:r>
        <w:rPr>
          <w:lang w:eastAsia="zh-CN"/>
        </w:rPr>
        <w:t xml:space="preserve">That is, if the number of OFDM symbols in </w:t>
      </w:r>
      <w:proofErr w:type="spellStart"/>
      <w:r>
        <w:rPr>
          <w:lang w:eastAsia="zh-CN"/>
        </w:rPr>
        <w:t>DwPTS</w:t>
      </w:r>
      <w:proofErr w:type="spellEnd"/>
      <w:r>
        <w:rPr>
          <w:lang w:eastAsia="zh-CN"/>
        </w:rPr>
        <w:t xml:space="preserve"> is smaller than X, then the special subframe will be treated as the invalid subframe and </w:t>
      </w:r>
      <w:r w:rsidR="009F2087">
        <w:rPr>
          <w:lang w:eastAsia="zh-CN"/>
        </w:rPr>
        <w:t xml:space="preserve">NPDCCH/NPDSCH will be </w:t>
      </w:r>
      <w:r>
        <w:rPr>
          <w:lang w:eastAsia="zh-CN"/>
        </w:rPr>
        <w:t>postpone</w:t>
      </w:r>
      <w:r w:rsidR="009F2087">
        <w:rPr>
          <w:lang w:eastAsia="zh-CN"/>
        </w:rPr>
        <w:t xml:space="preserve">d to the next possible DL subframe. If the number of OFDM symbols is greater than X, then NPDCCH/NPDSCH can be presented in the special subframe using puncturing or rate matching. </w:t>
      </w:r>
    </w:p>
    <w:p w14:paraId="4A76B9AA" w14:textId="0C58A314" w:rsidR="009F2087" w:rsidRDefault="009F2087" w:rsidP="009F2087">
      <w:pPr>
        <w:rPr>
          <w:b/>
          <w:lang w:val="en-GB"/>
        </w:rPr>
      </w:pPr>
      <w:r w:rsidRPr="005648A0">
        <w:rPr>
          <w:b/>
          <w:u w:val="single"/>
          <w:lang w:val="en-GB"/>
        </w:rPr>
        <w:t xml:space="preserve">Proposal </w:t>
      </w:r>
      <w:r>
        <w:rPr>
          <w:b/>
          <w:u w:val="single"/>
          <w:lang w:val="en-GB"/>
        </w:rPr>
        <w:t>4</w:t>
      </w:r>
      <w:r w:rsidRPr="005648A0">
        <w:rPr>
          <w:b/>
          <w:lang w:val="en-GB"/>
        </w:rPr>
        <w:t xml:space="preserve">: </w:t>
      </w:r>
      <w:r>
        <w:rPr>
          <w:b/>
          <w:lang w:val="en-GB"/>
        </w:rPr>
        <w:t xml:space="preserve">NPDCCH/NPDSCH may be present (punctured or rate matched) in the special subframe if the number of OFDM symbols is greater than X. FFS the value of X. </w:t>
      </w:r>
    </w:p>
    <w:p w14:paraId="41A6FADF" w14:textId="10A8F0A6" w:rsidR="00B0279F" w:rsidRDefault="00901713" w:rsidP="00C471F2">
      <w:pPr>
        <w:jc w:val="both"/>
        <w:rPr>
          <w:lang w:val="en-GB" w:eastAsia="zh-CN"/>
        </w:rPr>
      </w:pPr>
      <w:r>
        <w:rPr>
          <w:lang w:val="en-GB" w:eastAsia="zh-CN"/>
        </w:rPr>
        <w:t xml:space="preserve">To support NPDCCH/NPDSCH in </w:t>
      </w:r>
      <w:proofErr w:type="spellStart"/>
      <w:r>
        <w:rPr>
          <w:lang w:val="en-GB" w:eastAsia="zh-CN"/>
        </w:rPr>
        <w:t>DwPTS</w:t>
      </w:r>
      <w:proofErr w:type="spellEnd"/>
      <w:r>
        <w:rPr>
          <w:lang w:val="en-GB" w:eastAsia="zh-CN"/>
        </w:rPr>
        <w:t xml:space="preserve">, a new NRS pattern may need to be defined. Currently, NRS is </w:t>
      </w:r>
      <w:r w:rsidR="000D4D27">
        <w:rPr>
          <w:lang w:val="en-GB" w:eastAsia="zh-CN"/>
        </w:rPr>
        <w:t xml:space="preserve">transmitted on last two OFDM symbols in each slot as shown in Figure 3. For </w:t>
      </w:r>
      <w:proofErr w:type="spellStart"/>
      <w:r w:rsidR="000D4D27">
        <w:rPr>
          <w:lang w:val="en-GB" w:eastAsia="zh-CN"/>
        </w:rPr>
        <w:t>DwPTS</w:t>
      </w:r>
      <w:proofErr w:type="spellEnd"/>
      <w:r w:rsidR="000D4D27">
        <w:rPr>
          <w:lang w:val="en-GB" w:eastAsia="zh-CN"/>
        </w:rPr>
        <w:t xml:space="preserve"> w</w:t>
      </w:r>
      <w:r w:rsidR="003F68E1">
        <w:rPr>
          <w:lang w:val="en-GB" w:eastAsia="zh-CN"/>
        </w:rPr>
        <w:t>ith</w:t>
      </w:r>
      <w:r w:rsidR="000D4D27">
        <w:rPr>
          <w:lang w:val="en-GB" w:eastAsia="zh-CN"/>
        </w:rPr>
        <w:t xml:space="preserve"> 11 or 12 OFDM symbols, the last two OFDM symbols in the</w:t>
      </w:r>
      <w:r w:rsidR="00D65EC4">
        <w:rPr>
          <w:lang w:val="en-GB" w:eastAsia="zh-CN"/>
        </w:rPr>
        <w:t xml:space="preserve"> second slot of the subframe are used for GP and </w:t>
      </w:r>
      <w:proofErr w:type="spellStart"/>
      <w:r w:rsidR="00D65EC4">
        <w:rPr>
          <w:lang w:val="en-GB" w:eastAsia="zh-CN"/>
        </w:rPr>
        <w:t>UpPTS</w:t>
      </w:r>
      <w:proofErr w:type="spellEnd"/>
      <w:r w:rsidR="00D65EC4">
        <w:rPr>
          <w:lang w:val="en-GB" w:eastAsia="zh-CN"/>
        </w:rPr>
        <w:t xml:space="preserve">. </w:t>
      </w:r>
      <w:r w:rsidR="0019655E">
        <w:rPr>
          <w:lang w:val="en-GB" w:eastAsia="zh-CN"/>
        </w:rPr>
        <w:t xml:space="preserve">Therefore, NRS in </w:t>
      </w:r>
      <w:r w:rsidR="00D65EC4">
        <w:rPr>
          <w:lang w:val="en-GB" w:eastAsia="zh-CN"/>
        </w:rPr>
        <w:t>the special subframe</w:t>
      </w:r>
      <w:r w:rsidR="0019655E">
        <w:rPr>
          <w:lang w:val="en-GB" w:eastAsia="zh-CN"/>
        </w:rPr>
        <w:t xml:space="preserve"> can be based on the existing pattern by puncturing the last two NRS symbols. I</w:t>
      </w:r>
      <w:r w:rsidR="00BC2397">
        <w:rPr>
          <w:lang w:val="en-GB" w:eastAsia="zh-CN"/>
        </w:rPr>
        <w:t xml:space="preserve">t is also possible to consider a shifted </w:t>
      </w:r>
      <w:r w:rsidR="0019655E">
        <w:rPr>
          <w:lang w:val="en-GB" w:eastAsia="zh-CN"/>
        </w:rPr>
        <w:t xml:space="preserve">NRS pattern as shown in Figure </w:t>
      </w:r>
      <w:r w:rsidR="00F610C3">
        <w:rPr>
          <w:lang w:val="en-GB" w:eastAsia="zh-CN"/>
        </w:rPr>
        <w:t>3</w:t>
      </w:r>
      <w:r w:rsidR="0019655E">
        <w:rPr>
          <w:lang w:val="en-GB" w:eastAsia="zh-CN"/>
        </w:rPr>
        <w:t xml:space="preserve"> for which NRS is mapped to the 3</w:t>
      </w:r>
      <w:r w:rsidR="0019655E" w:rsidRPr="0019655E">
        <w:rPr>
          <w:vertAlign w:val="superscript"/>
          <w:lang w:val="en-GB" w:eastAsia="zh-CN"/>
        </w:rPr>
        <w:t>rd</w:t>
      </w:r>
      <w:r w:rsidR="0019655E">
        <w:rPr>
          <w:lang w:val="en-GB" w:eastAsia="zh-CN"/>
        </w:rPr>
        <w:t xml:space="preserve"> and 4</w:t>
      </w:r>
      <w:r w:rsidR="0019655E" w:rsidRPr="0019655E">
        <w:rPr>
          <w:vertAlign w:val="superscript"/>
          <w:lang w:val="en-GB" w:eastAsia="zh-CN"/>
        </w:rPr>
        <w:t>th</w:t>
      </w:r>
      <w:r w:rsidR="0019655E">
        <w:rPr>
          <w:lang w:val="en-GB" w:eastAsia="zh-CN"/>
        </w:rPr>
        <w:t xml:space="preserve"> OFDM symbols of each slot.</w:t>
      </w:r>
      <w:r w:rsidR="00BC2397">
        <w:rPr>
          <w:lang w:val="en-GB" w:eastAsia="zh-CN"/>
        </w:rPr>
        <w:t xml:space="preserve"> The new NRS pattern has the same density as in normal DL subframe.</w:t>
      </w:r>
    </w:p>
    <w:p w14:paraId="12D6841D" w14:textId="46A7F2EB" w:rsidR="000D4D27" w:rsidRDefault="000D4D27" w:rsidP="0019655E">
      <w:pPr>
        <w:spacing w:after="0"/>
        <w:jc w:val="right"/>
        <w:rPr>
          <w:lang w:val="en-GB" w:eastAsia="zh-CN"/>
        </w:rPr>
      </w:pPr>
    </w:p>
    <w:p w14:paraId="7DE681B1" w14:textId="39ACCA91" w:rsidR="00D469D8" w:rsidRDefault="00D469D8" w:rsidP="00D469D8">
      <w:pPr>
        <w:jc w:val="center"/>
        <w:rPr>
          <w:b/>
          <w:lang w:val="en-GB" w:eastAsia="zh-CN"/>
        </w:rPr>
      </w:pPr>
      <w:r w:rsidRPr="00D469D8">
        <w:rPr>
          <w:noProof/>
        </w:rPr>
        <w:drawing>
          <wp:inline distT="0" distB="0" distL="0" distR="0" wp14:anchorId="579993A9" wp14:editId="36F39EF1">
            <wp:extent cx="4552950" cy="21154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9705" cy="2123200"/>
                    </a:xfrm>
                    <a:prstGeom prst="rect">
                      <a:avLst/>
                    </a:prstGeom>
                    <a:noFill/>
                    <a:ln>
                      <a:noFill/>
                    </a:ln>
                  </pic:spPr>
                </pic:pic>
              </a:graphicData>
            </a:graphic>
          </wp:inline>
        </w:drawing>
      </w:r>
    </w:p>
    <w:p w14:paraId="41285A18" w14:textId="2DF762F5" w:rsidR="0019655E" w:rsidRDefault="0019655E" w:rsidP="0019655E">
      <w:pPr>
        <w:jc w:val="center"/>
        <w:rPr>
          <w:b/>
          <w:lang w:val="en-GB" w:eastAsia="zh-CN"/>
        </w:rPr>
      </w:pPr>
      <w:r w:rsidRPr="006959E0">
        <w:rPr>
          <w:rFonts w:hint="eastAsia"/>
          <w:b/>
          <w:lang w:val="en-GB" w:eastAsia="zh-CN"/>
        </w:rPr>
        <w:t xml:space="preserve">Figure </w:t>
      </w:r>
      <w:r w:rsidR="00D469D8">
        <w:rPr>
          <w:b/>
          <w:lang w:val="en-GB" w:eastAsia="zh-CN"/>
        </w:rPr>
        <w:t>3</w:t>
      </w:r>
      <w:r w:rsidRPr="006959E0">
        <w:rPr>
          <w:rFonts w:hint="eastAsia"/>
          <w:b/>
          <w:lang w:val="en-GB" w:eastAsia="zh-CN"/>
        </w:rPr>
        <w:t xml:space="preserve">: </w:t>
      </w:r>
      <w:r w:rsidR="00D469D8">
        <w:rPr>
          <w:b/>
          <w:lang w:val="en-GB" w:eastAsia="zh-CN"/>
        </w:rPr>
        <w:t>NRS pattern in normal and special subframe</w:t>
      </w:r>
    </w:p>
    <w:p w14:paraId="68863A80" w14:textId="1DAEB296" w:rsidR="00B603D9" w:rsidRDefault="0019655E" w:rsidP="00A55AF1">
      <w:pPr>
        <w:rPr>
          <w:lang w:val="en-GB"/>
        </w:rPr>
      </w:pPr>
      <w:r w:rsidRPr="005648A0">
        <w:rPr>
          <w:b/>
          <w:u w:val="single"/>
          <w:lang w:val="en-GB"/>
        </w:rPr>
        <w:t xml:space="preserve">Proposal </w:t>
      </w:r>
      <w:r w:rsidR="00F610C3">
        <w:rPr>
          <w:b/>
          <w:u w:val="single"/>
          <w:lang w:val="en-GB"/>
        </w:rPr>
        <w:t>5</w:t>
      </w:r>
      <w:r w:rsidRPr="005648A0">
        <w:rPr>
          <w:b/>
          <w:lang w:val="en-GB"/>
        </w:rPr>
        <w:t xml:space="preserve">: </w:t>
      </w:r>
      <w:r w:rsidR="00F610C3">
        <w:rPr>
          <w:b/>
          <w:lang w:val="en-GB"/>
        </w:rPr>
        <w:t xml:space="preserve">For </w:t>
      </w:r>
      <w:proofErr w:type="spellStart"/>
      <w:r w:rsidR="00F610C3">
        <w:rPr>
          <w:b/>
          <w:lang w:val="en-GB"/>
        </w:rPr>
        <w:t>DwPTS</w:t>
      </w:r>
      <w:proofErr w:type="spellEnd"/>
      <w:r w:rsidR="00F610C3">
        <w:rPr>
          <w:b/>
          <w:lang w:val="en-GB"/>
        </w:rPr>
        <w:t xml:space="preserve"> with 11 and 12 </w:t>
      </w:r>
      <w:r w:rsidR="003652D4">
        <w:rPr>
          <w:b/>
          <w:lang w:val="en-GB"/>
        </w:rPr>
        <w:t xml:space="preserve">OFDM </w:t>
      </w:r>
      <w:r w:rsidR="00F610C3">
        <w:rPr>
          <w:b/>
          <w:lang w:val="en-GB"/>
        </w:rPr>
        <w:t>symbols, a new NRS pattern is defined whether NRS is mapped to the 3</w:t>
      </w:r>
      <w:r w:rsidR="00F610C3" w:rsidRPr="00F610C3">
        <w:rPr>
          <w:b/>
          <w:vertAlign w:val="superscript"/>
          <w:lang w:val="en-GB"/>
        </w:rPr>
        <w:t>rd</w:t>
      </w:r>
      <w:r w:rsidR="00F610C3">
        <w:rPr>
          <w:b/>
          <w:lang w:val="en-GB"/>
        </w:rPr>
        <w:t xml:space="preserve"> and 4</w:t>
      </w:r>
      <w:r w:rsidR="00F610C3" w:rsidRPr="00F610C3">
        <w:rPr>
          <w:b/>
          <w:vertAlign w:val="superscript"/>
          <w:lang w:val="en-GB"/>
        </w:rPr>
        <w:t>th</w:t>
      </w:r>
      <w:r w:rsidR="00F610C3">
        <w:rPr>
          <w:b/>
          <w:lang w:val="en-GB"/>
        </w:rPr>
        <w:t xml:space="preserve"> OFDM symbols of each slot.</w:t>
      </w:r>
    </w:p>
    <w:p w14:paraId="130A289D" w14:textId="5776BE87" w:rsidR="00E168E5" w:rsidRDefault="006341FE" w:rsidP="00E168E5">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lastRenderedPageBreak/>
        <w:t>Conclusions</w:t>
      </w:r>
    </w:p>
    <w:bookmarkEnd w:id="2"/>
    <w:bookmarkEnd w:id="3"/>
    <w:bookmarkEnd w:id="4"/>
    <w:bookmarkEnd w:id="5"/>
    <w:bookmarkEnd w:id="6"/>
    <w:bookmarkEnd w:id="7"/>
    <w:bookmarkEnd w:id="8"/>
    <w:p w14:paraId="72B95BD9" w14:textId="5C6D5429" w:rsidR="00975ABF" w:rsidRDefault="0019655E" w:rsidP="00BC2397">
      <w:pPr>
        <w:jc w:val="both"/>
        <w:rPr>
          <w:lang w:val="en-GB" w:eastAsia="zh-CN"/>
        </w:rPr>
      </w:pPr>
      <w:r>
        <w:rPr>
          <w:lang w:val="en-GB" w:eastAsia="zh-CN"/>
        </w:rPr>
        <w:t>In this contribution</w:t>
      </w:r>
      <w:r w:rsidR="00975ABF">
        <w:rPr>
          <w:lang w:val="en-GB" w:eastAsia="zh-CN"/>
        </w:rPr>
        <w:t xml:space="preserve">, we </w:t>
      </w:r>
      <w:r>
        <w:rPr>
          <w:lang w:val="en-GB" w:eastAsia="zh-CN"/>
        </w:rPr>
        <w:t>discussed the DL design aspects of NB-IoT</w:t>
      </w:r>
      <w:r w:rsidR="00F610C3">
        <w:rPr>
          <w:lang w:val="en-GB" w:eastAsia="zh-CN"/>
        </w:rPr>
        <w:t xml:space="preserve"> TDD</w:t>
      </w:r>
      <w:r>
        <w:rPr>
          <w:lang w:val="en-GB" w:eastAsia="zh-CN"/>
        </w:rPr>
        <w:t xml:space="preserve">. </w:t>
      </w:r>
      <w:r w:rsidR="00077400">
        <w:rPr>
          <w:lang w:val="en-GB" w:eastAsia="zh-CN"/>
        </w:rPr>
        <w:t>We ma</w:t>
      </w:r>
      <w:r>
        <w:rPr>
          <w:lang w:val="en-GB" w:eastAsia="zh-CN"/>
        </w:rPr>
        <w:t>d</w:t>
      </w:r>
      <w:r w:rsidR="00077400">
        <w:rPr>
          <w:lang w:val="en-GB" w:eastAsia="zh-CN"/>
        </w:rPr>
        <w:t xml:space="preserve">e the following </w:t>
      </w:r>
      <w:r w:rsidR="009026EF">
        <w:rPr>
          <w:lang w:val="en-GB" w:eastAsia="zh-CN"/>
        </w:rPr>
        <w:t xml:space="preserve">observations and </w:t>
      </w:r>
      <w:r w:rsidR="00077400">
        <w:rPr>
          <w:lang w:val="en-GB" w:eastAsia="zh-CN"/>
        </w:rPr>
        <w:t>proposal</w:t>
      </w:r>
      <w:r w:rsidR="009026EF">
        <w:rPr>
          <w:lang w:val="en-GB" w:eastAsia="zh-CN"/>
        </w:rPr>
        <w:t>s</w:t>
      </w:r>
      <w:r w:rsidR="003B10DA">
        <w:rPr>
          <w:lang w:val="en-GB" w:eastAsia="zh-CN"/>
        </w:rPr>
        <w:t>:</w:t>
      </w:r>
    </w:p>
    <w:p w14:paraId="1EB8BB39" w14:textId="77777777" w:rsidR="00F610C3" w:rsidRDefault="00F610C3" w:rsidP="00F610C3">
      <w:pPr>
        <w:rPr>
          <w:b/>
          <w:lang w:val="en-GB"/>
        </w:rPr>
      </w:pPr>
      <w:r>
        <w:rPr>
          <w:b/>
          <w:u w:val="single"/>
          <w:lang w:val="en-GB"/>
        </w:rPr>
        <w:t>Observation 1</w:t>
      </w:r>
      <w:r w:rsidRPr="005648A0">
        <w:rPr>
          <w:b/>
          <w:lang w:val="en-GB"/>
        </w:rPr>
        <w:t xml:space="preserve">: </w:t>
      </w:r>
      <w:r>
        <w:rPr>
          <w:b/>
          <w:lang w:val="en-GB"/>
        </w:rPr>
        <w:t xml:space="preserve">The maximum 6dB power boosting on the non-anchor carrier is feasible for standalone or guard band deployment when a separate PA is used for NB-IoT. </w:t>
      </w:r>
    </w:p>
    <w:p w14:paraId="0D12AFFA" w14:textId="77777777" w:rsidR="00F610C3" w:rsidRDefault="00F610C3" w:rsidP="00F610C3">
      <w:pPr>
        <w:rPr>
          <w:b/>
          <w:lang w:val="en-GB"/>
        </w:rPr>
      </w:pPr>
      <w:r w:rsidRPr="005648A0">
        <w:rPr>
          <w:b/>
          <w:u w:val="single"/>
          <w:lang w:val="en-GB"/>
        </w:rPr>
        <w:t xml:space="preserve">Proposal </w:t>
      </w:r>
      <w:r>
        <w:rPr>
          <w:b/>
          <w:u w:val="single"/>
          <w:lang w:val="en-GB"/>
        </w:rPr>
        <w:t>1</w:t>
      </w:r>
      <w:r w:rsidRPr="005648A0">
        <w:rPr>
          <w:b/>
          <w:lang w:val="en-GB"/>
        </w:rPr>
        <w:t xml:space="preserve">: </w:t>
      </w:r>
      <w:r>
        <w:rPr>
          <w:b/>
          <w:lang w:val="en-GB"/>
        </w:rPr>
        <w:t>The SIB1-NB can be transmitted on either the anchor or non-anchor carrier according to the 1-bit indicator in the MIB-NB.</w:t>
      </w:r>
    </w:p>
    <w:p w14:paraId="20F5D4E7" w14:textId="77777777" w:rsidR="00F610C3" w:rsidRDefault="00F610C3" w:rsidP="00F610C3">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The SIB1-NB is transmitted on subframe #0 of every alternate radio frame. The scheduling information table of FDD is reused to determine the radio frame to transmit on the non-anchor carrier.</w:t>
      </w:r>
    </w:p>
    <w:p w14:paraId="655EAECE" w14:textId="77777777" w:rsidR="00F610C3" w:rsidRDefault="00F610C3" w:rsidP="00F610C3">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 xml:space="preserve">The frequency position of the non-anchor carrier shall be based on the location of the anchor carrier at least for </w:t>
      </w:r>
      <w:proofErr w:type="spellStart"/>
      <w:r>
        <w:rPr>
          <w:b/>
          <w:lang w:val="en-GB"/>
        </w:rPr>
        <w:t>inband</w:t>
      </w:r>
      <w:proofErr w:type="spellEnd"/>
      <w:r>
        <w:rPr>
          <w:b/>
          <w:lang w:val="en-GB"/>
        </w:rPr>
        <w:t xml:space="preserve"> deployment. Using 1 or 2 bits in the MIB-NB to indicate the relative offset to the anchor carrier. </w:t>
      </w:r>
    </w:p>
    <w:p w14:paraId="6EC8863B" w14:textId="77777777" w:rsidR="00F610C3" w:rsidRDefault="00F610C3" w:rsidP="00F610C3">
      <w:pPr>
        <w:rPr>
          <w:b/>
          <w:lang w:val="en-GB"/>
        </w:rPr>
      </w:pPr>
      <w:r w:rsidRPr="005648A0">
        <w:rPr>
          <w:b/>
          <w:u w:val="single"/>
          <w:lang w:val="en-GB"/>
        </w:rPr>
        <w:t xml:space="preserve">Proposal </w:t>
      </w:r>
      <w:r>
        <w:rPr>
          <w:b/>
          <w:u w:val="single"/>
          <w:lang w:val="en-GB"/>
        </w:rPr>
        <w:t>4</w:t>
      </w:r>
      <w:r w:rsidRPr="005648A0">
        <w:rPr>
          <w:b/>
          <w:lang w:val="en-GB"/>
        </w:rPr>
        <w:t xml:space="preserve">: </w:t>
      </w:r>
      <w:r>
        <w:rPr>
          <w:b/>
          <w:lang w:val="en-GB"/>
        </w:rPr>
        <w:t>NPDCCH/NPDSCH may be present (punctured or rate matched) in the special subframe if the number of OFDM symbols is greater than X. FFS t</w:t>
      </w:r>
      <w:bookmarkStart w:id="9" w:name="_GoBack"/>
      <w:bookmarkEnd w:id="9"/>
      <w:r>
        <w:rPr>
          <w:b/>
          <w:lang w:val="en-GB"/>
        </w:rPr>
        <w:t xml:space="preserve">he value of X. </w:t>
      </w:r>
    </w:p>
    <w:p w14:paraId="51BF9556" w14:textId="4D6EC885" w:rsidR="00F610C3" w:rsidRDefault="00F610C3" w:rsidP="00F610C3">
      <w:pPr>
        <w:rPr>
          <w:lang w:val="en-GB"/>
        </w:rPr>
      </w:pPr>
      <w:r w:rsidRPr="005648A0">
        <w:rPr>
          <w:b/>
          <w:u w:val="single"/>
          <w:lang w:val="en-GB"/>
        </w:rPr>
        <w:t xml:space="preserve">Proposal </w:t>
      </w:r>
      <w:r>
        <w:rPr>
          <w:b/>
          <w:u w:val="single"/>
          <w:lang w:val="en-GB"/>
        </w:rPr>
        <w:t>5</w:t>
      </w:r>
      <w:r w:rsidRPr="005648A0">
        <w:rPr>
          <w:b/>
          <w:lang w:val="en-GB"/>
        </w:rPr>
        <w:t xml:space="preserve">: </w:t>
      </w:r>
      <w:r>
        <w:rPr>
          <w:b/>
          <w:lang w:val="en-GB"/>
        </w:rPr>
        <w:t xml:space="preserve">For </w:t>
      </w:r>
      <w:proofErr w:type="spellStart"/>
      <w:r>
        <w:rPr>
          <w:b/>
          <w:lang w:val="en-GB"/>
        </w:rPr>
        <w:t>DwPTS</w:t>
      </w:r>
      <w:proofErr w:type="spellEnd"/>
      <w:r>
        <w:rPr>
          <w:b/>
          <w:lang w:val="en-GB"/>
        </w:rPr>
        <w:t xml:space="preserve"> with 11 and 12 </w:t>
      </w:r>
      <w:r w:rsidR="008F565D">
        <w:rPr>
          <w:b/>
          <w:lang w:val="en-GB"/>
        </w:rPr>
        <w:t xml:space="preserve">OFDM </w:t>
      </w:r>
      <w:r>
        <w:rPr>
          <w:b/>
          <w:lang w:val="en-GB"/>
        </w:rPr>
        <w:t>symbols, a new NRS pattern is defined whether NRS is mapped to the 3</w:t>
      </w:r>
      <w:r w:rsidRPr="00F610C3">
        <w:rPr>
          <w:b/>
          <w:vertAlign w:val="superscript"/>
          <w:lang w:val="en-GB"/>
        </w:rPr>
        <w:t>rd</w:t>
      </w:r>
      <w:r>
        <w:rPr>
          <w:b/>
          <w:lang w:val="en-GB"/>
        </w:rPr>
        <w:t xml:space="preserve"> and 4</w:t>
      </w:r>
      <w:r w:rsidRPr="00F610C3">
        <w:rPr>
          <w:b/>
          <w:vertAlign w:val="superscript"/>
          <w:lang w:val="en-GB"/>
        </w:rPr>
        <w:t>th</w:t>
      </w:r>
      <w:r>
        <w:rPr>
          <w:b/>
          <w:lang w:val="en-GB"/>
        </w:rPr>
        <w:t xml:space="preserve"> OFDM symbols of each slot.</w:t>
      </w:r>
    </w:p>
    <w:p w14:paraId="7B451C47" w14:textId="77777777" w:rsidR="003B10DA" w:rsidRPr="00F610C3" w:rsidRDefault="003B10DA" w:rsidP="00F41AFE">
      <w:pPr>
        <w:rPr>
          <w:lang w:val="en-GB"/>
        </w:rPr>
      </w:pPr>
    </w:p>
    <w:p w14:paraId="26881B4C" w14:textId="77777777" w:rsidR="00E523F3" w:rsidRDefault="00E523F3" w:rsidP="00E523F3">
      <w:pPr>
        <w:pStyle w:val="Heading1"/>
        <w:rPr>
          <w:lang w:val="en-US"/>
        </w:rPr>
      </w:pPr>
      <w:r w:rsidRPr="000A64D8">
        <w:rPr>
          <w:lang w:val="en-US"/>
        </w:rPr>
        <w:t>References</w:t>
      </w:r>
    </w:p>
    <w:p w14:paraId="3A36FD4A" w14:textId="3C563D41" w:rsidR="00BF4E12" w:rsidRDefault="00BF4E12" w:rsidP="00BF4E12">
      <w:pPr>
        <w:rPr>
          <w:rStyle w:val="SubtleReference"/>
        </w:rPr>
      </w:pPr>
      <w:r>
        <w:rPr>
          <w:rStyle w:val="SubtleReference"/>
        </w:rPr>
        <w:t>[</w:t>
      </w:r>
      <w:r w:rsidR="00D5371D">
        <w:rPr>
          <w:rStyle w:val="SubtleReference"/>
        </w:rPr>
        <w:t>1</w:t>
      </w:r>
      <w:r>
        <w:rPr>
          <w:rStyle w:val="SubtleReference"/>
        </w:rPr>
        <w:t>] 3GPP RAN1#90</w:t>
      </w:r>
      <w:r w:rsidR="00D5371D">
        <w:rPr>
          <w:rStyle w:val="SubtleReference"/>
        </w:rPr>
        <w:t>bis</w:t>
      </w:r>
      <w:r>
        <w:rPr>
          <w:rStyle w:val="SubtleReference"/>
        </w:rPr>
        <w:t>, Chairman’s notes</w:t>
      </w:r>
    </w:p>
    <w:p w14:paraId="01F091BE" w14:textId="4E34D0D9" w:rsidR="00CF17D4" w:rsidRDefault="00CF17D4" w:rsidP="00CF17D4">
      <w:pPr>
        <w:rPr>
          <w:rStyle w:val="SubtleReference"/>
        </w:rPr>
      </w:pPr>
      <w:r>
        <w:t>[2</w:t>
      </w:r>
      <w:r w:rsidR="00BF4E12" w:rsidRPr="00956548">
        <w:t>] R1-171814</w:t>
      </w:r>
      <w:r>
        <w:t>6</w:t>
      </w:r>
      <w:r w:rsidR="00BF4E12" w:rsidRPr="00956548">
        <w:t>, “Downlink aspects of TDD “, Qualcomm Incorporated</w:t>
      </w:r>
      <w:r>
        <w:t>, 3</w:t>
      </w:r>
      <w:r w:rsidRPr="00C250ED">
        <w:rPr>
          <w:rStyle w:val="SubtleReference"/>
        </w:rPr>
        <w:t>GPP RAN</w:t>
      </w:r>
      <w:r>
        <w:rPr>
          <w:rStyle w:val="SubtleReference"/>
        </w:rPr>
        <w:t>1</w:t>
      </w:r>
      <w:r w:rsidRPr="00C250ED">
        <w:rPr>
          <w:rStyle w:val="SubtleReference"/>
        </w:rPr>
        <w:t>#</w:t>
      </w:r>
      <w:r>
        <w:rPr>
          <w:rStyle w:val="SubtleReference"/>
        </w:rPr>
        <w:t>90bis</w:t>
      </w:r>
      <w:r w:rsidRPr="00C250ED">
        <w:rPr>
          <w:rStyle w:val="SubtleReference"/>
        </w:rPr>
        <w:t xml:space="preserve">, </w:t>
      </w:r>
      <w:proofErr w:type="spellStart"/>
      <w:r>
        <w:t>Cezchia</w:t>
      </w:r>
      <w:proofErr w:type="spellEnd"/>
      <w:r w:rsidRPr="00C250ED">
        <w:rPr>
          <w:rStyle w:val="SubtleReference"/>
        </w:rPr>
        <w:t xml:space="preserve">, </w:t>
      </w:r>
      <w:proofErr w:type="gramStart"/>
      <w:r w:rsidR="00D5371D">
        <w:rPr>
          <w:rStyle w:val="SubtleReference"/>
        </w:rPr>
        <w:t>Oct,</w:t>
      </w:r>
      <w:proofErr w:type="gramEnd"/>
      <w:r w:rsidR="00D5371D">
        <w:rPr>
          <w:rStyle w:val="SubtleReference"/>
        </w:rPr>
        <w:t xml:space="preserve"> 2017</w:t>
      </w:r>
    </w:p>
    <w:p w14:paraId="22EE3910" w14:textId="6EB70049" w:rsidR="00BF4E12" w:rsidRPr="00EE1C09" w:rsidRDefault="005008B2" w:rsidP="00B823C6">
      <w:r>
        <w:rPr>
          <w:rStyle w:val="SubtleReference"/>
        </w:rPr>
        <w:t>[3] 3GPP RAN1#82bis, Chairman’s notes</w:t>
      </w:r>
    </w:p>
    <w:sectPr w:rsidR="00BF4E12" w:rsidRPr="00EE1C09"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F4E63" w14:textId="77777777" w:rsidR="00955606" w:rsidRDefault="00955606">
      <w:r>
        <w:separator/>
      </w:r>
    </w:p>
  </w:endnote>
  <w:endnote w:type="continuationSeparator" w:id="0">
    <w:p w14:paraId="2020CE4C" w14:textId="77777777" w:rsidR="00955606" w:rsidRDefault="00955606">
      <w:r>
        <w:continuationSeparator/>
      </w:r>
    </w:p>
  </w:endnote>
  <w:endnote w:type="continuationNotice" w:id="1">
    <w:p w14:paraId="2CA758EC" w14:textId="77777777" w:rsidR="00955606" w:rsidRDefault="00955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EC9D521"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C239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2397">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5219B" w14:textId="77777777" w:rsidR="00955606" w:rsidRDefault="00955606">
      <w:r>
        <w:separator/>
      </w:r>
    </w:p>
  </w:footnote>
  <w:footnote w:type="continuationSeparator" w:id="0">
    <w:p w14:paraId="1047E453" w14:textId="77777777" w:rsidR="00955606" w:rsidRDefault="00955606">
      <w:r>
        <w:continuationSeparator/>
      </w:r>
    </w:p>
  </w:footnote>
  <w:footnote w:type="continuationNotice" w:id="1">
    <w:p w14:paraId="259DB468" w14:textId="77777777" w:rsidR="00955606" w:rsidRDefault="009556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B46332"/>
    <w:multiLevelType w:val="hybridMultilevel"/>
    <w:tmpl w:val="9D52E586"/>
    <w:lvl w:ilvl="0" w:tplc="0368E784">
      <w:start w:val="1"/>
      <w:numFmt w:val="bullet"/>
      <w:lvlText w:val="•"/>
      <w:lvlJc w:val="left"/>
      <w:pPr>
        <w:tabs>
          <w:tab w:val="num" w:pos="720"/>
        </w:tabs>
        <w:ind w:left="720" w:hanging="360"/>
      </w:pPr>
      <w:rPr>
        <w:rFonts w:ascii="Arial" w:hAnsi="Arial" w:hint="default"/>
      </w:rPr>
    </w:lvl>
    <w:lvl w:ilvl="1" w:tplc="3440E3AC">
      <w:numFmt w:val="bullet"/>
      <w:lvlText w:val="•"/>
      <w:lvlJc w:val="left"/>
      <w:pPr>
        <w:tabs>
          <w:tab w:val="num" w:pos="1440"/>
        </w:tabs>
        <w:ind w:left="1440" w:hanging="360"/>
      </w:pPr>
      <w:rPr>
        <w:rFonts w:ascii="Arial" w:hAnsi="Arial" w:hint="default"/>
      </w:rPr>
    </w:lvl>
    <w:lvl w:ilvl="2" w:tplc="F924A780">
      <w:numFmt w:val="bullet"/>
      <w:lvlText w:val="•"/>
      <w:lvlJc w:val="left"/>
      <w:pPr>
        <w:tabs>
          <w:tab w:val="num" w:pos="2160"/>
        </w:tabs>
        <w:ind w:left="2160" w:hanging="360"/>
      </w:pPr>
      <w:rPr>
        <w:rFonts w:ascii="Arial" w:hAnsi="Arial" w:hint="default"/>
      </w:rPr>
    </w:lvl>
    <w:lvl w:ilvl="3" w:tplc="7E68F6EE">
      <w:numFmt w:val="bullet"/>
      <w:lvlText w:val="•"/>
      <w:lvlJc w:val="left"/>
      <w:pPr>
        <w:tabs>
          <w:tab w:val="num" w:pos="2880"/>
        </w:tabs>
        <w:ind w:left="2880" w:hanging="360"/>
      </w:pPr>
      <w:rPr>
        <w:rFonts w:ascii="Arial" w:hAnsi="Arial" w:hint="default"/>
      </w:rPr>
    </w:lvl>
    <w:lvl w:ilvl="4" w:tplc="8EF83BAC" w:tentative="1">
      <w:start w:val="1"/>
      <w:numFmt w:val="bullet"/>
      <w:lvlText w:val="•"/>
      <w:lvlJc w:val="left"/>
      <w:pPr>
        <w:tabs>
          <w:tab w:val="num" w:pos="3600"/>
        </w:tabs>
        <w:ind w:left="3600" w:hanging="360"/>
      </w:pPr>
      <w:rPr>
        <w:rFonts w:ascii="Arial" w:hAnsi="Arial" w:hint="default"/>
      </w:rPr>
    </w:lvl>
    <w:lvl w:ilvl="5" w:tplc="86ECB2B8" w:tentative="1">
      <w:start w:val="1"/>
      <w:numFmt w:val="bullet"/>
      <w:lvlText w:val="•"/>
      <w:lvlJc w:val="left"/>
      <w:pPr>
        <w:tabs>
          <w:tab w:val="num" w:pos="4320"/>
        </w:tabs>
        <w:ind w:left="4320" w:hanging="360"/>
      </w:pPr>
      <w:rPr>
        <w:rFonts w:ascii="Arial" w:hAnsi="Arial" w:hint="default"/>
      </w:rPr>
    </w:lvl>
    <w:lvl w:ilvl="6" w:tplc="CE4CC80A" w:tentative="1">
      <w:start w:val="1"/>
      <w:numFmt w:val="bullet"/>
      <w:lvlText w:val="•"/>
      <w:lvlJc w:val="left"/>
      <w:pPr>
        <w:tabs>
          <w:tab w:val="num" w:pos="5040"/>
        </w:tabs>
        <w:ind w:left="5040" w:hanging="360"/>
      </w:pPr>
      <w:rPr>
        <w:rFonts w:ascii="Arial" w:hAnsi="Arial" w:hint="default"/>
      </w:rPr>
    </w:lvl>
    <w:lvl w:ilvl="7" w:tplc="DF30F846" w:tentative="1">
      <w:start w:val="1"/>
      <w:numFmt w:val="bullet"/>
      <w:lvlText w:val="•"/>
      <w:lvlJc w:val="left"/>
      <w:pPr>
        <w:tabs>
          <w:tab w:val="num" w:pos="5760"/>
        </w:tabs>
        <w:ind w:left="5760" w:hanging="360"/>
      </w:pPr>
      <w:rPr>
        <w:rFonts w:ascii="Arial" w:hAnsi="Arial" w:hint="default"/>
      </w:rPr>
    </w:lvl>
    <w:lvl w:ilvl="8" w:tplc="42FAED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BA1210A"/>
    <w:multiLevelType w:val="hybridMultilevel"/>
    <w:tmpl w:val="89841796"/>
    <w:lvl w:ilvl="0" w:tplc="24A08018">
      <w:start w:val="1"/>
      <w:numFmt w:val="bullet"/>
      <w:lvlText w:val="•"/>
      <w:lvlJc w:val="left"/>
      <w:pPr>
        <w:tabs>
          <w:tab w:val="num" w:pos="360"/>
        </w:tabs>
        <w:ind w:left="360" w:hanging="360"/>
      </w:pPr>
      <w:rPr>
        <w:rFonts w:ascii="Arial" w:hAnsi="Arial" w:hint="default"/>
      </w:rPr>
    </w:lvl>
    <w:lvl w:ilvl="1" w:tplc="8C5AC2B2">
      <w:start w:val="1"/>
      <w:numFmt w:val="bullet"/>
      <w:lvlText w:val="•"/>
      <w:lvlJc w:val="left"/>
      <w:pPr>
        <w:tabs>
          <w:tab w:val="num" w:pos="1080"/>
        </w:tabs>
        <w:ind w:left="1080" w:hanging="360"/>
      </w:pPr>
      <w:rPr>
        <w:rFonts w:ascii="Arial" w:hAnsi="Arial" w:hint="default"/>
      </w:rPr>
    </w:lvl>
    <w:lvl w:ilvl="2" w:tplc="A05EAA04">
      <w:numFmt w:val="bullet"/>
      <w:lvlText w:val="•"/>
      <w:lvlJc w:val="left"/>
      <w:pPr>
        <w:tabs>
          <w:tab w:val="num" w:pos="1800"/>
        </w:tabs>
        <w:ind w:left="1800" w:hanging="360"/>
      </w:pPr>
      <w:rPr>
        <w:rFonts w:ascii="Arial" w:hAnsi="Arial" w:hint="default"/>
      </w:rPr>
    </w:lvl>
    <w:lvl w:ilvl="3" w:tplc="F61C56A2">
      <w:start w:val="1"/>
      <w:numFmt w:val="bullet"/>
      <w:lvlText w:val="•"/>
      <w:lvlJc w:val="left"/>
      <w:pPr>
        <w:tabs>
          <w:tab w:val="num" w:pos="2520"/>
        </w:tabs>
        <w:ind w:left="2520" w:hanging="360"/>
      </w:pPr>
      <w:rPr>
        <w:rFonts w:ascii="Arial" w:hAnsi="Arial" w:hint="default"/>
      </w:rPr>
    </w:lvl>
    <w:lvl w:ilvl="4" w:tplc="04322A1C" w:tentative="1">
      <w:start w:val="1"/>
      <w:numFmt w:val="bullet"/>
      <w:lvlText w:val="•"/>
      <w:lvlJc w:val="left"/>
      <w:pPr>
        <w:tabs>
          <w:tab w:val="num" w:pos="3240"/>
        </w:tabs>
        <w:ind w:left="3240" w:hanging="360"/>
      </w:pPr>
      <w:rPr>
        <w:rFonts w:ascii="Arial" w:hAnsi="Arial" w:hint="default"/>
      </w:rPr>
    </w:lvl>
    <w:lvl w:ilvl="5" w:tplc="ECA41834" w:tentative="1">
      <w:start w:val="1"/>
      <w:numFmt w:val="bullet"/>
      <w:lvlText w:val="•"/>
      <w:lvlJc w:val="left"/>
      <w:pPr>
        <w:tabs>
          <w:tab w:val="num" w:pos="3960"/>
        </w:tabs>
        <w:ind w:left="3960" w:hanging="360"/>
      </w:pPr>
      <w:rPr>
        <w:rFonts w:ascii="Arial" w:hAnsi="Arial" w:hint="default"/>
      </w:rPr>
    </w:lvl>
    <w:lvl w:ilvl="6" w:tplc="D206D9F4" w:tentative="1">
      <w:start w:val="1"/>
      <w:numFmt w:val="bullet"/>
      <w:lvlText w:val="•"/>
      <w:lvlJc w:val="left"/>
      <w:pPr>
        <w:tabs>
          <w:tab w:val="num" w:pos="4680"/>
        </w:tabs>
        <w:ind w:left="4680" w:hanging="360"/>
      </w:pPr>
      <w:rPr>
        <w:rFonts w:ascii="Arial" w:hAnsi="Arial" w:hint="default"/>
      </w:rPr>
    </w:lvl>
    <w:lvl w:ilvl="7" w:tplc="E272DD3C" w:tentative="1">
      <w:start w:val="1"/>
      <w:numFmt w:val="bullet"/>
      <w:lvlText w:val="•"/>
      <w:lvlJc w:val="left"/>
      <w:pPr>
        <w:tabs>
          <w:tab w:val="num" w:pos="5400"/>
        </w:tabs>
        <w:ind w:left="5400" w:hanging="360"/>
      </w:pPr>
      <w:rPr>
        <w:rFonts w:ascii="Arial" w:hAnsi="Arial" w:hint="default"/>
      </w:rPr>
    </w:lvl>
    <w:lvl w:ilvl="8" w:tplc="E93E875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CC3951"/>
    <w:multiLevelType w:val="hybridMultilevel"/>
    <w:tmpl w:val="426209A0"/>
    <w:lvl w:ilvl="0" w:tplc="7CA2DFAA">
      <w:start w:val="1"/>
      <w:numFmt w:val="bullet"/>
      <w:lvlText w:val="•"/>
      <w:lvlJc w:val="left"/>
      <w:pPr>
        <w:tabs>
          <w:tab w:val="num" w:pos="720"/>
        </w:tabs>
        <w:ind w:left="720" w:hanging="360"/>
      </w:pPr>
      <w:rPr>
        <w:rFonts w:ascii="Arial" w:hAnsi="Arial" w:hint="default"/>
      </w:rPr>
    </w:lvl>
    <w:lvl w:ilvl="1" w:tplc="F954A7B0">
      <w:numFmt w:val="bullet"/>
      <w:lvlText w:val="•"/>
      <w:lvlJc w:val="left"/>
      <w:pPr>
        <w:tabs>
          <w:tab w:val="num" w:pos="1440"/>
        </w:tabs>
        <w:ind w:left="1440" w:hanging="360"/>
      </w:pPr>
      <w:rPr>
        <w:rFonts w:ascii="Arial" w:hAnsi="Arial" w:hint="default"/>
      </w:rPr>
    </w:lvl>
    <w:lvl w:ilvl="2" w:tplc="9498293E" w:tentative="1">
      <w:start w:val="1"/>
      <w:numFmt w:val="bullet"/>
      <w:lvlText w:val="•"/>
      <w:lvlJc w:val="left"/>
      <w:pPr>
        <w:tabs>
          <w:tab w:val="num" w:pos="2160"/>
        </w:tabs>
        <w:ind w:left="2160" w:hanging="360"/>
      </w:pPr>
      <w:rPr>
        <w:rFonts w:ascii="Arial" w:hAnsi="Arial" w:hint="default"/>
      </w:rPr>
    </w:lvl>
    <w:lvl w:ilvl="3" w:tplc="B2BA37A0" w:tentative="1">
      <w:start w:val="1"/>
      <w:numFmt w:val="bullet"/>
      <w:lvlText w:val="•"/>
      <w:lvlJc w:val="left"/>
      <w:pPr>
        <w:tabs>
          <w:tab w:val="num" w:pos="2880"/>
        </w:tabs>
        <w:ind w:left="2880" w:hanging="360"/>
      </w:pPr>
      <w:rPr>
        <w:rFonts w:ascii="Arial" w:hAnsi="Arial" w:hint="default"/>
      </w:rPr>
    </w:lvl>
    <w:lvl w:ilvl="4" w:tplc="7D0CDBDA" w:tentative="1">
      <w:start w:val="1"/>
      <w:numFmt w:val="bullet"/>
      <w:lvlText w:val="•"/>
      <w:lvlJc w:val="left"/>
      <w:pPr>
        <w:tabs>
          <w:tab w:val="num" w:pos="3600"/>
        </w:tabs>
        <w:ind w:left="3600" w:hanging="360"/>
      </w:pPr>
      <w:rPr>
        <w:rFonts w:ascii="Arial" w:hAnsi="Arial" w:hint="default"/>
      </w:rPr>
    </w:lvl>
    <w:lvl w:ilvl="5" w:tplc="E2429466" w:tentative="1">
      <w:start w:val="1"/>
      <w:numFmt w:val="bullet"/>
      <w:lvlText w:val="•"/>
      <w:lvlJc w:val="left"/>
      <w:pPr>
        <w:tabs>
          <w:tab w:val="num" w:pos="4320"/>
        </w:tabs>
        <w:ind w:left="4320" w:hanging="360"/>
      </w:pPr>
      <w:rPr>
        <w:rFonts w:ascii="Arial" w:hAnsi="Arial" w:hint="default"/>
      </w:rPr>
    </w:lvl>
    <w:lvl w:ilvl="6" w:tplc="849025A2" w:tentative="1">
      <w:start w:val="1"/>
      <w:numFmt w:val="bullet"/>
      <w:lvlText w:val="•"/>
      <w:lvlJc w:val="left"/>
      <w:pPr>
        <w:tabs>
          <w:tab w:val="num" w:pos="5040"/>
        </w:tabs>
        <w:ind w:left="5040" w:hanging="360"/>
      </w:pPr>
      <w:rPr>
        <w:rFonts w:ascii="Arial" w:hAnsi="Arial" w:hint="default"/>
      </w:rPr>
    </w:lvl>
    <w:lvl w:ilvl="7" w:tplc="281C1CBA" w:tentative="1">
      <w:start w:val="1"/>
      <w:numFmt w:val="bullet"/>
      <w:lvlText w:val="•"/>
      <w:lvlJc w:val="left"/>
      <w:pPr>
        <w:tabs>
          <w:tab w:val="num" w:pos="5760"/>
        </w:tabs>
        <w:ind w:left="5760" w:hanging="360"/>
      </w:pPr>
      <w:rPr>
        <w:rFonts w:ascii="Arial" w:hAnsi="Arial" w:hint="default"/>
      </w:rPr>
    </w:lvl>
    <w:lvl w:ilvl="8" w:tplc="6C2653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011646"/>
    <w:multiLevelType w:val="hybridMultilevel"/>
    <w:tmpl w:val="7610C11C"/>
    <w:lvl w:ilvl="0" w:tplc="E0385B06">
      <w:start w:val="1"/>
      <w:numFmt w:val="bullet"/>
      <w:lvlText w:val="−"/>
      <w:lvlJc w:val="left"/>
      <w:pPr>
        <w:tabs>
          <w:tab w:val="num" w:pos="720"/>
        </w:tabs>
        <w:ind w:left="720" w:hanging="360"/>
      </w:pPr>
      <w:rPr>
        <w:rFonts w:ascii="Calibre Regular" w:hAnsi="Calibre Regular" w:hint="default"/>
      </w:rPr>
    </w:lvl>
    <w:lvl w:ilvl="1" w:tplc="8B76AC7E">
      <w:start w:val="1"/>
      <w:numFmt w:val="bullet"/>
      <w:lvlText w:val="−"/>
      <w:lvlJc w:val="left"/>
      <w:pPr>
        <w:tabs>
          <w:tab w:val="num" w:pos="1440"/>
        </w:tabs>
        <w:ind w:left="1440" w:hanging="360"/>
      </w:pPr>
      <w:rPr>
        <w:rFonts w:ascii="Calibre Regular" w:hAnsi="Calibre Regular" w:hint="default"/>
      </w:rPr>
    </w:lvl>
    <w:lvl w:ilvl="2" w:tplc="E0D04F04" w:tentative="1">
      <w:start w:val="1"/>
      <w:numFmt w:val="bullet"/>
      <w:lvlText w:val="−"/>
      <w:lvlJc w:val="left"/>
      <w:pPr>
        <w:tabs>
          <w:tab w:val="num" w:pos="2160"/>
        </w:tabs>
        <w:ind w:left="2160" w:hanging="360"/>
      </w:pPr>
      <w:rPr>
        <w:rFonts w:ascii="Calibre Regular" w:hAnsi="Calibre Regular" w:hint="default"/>
      </w:rPr>
    </w:lvl>
    <w:lvl w:ilvl="3" w:tplc="9BF69ABE" w:tentative="1">
      <w:start w:val="1"/>
      <w:numFmt w:val="bullet"/>
      <w:lvlText w:val="−"/>
      <w:lvlJc w:val="left"/>
      <w:pPr>
        <w:tabs>
          <w:tab w:val="num" w:pos="2880"/>
        </w:tabs>
        <w:ind w:left="2880" w:hanging="360"/>
      </w:pPr>
      <w:rPr>
        <w:rFonts w:ascii="Calibre Regular" w:hAnsi="Calibre Regular" w:hint="default"/>
      </w:rPr>
    </w:lvl>
    <w:lvl w:ilvl="4" w:tplc="0D4EC2B8" w:tentative="1">
      <w:start w:val="1"/>
      <w:numFmt w:val="bullet"/>
      <w:lvlText w:val="−"/>
      <w:lvlJc w:val="left"/>
      <w:pPr>
        <w:tabs>
          <w:tab w:val="num" w:pos="3600"/>
        </w:tabs>
        <w:ind w:left="3600" w:hanging="360"/>
      </w:pPr>
      <w:rPr>
        <w:rFonts w:ascii="Calibre Regular" w:hAnsi="Calibre Regular" w:hint="default"/>
      </w:rPr>
    </w:lvl>
    <w:lvl w:ilvl="5" w:tplc="C6460FE6" w:tentative="1">
      <w:start w:val="1"/>
      <w:numFmt w:val="bullet"/>
      <w:lvlText w:val="−"/>
      <w:lvlJc w:val="left"/>
      <w:pPr>
        <w:tabs>
          <w:tab w:val="num" w:pos="4320"/>
        </w:tabs>
        <w:ind w:left="4320" w:hanging="360"/>
      </w:pPr>
      <w:rPr>
        <w:rFonts w:ascii="Calibre Regular" w:hAnsi="Calibre Regular" w:hint="default"/>
      </w:rPr>
    </w:lvl>
    <w:lvl w:ilvl="6" w:tplc="526EA110" w:tentative="1">
      <w:start w:val="1"/>
      <w:numFmt w:val="bullet"/>
      <w:lvlText w:val="−"/>
      <w:lvlJc w:val="left"/>
      <w:pPr>
        <w:tabs>
          <w:tab w:val="num" w:pos="5040"/>
        </w:tabs>
        <w:ind w:left="5040" w:hanging="360"/>
      </w:pPr>
      <w:rPr>
        <w:rFonts w:ascii="Calibre Regular" w:hAnsi="Calibre Regular" w:hint="default"/>
      </w:rPr>
    </w:lvl>
    <w:lvl w:ilvl="7" w:tplc="4FB6776E" w:tentative="1">
      <w:start w:val="1"/>
      <w:numFmt w:val="bullet"/>
      <w:lvlText w:val="−"/>
      <w:lvlJc w:val="left"/>
      <w:pPr>
        <w:tabs>
          <w:tab w:val="num" w:pos="5760"/>
        </w:tabs>
        <w:ind w:left="5760" w:hanging="360"/>
      </w:pPr>
      <w:rPr>
        <w:rFonts w:ascii="Calibre Regular" w:hAnsi="Calibre Regular" w:hint="default"/>
      </w:rPr>
    </w:lvl>
    <w:lvl w:ilvl="8" w:tplc="2ED4CE8C"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8B3C42"/>
    <w:multiLevelType w:val="hybridMultilevel"/>
    <w:tmpl w:val="BFD61D3C"/>
    <w:lvl w:ilvl="0" w:tplc="F008FDD0">
      <w:start w:val="1"/>
      <w:numFmt w:val="bullet"/>
      <w:lvlText w:val="•"/>
      <w:lvlJc w:val="left"/>
      <w:pPr>
        <w:tabs>
          <w:tab w:val="num" w:pos="720"/>
        </w:tabs>
        <w:ind w:left="720" w:hanging="360"/>
      </w:pPr>
      <w:rPr>
        <w:rFonts w:ascii="Arial" w:hAnsi="Aria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C4046E2"/>
    <w:multiLevelType w:val="hybridMultilevel"/>
    <w:tmpl w:val="1584C2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4"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7B9B3954"/>
    <w:multiLevelType w:val="hybridMultilevel"/>
    <w:tmpl w:val="0A8276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6"/>
  </w:num>
  <w:num w:numId="2">
    <w:abstractNumId w:val="2"/>
  </w:num>
  <w:num w:numId="3">
    <w:abstractNumId w:val="10"/>
  </w:num>
  <w:num w:numId="4">
    <w:abstractNumId w:val="9"/>
  </w:num>
  <w:num w:numId="5">
    <w:abstractNumId w:val="16"/>
  </w:num>
  <w:num w:numId="6">
    <w:abstractNumId w:val="4"/>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5"/>
  </w:num>
  <w:num w:numId="12">
    <w:abstractNumId w:val="2"/>
  </w:num>
  <w:num w:numId="13">
    <w:abstractNumId w:val="5"/>
  </w:num>
  <w:num w:numId="14">
    <w:abstractNumId w:val="17"/>
  </w:num>
  <w:num w:numId="15">
    <w:abstractNumId w:val="13"/>
  </w:num>
  <w:num w:numId="16">
    <w:abstractNumId w:val="3"/>
  </w:num>
  <w:num w:numId="17">
    <w:abstractNumId w:val="3"/>
  </w:num>
  <w:num w:numId="18">
    <w:abstractNumId w:val="11"/>
  </w:num>
  <w:num w:numId="19">
    <w:abstractNumId w:val="7"/>
  </w:num>
  <w:num w:numId="20">
    <w:abstractNumId w:val="1"/>
  </w:num>
  <w:num w:numId="2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07C02"/>
    <w:rsid w:val="000101EF"/>
    <w:rsid w:val="00010E97"/>
    <w:rsid w:val="00010FD1"/>
    <w:rsid w:val="0001117C"/>
    <w:rsid w:val="00011CC1"/>
    <w:rsid w:val="000124D1"/>
    <w:rsid w:val="00012D57"/>
    <w:rsid w:val="0001321B"/>
    <w:rsid w:val="000137BA"/>
    <w:rsid w:val="00013B63"/>
    <w:rsid w:val="00013F2A"/>
    <w:rsid w:val="00013F64"/>
    <w:rsid w:val="000141F0"/>
    <w:rsid w:val="0001460B"/>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4DF"/>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471"/>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486"/>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243"/>
    <w:rsid w:val="000979F0"/>
    <w:rsid w:val="00097AE8"/>
    <w:rsid w:val="000A02DC"/>
    <w:rsid w:val="000A09A2"/>
    <w:rsid w:val="000A0CA1"/>
    <w:rsid w:val="000A0E99"/>
    <w:rsid w:val="000A1AD3"/>
    <w:rsid w:val="000A1D49"/>
    <w:rsid w:val="000A23E5"/>
    <w:rsid w:val="000A26E4"/>
    <w:rsid w:val="000A2816"/>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27"/>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2DB"/>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B16"/>
    <w:rsid w:val="00141E46"/>
    <w:rsid w:val="00141E6B"/>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3FC1"/>
    <w:rsid w:val="001540F5"/>
    <w:rsid w:val="001544AB"/>
    <w:rsid w:val="00154F0D"/>
    <w:rsid w:val="00155178"/>
    <w:rsid w:val="00155BCC"/>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A1F"/>
    <w:rsid w:val="00191EBF"/>
    <w:rsid w:val="00192338"/>
    <w:rsid w:val="00192589"/>
    <w:rsid w:val="001925E5"/>
    <w:rsid w:val="001929F7"/>
    <w:rsid w:val="00193987"/>
    <w:rsid w:val="00193D48"/>
    <w:rsid w:val="00194955"/>
    <w:rsid w:val="001954AB"/>
    <w:rsid w:val="00195657"/>
    <w:rsid w:val="0019573B"/>
    <w:rsid w:val="0019592C"/>
    <w:rsid w:val="00196085"/>
    <w:rsid w:val="0019655E"/>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2F88"/>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18B"/>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B79"/>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BBD"/>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0D2C"/>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3C67"/>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931"/>
    <w:rsid w:val="00362C5A"/>
    <w:rsid w:val="003635B6"/>
    <w:rsid w:val="00363BB4"/>
    <w:rsid w:val="00363FC9"/>
    <w:rsid w:val="00364935"/>
    <w:rsid w:val="00365023"/>
    <w:rsid w:val="003652D4"/>
    <w:rsid w:val="00365644"/>
    <w:rsid w:val="0036590C"/>
    <w:rsid w:val="00366569"/>
    <w:rsid w:val="003665C5"/>
    <w:rsid w:val="00366B3A"/>
    <w:rsid w:val="00370285"/>
    <w:rsid w:val="003704EE"/>
    <w:rsid w:val="00370880"/>
    <w:rsid w:val="00370EFD"/>
    <w:rsid w:val="00371137"/>
    <w:rsid w:val="003711C5"/>
    <w:rsid w:val="003719F5"/>
    <w:rsid w:val="00372019"/>
    <w:rsid w:val="00372029"/>
    <w:rsid w:val="003724A1"/>
    <w:rsid w:val="003725A6"/>
    <w:rsid w:val="0037270D"/>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0E"/>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B7B1F"/>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8E1"/>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3597"/>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085"/>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63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8B2"/>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2E2"/>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93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CC2"/>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D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4EF"/>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455"/>
    <w:rsid w:val="00621B6A"/>
    <w:rsid w:val="00621C0B"/>
    <w:rsid w:val="00621C72"/>
    <w:rsid w:val="00621CAD"/>
    <w:rsid w:val="00622D53"/>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106"/>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3A5"/>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4AF6"/>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D25"/>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27"/>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522"/>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79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878"/>
    <w:rsid w:val="007C5CE6"/>
    <w:rsid w:val="007C5DB6"/>
    <w:rsid w:val="007C64BC"/>
    <w:rsid w:val="007C6939"/>
    <w:rsid w:val="007C6941"/>
    <w:rsid w:val="007C6D8A"/>
    <w:rsid w:val="007C6E75"/>
    <w:rsid w:val="007C6FFC"/>
    <w:rsid w:val="007C7578"/>
    <w:rsid w:val="007C779D"/>
    <w:rsid w:val="007C7EAC"/>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5A1"/>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C53"/>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1EEE"/>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6E6"/>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AE4"/>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3C8"/>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E4"/>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65D"/>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713"/>
    <w:rsid w:val="00901837"/>
    <w:rsid w:val="00901845"/>
    <w:rsid w:val="00901A2A"/>
    <w:rsid w:val="009022BC"/>
    <w:rsid w:val="0090255A"/>
    <w:rsid w:val="00902686"/>
    <w:rsid w:val="009026EF"/>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C8"/>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606"/>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74C"/>
    <w:rsid w:val="00964E3C"/>
    <w:rsid w:val="00964E69"/>
    <w:rsid w:val="0096504D"/>
    <w:rsid w:val="009654F0"/>
    <w:rsid w:val="009659EA"/>
    <w:rsid w:val="00965D6D"/>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7791C"/>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087"/>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014"/>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27F"/>
    <w:rsid w:val="00A65417"/>
    <w:rsid w:val="00A655C8"/>
    <w:rsid w:val="00A6563A"/>
    <w:rsid w:val="00A657CF"/>
    <w:rsid w:val="00A65C72"/>
    <w:rsid w:val="00A65FBF"/>
    <w:rsid w:val="00A6636E"/>
    <w:rsid w:val="00A6662B"/>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62"/>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7E"/>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79F"/>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0B7D"/>
    <w:rsid w:val="00BC143C"/>
    <w:rsid w:val="00BC16BF"/>
    <w:rsid w:val="00BC1B4B"/>
    <w:rsid w:val="00BC201A"/>
    <w:rsid w:val="00BC2397"/>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4E12"/>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13E"/>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3B4E"/>
    <w:rsid w:val="00CB41E7"/>
    <w:rsid w:val="00CB480A"/>
    <w:rsid w:val="00CB4FA5"/>
    <w:rsid w:val="00CB5008"/>
    <w:rsid w:val="00CB50DE"/>
    <w:rsid w:val="00CB5296"/>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7D4"/>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36C9"/>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66F9"/>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9D8"/>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5EC4"/>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4DF1"/>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729"/>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7E2"/>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69E5"/>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476"/>
    <w:rsid w:val="00E810EC"/>
    <w:rsid w:val="00E8112C"/>
    <w:rsid w:val="00E81587"/>
    <w:rsid w:val="00E826C8"/>
    <w:rsid w:val="00E82819"/>
    <w:rsid w:val="00E82EE0"/>
    <w:rsid w:val="00E83280"/>
    <w:rsid w:val="00E832BB"/>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45"/>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AE4"/>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373"/>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35"/>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589"/>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0C3"/>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AB7"/>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63A8B567-6413-46B5-835B-EE4FF22B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 w:type="character" w:styleId="SubtleReference">
    <w:name w:val="Subtle Reference"/>
    <w:uiPriority w:val="31"/>
    <w:qFormat/>
    <w:rsid w:val="00E9154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876902">
      <w:bodyDiv w:val="1"/>
      <w:marLeft w:val="0"/>
      <w:marRight w:val="0"/>
      <w:marTop w:val="0"/>
      <w:marBottom w:val="0"/>
      <w:divBdr>
        <w:top w:val="none" w:sz="0" w:space="0" w:color="auto"/>
        <w:left w:val="none" w:sz="0" w:space="0" w:color="auto"/>
        <w:bottom w:val="none" w:sz="0" w:space="0" w:color="auto"/>
        <w:right w:val="none" w:sz="0" w:space="0" w:color="auto"/>
      </w:divBdr>
    </w:div>
    <w:div w:id="357508378">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69523684">
      <w:bodyDiv w:val="1"/>
      <w:marLeft w:val="0"/>
      <w:marRight w:val="0"/>
      <w:marTop w:val="0"/>
      <w:marBottom w:val="0"/>
      <w:divBdr>
        <w:top w:val="none" w:sz="0" w:space="0" w:color="auto"/>
        <w:left w:val="none" w:sz="0" w:space="0" w:color="auto"/>
        <w:bottom w:val="none" w:sz="0" w:space="0" w:color="auto"/>
        <w:right w:val="none" w:sz="0" w:space="0" w:color="auto"/>
      </w:divBdr>
      <w:divsChild>
        <w:div w:id="1265766211">
          <w:marLeft w:val="878"/>
          <w:marRight w:val="0"/>
          <w:marTop w:val="86"/>
          <w:marBottom w:val="0"/>
          <w:divBdr>
            <w:top w:val="none" w:sz="0" w:space="0" w:color="auto"/>
            <w:left w:val="none" w:sz="0" w:space="0" w:color="auto"/>
            <w:bottom w:val="none" w:sz="0" w:space="0" w:color="auto"/>
            <w:right w:val="none" w:sz="0" w:space="0" w:color="auto"/>
          </w:divBdr>
        </w:div>
        <w:div w:id="901523532">
          <w:marLeft w:val="878"/>
          <w:marRight w:val="0"/>
          <w:marTop w:val="86"/>
          <w:marBottom w:val="0"/>
          <w:divBdr>
            <w:top w:val="none" w:sz="0" w:space="0" w:color="auto"/>
            <w:left w:val="none" w:sz="0" w:space="0" w:color="auto"/>
            <w:bottom w:val="none" w:sz="0" w:space="0" w:color="auto"/>
            <w:right w:val="none" w:sz="0" w:space="0" w:color="auto"/>
          </w:divBdr>
        </w:div>
        <w:div w:id="958494945">
          <w:marLeft w:val="878"/>
          <w:marRight w:val="0"/>
          <w:marTop w:val="86"/>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C0980658-8E10-4D6A-9B37-BD073EB18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3</cp:revision>
  <cp:lastPrinted>2014-11-07T05:38:00Z</cp:lastPrinted>
  <dcterms:created xsi:type="dcterms:W3CDTF">2017-11-17T14:32:00Z</dcterms:created>
  <dcterms:modified xsi:type="dcterms:W3CDTF">2017-11-17T14:55:00Z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-2058970810</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_PreviousAdHocReviewCycleID">
    <vt:i4>-738167667</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