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9EA0E" w14:textId="77777777" w:rsidR="00064276" w:rsidRDefault="00064276" w:rsidP="00EA6C38">
      <w:pPr>
        <w:pStyle w:val="CRCoverPage"/>
        <w:tabs>
          <w:tab w:val="right" w:pos="9639"/>
        </w:tabs>
        <w:spacing w:after="0"/>
        <w:rPr>
          <w:b/>
          <w:sz w:val="24"/>
          <w:szCs w:val="24"/>
        </w:rPr>
      </w:pPr>
      <w:bookmarkStart w:id="0" w:name="OLE_LINK1"/>
      <w:bookmarkStart w:id="1" w:name="OLE_LINK2"/>
      <w:bookmarkStart w:id="2" w:name="_GoBack"/>
      <w:bookmarkEnd w:id="2"/>
    </w:p>
    <w:p w14:paraId="7C38DB09" w14:textId="453DF320"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0055027D">
        <w:rPr>
          <w:rFonts w:hint="eastAsia"/>
          <w:b/>
          <w:sz w:val="24"/>
          <w:szCs w:val="24"/>
          <w:lang w:eastAsia="ko-KR"/>
        </w:rPr>
        <w:t>RAN WG1</w:t>
      </w:r>
      <w:r w:rsidR="00094CDF">
        <w:rPr>
          <w:b/>
          <w:sz w:val="24"/>
          <w:szCs w:val="24"/>
          <w:lang w:eastAsia="ko-KR"/>
        </w:rPr>
        <w:t xml:space="preserve"> Meeting</w:t>
      </w:r>
      <w:r w:rsidR="0055027D">
        <w:rPr>
          <w:rFonts w:hint="eastAsia"/>
          <w:b/>
          <w:sz w:val="24"/>
          <w:szCs w:val="24"/>
          <w:lang w:eastAsia="ko-KR"/>
        </w:rPr>
        <w:t xml:space="preserve"> </w:t>
      </w:r>
      <w:r w:rsidR="004E012F">
        <w:rPr>
          <w:b/>
          <w:sz w:val="24"/>
          <w:szCs w:val="24"/>
          <w:lang w:eastAsia="ko-KR"/>
        </w:rPr>
        <w:t>91</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w:t>
      </w:r>
      <w:r w:rsidR="00DA43FD">
        <w:rPr>
          <w:b/>
          <w:i/>
          <w:noProof/>
          <w:sz w:val="24"/>
          <w:szCs w:val="24"/>
          <w:lang w:eastAsia="ko-KR"/>
        </w:rPr>
        <w:t>20308</w:t>
      </w:r>
    </w:p>
    <w:bookmarkEnd w:id="0"/>
    <w:bookmarkEnd w:id="1"/>
    <w:p w14:paraId="7E9A5EFF" w14:textId="68905CF7" w:rsidR="003D6F63" w:rsidRPr="003D6F63" w:rsidRDefault="004E012F"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bCs/>
          <w:sz w:val="24"/>
          <w:szCs w:val="24"/>
        </w:rPr>
        <w:t>USA,</w:t>
      </w:r>
      <w:r w:rsidR="00F21237">
        <w:rPr>
          <w:rFonts w:ascii="Arial" w:hAnsi="Arial" w:cs="Arial"/>
          <w:b/>
          <w:bCs/>
          <w:sz w:val="24"/>
          <w:szCs w:val="24"/>
        </w:rPr>
        <w:t xml:space="preserve"> </w:t>
      </w:r>
      <w:r>
        <w:rPr>
          <w:rFonts w:ascii="Arial" w:hAnsi="Arial" w:cs="Arial"/>
          <w:b/>
          <w:bCs/>
          <w:sz w:val="24"/>
          <w:szCs w:val="24"/>
        </w:rPr>
        <w:t>November 27</w:t>
      </w:r>
      <w:r w:rsidRPr="004E012F">
        <w:rPr>
          <w:rFonts w:ascii="Arial" w:hAnsi="Arial" w:cs="Arial"/>
          <w:b/>
          <w:bCs/>
          <w:sz w:val="24"/>
          <w:szCs w:val="24"/>
          <w:vertAlign w:val="superscript"/>
        </w:rPr>
        <w:t>th</w:t>
      </w:r>
      <w:r>
        <w:rPr>
          <w:rFonts w:ascii="Arial" w:hAnsi="Arial" w:cs="Arial"/>
          <w:b/>
          <w:bCs/>
          <w:sz w:val="24"/>
          <w:szCs w:val="24"/>
        </w:rPr>
        <w:t>-December 1</w:t>
      </w:r>
      <w:r w:rsidRPr="004E012F">
        <w:rPr>
          <w:rFonts w:ascii="Arial" w:hAnsi="Arial" w:cs="Arial"/>
          <w:b/>
          <w:bCs/>
          <w:sz w:val="24"/>
          <w:szCs w:val="24"/>
          <w:vertAlign w:val="superscript"/>
        </w:rPr>
        <w:t>st</w:t>
      </w:r>
      <w:r>
        <w:rPr>
          <w:rFonts w:ascii="Arial" w:hAnsi="Arial" w:cs="Arial"/>
          <w:b/>
          <w:bCs/>
          <w:sz w:val="24"/>
          <w:szCs w:val="24"/>
        </w:rPr>
        <w:t xml:space="preserve"> </w:t>
      </w:r>
      <w:r w:rsidR="007040FE" w:rsidRPr="003D6F63">
        <w:rPr>
          <w:rFonts w:ascii="Arial" w:hAnsi="Arial" w:cs="Arial"/>
          <w:b/>
          <w:bCs/>
          <w:sz w:val="24"/>
          <w:szCs w:val="24"/>
        </w:rPr>
        <w:t>201</w:t>
      </w:r>
      <w:r w:rsidR="007040FE">
        <w:rPr>
          <w:rFonts w:ascii="Arial" w:hAnsi="Arial" w:cs="Arial"/>
          <w:b/>
          <w:bCs/>
          <w:sz w:val="24"/>
          <w:szCs w:val="24"/>
        </w:rPr>
        <w:t>7</w:t>
      </w:r>
    </w:p>
    <w:p w14:paraId="75CD537F" w14:textId="48E76E5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094CDF">
        <w:rPr>
          <w:rFonts w:ascii="Arial" w:hAnsi="Arial"/>
          <w:sz w:val="24"/>
          <w:lang w:eastAsia="ko-KR"/>
        </w:rPr>
        <w:t>7</w:t>
      </w:r>
      <w:r w:rsidR="00DA43FD">
        <w:rPr>
          <w:rFonts w:ascii="Arial" w:hAnsi="Arial"/>
          <w:sz w:val="24"/>
          <w:lang w:eastAsia="ko-KR"/>
        </w:rPr>
        <w:t>.2.2.6</w:t>
      </w:r>
    </w:p>
    <w:p w14:paraId="61092CDD" w14:textId="40204F15"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3AFFEE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A43FD" w:rsidRPr="00DA43FD">
        <w:rPr>
          <w:rFonts w:ascii="Arial" w:hAnsi="Arial"/>
          <w:sz w:val="24"/>
          <w:lang w:eastAsia="ko-KR"/>
        </w:rPr>
        <w:t>Details on configuration of presence of TCI in DCI</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29729830" w:rsidR="0072162A" w:rsidRPr="002958FD" w:rsidRDefault="0072162A" w:rsidP="00E57A94">
      <w:pPr>
        <w:pStyle w:val="Heading1"/>
        <w:tabs>
          <w:tab w:val="num" w:pos="0"/>
        </w:tabs>
        <w:ind w:left="799" w:hanging="799"/>
      </w:pPr>
      <w:r w:rsidRPr="002958FD">
        <w:t>I</w:t>
      </w:r>
      <w:r w:rsidRPr="002958FD">
        <w:rPr>
          <w:rFonts w:hint="eastAsia"/>
        </w:rPr>
        <w:t>ntroduction</w:t>
      </w:r>
    </w:p>
    <w:p w14:paraId="00A7E3D8" w14:textId="2F9AF0B3" w:rsidR="00F0076A" w:rsidRDefault="008451D5" w:rsidP="005661B8">
      <w:pPr>
        <w:pStyle w:val="0Maintext"/>
      </w:pPr>
      <w:bookmarkStart w:id="5" w:name="_Ref489630082"/>
      <w:r w:rsidRPr="0012457E">
        <w:t>In th</w:t>
      </w:r>
      <w:r>
        <w:t xml:space="preserve">is contribution, we present </w:t>
      </w:r>
      <w:r w:rsidR="0008629D">
        <w:t>Samsung’s</w:t>
      </w:r>
      <w:r>
        <w:t xml:space="preserve"> </w:t>
      </w:r>
      <w:r w:rsidR="00E351CD">
        <w:t xml:space="preserve">updated </w:t>
      </w:r>
      <w:r w:rsidRPr="0012457E">
        <w:t xml:space="preserve">views on </w:t>
      </w:r>
      <w:r w:rsidR="00DA43FD">
        <w:t xml:space="preserve">the </w:t>
      </w:r>
      <w:r w:rsidR="00B50A4C">
        <w:t>various aspects relating to the configuration of TCI states and configuration of their presence/absence in DL-related DCI</w:t>
      </w:r>
      <w:r w:rsidR="00DA43FD">
        <w:t>.</w:t>
      </w:r>
    </w:p>
    <w:bookmarkEnd w:id="5"/>
    <w:p w14:paraId="0AABB4D8" w14:textId="01BE9CE6" w:rsidR="007E3F18" w:rsidRDefault="007E3F18" w:rsidP="00271DDC">
      <w:pPr>
        <w:pStyle w:val="Heading1"/>
      </w:pPr>
      <w:r>
        <w:t xml:space="preserve">Configuration of </w:t>
      </w:r>
      <w:r w:rsidR="00332688">
        <w:t>TCI States</w:t>
      </w:r>
    </w:p>
    <w:p w14:paraId="76B0E5BB" w14:textId="2EBF08EE" w:rsidR="00DA43FD" w:rsidRPr="00DA43FD" w:rsidRDefault="00271DDC" w:rsidP="004A6A21">
      <w:pPr>
        <w:spacing w:line="276" w:lineRule="auto"/>
        <w:rPr>
          <w:sz w:val="22"/>
        </w:rPr>
      </w:pPr>
      <w:bookmarkStart w:id="6" w:name="_Ref498093446"/>
      <w:r>
        <w:rPr>
          <w:sz w:val="22"/>
        </w:rPr>
        <w:t xml:space="preserve">Below proposals summarize our views on RRC configuration of TCI states (refer [2] for details). At a high-level, </w:t>
      </w:r>
      <w:r w:rsidR="001A0646">
        <w:rPr>
          <w:sz w:val="22"/>
        </w:rPr>
        <w:t xml:space="preserve">the UE is RRC configured with a maximum of M = 8 TCI states. Each TCI state is configured with a candidate pool of DL RS index (-es) which could belong to either SSB/PBCH block or CSI-RS. Following the UE’s CSI and L1-RSRP reports, the network can inform the UE which DL RS index (within the candidate DL RS index pool) provides spatial QCL information linked to a given TCI state. Based on analysis in [2], we </w:t>
      </w:r>
      <w:r w:rsidR="00611433">
        <w:rPr>
          <w:sz w:val="22"/>
        </w:rPr>
        <w:t>propose that</w:t>
      </w:r>
      <w:r w:rsidR="001A0646">
        <w:rPr>
          <w:sz w:val="22"/>
        </w:rPr>
        <w:t xml:space="preserve"> the number M also equals the </w:t>
      </w:r>
      <w:r w:rsidR="00611433">
        <w:rPr>
          <w:sz w:val="22"/>
        </w:rPr>
        <w:t xml:space="preserve">maximum </w:t>
      </w:r>
      <w:r w:rsidR="001A0646">
        <w:rPr>
          <w:sz w:val="22"/>
        </w:rPr>
        <w:t>number of code-points used for QCL indication</w:t>
      </w:r>
      <w:r w:rsidR="00393FF9">
        <w:rPr>
          <w:sz w:val="22"/>
        </w:rPr>
        <w:t xml:space="preserve"> (</w:t>
      </w:r>
      <w:r w:rsidR="001A0646">
        <w:rPr>
          <w:sz w:val="22"/>
        </w:rPr>
        <w:t>if configured</w:t>
      </w:r>
      <w:r w:rsidR="00393FF9">
        <w:rPr>
          <w:sz w:val="22"/>
        </w:rPr>
        <w:t>)</w:t>
      </w:r>
      <w:r w:rsidR="001A0646">
        <w:rPr>
          <w:sz w:val="22"/>
        </w:rPr>
        <w:t xml:space="preserve"> in the DL DCI.</w:t>
      </w:r>
    </w:p>
    <w:p w14:paraId="75DFD53E" w14:textId="77777777" w:rsidR="001A0646" w:rsidRPr="005661B8" w:rsidRDefault="001A0646" w:rsidP="001A0646">
      <w:pPr>
        <w:spacing w:line="276" w:lineRule="auto"/>
        <w:rPr>
          <w:i/>
          <w:sz w:val="22"/>
        </w:rPr>
      </w:pPr>
      <w:r w:rsidRPr="005661B8">
        <w:rPr>
          <w:b/>
          <w:sz w:val="22"/>
        </w:rPr>
        <w:t>Proposal 1</w:t>
      </w:r>
      <w:r w:rsidRPr="005661B8">
        <w:rPr>
          <w:sz w:val="22"/>
        </w:rPr>
        <w:t xml:space="preserve">: </w:t>
      </w:r>
      <w:r w:rsidRPr="005661B8">
        <w:rPr>
          <w:i/>
          <w:sz w:val="22"/>
        </w:rPr>
        <w:t>The relation between TCI states M and the N bit field in the DL DCI for PDSCH is as follows:</w:t>
      </w:r>
    </w:p>
    <w:p w14:paraId="270491F4" w14:textId="77777777" w:rsidR="001A0646" w:rsidRPr="005661B8" w:rsidRDefault="001A0646" w:rsidP="001A0646">
      <w:pPr>
        <w:pStyle w:val="ListParagraph"/>
        <w:numPr>
          <w:ilvl w:val="0"/>
          <w:numId w:val="31"/>
        </w:numPr>
        <w:spacing w:line="276" w:lineRule="auto"/>
        <w:ind w:leftChars="0"/>
        <w:rPr>
          <w:i/>
          <w:sz w:val="22"/>
        </w:rPr>
      </w:pPr>
      <w:r w:rsidRPr="005661B8">
        <w:rPr>
          <w:i/>
          <w:sz w:val="22"/>
        </w:rPr>
        <w:t>N is a fixed number set to 3 bits.</w:t>
      </w:r>
    </w:p>
    <w:p w14:paraId="755FFCCD" w14:textId="77777777" w:rsidR="001A0646" w:rsidRPr="002303D3" w:rsidRDefault="001A0646" w:rsidP="001A0646">
      <w:pPr>
        <w:pStyle w:val="ListParagraph"/>
        <w:numPr>
          <w:ilvl w:val="0"/>
          <w:numId w:val="31"/>
        </w:numPr>
        <w:spacing w:line="276" w:lineRule="auto"/>
        <w:ind w:leftChars="0"/>
        <w:rPr>
          <w:i/>
          <w:sz w:val="22"/>
          <w:lang w:val="en-US" w:eastAsia="x-none"/>
        </w:rPr>
      </w:pPr>
      <w:r w:rsidRPr="005661B8">
        <w:rPr>
          <w:i/>
          <w:sz w:val="22"/>
        </w:rPr>
        <w:t xml:space="preserve">Adopt </w:t>
      </w:r>
      <m:oMath>
        <m:r>
          <w:rPr>
            <w:rFonts w:ascii="Cambria Math" w:hAnsi="Cambria Math"/>
            <w:sz w:val="22"/>
          </w:rPr>
          <m:t>M=</m:t>
        </m:r>
        <m:sSup>
          <m:sSupPr>
            <m:ctrlPr>
              <w:rPr>
                <w:rFonts w:ascii="Cambria Math" w:hAnsi="Cambria Math"/>
                <w:i/>
                <w:sz w:val="22"/>
              </w:rPr>
            </m:ctrlPr>
          </m:sSupPr>
          <m:e>
            <m:r>
              <w:rPr>
                <w:rFonts w:ascii="Cambria Math" w:hAnsi="Cambria Math"/>
                <w:sz w:val="22"/>
              </w:rPr>
              <m:t>2</m:t>
            </m:r>
          </m:e>
          <m:sup>
            <m:r>
              <w:rPr>
                <w:rFonts w:ascii="Cambria Math" w:hAnsi="Cambria Math"/>
                <w:sz w:val="22"/>
              </w:rPr>
              <m:t>N</m:t>
            </m:r>
          </m:sup>
        </m:sSup>
      </m:oMath>
    </w:p>
    <w:p w14:paraId="348F75A2" w14:textId="7B6A2FA4" w:rsidR="004A6A21" w:rsidRPr="005661B8" w:rsidRDefault="004A6A21" w:rsidP="004A6A21">
      <w:pPr>
        <w:spacing w:line="276" w:lineRule="auto"/>
        <w:rPr>
          <w:i/>
          <w:sz w:val="22"/>
        </w:rPr>
      </w:pPr>
      <w:r w:rsidRPr="005661B8">
        <w:rPr>
          <w:b/>
          <w:sz w:val="22"/>
        </w:rPr>
        <w:t>Proposal 2:</w:t>
      </w:r>
      <w:r w:rsidRPr="005661B8">
        <w:rPr>
          <w:sz w:val="22"/>
        </w:rPr>
        <w:t xml:space="preserve"> </w:t>
      </w:r>
      <w:r w:rsidR="00DB28ED" w:rsidRPr="005661B8">
        <w:rPr>
          <w:i/>
          <w:sz w:val="22"/>
        </w:rPr>
        <w:t xml:space="preserve">NR supports the following TCI configuration framework </w:t>
      </w:r>
    </w:p>
    <w:p w14:paraId="2944506F" w14:textId="778F1CB4" w:rsidR="00EA2EEF" w:rsidRDefault="00DB28ED" w:rsidP="004A6A21">
      <w:pPr>
        <w:pStyle w:val="ListParagraph"/>
        <w:numPr>
          <w:ilvl w:val="0"/>
          <w:numId w:val="31"/>
        </w:numPr>
        <w:spacing w:line="276" w:lineRule="auto"/>
        <w:ind w:leftChars="0"/>
        <w:rPr>
          <w:i/>
          <w:sz w:val="22"/>
          <w:lang w:val="en-US" w:eastAsia="x-none"/>
        </w:rPr>
      </w:pPr>
      <w:r w:rsidRPr="005661B8">
        <w:rPr>
          <w:i/>
          <w:sz w:val="22"/>
          <w:lang w:val="en-US" w:eastAsia="x-none"/>
        </w:rPr>
        <w:t>RRC configures a set of</w:t>
      </w:r>
      <w:r w:rsidR="004B0CA4">
        <w:rPr>
          <w:i/>
          <w:sz w:val="22"/>
          <w:lang w:val="en-US" w:eastAsia="x-none"/>
        </w:rPr>
        <w:t xml:space="preserve"> up to a maximum of</w:t>
      </w:r>
      <w:r w:rsidRPr="005661B8">
        <w:rPr>
          <w:i/>
          <w:sz w:val="22"/>
          <w:lang w:val="en-US" w:eastAsia="x-none"/>
        </w:rPr>
        <w:t xml:space="preserve"> M</w:t>
      </w:r>
      <w:r w:rsidR="004B0CA4">
        <w:rPr>
          <w:i/>
          <w:sz w:val="22"/>
          <w:lang w:val="en-US" w:eastAsia="x-none"/>
        </w:rPr>
        <w:t xml:space="preserve"> = 8</w:t>
      </w:r>
      <w:r w:rsidRPr="005661B8">
        <w:rPr>
          <w:i/>
          <w:sz w:val="22"/>
          <w:lang w:val="en-US" w:eastAsia="x-none"/>
        </w:rPr>
        <w:t xml:space="preserve"> TCI states</w:t>
      </w:r>
      <w:r w:rsidR="00EA2EEF">
        <w:rPr>
          <w:i/>
          <w:sz w:val="22"/>
          <w:lang w:val="en-US" w:eastAsia="x-none"/>
        </w:rPr>
        <w:t>.</w:t>
      </w:r>
    </w:p>
    <w:p w14:paraId="313874A9" w14:textId="4C697562" w:rsidR="00DB28ED" w:rsidRDefault="00EA2EEF" w:rsidP="00EA2EEF">
      <w:pPr>
        <w:pStyle w:val="ListParagraph"/>
        <w:numPr>
          <w:ilvl w:val="0"/>
          <w:numId w:val="31"/>
        </w:numPr>
        <w:spacing w:line="276" w:lineRule="auto"/>
        <w:ind w:leftChars="0"/>
        <w:rPr>
          <w:i/>
          <w:sz w:val="22"/>
          <w:lang w:val="en-US" w:eastAsia="x-none"/>
        </w:rPr>
      </w:pPr>
      <w:r>
        <w:rPr>
          <w:i/>
          <w:sz w:val="22"/>
          <w:lang w:val="en-US" w:eastAsia="x-none"/>
        </w:rPr>
        <w:t>RRC configures each TCI state with</w:t>
      </w:r>
      <w:r w:rsidR="00DB28ED" w:rsidRPr="005661B8">
        <w:rPr>
          <w:i/>
          <w:sz w:val="22"/>
          <w:lang w:val="en-US" w:eastAsia="x-none"/>
        </w:rPr>
        <w:t xml:space="preserve"> </w:t>
      </w:r>
      <w:r w:rsidR="003975BB">
        <w:rPr>
          <w:i/>
          <w:sz w:val="22"/>
          <w:lang w:val="en-US" w:eastAsia="x-none"/>
        </w:rPr>
        <w:t xml:space="preserve">a </w:t>
      </w:r>
      <w:r w:rsidR="00DB28ED" w:rsidRPr="005661B8">
        <w:rPr>
          <w:i/>
          <w:sz w:val="22"/>
          <w:lang w:val="en-US" w:eastAsia="x-none"/>
        </w:rPr>
        <w:t>“candidate” pool of</w:t>
      </w:r>
      <w:r w:rsidR="003C4547" w:rsidRPr="005661B8">
        <w:rPr>
          <w:i/>
          <w:sz w:val="22"/>
          <w:lang w:val="en-US" w:eastAsia="x-none"/>
        </w:rPr>
        <w:t xml:space="preserve"> DL RS index (-es) (e.g CRIs,</w:t>
      </w:r>
      <w:r w:rsidR="00DB28ED" w:rsidRPr="005661B8">
        <w:rPr>
          <w:i/>
          <w:sz w:val="22"/>
          <w:lang w:val="en-US" w:eastAsia="x-none"/>
        </w:rPr>
        <w:t xml:space="preserve"> SSBI</w:t>
      </w:r>
      <w:r w:rsidR="003C4547" w:rsidRPr="005661B8">
        <w:rPr>
          <w:i/>
          <w:sz w:val="22"/>
          <w:lang w:val="en-US" w:eastAsia="x-none"/>
        </w:rPr>
        <w:t xml:space="preserve"> etc</w:t>
      </w:r>
      <w:r w:rsidR="003975BB">
        <w:rPr>
          <w:i/>
          <w:sz w:val="22"/>
          <w:lang w:val="en-US" w:eastAsia="x-none"/>
        </w:rPr>
        <w:t>.</w:t>
      </w:r>
      <w:r w:rsidR="00DB28ED" w:rsidRPr="005661B8">
        <w:rPr>
          <w:i/>
          <w:sz w:val="22"/>
          <w:lang w:val="en-US" w:eastAsia="x-none"/>
        </w:rPr>
        <w:t>) for purpose of spatial QCL</w:t>
      </w:r>
    </w:p>
    <w:p w14:paraId="5381F7E6" w14:textId="0B64C2BB" w:rsidR="00EA2EEF" w:rsidRPr="005661B8" w:rsidRDefault="00EA2EEF" w:rsidP="00CF2124">
      <w:pPr>
        <w:pStyle w:val="ListParagraph"/>
        <w:numPr>
          <w:ilvl w:val="1"/>
          <w:numId w:val="31"/>
        </w:numPr>
        <w:spacing w:line="276" w:lineRule="auto"/>
        <w:ind w:leftChars="0"/>
        <w:rPr>
          <w:i/>
          <w:sz w:val="22"/>
          <w:lang w:val="en-US" w:eastAsia="x-none"/>
        </w:rPr>
      </w:pPr>
      <w:r>
        <w:rPr>
          <w:i/>
          <w:sz w:val="22"/>
          <w:lang w:val="en-US" w:eastAsia="x-none"/>
        </w:rPr>
        <w:t>No restriction on whether or not the type of RS within a pool can be same or different</w:t>
      </w:r>
      <w:r w:rsidR="003975BB">
        <w:rPr>
          <w:i/>
          <w:sz w:val="22"/>
          <w:lang w:val="en-US" w:eastAsia="x-none"/>
        </w:rPr>
        <w:t>.</w:t>
      </w:r>
    </w:p>
    <w:p w14:paraId="204599E9" w14:textId="1670C74A" w:rsidR="003C4547" w:rsidRPr="005661B8" w:rsidRDefault="003C4547" w:rsidP="00EA2EEF">
      <w:pPr>
        <w:pStyle w:val="ListParagraph"/>
        <w:numPr>
          <w:ilvl w:val="1"/>
          <w:numId w:val="31"/>
        </w:numPr>
        <w:spacing w:line="276" w:lineRule="auto"/>
        <w:ind w:leftChars="0"/>
        <w:rPr>
          <w:i/>
          <w:sz w:val="22"/>
          <w:lang w:val="en-US" w:eastAsia="x-none"/>
        </w:rPr>
      </w:pPr>
      <w:r w:rsidRPr="005661B8">
        <w:rPr>
          <w:i/>
          <w:sz w:val="22"/>
          <w:lang w:val="en-US" w:eastAsia="x-none"/>
        </w:rPr>
        <w:t>Maximum candidate pool size is FFS (E.g. 64 indexes)</w:t>
      </w:r>
    </w:p>
    <w:p w14:paraId="49FD8773" w14:textId="3CD699C4" w:rsidR="00DB28ED" w:rsidRPr="005661B8" w:rsidRDefault="003975BB" w:rsidP="004A6A21">
      <w:pPr>
        <w:pStyle w:val="ListParagraph"/>
        <w:numPr>
          <w:ilvl w:val="0"/>
          <w:numId w:val="31"/>
        </w:numPr>
        <w:spacing w:line="276" w:lineRule="auto"/>
        <w:ind w:leftChars="0"/>
        <w:rPr>
          <w:i/>
          <w:sz w:val="22"/>
          <w:lang w:val="en-US" w:eastAsia="x-none"/>
        </w:rPr>
      </w:pPr>
      <w:r>
        <w:rPr>
          <w:i/>
          <w:sz w:val="22"/>
          <w:lang w:val="en-US" w:eastAsia="x-none"/>
        </w:rPr>
        <w:t>Activation/deactivation MAC-CE signaling is used to update TCI state and their configured DL RS index (-es) for purpose of spatial QCL.</w:t>
      </w:r>
    </w:p>
    <w:p w14:paraId="6AF8E287" w14:textId="23D59062" w:rsidR="00DB28ED" w:rsidRPr="005661B8" w:rsidRDefault="00B9655D" w:rsidP="004A6A21">
      <w:pPr>
        <w:pStyle w:val="ListParagraph"/>
        <w:numPr>
          <w:ilvl w:val="0"/>
          <w:numId w:val="31"/>
        </w:numPr>
        <w:spacing w:line="276" w:lineRule="auto"/>
        <w:ind w:leftChars="0"/>
        <w:rPr>
          <w:i/>
          <w:sz w:val="22"/>
          <w:lang w:val="en-US" w:eastAsia="x-none"/>
        </w:rPr>
      </w:pPr>
      <w:r>
        <w:rPr>
          <w:i/>
          <w:sz w:val="22"/>
          <w:lang w:val="en-US" w:eastAsia="x-none"/>
        </w:rPr>
        <w:t xml:space="preserve">Following configuration of TCI states, a </w:t>
      </w:r>
      <w:r w:rsidR="00DB28ED" w:rsidRPr="005661B8">
        <w:rPr>
          <w:i/>
          <w:sz w:val="22"/>
          <w:lang w:val="en-US" w:eastAsia="x-none"/>
        </w:rPr>
        <w:t>UE does not expect to r</w:t>
      </w:r>
      <w:r w:rsidR="003975BB">
        <w:rPr>
          <w:i/>
          <w:sz w:val="22"/>
          <w:lang w:val="en-US" w:eastAsia="x-none"/>
        </w:rPr>
        <w:t>eceive a PDSCH/PDCCH and CSI-RS</w:t>
      </w:r>
      <w:r w:rsidR="00DB28ED" w:rsidRPr="005661B8">
        <w:rPr>
          <w:i/>
          <w:sz w:val="22"/>
          <w:lang w:val="en-US" w:eastAsia="x-none"/>
        </w:rPr>
        <w:t xml:space="preserve"> if their QCL reference is provided by a TCI state </w:t>
      </w:r>
      <w:r w:rsidR="003C4547" w:rsidRPr="005661B8">
        <w:rPr>
          <w:i/>
          <w:sz w:val="22"/>
          <w:lang w:val="en-US" w:eastAsia="x-none"/>
        </w:rPr>
        <w:t>that is not linked to any activated DL RS index</w:t>
      </w:r>
      <w:r w:rsidR="00DB28ED" w:rsidRPr="005661B8">
        <w:rPr>
          <w:i/>
          <w:sz w:val="22"/>
          <w:lang w:val="en-US" w:eastAsia="x-none"/>
        </w:rPr>
        <w:t>.</w:t>
      </w:r>
    </w:p>
    <w:p w14:paraId="1EA5F73E" w14:textId="76C109C9" w:rsidR="002F28DF" w:rsidRPr="00CF2124" w:rsidRDefault="002F28DF" w:rsidP="00CF2124">
      <w:pPr>
        <w:pStyle w:val="Heading2"/>
        <w:tabs>
          <w:tab w:val="clear" w:pos="5113"/>
          <w:tab w:val="num" w:pos="450"/>
        </w:tabs>
        <w:ind w:hanging="5113"/>
      </w:pPr>
      <w:bookmarkStart w:id="7" w:name="_Ref498519007"/>
      <w:r>
        <w:t>UE Behavior prior to Configuration of TCI States</w:t>
      </w:r>
      <w:bookmarkEnd w:id="7"/>
    </w:p>
    <w:p w14:paraId="13D0CD3E" w14:textId="2960946E" w:rsidR="00EA2EEF" w:rsidRPr="004B0CA4" w:rsidRDefault="002F28DF" w:rsidP="00CF2124">
      <w:pPr>
        <w:spacing w:line="276" w:lineRule="auto"/>
        <w:rPr>
          <w:rFonts w:cs="Batang"/>
          <w:sz w:val="22"/>
        </w:rPr>
      </w:pPr>
      <w:r w:rsidRPr="004B0CA4">
        <w:rPr>
          <w:rFonts w:cs="Batang"/>
          <w:sz w:val="22"/>
        </w:rPr>
        <w:t xml:space="preserve">For a UE to </w:t>
      </w:r>
      <w:r w:rsidR="00EA2EEF" w:rsidRPr="004B0CA4">
        <w:rPr>
          <w:rFonts w:cs="Batang"/>
          <w:sz w:val="22"/>
        </w:rPr>
        <w:t>be prepared to receive PDSCH and PDCCH via TCI states</w:t>
      </w:r>
      <w:r w:rsidR="004B0CA4">
        <w:rPr>
          <w:rFonts w:cs="Batang"/>
          <w:sz w:val="22"/>
        </w:rPr>
        <w:t xml:space="preserve"> and to switch from SSB to CSI-RS based beam management</w:t>
      </w:r>
      <w:r w:rsidR="00EA2EEF" w:rsidRPr="004B0CA4">
        <w:rPr>
          <w:rFonts w:cs="Batang"/>
          <w:sz w:val="22"/>
        </w:rPr>
        <w:t xml:space="preserve">, </w:t>
      </w:r>
      <w:r w:rsidR="004B0CA4">
        <w:rPr>
          <w:rFonts w:cs="Batang"/>
          <w:sz w:val="22"/>
        </w:rPr>
        <w:t>the following</w:t>
      </w:r>
      <w:r w:rsidR="00EA2EEF" w:rsidRPr="004B0CA4">
        <w:rPr>
          <w:rFonts w:cs="Batang"/>
          <w:sz w:val="22"/>
        </w:rPr>
        <w:t xml:space="preserve"> events need to happen in the following </w:t>
      </w:r>
      <w:r w:rsidRPr="004B0CA4">
        <w:rPr>
          <w:rFonts w:cs="Batang"/>
          <w:sz w:val="22"/>
        </w:rPr>
        <w:t>(</w:t>
      </w:r>
      <w:r w:rsidR="00EA2EEF" w:rsidRPr="004B0CA4">
        <w:rPr>
          <w:rFonts w:cs="Batang"/>
          <w:sz w:val="22"/>
        </w:rPr>
        <w:t>chronological</w:t>
      </w:r>
      <w:r w:rsidRPr="004B0CA4">
        <w:rPr>
          <w:rFonts w:cs="Batang"/>
          <w:sz w:val="22"/>
        </w:rPr>
        <w:t>)</w:t>
      </w:r>
      <w:r w:rsidR="00EA2EEF" w:rsidRPr="004B0CA4">
        <w:rPr>
          <w:rFonts w:cs="Batang"/>
          <w:sz w:val="22"/>
        </w:rPr>
        <w:t xml:space="preserve"> order:</w:t>
      </w:r>
    </w:p>
    <w:p w14:paraId="6E93E1D7" w14:textId="231FDFD3" w:rsidR="00CF2124" w:rsidRDefault="004B0CA4" w:rsidP="00E852E3">
      <w:pPr>
        <w:pStyle w:val="ListParagraph"/>
        <w:numPr>
          <w:ilvl w:val="0"/>
          <w:numId w:val="43"/>
        </w:numPr>
        <w:spacing w:line="276" w:lineRule="auto"/>
        <w:ind w:leftChars="0"/>
        <w:rPr>
          <w:rFonts w:cs="Batang"/>
          <w:sz w:val="22"/>
        </w:rPr>
      </w:pPr>
      <w:r>
        <w:rPr>
          <w:rFonts w:cs="Batang"/>
          <w:sz w:val="22"/>
        </w:rPr>
        <w:t xml:space="preserve">RRC configuration </w:t>
      </w:r>
      <w:r w:rsidR="00E852E3">
        <w:rPr>
          <w:rFonts w:cs="Batang"/>
          <w:sz w:val="22"/>
        </w:rPr>
        <w:t>of TCI states and CORESET-specific QCL configuration</w:t>
      </w:r>
    </w:p>
    <w:p w14:paraId="3AB0B69C" w14:textId="4C654BF7" w:rsidR="004B0CA4" w:rsidRDefault="002F28DF" w:rsidP="004B0CA4">
      <w:pPr>
        <w:pStyle w:val="ListParagraph"/>
        <w:numPr>
          <w:ilvl w:val="0"/>
          <w:numId w:val="43"/>
        </w:numPr>
        <w:spacing w:line="276" w:lineRule="auto"/>
        <w:ind w:leftChars="0"/>
        <w:rPr>
          <w:rFonts w:cs="Batang"/>
          <w:sz w:val="22"/>
        </w:rPr>
      </w:pPr>
      <w:r w:rsidRPr="004B0CA4">
        <w:rPr>
          <w:rFonts w:cs="Batang"/>
          <w:sz w:val="22"/>
        </w:rPr>
        <w:lastRenderedPageBreak/>
        <w:t>Reception of activation MAC-CE for purposes of configuring the UE with the DL RS index (-es) providing spatial QCL for the RS set associated to a given TCI state</w:t>
      </w:r>
    </w:p>
    <w:p w14:paraId="65200FD4" w14:textId="21A86173" w:rsidR="004B0CA4" w:rsidRDefault="004B0CA4" w:rsidP="004B0CA4">
      <w:pPr>
        <w:pStyle w:val="ListParagraph"/>
        <w:numPr>
          <w:ilvl w:val="0"/>
          <w:numId w:val="43"/>
        </w:numPr>
        <w:spacing w:line="276" w:lineRule="auto"/>
        <w:ind w:leftChars="0"/>
        <w:rPr>
          <w:rFonts w:cs="Batang"/>
          <w:sz w:val="22"/>
        </w:rPr>
      </w:pPr>
      <w:r>
        <w:rPr>
          <w:rFonts w:cs="Batang"/>
          <w:sz w:val="22"/>
        </w:rPr>
        <w:t xml:space="preserve">Configuration of QCL between SSB and CSI-RS </w:t>
      </w:r>
    </w:p>
    <w:p w14:paraId="53AF3385" w14:textId="70DA9473" w:rsidR="00E852E3" w:rsidRPr="004B0CA4" w:rsidRDefault="00E852E3" w:rsidP="00E852E3">
      <w:pPr>
        <w:pStyle w:val="ListParagraph"/>
        <w:numPr>
          <w:ilvl w:val="1"/>
          <w:numId w:val="43"/>
        </w:numPr>
        <w:spacing w:line="276" w:lineRule="auto"/>
        <w:ind w:leftChars="0"/>
        <w:rPr>
          <w:rFonts w:cs="Batang"/>
          <w:sz w:val="22"/>
        </w:rPr>
      </w:pPr>
      <w:r>
        <w:rPr>
          <w:rFonts w:cs="Batang"/>
          <w:sz w:val="22"/>
        </w:rPr>
        <w:t>Indication could be through RRC (P CSI-RS) or MAC-CE (SP CSI-RS) or DCI (AP CSI-RS)</w:t>
      </w:r>
    </w:p>
    <w:p w14:paraId="379A0DC0" w14:textId="03A607D6" w:rsidR="004B0CA4" w:rsidRDefault="0026641D" w:rsidP="00E852E3">
      <w:pPr>
        <w:spacing w:line="276" w:lineRule="auto"/>
        <w:rPr>
          <w:rFonts w:cs="Batang"/>
          <w:sz w:val="22"/>
        </w:rPr>
      </w:pPr>
      <w:r w:rsidRPr="004B0CA4">
        <w:rPr>
          <w:rFonts w:cs="Batang"/>
          <w:sz w:val="22"/>
        </w:rPr>
        <w:t xml:space="preserve">Prior to </w:t>
      </w:r>
      <w:r w:rsidR="00E852E3">
        <w:rPr>
          <w:rFonts w:cs="Batang"/>
          <w:sz w:val="22"/>
        </w:rPr>
        <w:t>being configured with the above information</w:t>
      </w:r>
      <w:r w:rsidRPr="004B0CA4">
        <w:rPr>
          <w:rFonts w:cs="Batang"/>
          <w:sz w:val="22"/>
        </w:rPr>
        <w:t xml:space="preserve">, </w:t>
      </w:r>
      <w:r w:rsidR="00EA2EEF" w:rsidRPr="004B0CA4">
        <w:rPr>
          <w:rFonts w:cs="Batang"/>
          <w:sz w:val="22"/>
        </w:rPr>
        <w:t>the UE needs default assumptions for receiving PDSCH</w:t>
      </w:r>
      <w:r w:rsidRPr="004B0CA4">
        <w:rPr>
          <w:rFonts w:cs="Batang"/>
          <w:sz w:val="22"/>
        </w:rPr>
        <w:t>,</w:t>
      </w:r>
      <w:r w:rsidR="004B0CA4">
        <w:rPr>
          <w:rFonts w:cs="Batang"/>
          <w:sz w:val="22"/>
        </w:rPr>
        <w:t xml:space="preserve"> </w:t>
      </w:r>
      <w:r w:rsidR="00EA2EEF" w:rsidRPr="004B0CA4">
        <w:rPr>
          <w:rFonts w:cs="Batang"/>
          <w:sz w:val="22"/>
        </w:rPr>
        <w:t>PDCCH</w:t>
      </w:r>
      <w:r w:rsidRPr="004B0CA4">
        <w:rPr>
          <w:rFonts w:cs="Batang"/>
          <w:sz w:val="22"/>
        </w:rPr>
        <w:t xml:space="preserve"> and CSI-RS</w:t>
      </w:r>
      <w:r w:rsidR="00EA2EEF" w:rsidRPr="004B0CA4">
        <w:rPr>
          <w:rFonts w:cs="Batang"/>
          <w:sz w:val="22"/>
        </w:rPr>
        <w:t xml:space="preserve">. </w:t>
      </w:r>
      <w:r w:rsidR="004B0CA4">
        <w:rPr>
          <w:rFonts w:cs="Batang"/>
          <w:sz w:val="22"/>
        </w:rPr>
        <w:t>In RAN1 #90, it was agreed that “</w:t>
      </w:r>
      <w:r w:rsidR="004B0CA4" w:rsidRPr="004B0CA4">
        <w:rPr>
          <w:rFonts w:cs="Batang"/>
          <w:i/>
          <w:sz w:val="22"/>
        </w:rPr>
        <w:t>After entering RRC CONNECTED mode, UE assumes the DM-RS ports of UE-specific PDCCH to be spatially QCL-ed with the SS block identified during initial access by default unless indicated otherwise</w:t>
      </w:r>
      <w:r w:rsidR="004B0CA4">
        <w:rPr>
          <w:rFonts w:cs="Batang"/>
          <w:sz w:val="22"/>
        </w:rPr>
        <w:t xml:space="preserve">”. Based on this agreement, before the UE is configured with TCI states, the UE may reuse the same receive beamforming weights as that used to receive SSB during initial access, for purposes of decoding PDCCH during its configured monitoring occasions. It appears reasonable to extend the same assumption regarding spatial QCL for </w:t>
      </w:r>
      <w:r w:rsidR="00393FF9">
        <w:rPr>
          <w:rFonts w:cs="Batang"/>
          <w:sz w:val="22"/>
        </w:rPr>
        <w:t xml:space="preserve">the reception of UE-specific </w:t>
      </w:r>
      <w:r w:rsidR="004B0CA4">
        <w:rPr>
          <w:rFonts w:cs="Batang"/>
          <w:sz w:val="22"/>
        </w:rPr>
        <w:t xml:space="preserve">PDSCH </w:t>
      </w:r>
      <w:r w:rsidR="00393FF9">
        <w:rPr>
          <w:rFonts w:cs="Batang"/>
          <w:sz w:val="22"/>
        </w:rPr>
        <w:t>and CSI-RS</w:t>
      </w:r>
      <w:r w:rsidR="004B0CA4">
        <w:rPr>
          <w:rFonts w:cs="Batang"/>
          <w:sz w:val="22"/>
        </w:rPr>
        <w:t>.</w:t>
      </w:r>
    </w:p>
    <w:p w14:paraId="7C17D125" w14:textId="6AC981C9" w:rsidR="00EA2EEF" w:rsidRPr="003975BB" w:rsidRDefault="00E852E3" w:rsidP="00CF2124">
      <w:pPr>
        <w:spacing w:line="276" w:lineRule="auto"/>
        <w:rPr>
          <w:rFonts w:cs="Batang"/>
          <w:sz w:val="22"/>
        </w:rPr>
      </w:pPr>
      <w:r w:rsidRPr="00836152">
        <w:rPr>
          <w:rFonts w:cs="Batang"/>
          <w:b/>
          <w:sz w:val="22"/>
        </w:rPr>
        <w:t xml:space="preserve">Proposal </w:t>
      </w:r>
      <w:r w:rsidR="001A0646">
        <w:rPr>
          <w:rFonts w:cs="Batang"/>
          <w:b/>
          <w:sz w:val="22"/>
        </w:rPr>
        <w:t>3</w:t>
      </w:r>
      <w:r>
        <w:rPr>
          <w:rFonts w:cs="Batang"/>
          <w:sz w:val="22"/>
        </w:rPr>
        <w:t xml:space="preserve">: </w:t>
      </w:r>
      <w:r w:rsidRPr="00BA496F">
        <w:rPr>
          <w:rFonts w:cs="Batang"/>
          <w:i/>
          <w:sz w:val="22"/>
        </w:rPr>
        <w:t>Prior to configuration of TCI st</w:t>
      </w:r>
      <w:r w:rsidR="00836152" w:rsidRPr="00BA496F">
        <w:rPr>
          <w:rFonts w:cs="Batang"/>
          <w:i/>
          <w:sz w:val="22"/>
        </w:rPr>
        <w:t>a</w:t>
      </w:r>
      <w:r w:rsidR="003975BB" w:rsidRPr="00BA496F">
        <w:rPr>
          <w:rFonts w:cs="Batang"/>
          <w:i/>
          <w:sz w:val="22"/>
        </w:rPr>
        <w:t xml:space="preserve">tes, the UE may assume that the DM-RS of </w:t>
      </w:r>
      <w:r w:rsidR="00836152" w:rsidRPr="00BA496F">
        <w:rPr>
          <w:rFonts w:cs="Batang"/>
          <w:i/>
          <w:sz w:val="22"/>
        </w:rPr>
        <w:t>UE-specific</w:t>
      </w:r>
      <w:r w:rsidRPr="00BA496F">
        <w:rPr>
          <w:rFonts w:cs="Batang"/>
          <w:i/>
          <w:sz w:val="22"/>
        </w:rPr>
        <w:t xml:space="preserve"> PDSCH, PDCC</w:t>
      </w:r>
      <w:r w:rsidR="003865F2">
        <w:rPr>
          <w:rFonts w:cs="Batang"/>
          <w:i/>
          <w:sz w:val="22"/>
        </w:rPr>
        <w:t>H and CSI-RS (if configured) share spatial QCL relation</w:t>
      </w:r>
      <w:r w:rsidR="004E0B36">
        <w:rPr>
          <w:rFonts w:cs="Batang"/>
          <w:i/>
          <w:sz w:val="22"/>
        </w:rPr>
        <w:t xml:space="preserve"> with the SSB/PBCH block</w:t>
      </w:r>
      <w:r w:rsidRPr="00BA496F">
        <w:rPr>
          <w:rFonts w:cs="Batang"/>
          <w:i/>
          <w:sz w:val="22"/>
        </w:rPr>
        <w:t xml:space="preserve"> determined during </w:t>
      </w:r>
      <w:r w:rsidR="004E0B36">
        <w:rPr>
          <w:rFonts w:cs="Batang"/>
          <w:i/>
          <w:sz w:val="22"/>
        </w:rPr>
        <w:t>its random</w:t>
      </w:r>
      <w:r w:rsidRPr="00BA496F">
        <w:rPr>
          <w:rFonts w:cs="Batang"/>
          <w:i/>
          <w:sz w:val="22"/>
        </w:rPr>
        <w:t xml:space="preserve"> access</w:t>
      </w:r>
      <w:r w:rsidR="004E0B36">
        <w:rPr>
          <w:rFonts w:cs="Batang"/>
          <w:i/>
          <w:sz w:val="22"/>
        </w:rPr>
        <w:t xml:space="preserve"> procedure</w:t>
      </w:r>
      <w:r w:rsidRPr="00BA496F">
        <w:rPr>
          <w:rFonts w:cs="Batang"/>
          <w:i/>
          <w:sz w:val="22"/>
        </w:rPr>
        <w:t>.</w:t>
      </w:r>
      <w:r w:rsidR="003975BB">
        <w:rPr>
          <w:rFonts w:cs="Batang"/>
          <w:sz w:val="22"/>
        </w:rPr>
        <w:t xml:space="preserve"> </w:t>
      </w:r>
    </w:p>
    <w:p w14:paraId="3F8FFD3C" w14:textId="071C5639" w:rsidR="007E3F18" w:rsidRDefault="00CF2124" w:rsidP="007E3F18">
      <w:pPr>
        <w:pStyle w:val="Heading2"/>
        <w:tabs>
          <w:tab w:val="clear" w:pos="5113"/>
          <w:tab w:val="num" w:pos="450"/>
        </w:tabs>
        <w:ind w:hanging="5113"/>
      </w:pPr>
      <w:r>
        <w:t>Co</w:t>
      </w:r>
      <w:r w:rsidR="007E3F18">
        <w:t>nfiguration of Presence or Absence of TCI in DCI</w:t>
      </w:r>
      <w:bookmarkEnd w:id="6"/>
    </w:p>
    <w:p w14:paraId="439E999C" w14:textId="35AA0B85" w:rsidR="00D452C0" w:rsidRPr="00DB2C61" w:rsidRDefault="00DB2C61" w:rsidP="00DB2C61">
      <w:pPr>
        <w:spacing w:line="276" w:lineRule="auto"/>
        <w:rPr>
          <w:sz w:val="22"/>
          <w:szCs w:val="22"/>
          <w:lang w:eastAsia="ko-KR"/>
        </w:rPr>
      </w:pPr>
      <w:r w:rsidRPr="00DB2C61">
        <w:rPr>
          <w:b/>
          <w:noProof/>
          <w:sz w:val="22"/>
          <w:szCs w:val="22"/>
          <w:lang w:val="en-US"/>
        </w:rPr>
        <mc:AlternateContent>
          <mc:Choice Requires="wps">
            <w:drawing>
              <wp:anchor distT="45720" distB="45720" distL="114300" distR="114300" simplePos="0" relativeHeight="251661312" behindDoc="1" locked="0" layoutInCell="1" allowOverlap="1" wp14:anchorId="1ABD0EE0" wp14:editId="3B444926">
                <wp:simplePos x="0" y="0"/>
                <wp:positionH relativeFrom="column">
                  <wp:posOffset>114300</wp:posOffset>
                </wp:positionH>
                <wp:positionV relativeFrom="paragraph">
                  <wp:posOffset>1770380</wp:posOffset>
                </wp:positionV>
                <wp:extent cx="6103620" cy="2621280"/>
                <wp:effectExtent l="0" t="0" r="11430" b="26670"/>
                <wp:wrapTight wrapText="bothSides">
                  <wp:wrapPolygon edited="0">
                    <wp:start x="0" y="0"/>
                    <wp:lineTo x="0" y="21663"/>
                    <wp:lineTo x="21573" y="21663"/>
                    <wp:lineTo x="21573"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2621280"/>
                        </a:xfrm>
                        <a:prstGeom prst="rect">
                          <a:avLst/>
                        </a:prstGeom>
                        <a:solidFill>
                          <a:srgbClr val="FFFFFF"/>
                        </a:solidFill>
                        <a:ln w="9525">
                          <a:solidFill>
                            <a:srgbClr val="000000"/>
                          </a:solidFill>
                          <a:miter lim="800000"/>
                          <a:headEnd/>
                          <a:tailEnd/>
                        </a:ln>
                      </wps:spPr>
                      <wps:txbx>
                        <w:txbxContent>
                          <w:p w14:paraId="425E3886" w14:textId="77777777" w:rsidR="00ED456D" w:rsidRPr="00D452C0" w:rsidRDefault="00ED456D" w:rsidP="00E852E3">
                            <w:pPr>
                              <w:spacing w:after="0"/>
                              <w:rPr>
                                <w:b/>
                                <w:sz w:val="18"/>
                              </w:rPr>
                            </w:pPr>
                            <w:r w:rsidRPr="00D452C0">
                              <w:rPr>
                                <w:b/>
                                <w:sz w:val="18"/>
                                <w:highlight w:val="green"/>
                              </w:rPr>
                              <w:t>Agreement [RAN1 #90bis]:</w:t>
                            </w:r>
                          </w:p>
                          <w:p w14:paraId="33AB4A1E" w14:textId="77777777" w:rsidR="00ED456D" w:rsidRPr="00D452C0" w:rsidRDefault="00ED456D" w:rsidP="00E852E3">
                            <w:pPr>
                              <w:numPr>
                                <w:ilvl w:val="0"/>
                                <w:numId w:val="32"/>
                              </w:numPr>
                              <w:rPr>
                                <w:sz w:val="18"/>
                                <w:lang w:val="en-US"/>
                              </w:rPr>
                            </w:pPr>
                            <w:r w:rsidRPr="00D452C0">
                              <w:rPr>
                                <w:sz w:val="18"/>
                                <w:lang w:val="en-US"/>
                              </w:rPr>
                              <w:t>For the case when at least spatial QCL is configured/indicated, support higher-layer UE-specific configuration of whether or not TCI field is present in DL-related DCI</w:t>
                            </w:r>
                          </w:p>
                          <w:p w14:paraId="4D4727C8" w14:textId="77777777" w:rsidR="00ED456D" w:rsidRPr="00D452C0" w:rsidRDefault="00ED456D" w:rsidP="00E852E3">
                            <w:pPr>
                              <w:numPr>
                                <w:ilvl w:val="1"/>
                                <w:numId w:val="32"/>
                              </w:numPr>
                              <w:rPr>
                                <w:sz w:val="18"/>
                                <w:lang w:val="en-US"/>
                              </w:rPr>
                            </w:pPr>
                            <w:r w:rsidRPr="00D452C0">
                              <w:rPr>
                                <w:b/>
                                <w:bCs/>
                                <w:sz w:val="18"/>
                              </w:rPr>
                              <w:t>Not present</w:t>
                            </w:r>
                            <w:r w:rsidRPr="00D452C0">
                              <w:rPr>
                                <w:sz w:val="18"/>
                              </w:rPr>
                              <w:t>: No dynamic indication of QCL parameters for PDSCH is provided in DL-related DCI</w:t>
                            </w:r>
                          </w:p>
                          <w:p w14:paraId="3DCDF70D" w14:textId="77777777" w:rsidR="00ED456D" w:rsidRPr="00D452C0" w:rsidRDefault="00ED456D" w:rsidP="00E852E3">
                            <w:pPr>
                              <w:numPr>
                                <w:ilvl w:val="2"/>
                                <w:numId w:val="32"/>
                              </w:numPr>
                              <w:rPr>
                                <w:sz w:val="18"/>
                                <w:lang w:val="en-US"/>
                              </w:rPr>
                            </w:pPr>
                            <w:r w:rsidRPr="00D452C0">
                              <w:rPr>
                                <w:sz w:val="18"/>
                              </w:rPr>
                              <w:t>For PDSCH, UE applies higher-layer signalling of QCL parameters/indication for determining QCL parameters (details: FFS) except for the case of beam management without beam-related indication (ref:Annex) where no spatial QCL parameters are higher layer configured</w:t>
                            </w:r>
                          </w:p>
                          <w:p w14:paraId="218B8DEF" w14:textId="77777777" w:rsidR="00ED456D" w:rsidRPr="00D452C0" w:rsidRDefault="00ED456D" w:rsidP="00E852E3">
                            <w:pPr>
                              <w:numPr>
                                <w:ilvl w:val="1"/>
                                <w:numId w:val="32"/>
                              </w:numPr>
                              <w:rPr>
                                <w:sz w:val="18"/>
                                <w:lang w:val="en-US"/>
                              </w:rPr>
                            </w:pPr>
                            <w:r w:rsidRPr="00D452C0">
                              <w:rPr>
                                <w:b/>
                                <w:bCs/>
                                <w:sz w:val="18"/>
                              </w:rPr>
                              <w:t>Present</w:t>
                            </w:r>
                            <w:r w:rsidRPr="00D452C0">
                              <w:rPr>
                                <w:sz w:val="18"/>
                              </w:rPr>
                              <w:t>: Details on Slide 7.</w:t>
                            </w:r>
                          </w:p>
                          <w:p w14:paraId="01D0C5FF" w14:textId="77777777" w:rsidR="00ED456D" w:rsidRPr="00D452C0" w:rsidRDefault="00ED456D" w:rsidP="00E852E3">
                            <w:pPr>
                              <w:numPr>
                                <w:ilvl w:val="0"/>
                                <w:numId w:val="32"/>
                              </w:numPr>
                              <w:tabs>
                                <w:tab w:val="num" w:pos="1440"/>
                              </w:tabs>
                              <w:rPr>
                                <w:sz w:val="18"/>
                                <w:lang w:val="en-US"/>
                              </w:rPr>
                            </w:pPr>
                            <w:r w:rsidRPr="00D452C0">
                              <w:rPr>
                                <w:sz w:val="18"/>
                              </w:rPr>
                              <w:t>Proposed candidate solutions should consider</w:t>
                            </w:r>
                          </w:p>
                          <w:p w14:paraId="414875A5" w14:textId="77777777" w:rsidR="00ED456D" w:rsidRPr="00D452C0" w:rsidRDefault="00ED456D" w:rsidP="00E852E3">
                            <w:pPr>
                              <w:numPr>
                                <w:ilvl w:val="1"/>
                                <w:numId w:val="32"/>
                              </w:numPr>
                              <w:rPr>
                                <w:sz w:val="18"/>
                                <w:lang w:val="en-US"/>
                              </w:rPr>
                            </w:pPr>
                            <w:r w:rsidRPr="00D452C0">
                              <w:rPr>
                                <w:sz w:val="18"/>
                              </w:rPr>
                              <w:t xml:space="preserve">Below and above 6GHz DL beam related operation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w:t>
                            </w:r>
                          </w:p>
                          <w:p w14:paraId="13D602A7" w14:textId="77777777" w:rsidR="00ED456D" w:rsidRPr="00D452C0" w:rsidRDefault="00ED456D" w:rsidP="00E852E3">
                            <w:pPr>
                              <w:numPr>
                                <w:ilvl w:val="1"/>
                                <w:numId w:val="32"/>
                              </w:numPr>
                              <w:rPr>
                                <w:sz w:val="18"/>
                                <w:lang w:val="en-US"/>
                              </w:rPr>
                            </w:pPr>
                            <w:r w:rsidRPr="00D452C0">
                              <w:rPr>
                                <w:sz w:val="18"/>
                              </w:rPr>
                              <w:t xml:space="preserve">Downlink beam management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(ref Annex)</w:t>
                            </w:r>
                          </w:p>
                          <w:p w14:paraId="143084A2" w14:textId="77777777" w:rsidR="00ED456D" w:rsidRPr="00D452C0" w:rsidRDefault="00ED456D" w:rsidP="00E852E3">
                            <w:pPr>
                              <w:numPr>
                                <w:ilvl w:val="1"/>
                                <w:numId w:val="32"/>
                              </w:numPr>
                              <w:rPr>
                                <w:b/>
                                <w:sz w:val="18"/>
                              </w:rPr>
                            </w:pPr>
                            <w:r w:rsidRPr="00D452C0">
                              <w:rPr>
                                <w:sz w:val="18"/>
                              </w:rPr>
                              <w:t>Note: this proposal does not apply to the case of beam management without beam-related indication (ref:Annex)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BD0EE0" id="_x0000_t202" coordsize="21600,21600" o:spt="202" path="m,l,21600r21600,l21600,xe">
                <v:stroke joinstyle="miter"/>
                <v:path gradientshapeok="t" o:connecttype="rect"/>
              </v:shapetype>
              <v:shape id="Text Box 3" o:spid="_x0000_s1026" type="#_x0000_t202" style="position:absolute;margin-left:9pt;margin-top:139.4pt;width:480.6pt;height:206.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">
                <v:textbox>
                  <w:txbxContent>
                    <w:p w14:paraId="425E3886" w14:textId="77777777" w:rsidR="00ED456D" w:rsidRPr="00D452C0" w:rsidRDefault="00ED456D" w:rsidP="00E852E3">
                      <w:pPr>
                        <w:spacing w:after="0"/>
                        <w:rPr>
                          <w:b/>
                          <w:sz w:val="18"/>
                        </w:rPr>
                      </w:pPr>
                      <w:r w:rsidRPr="00D452C0">
                        <w:rPr>
                          <w:b/>
                          <w:sz w:val="18"/>
                          <w:highlight w:val="green"/>
                        </w:rPr>
                        <w:t>Agreement [RAN1 #90bis]:</w:t>
                      </w:r>
                    </w:p>
                    <w:p w14:paraId="33AB4A1E" w14:textId="77777777" w:rsidR="00ED456D" w:rsidRPr="00D452C0" w:rsidRDefault="00ED456D" w:rsidP="00E852E3">
                      <w:pPr>
                        <w:numPr>
                          <w:ilvl w:val="0"/>
                          <w:numId w:val="32"/>
                        </w:numPr>
                        <w:rPr>
                          <w:sz w:val="18"/>
                          <w:lang w:val="en-US"/>
                        </w:rPr>
                      </w:pPr>
                      <w:r w:rsidRPr="00D452C0">
                        <w:rPr>
                          <w:sz w:val="18"/>
                          <w:lang w:val="en-US"/>
                        </w:rPr>
                        <w:t>For the case when at least spatial QCL is configured/indicated, support higher-layer UE-specific configuration of whether or not TCI field is present in DL-related DCI</w:t>
                      </w:r>
                    </w:p>
                    <w:p w14:paraId="4D4727C8" w14:textId="77777777" w:rsidR="00ED456D" w:rsidRPr="00D452C0" w:rsidRDefault="00ED456D" w:rsidP="00E852E3">
                      <w:pPr>
                        <w:numPr>
                          <w:ilvl w:val="1"/>
                          <w:numId w:val="32"/>
                        </w:numPr>
                        <w:rPr>
                          <w:sz w:val="18"/>
                          <w:lang w:val="en-US"/>
                        </w:rPr>
                      </w:pPr>
                      <w:r w:rsidRPr="00D452C0">
                        <w:rPr>
                          <w:b/>
                          <w:bCs/>
                          <w:sz w:val="18"/>
                        </w:rPr>
                        <w:t>Not present</w:t>
                      </w:r>
                      <w:r w:rsidRPr="00D452C0">
                        <w:rPr>
                          <w:sz w:val="18"/>
                        </w:rPr>
                        <w:t>: No dynamic indication of QCL parameters for PDSCH is provided in DL-related DCI</w:t>
                      </w:r>
                    </w:p>
                    <w:p w14:paraId="3DCDF70D" w14:textId="77777777" w:rsidR="00ED456D" w:rsidRPr="00D452C0" w:rsidRDefault="00ED456D" w:rsidP="00E852E3">
                      <w:pPr>
                        <w:numPr>
                          <w:ilvl w:val="2"/>
                          <w:numId w:val="32"/>
                        </w:numPr>
                        <w:rPr>
                          <w:sz w:val="18"/>
                          <w:lang w:val="en-US"/>
                        </w:rPr>
                      </w:pPr>
                      <w:r w:rsidRPr="00D452C0">
                        <w:rPr>
                          <w:sz w:val="18"/>
                        </w:rPr>
                        <w:t>For PDSCH, UE applies higher-layer signalling of QCL parameters/indication for determining QCL parameters (details: FFS) except for the case of beam management without beam-related indication (ref:Annex) where no spatial QCL parameters are higher layer configured</w:t>
                      </w:r>
                    </w:p>
                    <w:p w14:paraId="218B8DEF" w14:textId="77777777" w:rsidR="00ED456D" w:rsidRPr="00D452C0" w:rsidRDefault="00ED456D" w:rsidP="00E852E3">
                      <w:pPr>
                        <w:numPr>
                          <w:ilvl w:val="1"/>
                          <w:numId w:val="32"/>
                        </w:numPr>
                        <w:rPr>
                          <w:sz w:val="18"/>
                          <w:lang w:val="en-US"/>
                        </w:rPr>
                      </w:pPr>
                      <w:r w:rsidRPr="00D452C0">
                        <w:rPr>
                          <w:b/>
                          <w:bCs/>
                          <w:sz w:val="18"/>
                        </w:rPr>
                        <w:t>Present</w:t>
                      </w:r>
                      <w:r w:rsidRPr="00D452C0">
                        <w:rPr>
                          <w:sz w:val="18"/>
                        </w:rPr>
                        <w:t>: Details on Slide 7.</w:t>
                      </w:r>
                    </w:p>
                    <w:p w14:paraId="01D0C5FF" w14:textId="77777777" w:rsidR="00ED456D" w:rsidRPr="00D452C0" w:rsidRDefault="00ED456D" w:rsidP="00E852E3">
                      <w:pPr>
                        <w:numPr>
                          <w:ilvl w:val="0"/>
                          <w:numId w:val="32"/>
                        </w:numPr>
                        <w:tabs>
                          <w:tab w:val="num" w:pos="1440"/>
                        </w:tabs>
                        <w:rPr>
                          <w:sz w:val="18"/>
                          <w:lang w:val="en-US"/>
                        </w:rPr>
                      </w:pPr>
                      <w:r w:rsidRPr="00D452C0">
                        <w:rPr>
                          <w:sz w:val="18"/>
                        </w:rPr>
                        <w:t>Proposed candidate solutions should consider</w:t>
                      </w:r>
                    </w:p>
                    <w:p w14:paraId="414875A5" w14:textId="77777777" w:rsidR="00ED456D" w:rsidRPr="00D452C0" w:rsidRDefault="00ED456D" w:rsidP="00E852E3">
                      <w:pPr>
                        <w:numPr>
                          <w:ilvl w:val="1"/>
                          <w:numId w:val="32"/>
                        </w:numPr>
                        <w:rPr>
                          <w:sz w:val="18"/>
                          <w:lang w:val="en-US"/>
                        </w:rPr>
                      </w:pPr>
                      <w:r w:rsidRPr="00D452C0">
                        <w:rPr>
                          <w:sz w:val="18"/>
                        </w:rPr>
                        <w:t xml:space="preserve">Below and above 6GHz DL beam related operation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w:t>
                      </w:r>
                    </w:p>
                    <w:p w14:paraId="13D602A7" w14:textId="77777777" w:rsidR="00ED456D" w:rsidRPr="00D452C0" w:rsidRDefault="00ED456D" w:rsidP="00E852E3">
                      <w:pPr>
                        <w:numPr>
                          <w:ilvl w:val="1"/>
                          <w:numId w:val="32"/>
                        </w:numPr>
                        <w:rPr>
                          <w:sz w:val="18"/>
                          <w:lang w:val="en-US"/>
                        </w:rPr>
                      </w:pPr>
                      <w:r w:rsidRPr="00D452C0">
                        <w:rPr>
                          <w:sz w:val="18"/>
                        </w:rPr>
                        <w:t xml:space="preserve">Downlink beam management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(ref Annex)</w:t>
                      </w:r>
                    </w:p>
                    <w:p w14:paraId="143084A2" w14:textId="77777777" w:rsidR="00ED456D" w:rsidRPr="00D452C0" w:rsidRDefault="00ED456D" w:rsidP="00E852E3">
                      <w:pPr>
                        <w:numPr>
                          <w:ilvl w:val="1"/>
                          <w:numId w:val="32"/>
                        </w:numPr>
                        <w:rPr>
                          <w:b/>
                          <w:sz w:val="18"/>
                        </w:rPr>
                      </w:pPr>
                      <w:r w:rsidRPr="00D452C0">
                        <w:rPr>
                          <w:sz w:val="18"/>
                        </w:rPr>
                        <w:t>Note: this proposal does not apply to the case of beam management without beam-related indication (ref:Annex)</w:t>
                      </w:r>
                    </w:p>
                  </w:txbxContent>
                </v:textbox>
                <w10:wrap type="tight"/>
              </v:shape>
            </w:pict>
          </mc:Fallback>
        </mc:AlternateContent>
      </w:r>
      <w:r w:rsidR="00D452C0" w:rsidRPr="00DB2C61">
        <w:rPr>
          <w:sz w:val="22"/>
          <w:szCs w:val="22"/>
          <w:lang w:eastAsia="ko-KR"/>
        </w:rPr>
        <w:t>In this section</w:t>
      </w:r>
      <w:r w:rsidR="00BC4CAE">
        <w:rPr>
          <w:sz w:val="22"/>
          <w:szCs w:val="22"/>
          <w:lang w:eastAsia="ko-KR"/>
        </w:rPr>
        <w:t>,</w:t>
      </w:r>
      <w:r w:rsidR="00D452C0" w:rsidRPr="00DB2C61">
        <w:rPr>
          <w:sz w:val="22"/>
          <w:szCs w:val="22"/>
          <w:lang w:eastAsia="ko-KR"/>
        </w:rPr>
        <w:t xml:space="preserve"> we provide further views of beam indication operation for the case when spatial QCL is configured/indicated. The case of downlink beam management without beam indication </w:t>
      </w:r>
      <w:r w:rsidR="00BC4CAE">
        <w:rPr>
          <w:sz w:val="22"/>
          <w:szCs w:val="22"/>
          <w:lang w:eastAsia="ko-KR"/>
        </w:rPr>
        <w:t>is discussed in [2]</w:t>
      </w:r>
      <w:r w:rsidR="00D452C0" w:rsidRPr="00DB2C61">
        <w:rPr>
          <w:sz w:val="22"/>
          <w:szCs w:val="22"/>
          <w:lang w:eastAsia="ko-KR"/>
        </w:rPr>
        <w:t xml:space="preserve">. Based on the agreed WF [1], for the case when at least spatial QCL is configured/indicated, it is agreed that a UE-specific RRC parameter </w:t>
      </w:r>
      <w:r w:rsidR="00D452C0" w:rsidRPr="00DB2C61">
        <w:rPr>
          <w:i/>
          <w:sz w:val="22"/>
          <w:szCs w:val="22"/>
          <w:lang w:eastAsia="ko-KR"/>
        </w:rPr>
        <w:t>TCI-PresentInDCI</w:t>
      </w:r>
      <w:r w:rsidR="00D452C0" w:rsidRPr="00DB2C61">
        <w:rPr>
          <w:sz w:val="22"/>
          <w:szCs w:val="22"/>
          <w:lang w:eastAsia="ko-KR"/>
        </w:rPr>
        <w:t xml:space="preserve"> is introduced in order to configure the presence or absence of the TCI field in the DL DCI for PDSCH. It remains to be decided whether the granularity of this RRC parameter is a scalar or whether this is a list of Boolean values (e.g. one value per CORESET). If the UE is configured to assume that the TCI field is absent in the DL DCI for PDSCH, the UE applies either a higher-layer signalling or an indication of QCL parameters (details to be finalized). In this section, we provide Samsung’s views on aforementioned aspects</w:t>
      </w:r>
    </w:p>
    <w:p w14:paraId="0AD5B49D" w14:textId="1348AFB7" w:rsidR="009E4B32" w:rsidRDefault="00A97430" w:rsidP="005661B8">
      <w:pPr>
        <w:pStyle w:val="0Maintext"/>
      </w:pPr>
      <w:r>
        <w:rPr>
          <w:lang w:eastAsia="ko-KR"/>
        </w:rPr>
        <w:t xml:space="preserve">The main motivation for a per-CORESET configuration of </w:t>
      </w:r>
      <w:r w:rsidRPr="00CB43B6">
        <w:rPr>
          <w:i/>
          <w:lang w:eastAsia="ko-KR"/>
        </w:rPr>
        <w:t>TCI-PresentInDCI</w:t>
      </w:r>
      <w:r>
        <w:rPr>
          <w:i/>
          <w:lang w:eastAsia="ko-KR"/>
        </w:rPr>
        <w:t xml:space="preserve"> </w:t>
      </w:r>
      <w:r>
        <w:rPr>
          <w:lang w:eastAsia="ko-KR"/>
        </w:rPr>
        <w:t xml:space="preserve">is that on certain CORESETs, the </w:t>
      </w:r>
      <w:r w:rsidRPr="00CB43B6">
        <w:rPr>
          <w:i/>
          <w:lang w:eastAsia="ko-KR"/>
        </w:rPr>
        <w:t>TCI-PresentInDCI</w:t>
      </w:r>
      <w:r>
        <w:rPr>
          <w:lang w:eastAsia="ko-KR"/>
        </w:rPr>
        <w:t xml:space="preserve"> could be configured “Disabled”. </w:t>
      </w:r>
      <w:r w:rsidR="00377165">
        <w:rPr>
          <w:lang w:eastAsia="ko-KR"/>
        </w:rPr>
        <w:t xml:space="preserve">We refer to such a CORESET as a </w:t>
      </w:r>
      <w:r w:rsidR="00377165" w:rsidRPr="00377165">
        <w:rPr>
          <w:i/>
          <w:lang w:eastAsia="ko-KR"/>
        </w:rPr>
        <w:t>fall-back CORESET</w:t>
      </w:r>
      <w:r w:rsidR="00377165">
        <w:rPr>
          <w:lang w:eastAsia="ko-KR"/>
        </w:rPr>
        <w:t>. We have discussed the Fall-back CORESET concept in our prior contributions (e.g. R1-</w:t>
      </w:r>
      <w:r w:rsidR="00377165">
        <w:rPr>
          <w:lang w:eastAsia="ko-KR"/>
        </w:rPr>
        <w:lastRenderedPageBreak/>
        <w:t>1717605, R1-1713595 etc.). D</w:t>
      </w:r>
      <w:r>
        <w:rPr>
          <w:lang w:eastAsia="ko-KR"/>
        </w:rPr>
        <w:t xml:space="preserve">uring the UE-specific PDSCH monitoring occasions on </w:t>
      </w:r>
      <w:r w:rsidR="00377165">
        <w:rPr>
          <w:lang w:eastAsia="ko-KR"/>
        </w:rPr>
        <w:t>a fall-back</w:t>
      </w:r>
      <w:r>
        <w:rPr>
          <w:lang w:eastAsia="ko-KR"/>
        </w:rPr>
        <w:t xml:space="preserve"> CORESETs, the UE attempts to detect its DL DCI (providing DL assignment), assuming that the DCI </w:t>
      </w:r>
      <w:r w:rsidR="005601BD">
        <w:rPr>
          <w:lang w:eastAsia="ko-KR"/>
        </w:rPr>
        <w:t xml:space="preserve">payload </w:t>
      </w:r>
      <w:r>
        <w:rPr>
          <w:lang w:eastAsia="ko-KR"/>
        </w:rPr>
        <w:t xml:space="preserve">does not contain an N-bit TCI field. </w:t>
      </w:r>
      <w:r w:rsidR="009E4B32">
        <w:t>This may be useful for following motivations:</w:t>
      </w:r>
    </w:p>
    <w:p w14:paraId="437E9D16" w14:textId="0939550D" w:rsidR="009E4B32" w:rsidRPr="005661B8" w:rsidRDefault="009E4B32" w:rsidP="009E4B32">
      <w:pPr>
        <w:pStyle w:val="Style1"/>
        <w:numPr>
          <w:ilvl w:val="0"/>
          <w:numId w:val="23"/>
        </w:numPr>
        <w:spacing w:line="276" w:lineRule="auto"/>
        <w:rPr>
          <w:sz w:val="22"/>
        </w:rPr>
      </w:pPr>
      <w:r w:rsidRPr="005661B8">
        <w:rPr>
          <w:sz w:val="22"/>
        </w:rPr>
        <w:t>simplifies beam indication procedures</w:t>
      </w:r>
    </w:p>
    <w:p w14:paraId="6B5D3BB7" w14:textId="77777777" w:rsidR="009E4B32" w:rsidRPr="005661B8" w:rsidRDefault="009E4B32" w:rsidP="009E4B32">
      <w:pPr>
        <w:pStyle w:val="Style1"/>
        <w:numPr>
          <w:ilvl w:val="0"/>
          <w:numId w:val="23"/>
        </w:numPr>
        <w:spacing w:line="276" w:lineRule="auto"/>
        <w:rPr>
          <w:sz w:val="22"/>
        </w:rPr>
      </w:pPr>
      <w:r w:rsidRPr="005661B8">
        <w:rPr>
          <w:sz w:val="22"/>
        </w:rPr>
        <w:t>facilitating potential fall-back operation (e.g. PDSCH follows PDCCH beam)</w:t>
      </w:r>
    </w:p>
    <w:p w14:paraId="72C8DCCE" w14:textId="0ACF4FDE" w:rsidR="009E4B32" w:rsidRPr="005661B8" w:rsidRDefault="009E4B32" w:rsidP="009E4B32">
      <w:pPr>
        <w:pStyle w:val="Style1"/>
        <w:numPr>
          <w:ilvl w:val="0"/>
          <w:numId w:val="23"/>
        </w:numPr>
        <w:spacing w:line="276" w:lineRule="auto"/>
        <w:rPr>
          <w:sz w:val="22"/>
        </w:rPr>
      </w:pPr>
      <w:r w:rsidRPr="005661B8">
        <w:rPr>
          <w:sz w:val="22"/>
        </w:rPr>
        <w:t>improves control channel coverage due to the reduced DCI payload (N-bit TCI field is absent)</w:t>
      </w:r>
    </w:p>
    <w:p w14:paraId="35B4C94A" w14:textId="082FA7F9" w:rsidR="009E4B32" w:rsidRDefault="00377165" w:rsidP="005661B8">
      <w:pPr>
        <w:pStyle w:val="0Maintext"/>
        <w:rPr>
          <w:lang w:eastAsia="ko-KR"/>
        </w:rPr>
      </w:pPr>
      <w:r>
        <w:rPr>
          <w:lang w:eastAsia="ko-KR"/>
        </w:rPr>
        <w:t xml:space="preserve">On fall-back CORESETs, </w:t>
      </w:r>
      <w:r w:rsidR="00A97430">
        <w:rPr>
          <w:lang w:eastAsia="ko-KR"/>
        </w:rPr>
        <w:t xml:space="preserve">the UE </w:t>
      </w:r>
      <w:r w:rsidR="005601BD">
        <w:rPr>
          <w:lang w:eastAsia="ko-KR"/>
        </w:rPr>
        <w:t xml:space="preserve">applies a pre-configured set of </w:t>
      </w:r>
      <w:r w:rsidR="00A97430">
        <w:rPr>
          <w:lang w:eastAsia="ko-KR"/>
        </w:rPr>
        <w:t xml:space="preserve">QCL parameters </w:t>
      </w:r>
      <w:r w:rsidR="005601BD">
        <w:rPr>
          <w:lang w:eastAsia="ko-KR"/>
        </w:rPr>
        <w:t xml:space="preserve">for (potential) PDSCH reception on such CORESETS; this mechanism could be used to provide fall-back PDSCH reception via configuring the higher-layer configured QCL parameters to correspond to a relatively stable, wide beam. The fall-back PDSCH reception is useful if the network determines that </w:t>
      </w:r>
      <w:r w:rsidR="00ED5032">
        <w:rPr>
          <w:lang w:eastAsia="ko-KR"/>
        </w:rPr>
        <w:t xml:space="preserve">dynamic TRP/beam switching on CORESETs configured with </w:t>
      </w:r>
      <w:r w:rsidR="00ED5032" w:rsidRPr="00CB43B6">
        <w:rPr>
          <w:i/>
          <w:lang w:eastAsia="ko-KR"/>
        </w:rPr>
        <w:t>TCI-PresentInDCI</w:t>
      </w:r>
      <w:r w:rsidR="00ED5032">
        <w:rPr>
          <w:i/>
          <w:lang w:eastAsia="ko-KR"/>
        </w:rPr>
        <w:t xml:space="preserve"> = ‘enabled’ </w:t>
      </w:r>
      <w:r w:rsidR="00ED5032">
        <w:rPr>
          <w:lang w:eastAsia="ko-KR"/>
        </w:rPr>
        <w:t xml:space="preserve">is less reliable </w:t>
      </w:r>
      <w:r w:rsidR="005601BD">
        <w:rPr>
          <w:lang w:eastAsia="ko-KR"/>
        </w:rPr>
        <w:t xml:space="preserve">due to UE mobility/blockage etc. </w:t>
      </w:r>
      <w:r>
        <w:rPr>
          <w:lang w:eastAsia="ko-KR"/>
        </w:rPr>
        <w:t>This</w:t>
      </w:r>
      <w:r w:rsidR="009E4B32">
        <w:rPr>
          <w:lang w:eastAsia="ko-KR"/>
        </w:rPr>
        <w:t xml:space="preserve"> is analogous to LTE Format 1A operation</w:t>
      </w:r>
      <w:r w:rsidR="00545EE1">
        <w:rPr>
          <w:lang w:eastAsia="ko-KR"/>
        </w:rPr>
        <w:t xml:space="preserve"> used to provide fall-back reception, via robust PDSCH transmission, for</w:t>
      </w:r>
      <w:r w:rsidR="009E4B32">
        <w:rPr>
          <w:lang w:eastAsia="ko-KR"/>
        </w:rPr>
        <w:t xml:space="preserve"> UEs configured with Transmission Modes 3 or larger. Whenever an LTE UE configured with a transmission mode &gt;= 3 receives a DCI Format 1A message, the UE assumes a Transmit Diversity transmission scheme for its PDSCH, and a (different) mode-specific transmission scheme (e.g. Closed-loop MIMO for TM-4) upon reception of other DCI formats.</w:t>
      </w:r>
    </w:p>
    <w:p w14:paraId="52ED7412" w14:textId="2EB49ED3" w:rsidR="009E4B32" w:rsidRPr="005661B8" w:rsidRDefault="009E4B32" w:rsidP="00A97430">
      <w:pPr>
        <w:spacing w:line="276" w:lineRule="auto"/>
        <w:rPr>
          <w:sz w:val="22"/>
        </w:rPr>
      </w:pPr>
      <w:r w:rsidRPr="005661B8">
        <w:rPr>
          <w:b/>
          <w:sz w:val="22"/>
        </w:rPr>
        <w:t xml:space="preserve">Observation 1: </w:t>
      </w:r>
      <w:r w:rsidRPr="005661B8">
        <w:rPr>
          <w:sz w:val="22"/>
        </w:rPr>
        <w:t xml:space="preserve">Per-CORESET configuration of the </w:t>
      </w:r>
      <w:r w:rsidRPr="005661B8">
        <w:rPr>
          <w:i/>
          <w:sz w:val="22"/>
        </w:rPr>
        <w:t>TCI-PresentInDCI</w:t>
      </w:r>
      <w:r w:rsidRPr="005661B8">
        <w:rPr>
          <w:sz w:val="22"/>
        </w:rPr>
        <w:t xml:space="preserve"> parameter provides </w:t>
      </w:r>
      <w:r w:rsidR="00DD2D71" w:rsidRPr="005661B8">
        <w:rPr>
          <w:sz w:val="22"/>
        </w:rPr>
        <w:t>the hooks</w:t>
      </w:r>
      <w:r w:rsidRPr="005661B8">
        <w:rPr>
          <w:sz w:val="22"/>
        </w:rPr>
        <w:t xml:space="preserve"> to alternate between dynamic TRP/beam-switching on one CORESET (configured with </w:t>
      </w:r>
      <w:r w:rsidRPr="005661B8">
        <w:rPr>
          <w:i/>
          <w:sz w:val="22"/>
        </w:rPr>
        <w:t>TCI-PresentInDCI</w:t>
      </w:r>
      <w:r w:rsidRPr="005661B8">
        <w:rPr>
          <w:sz w:val="22"/>
        </w:rPr>
        <w:t xml:space="preserve"> = ‘enabled’) and fall-back PDSCH reception via relatively stable pre-configured beams on a </w:t>
      </w:r>
      <w:r w:rsidR="00377165" w:rsidRPr="005661B8">
        <w:rPr>
          <w:sz w:val="22"/>
        </w:rPr>
        <w:t xml:space="preserve">second fall-back </w:t>
      </w:r>
      <w:r w:rsidRPr="005661B8">
        <w:rPr>
          <w:sz w:val="22"/>
        </w:rPr>
        <w:t xml:space="preserve">CORESET. This is analogous to the fall-back operation in LTE </w:t>
      </w:r>
      <w:r w:rsidR="00DD2D71" w:rsidRPr="005661B8">
        <w:rPr>
          <w:sz w:val="22"/>
        </w:rPr>
        <w:t>via switching between DCI-1A (</w:t>
      </w:r>
      <w:r w:rsidRPr="005661B8">
        <w:rPr>
          <w:sz w:val="22"/>
        </w:rPr>
        <w:t>transmit diversity transmission scheme</w:t>
      </w:r>
      <w:r w:rsidR="00DD2D71" w:rsidRPr="005661B8">
        <w:rPr>
          <w:sz w:val="22"/>
        </w:rPr>
        <w:t>)</w:t>
      </w:r>
      <w:r w:rsidRPr="005661B8">
        <w:rPr>
          <w:sz w:val="22"/>
        </w:rPr>
        <w:t xml:space="preserve"> </w:t>
      </w:r>
      <w:r w:rsidR="00DD2D71" w:rsidRPr="005661B8">
        <w:rPr>
          <w:sz w:val="22"/>
        </w:rPr>
        <w:t>and DCI-2x (RRC mode specific transmission scheme).</w:t>
      </w:r>
    </w:p>
    <w:p w14:paraId="26933DFF" w14:textId="33C34CEC" w:rsidR="00DD2D71" w:rsidRPr="005661B8" w:rsidRDefault="00377165" w:rsidP="00A97430">
      <w:pPr>
        <w:spacing w:line="276" w:lineRule="auto"/>
        <w:rPr>
          <w:sz w:val="22"/>
        </w:rPr>
      </w:pPr>
      <w:r w:rsidRPr="005661B8">
        <w:rPr>
          <w:b/>
          <w:sz w:val="22"/>
        </w:rPr>
        <w:t xml:space="preserve">Proposal </w:t>
      </w:r>
      <w:r w:rsidR="00BC4CAE">
        <w:rPr>
          <w:b/>
          <w:sz w:val="22"/>
        </w:rPr>
        <w:t>4</w:t>
      </w:r>
      <w:r w:rsidRPr="005661B8">
        <w:rPr>
          <w:sz w:val="22"/>
        </w:rPr>
        <w:t xml:space="preserve">: </w:t>
      </w:r>
      <w:r w:rsidRPr="005661B8">
        <w:rPr>
          <w:i/>
          <w:sz w:val="22"/>
        </w:rPr>
        <w:t>Support UE-specific per-CORESET configuration of the TCI-PresentInDCI parameter.</w:t>
      </w:r>
    </w:p>
    <w:p w14:paraId="1787E17C" w14:textId="3DF0CE6D" w:rsidR="00377165" w:rsidRDefault="00377165" w:rsidP="005661B8">
      <w:pPr>
        <w:pStyle w:val="0Maintext"/>
      </w:pPr>
      <w:r>
        <w:t xml:space="preserve">For sake of simplicity, </w:t>
      </w:r>
      <w:r w:rsidR="00545EE1">
        <w:t xml:space="preserve">the pre-configured QCL parameters for PDSCH reception on fall-back CORESETs could be provided using </w:t>
      </w:r>
      <w:r>
        <w:t xml:space="preserve">a (fixed) TCI state. </w:t>
      </w:r>
      <w:r w:rsidR="00545EE1">
        <w:t>Thus, to receive a PDSCH scheduled via DL DCI received on a fall-back CORESET, t</w:t>
      </w:r>
      <w:r>
        <w:t>he UE applies the RS Set linked to that TCI state for determining its QCL parameters for receiving PDSCH</w:t>
      </w:r>
      <w:r w:rsidR="00545EE1">
        <w:t>.</w:t>
      </w:r>
    </w:p>
    <w:p w14:paraId="7F6EA558" w14:textId="2991739B" w:rsidR="00710C91" w:rsidRPr="00377165" w:rsidRDefault="00A50ED8" w:rsidP="00CF2124">
      <w:pPr>
        <w:pStyle w:val="0Maintext"/>
        <w:ind w:firstLine="0"/>
      </w:pPr>
      <w:bookmarkStart w:id="8" w:name="_Ref498103246"/>
      <w:r>
        <w:rPr>
          <w:b/>
        </w:rPr>
        <w:t xml:space="preserve">Proposal </w:t>
      </w:r>
      <w:r w:rsidR="00BC4CAE">
        <w:rPr>
          <w:b/>
        </w:rPr>
        <w:t>5</w:t>
      </w:r>
      <w:r w:rsidR="00710C91" w:rsidRPr="00377165">
        <w:rPr>
          <w:b/>
        </w:rPr>
        <w:t>:</w:t>
      </w:r>
      <w:r w:rsidR="00710C91">
        <w:rPr>
          <w:b/>
        </w:rPr>
        <w:t xml:space="preserve"> </w:t>
      </w:r>
      <w:r w:rsidR="00710C91" w:rsidRPr="005661B8">
        <w:rPr>
          <w:i/>
        </w:rPr>
        <w:t xml:space="preserve">On CORESET (s) configured with </w:t>
      </w:r>
      <w:r w:rsidR="00710C91" w:rsidRPr="005B186D">
        <w:rPr>
          <w:i/>
        </w:rPr>
        <w:t>TCI-PresentInDCI</w:t>
      </w:r>
      <w:r w:rsidR="00710C91" w:rsidRPr="005661B8">
        <w:rPr>
          <w:i/>
        </w:rPr>
        <w:t xml:space="preserve"> = ‘disabled’, for receiving its PDSCH, the UE applies the QCL parameters determined through the TCI state indicated via a higher-layer signalled </w:t>
      </w:r>
      <w:r w:rsidR="00710C91" w:rsidRPr="005B186D">
        <w:rPr>
          <w:i/>
        </w:rPr>
        <w:t>Default-QCL-PDSCH</w:t>
      </w:r>
      <w:r w:rsidR="00710C91" w:rsidRPr="005661B8">
        <w:rPr>
          <w:i/>
        </w:rPr>
        <w:t xml:space="preserve"> parameter.</w:t>
      </w:r>
    </w:p>
    <w:bookmarkEnd w:id="8"/>
    <w:p w14:paraId="60360530" w14:textId="47F2CCBB" w:rsidR="008451D5" w:rsidRDefault="00CD24CD" w:rsidP="009C114C">
      <w:pPr>
        <w:pStyle w:val="Heading1"/>
        <w:tabs>
          <w:tab w:val="num" w:pos="0"/>
        </w:tabs>
        <w:ind w:left="799" w:hanging="799"/>
      </w:pPr>
      <w:r>
        <w:rPr>
          <w:rFonts w:hint="eastAsia"/>
        </w:rPr>
        <w:t>Conclusions</w:t>
      </w:r>
    </w:p>
    <w:p w14:paraId="48A5024B" w14:textId="012177AD" w:rsidR="000831E5" w:rsidRPr="002D2706" w:rsidRDefault="000831E5" w:rsidP="005661B8">
      <w:pPr>
        <w:pStyle w:val="0Maintext"/>
      </w:pPr>
      <w:r w:rsidRPr="00C6314E">
        <w:t xml:space="preserve">In this contribution, Samsung’s views on </w:t>
      </w:r>
      <w:r w:rsidR="00182680">
        <w:t>the configuration of the presence of the TCI field in the DL-related DCI</w:t>
      </w:r>
      <w:r w:rsidRPr="00C6314E">
        <w:t>. The following proposals are made:</w:t>
      </w:r>
    </w:p>
    <w:p w14:paraId="3C5B5F99" w14:textId="77777777" w:rsidR="000831E5" w:rsidRPr="005661B8" w:rsidRDefault="000831E5" w:rsidP="000831E5">
      <w:pPr>
        <w:spacing w:line="276" w:lineRule="auto"/>
        <w:rPr>
          <w:i/>
          <w:sz w:val="22"/>
        </w:rPr>
      </w:pPr>
      <w:r w:rsidRPr="00BA496F">
        <w:rPr>
          <w:b/>
          <w:sz w:val="22"/>
          <w:u w:val="single"/>
        </w:rPr>
        <w:t>Proposal 1</w:t>
      </w:r>
      <w:r w:rsidRPr="005661B8">
        <w:rPr>
          <w:sz w:val="22"/>
        </w:rPr>
        <w:t xml:space="preserve">: </w:t>
      </w:r>
      <w:r w:rsidRPr="005661B8">
        <w:rPr>
          <w:i/>
          <w:sz w:val="22"/>
        </w:rPr>
        <w:t>The relation between TCI states M and the N bit field in the DL DCI for PDSCH is as follows:</w:t>
      </w:r>
    </w:p>
    <w:p w14:paraId="186F51D7" w14:textId="77777777" w:rsidR="000831E5" w:rsidRPr="005661B8" w:rsidRDefault="000831E5" w:rsidP="000831E5">
      <w:pPr>
        <w:pStyle w:val="ListParagraph"/>
        <w:numPr>
          <w:ilvl w:val="0"/>
          <w:numId w:val="31"/>
        </w:numPr>
        <w:spacing w:line="276" w:lineRule="auto"/>
        <w:ind w:leftChars="0"/>
        <w:rPr>
          <w:i/>
          <w:sz w:val="22"/>
        </w:rPr>
      </w:pPr>
      <w:r w:rsidRPr="005661B8">
        <w:rPr>
          <w:i/>
          <w:sz w:val="22"/>
        </w:rPr>
        <w:t>N is a fixed number set to 3 bits.</w:t>
      </w:r>
    </w:p>
    <w:p w14:paraId="01A3761B" w14:textId="1B242715" w:rsidR="000831E5" w:rsidRPr="005661B8" w:rsidRDefault="000831E5" w:rsidP="000831E5">
      <w:pPr>
        <w:pStyle w:val="ListParagraph"/>
        <w:numPr>
          <w:ilvl w:val="0"/>
          <w:numId w:val="31"/>
        </w:numPr>
        <w:spacing w:line="276" w:lineRule="auto"/>
        <w:ind w:leftChars="0"/>
        <w:rPr>
          <w:i/>
          <w:sz w:val="22"/>
          <w:lang w:val="en-US" w:eastAsia="x-none"/>
        </w:rPr>
      </w:pPr>
      <w:r w:rsidRPr="005661B8">
        <w:rPr>
          <w:i/>
          <w:sz w:val="22"/>
        </w:rPr>
        <w:t xml:space="preserve">Adopt </w:t>
      </w:r>
      <m:oMath>
        <m:r>
          <w:rPr>
            <w:rFonts w:ascii="Cambria Math" w:hAnsi="Cambria Math"/>
            <w:sz w:val="22"/>
          </w:rPr>
          <m:t>M=</m:t>
        </m:r>
        <m:sSup>
          <m:sSupPr>
            <m:ctrlPr>
              <w:rPr>
                <w:rFonts w:ascii="Cambria Math" w:hAnsi="Cambria Math"/>
                <w:i/>
                <w:sz w:val="22"/>
              </w:rPr>
            </m:ctrlPr>
          </m:sSupPr>
          <m:e>
            <m:r>
              <w:rPr>
                <w:rFonts w:ascii="Cambria Math" w:hAnsi="Cambria Math"/>
                <w:sz w:val="22"/>
              </w:rPr>
              <m:t>2</m:t>
            </m:r>
          </m:e>
          <m:sup>
            <m:r>
              <w:rPr>
                <w:rFonts w:ascii="Cambria Math" w:hAnsi="Cambria Math"/>
                <w:sz w:val="22"/>
              </w:rPr>
              <m:t>N</m:t>
            </m:r>
          </m:sup>
        </m:sSup>
      </m:oMath>
      <w:r w:rsidRPr="005661B8">
        <w:rPr>
          <w:i/>
          <w:sz w:val="22"/>
        </w:rPr>
        <w:t>; re-visit this if significant performance shortcomings are identified.</w:t>
      </w:r>
    </w:p>
    <w:p w14:paraId="5970D208" w14:textId="77777777" w:rsidR="00D00AE3" w:rsidRPr="005661B8" w:rsidRDefault="00D00AE3" w:rsidP="00D00AE3">
      <w:pPr>
        <w:spacing w:line="276" w:lineRule="auto"/>
        <w:rPr>
          <w:i/>
          <w:sz w:val="22"/>
        </w:rPr>
      </w:pPr>
      <w:r w:rsidRPr="00BA496F">
        <w:rPr>
          <w:b/>
          <w:sz w:val="22"/>
          <w:u w:val="single"/>
        </w:rPr>
        <w:t>Proposal 2</w:t>
      </w:r>
      <w:r w:rsidRPr="005661B8">
        <w:rPr>
          <w:b/>
          <w:sz w:val="22"/>
        </w:rPr>
        <w:t>:</w:t>
      </w:r>
      <w:r w:rsidRPr="005661B8">
        <w:rPr>
          <w:sz w:val="22"/>
        </w:rPr>
        <w:t xml:space="preserve"> </w:t>
      </w:r>
      <w:r w:rsidRPr="005661B8">
        <w:rPr>
          <w:i/>
          <w:sz w:val="22"/>
        </w:rPr>
        <w:t xml:space="preserve">NR supports the following TCI configuration framework </w:t>
      </w:r>
    </w:p>
    <w:p w14:paraId="58365B8A" w14:textId="77777777" w:rsidR="00D00AE3" w:rsidRDefault="00D00AE3" w:rsidP="00D00AE3">
      <w:pPr>
        <w:pStyle w:val="ListParagraph"/>
        <w:numPr>
          <w:ilvl w:val="0"/>
          <w:numId w:val="31"/>
        </w:numPr>
        <w:spacing w:line="276" w:lineRule="auto"/>
        <w:ind w:leftChars="0"/>
        <w:rPr>
          <w:i/>
          <w:sz w:val="22"/>
          <w:lang w:val="en-US" w:eastAsia="x-none"/>
        </w:rPr>
      </w:pPr>
      <w:r w:rsidRPr="005661B8">
        <w:rPr>
          <w:i/>
          <w:sz w:val="22"/>
          <w:lang w:val="en-US" w:eastAsia="x-none"/>
        </w:rPr>
        <w:t>RRC configures a set of</w:t>
      </w:r>
      <w:r>
        <w:rPr>
          <w:i/>
          <w:sz w:val="22"/>
          <w:lang w:val="en-US" w:eastAsia="x-none"/>
        </w:rPr>
        <w:t xml:space="preserve"> up to a maximum of</w:t>
      </w:r>
      <w:r w:rsidRPr="005661B8">
        <w:rPr>
          <w:i/>
          <w:sz w:val="22"/>
          <w:lang w:val="en-US" w:eastAsia="x-none"/>
        </w:rPr>
        <w:t xml:space="preserve"> M</w:t>
      </w:r>
      <w:r>
        <w:rPr>
          <w:i/>
          <w:sz w:val="22"/>
          <w:lang w:val="en-US" w:eastAsia="x-none"/>
        </w:rPr>
        <w:t xml:space="preserve"> = 8</w:t>
      </w:r>
      <w:r w:rsidRPr="005661B8">
        <w:rPr>
          <w:i/>
          <w:sz w:val="22"/>
          <w:lang w:val="en-US" w:eastAsia="x-none"/>
        </w:rPr>
        <w:t xml:space="preserve"> TCI states</w:t>
      </w:r>
      <w:r>
        <w:rPr>
          <w:i/>
          <w:sz w:val="22"/>
          <w:lang w:val="en-US" w:eastAsia="x-none"/>
        </w:rPr>
        <w:t>.</w:t>
      </w:r>
    </w:p>
    <w:p w14:paraId="3862A6C8" w14:textId="01C9A854" w:rsidR="00D00AE3" w:rsidRDefault="00D00AE3" w:rsidP="00D00AE3">
      <w:pPr>
        <w:pStyle w:val="ListParagraph"/>
        <w:numPr>
          <w:ilvl w:val="0"/>
          <w:numId w:val="31"/>
        </w:numPr>
        <w:spacing w:line="276" w:lineRule="auto"/>
        <w:ind w:leftChars="0"/>
        <w:rPr>
          <w:i/>
          <w:sz w:val="22"/>
          <w:lang w:val="en-US" w:eastAsia="x-none"/>
        </w:rPr>
      </w:pPr>
      <w:r>
        <w:rPr>
          <w:i/>
          <w:sz w:val="22"/>
          <w:lang w:val="en-US" w:eastAsia="x-none"/>
        </w:rPr>
        <w:t>RRC configures each TCI state with</w:t>
      </w:r>
      <w:r w:rsidRPr="005661B8">
        <w:rPr>
          <w:i/>
          <w:sz w:val="22"/>
          <w:lang w:val="en-US" w:eastAsia="x-none"/>
        </w:rPr>
        <w:t xml:space="preserve"> </w:t>
      </w:r>
      <w:r>
        <w:rPr>
          <w:i/>
          <w:sz w:val="22"/>
          <w:lang w:val="en-US" w:eastAsia="x-none"/>
        </w:rPr>
        <w:t xml:space="preserve">a </w:t>
      </w:r>
      <w:r w:rsidRPr="005661B8">
        <w:rPr>
          <w:i/>
          <w:sz w:val="22"/>
          <w:lang w:val="en-US" w:eastAsia="x-none"/>
        </w:rPr>
        <w:t>“candidate” pool of DL RS index (-es) (e.g CRIs, SSBI etc</w:t>
      </w:r>
      <w:r>
        <w:rPr>
          <w:i/>
          <w:sz w:val="22"/>
          <w:lang w:val="en-US" w:eastAsia="x-none"/>
        </w:rPr>
        <w:t>.</w:t>
      </w:r>
      <w:r w:rsidRPr="005661B8">
        <w:rPr>
          <w:i/>
          <w:sz w:val="22"/>
          <w:lang w:val="en-US" w:eastAsia="x-none"/>
        </w:rPr>
        <w:t>) for purpose of spatial QCL</w:t>
      </w:r>
    </w:p>
    <w:p w14:paraId="3BA524D7" w14:textId="77777777" w:rsidR="00D00AE3" w:rsidRPr="005661B8" w:rsidRDefault="00D00AE3" w:rsidP="00D00AE3">
      <w:pPr>
        <w:pStyle w:val="ListParagraph"/>
        <w:numPr>
          <w:ilvl w:val="1"/>
          <w:numId w:val="31"/>
        </w:numPr>
        <w:spacing w:line="276" w:lineRule="auto"/>
        <w:ind w:leftChars="0"/>
        <w:rPr>
          <w:i/>
          <w:sz w:val="22"/>
          <w:lang w:val="en-US" w:eastAsia="x-none"/>
        </w:rPr>
      </w:pPr>
      <w:r>
        <w:rPr>
          <w:i/>
          <w:sz w:val="22"/>
          <w:lang w:val="en-US" w:eastAsia="x-none"/>
        </w:rPr>
        <w:lastRenderedPageBreak/>
        <w:t>No restriction on whether or not the type of RS within a pool can be same or different.</w:t>
      </w:r>
    </w:p>
    <w:p w14:paraId="4983324F" w14:textId="77777777" w:rsidR="00D00AE3" w:rsidRPr="005661B8" w:rsidRDefault="00D00AE3" w:rsidP="00D00AE3">
      <w:pPr>
        <w:pStyle w:val="ListParagraph"/>
        <w:numPr>
          <w:ilvl w:val="1"/>
          <w:numId w:val="31"/>
        </w:numPr>
        <w:spacing w:line="276" w:lineRule="auto"/>
        <w:ind w:leftChars="0"/>
        <w:rPr>
          <w:i/>
          <w:sz w:val="22"/>
          <w:lang w:val="en-US" w:eastAsia="x-none"/>
        </w:rPr>
      </w:pPr>
      <w:r w:rsidRPr="005661B8">
        <w:rPr>
          <w:i/>
          <w:sz w:val="22"/>
          <w:lang w:val="en-US" w:eastAsia="x-none"/>
        </w:rPr>
        <w:t>Maximum candidate pool size is FFS (E.g. 64 indexes)</w:t>
      </w:r>
    </w:p>
    <w:p w14:paraId="492DD13F" w14:textId="77777777" w:rsidR="00D00AE3" w:rsidRPr="005661B8" w:rsidRDefault="00D00AE3" w:rsidP="00D00AE3">
      <w:pPr>
        <w:pStyle w:val="ListParagraph"/>
        <w:numPr>
          <w:ilvl w:val="0"/>
          <w:numId w:val="31"/>
        </w:numPr>
        <w:spacing w:line="276" w:lineRule="auto"/>
        <w:ind w:leftChars="0"/>
        <w:rPr>
          <w:i/>
          <w:sz w:val="22"/>
          <w:lang w:val="en-US" w:eastAsia="x-none"/>
        </w:rPr>
      </w:pPr>
      <w:r>
        <w:rPr>
          <w:i/>
          <w:sz w:val="22"/>
          <w:lang w:val="en-US" w:eastAsia="x-none"/>
        </w:rPr>
        <w:t>Activation/deactivation MAC-CE signaling is used to update TCI state and their configured DL RS index (-es) for purpose of spatial QCL.</w:t>
      </w:r>
    </w:p>
    <w:p w14:paraId="7DC141D6" w14:textId="77777777" w:rsidR="00D00AE3" w:rsidRPr="005661B8" w:rsidRDefault="00D00AE3" w:rsidP="00D00AE3">
      <w:pPr>
        <w:pStyle w:val="ListParagraph"/>
        <w:numPr>
          <w:ilvl w:val="0"/>
          <w:numId w:val="31"/>
        </w:numPr>
        <w:spacing w:line="276" w:lineRule="auto"/>
        <w:ind w:leftChars="0"/>
        <w:rPr>
          <w:i/>
          <w:sz w:val="22"/>
          <w:lang w:val="en-US" w:eastAsia="x-none"/>
        </w:rPr>
      </w:pPr>
      <w:r>
        <w:rPr>
          <w:i/>
          <w:sz w:val="22"/>
          <w:lang w:val="en-US" w:eastAsia="x-none"/>
        </w:rPr>
        <w:t xml:space="preserve">Following configuration of TCI states, a </w:t>
      </w:r>
      <w:r w:rsidRPr="005661B8">
        <w:rPr>
          <w:i/>
          <w:sz w:val="22"/>
          <w:lang w:val="en-US" w:eastAsia="x-none"/>
        </w:rPr>
        <w:t>UE does not expect to r</w:t>
      </w:r>
      <w:r>
        <w:rPr>
          <w:i/>
          <w:sz w:val="22"/>
          <w:lang w:val="en-US" w:eastAsia="x-none"/>
        </w:rPr>
        <w:t>eceive a PDSCH/PDCCH and CSI-RS</w:t>
      </w:r>
      <w:r w:rsidRPr="005661B8">
        <w:rPr>
          <w:i/>
          <w:sz w:val="22"/>
          <w:lang w:val="en-US" w:eastAsia="x-none"/>
        </w:rPr>
        <w:t xml:space="preserve"> if their QCL reference is provided by a TCI state that is not linked to any activated DL RS index.</w:t>
      </w:r>
    </w:p>
    <w:p w14:paraId="2CA2AE04" w14:textId="1FFBF315" w:rsidR="00BA496F" w:rsidRPr="00BA496F" w:rsidRDefault="00BA496F" w:rsidP="003C4547">
      <w:pPr>
        <w:spacing w:line="276" w:lineRule="auto"/>
        <w:rPr>
          <w:rFonts w:cs="Batang"/>
          <w:sz w:val="22"/>
        </w:rPr>
      </w:pPr>
      <w:r w:rsidRPr="00BA496F">
        <w:rPr>
          <w:rFonts w:cs="Batang"/>
          <w:b/>
          <w:sz w:val="22"/>
          <w:u w:val="single"/>
        </w:rPr>
        <w:t>Proposal 4</w:t>
      </w:r>
      <w:r>
        <w:rPr>
          <w:rFonts w:cs="Batang"/>
          <w:sz w:val="22"/>
        </w:rPr>
        <w:t xml:space="preserve">: </w:t>
      </w:r>
      <w:r w:rsidRPr="00BA496F">
        <w:rPr>
          <w:rFonts w:cs="Batang"/>
          <w:i/>
          <w:sz w:val="22"/>
        </w:rPr>
        <w:t xml:space="preserve">Prior to configuration of TCI states, the UE may assume that the DM-RS of UE-specific PDSCH, PDCCH and CSI-RS (if configured) </w:t>
      </w:r>
      <w:r w:rsidR="00D26167">
        <w:rPr>
          <w:rFonts w:cs="Batang"/>
          <w:i/>
          <w:sz w:val="22"/>
        </w:rPr>
        <w:t>share spatial QCL relation</w:t>
      </w:r>
      <w:r w:rsidRPr="00BA496F">
        <w:rPr>
          <w:rFonts w:cs="Batang"/>
          <w:i/>
          <w:sz w:val="22"/>
        </w:rPr>
        <w:t xml:space="preserve"> with the SSB</w:t>
      </w:r>
      <w:r w:rsidR="00F37561">
        <w:rPr>
          <w:rFonts w:cs="Batang"/>
          <w:i/>
          <w:sz w:val="22"/>
        </w:rPr>
        <w:t>/PBCH block</w:t>
      </w:r>
      <w:r w:rsidR="00382688">
        <w:rPr>
          <w:rFonts w:cs="Batang"/>
          <w:i/>
          <w:sz w:val="22"/>
        </w:rPr>
        <w:t xml:space="preserve"> determined during</w:t>
      </w:r>
      <w:r w:rsidR="004E0B36">
        <w:rPr>
          <w:rFonts w:cs="Batang"/>
          <w:i/>
          <w:sz w:val="22"/>
        </w:rPr>
        <w:t xml:space="preserve"> its</w:t>
      </w:r>
      <w:r w:rsidR="00382688">
        <w:rPr>
          <w:rFonts w:cs="Batang"/>
          <w:i/>
          <w:sz w:val="22"/>
        </w:rPr>
        <w:t xml:space="preserve"> random</w:t>
      </w:r>
      <w:r w:rsidRPr="00BA496F">
        <w:rPr>
          <w:rFonts w:cs="Batang"/>
          <w:i/>
          <w:sz w:val="22"/>
        </w:rPr>
        <w:t xml:space="preserve"> access</w:t>
      </w:r>
      <w:r w:rsidR="004E0B36">
        <w:rPr>
          <w:rFonts w:cs="Batang"/>
          <w:i/>
          <w:sz w:val="22"/>
        </w:rPr>
        <w:t xml:space="preserve"> procedure</w:t>
      </w:r>
    </w:p>
    <w:p w14:paraId="1162A771" w14:textId="2C808585" w:rsidR="001006D5" w:rsidRPr="005661B8" w:rsidRDefault="001006D5" w:rsidP="001006D5">
      <w:pPr>
        <w:spacing w:line="276" w:lineRule="auto"/>
        <w:rPr>
          <w:i/>
          <w:sz w:val="22"/>
        </w:rPr>
      </w:pPr>
      <w:r w:rsidRPr="00BA496F">
        <w:rPr>
          <w:b/>
          <w:sz w:val="22"/>
          <w:u w:val="single"/>
        </w:rPr>
        <w:t>P</w:t>
      </w:r>
      <w:r w:rsidR="00A50ED8" w:rsidRPr="00BA496F">
        <w:rPr>
          <w:b/>
          <w:sz w:val="22"/>
          <w:u w:val="single"/>
        </w:rPr>
        <w:t xml:space="preserve">roposal </w:t>
      </w:r>
      <w:r w:rsidR="00BA496F" w:rsidRPr="00BA496F">
        <w:rPr>
          <w:b/>
          <w:sz w:val="22"/>
          <w:u w:val="single"/>
        </w:rPr>
        <w:t>5</w:t>
      </w:r>
      <w:r w:rsidRPr="005661B8">
        <w:rPr>
          <w:sz w:val="22"/>
        </w:rPr>
        <w:t xml:space="preserve">: </w:t>
      </w:r>
      <w:r w:rsidRPr="005661B8">
        <w:rPr>
          <w:i/>
          <w:sz w:val="22"/>
        </w:rPr>
        <w:t>Support UE-specific per-CORESET configuration of the TCI-PresentInDCI parameter.</w:t>
      </w:r>
    </w:p>
    <w:p w14:paraId="6BFFA783" w14:textId="696C8753" w:rsidR="00463462" w:rsidRPr="00BA496F" w:rsidRDefault="00BA496F" w:rsidP="00463462">
      <w:pPr>
        <w:spacing w:line="276" w:lineRule="auto"/>
        <w:rPr>
          <w:i/>
          <w:sz w:val="22"/>
        </w:rPr>
      </w:pPr>
      <w:r w:rsidRPr="00BA496F">
        <w:rPr>
          <w:b/>
          <w:sz w:val="22"/>
          <w:u w:val="single"/>
        </w:rPr>
        <w:t>Proposal 6</w:t>
      </w:r>
      <w:r w:rsidR="00463462" w:rsidRPr="00BA496F">
        <w:rPr>
          <w:b/>
          <w:sz w:val="22"/>
        </w:rPr>
        <w:t>:</w:t>
      </w:r>
      <w:r w:rsidR="00463462" w:rsidRPr="00BA496F">
        <w:rPr>
          <w:b/>
          <w:i/>
          <w:sz w:val="22"/>
        </w:rPr>
        <w:t xml:space="preserve"> </w:t>
      </w:r>
      <w:r w:rsidR="00463462" w:rsidRPr="00BA496F">
        <w:rPr>
          <w:i/>
          <w:sz w:val="22"/>
        </w:rPr>
        <w:t>On CORESET (s) configured with TCI-PresentInDCI = ‘disabled’, for receiving its PDSCH, the UE applies the QCL parameters determined through the TCI state indicated via a higher-layer signalled Default-QCL-PDSCH parameter.</w:t>
      </w:r>
    </w:p>
    <w:p w14:paraId="1F73BC62" w14:textId="1371EE43" w:rsidR="000F762B" w:rsidRPr="00D04E23" w:rsidRDefault="000F762B" w:rsidP="009C114C">
      <w:pPr>
        <w:pStyle w:val="Heading1"/>
        <w:tabs>
          <w:tab w:val="num" w:pos="0"/>
        </w:tabs>
        <w:ind w:left="799" w:hanging="799"/>
      </w:pPr>
      <w:r w:rsidRPr="00D04E23">
        <w:rPr>
          <w:rFonts w:hint="eastAsia"/>
        </w:rPr>
        <w:t>Reference</w:t>
      </w:r>
      <w:r>
        <w:rPr>
          <w:rFonts w:hint="eastAsia"/>
        </w:rPr>
        <w:t>s</w:t>
      </w:r>
    </w:p>
    <w:p w14:paraId="38E3ED1A" w14:textId="79E35181" w:rsidR="008428B3" w:rsidRPr="00202A41" w:rsidRDefault="00401ED6" w:rsidP="008428B3">
      <w:pPr>
        <w:pStyle w:val="ListParagraph"/>
        <w:numPr>
          <w:ilvl w:val="0"/>
          <w:numId w:val="3"/>
        </w:numPr>
        <w:spacing w:after="0" w:line="360" w:lineRule="auto"/>
        <w:ind w:leftChars="0"/>
        <w:jc w:val="both"/>
        <w:rPr>
          <w:rFonts w:eastAsia="MS Mincho"/>
          <w:lang w:eastAsia="ja-JP"/>
        </w:rPr>
      </w:pPr>
      <w:bookmarkStart w:id="9" w:name="_Ref485365424"/>
      <w:bookmarkStart w:id="10" w:name="_Ref485218221"/>
      <w:bookmarkStart w:id="11" w:name="_Ref477961836"/>
      <w:bookmarkStart w:id="12" w:name="_Ref485215026"/>
      <w:r>
        <w:rPr>
          <w:rFonts w:eastAsia="MS Mincho"/>
          <w:lang w:eastAsia="ja-JP"/>
        </w:rPr>
        <w:t>R1-171</w:t>
      </w:r>
      <w:r w:rsidR="007E3F18">
        <w:rPr>
          <w:rFonts w:eastAsia="MS Mincho"/>
          <w:lang w:eastAsia="ja-JP"/>
        </w:rPr>
        <w:t xml:space="preserve">9059 </w:t>
      </w:r>
      <w:bookmarkEnd w:id="9"/>
      <w:r w:rsidR="007E3F18">
        <w:rPr>
          <w:rFonts w:eastAsia="MS Mincho"/>
          <w:lang w:eastAsia="ja-JP"/>
        </w:rPr>
        <w:t>WF on Beam Management</w:t>
      </w:r>
    </w:p>
    <w:bookmarkEnd w:id="10"/>
    <w:bookmarkEnd w:id="11"/>
    <w:bookmarkEnd w:id="12"/>
    <w:p w14:paraId="2A233E4B" w14:textId="5235E286" w:rsidR="00801C37" w:rsidRPr="00DA43FD" w:rsidRDefault="00DA43FD" w:rsidP="00DA43FD">
      <w:pPr>
        <w:pStyle w:val="2222"/>
        <w:numPr>
          <w:ilvl w:val="0"/>
          <w:numId w:val="3"/>
        </w:numPr>
        <w:spacing w:after="120" w:line="288" w:lineRule="auto"/>
        <w:ind w:firstLineChars="0"/>
        <w:rPr>
          <w:lang w:eastAsia="ko-KR"/>
        </w:rPr>
      </w:pPr>
      <w:r>
        <w:rPr>
          <w:lang w:eastAsia="ko-KR"/>
        </w:rPr>
        <w:t xml:space="preserve">R1-1720290 </w:t>
      </w:r>
      <w:r w:rsidRPr="00DA43FD">
        <w:rPr>
          <w:lang w:eastAsia="ko-KR"/>
        </w:rPr>
        <w:t>On Beam Management, Measurement and Reporting</w:t>
      </w:r>
      <w:r>
        <w:rPr>
          <w:lang w:eastAsia="ko-KR"/>
        </w:rPr>
        <w:t>, Samsung</w:t>
      </w:r>
    </w:p>
    <w:sectPr w:rsidR="00801C37" w:rsidRPr="00DA43FD" w:rsidSect="00FF4D8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DE68E" w14:textId="77777777" w:rsidR="007E0F54" w:rsidRDefault="007E0F54">
      <w:r>
        <w:separator/>
      </w:r>
    </w:p>
  </w:endnote>
  <w:endnote w:type="continuationSeparator" w:id="0">
    <w:p w14:paraId="7B24ADED" w14:textId="77777777" w:rsidR="007E0F54" w:rsidRDefault="007E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B0D3A" w14:textId="77777777" w:rsidR="006B1B29" w:rsidRDefault="006B1B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8696A" w14:textId="77777777" w:rsidR="006B1B29" w:rsidRDefault="006B1B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F9D66" w14:textId="77777777" w:rsidR="006B1B29" w:rsidRDefault="006B1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E2084" w14:textId="77777777" w:rsidR="007E0F54" w:rsidRDefault="007E0F54">
      <w:r>
        <w:separator/>
      </w:r>
    </w:p>
  </w:footnote>
  <w:footnote w:type="continuationSeparator" w:id="0">
    <w:p w14:paraId="22FF7E2C" w14:textId="77777777" w:rsidR="007E0F54" w:rsidRDefault="007E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52C5" w14:textId="77777777" w:rsidR="006B1B29" w:rsidRDefault="006B1B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ED456D" w:rsidRDefault="00ED45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018D8" w14:textId="77777777" w:rsidR="006B1B29" w:rsidRDefault="006B1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962D32"/>
    <w:multiLevelType w:val="hybridMultilevel"/>
    <w:tmpl w:val="0DB4F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1D1B45"/>
    <w:multiLevelType w:val="hybridMultilevel"/>
    <w:tmpl w:val="9C166F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238E7"/>
    <w:multiLevelType w:val="hybridMultilevel"/>
    <w:tmpl w:val="8A685446"/>
    <w:lvl w:ilvl="0" w:tplc="91AE2B44">
      <w:start w:val="1"/>
      <w:numFmt w:val="bullet"/>
      <w:lvlText w:val="–"/>
      <w:lvlJc w:val="left"/>
      <w:pPr>
        <w:tabs>
          <w:tab w:val="num" w:pos="360"/>
        </w:tabs>
        <w:ind w:left="360" w:hanging="360"/>
      </w:pPr>
      <w:rPr>
        <w:rFonts w:ascii="Arial" w:hAnsi="Arial" w:hint="default"/>
      </w:rPr>
    </w:lvl>
    <w:lvl w:ilvl="1" w:tplc="42263EAA">
      <w:start w:val="1"/>
      <w:numFmt w:val="bullet"/>
      <w:lvlText w:val="–"/>
      <w:lvlJc w:val="left"/>
      <w:pPr>
        <w:tabs>
          <w:tab w:val="num" w:pos="1080"/>
        </w:tabs>
        <w:ind w:left="1080" w:hanging="360"/>
      </w:pPr>
      <w:rPr>
        <w:rFonts w:ascii="Arial" w:hAnsi="Arial" w:hint="default"/>
      </w:rPr>
    </w:lvl>
    <w:lvl w:ilvl="2" w:tplc="4DE6E64C">
      <w:start w:val="32"/>
      <w:numFmt w:val="bullet"/>
      <w:lvlText w:val="•"/>
      <w:lvlJc w:val="left"/>
      <w:pPr>
        <w:tabs>
          <w:tab w:val="num" w:pos="1800"/>
        </w:tabs>
        <w:ind w:left="1800" w:hanging="360"/>
      </w:pPr>
      <w:rPr>
        <w:rFonts w:ascii="Arial" w:hAnsi="Arial" w:hint="default"/>
      </w:rPr>
    </w:lvl>
    <w:lvl w:ilvl="3" w:tplc="9488CB46">
      <w:start w:val="32"/>
      <w:numFmt w:val="bullet"/>
      <w:lvlText w:val="–"/>
      <w:lvlJc w:val="left"/>
      <w:pPr>
        <w:tabs>
          <w:tab w:val="num" w:pos="2520"/>
        </w:tabs>
        <w:ind w:left="2520" w:hanging="360"/>
      </w:pPr>
      <w:rPr>
        <w:rFonts w:ascii="Arial" w:hAnsi="Arial" w:hint="default"/>
      </w:rPr>
    </w:lvl>
    <w:lvl w:ilvl="4" w:tplc="EC1A60CA" w:tentative="1">
      <w:start w:val="1"/>
      <w:numFmt w:val="bullet"/>
      <w:lvlText w:val="–"/>
      <w:lvlJc w:val="left"/>
      <w:pPr>
        <w:tabs>
          <w:tab w:val="num" w:pos="3240"/>
        </w:tabs>
        <w:ind w:left="3240" w:hanging="360"/>
      </w:pPr>
      <w:rPr>
        <w:rFonts w:ascii="Arial" w:hAnsi="Arial" w:hint="default"/>
      </w:rPr>
    </w:lvl>
    <w:lvl w:ilvl="5" w:tplc="A364C464" w:tentative="1">
      <w:start w:val="1"/>
      <w:numFmt w:val="bullet"/>
      <w:lvlText w:val="–"/>
      <w:lvlJc w:val="left"/>
      <w:pPr>
        <w:tabs>
          <w:tab w:val="num" w:pos="3960"/>
        </w:tabs>
        <w:ind w:left="3960" w:hanging="360"/>
      </w:pPr>
      <w:rPr>
        <w:rFonts w:ascii="Arial" w:hAnsi="Arial" w:hint="default"/>
      </w:rPr>
    </w:lvl>
    <w:lvl w:ilvl="6" w:tplc="ED1C0348" w:tentative="1">
      <w:start w:val="1"/>
      <w:numFmt w:val="bullet"/>
      <w:lvlText w:val="–"/>
      <w:lvlJc w:val="left"/>
      <w:pPr>
        <w:tabs>
          <w:tab w:val="num" w:pos="4680"/>
        </w:tabs>
        <w:ind w:left="4680" w:hanging="360"/>
      </w:pPr>
      <w:rPr>
        <w:rFonts w:ascii="Arial" w:hAnsi="Arial" w:hint="default"/>
      </w:rPr>
    </w:lvl>
    <w:lvl w:ilvl="7" w:tplc="2AD2178A" w:tentative="1">
      <w:start w:val="1"/>
      <w:numFmt w:val="bullet"/>
      <w:lvlText w:val="–"/>
      <w:lvlJc w:val="left"/>
      <w:pPr>
        <w:tabs>
          <w:tab w:val="num" w:pos="5400"/>
        </w:tabs>
        <w:ind w:left="5400" w:hanging="360"/>
      </w:pPr>
      <w:rPr>
        <w:rFonts w:ascii="Arial" w:hAnsi="Arial" w:hint="default"/>
      </w:rPr>
    </w:lvl>
    <w:lvl w:ilvl="8" w:tplc="594E9A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4626"/>
        </w:tabs>
        <w:ind w:left="462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5975DAF"/>
    <w:multiLevelType w:val="hybridMultilevel"/>
    <w:tmpl w:val="805E1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3F6CE7"/>
    <w:multiLevelType w:val="hybridMultilevel"/>
    <w:tmpl w:val="F63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150B6"/>
    <w:multiLevelType w:val="hybridMultilevel"/>
    <w:tmpl w:val="C5F0FB78"/>
    <w:lvl w:ilvl="0" w:tplc="6F30ECD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25043"/>
    <w:multiLevelType w:val="hybridMultilevel"/>
    <w:tmpl w:val="DFB273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0025E"/>
    <w:multiLevelType w:val="hybridMultilevel"/>
    <w:tmpl w:val="9D4AC37A"/>
    <w:lvl w:ilvl="0" w:tplc="649C2298">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B5AD4"/>
    <w:multiLevelType w:val="hybridMultilevel"/>
    <w:tmpl w:val="2144B7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E3E5A"/>
    <w:multiLevelType w:val="hybridMultilevel"/>
    <w:tmpl w:val="86E8F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12440D"/>
    <w:multiLevelType w:val="hybridMultilevel"/>
    <w:tmpl w:val="E9421DDC"/>
    <w:lvl w:ilvl="0" w:tplc="DD326522">
      <w:start w:val="1"/>
      <w:numFmt w:val="bullet"/>
      <w:lvlText w:val="•"/>
      <w:lvlJc w:val="left"/>
      <w:pPr>
        <w:tabs>
          <w:tab w:val="num" w:pos="720"/>
        </w:tabs>
        <w:ind w:left="720" w:hanging="360"/>
      </w:pPr>
      <w:rPr>
        <w:rFonts w:ascii="Arial" w:hAnsi="Arial" w:hint="default"/>
      </w:rPr>
    </w:lvl>
    <w:lvl w:ilvl="1" w:tplc="2AA8D7AA">
      <w:start w:val="207"/>
      <w:numFmt w:val="bullet"/>
      <w:lvlText w:val="–"/>
      <w:lvlJc w:val="left"/>
      <w:pPr>
        <w:tabs>
          <w:tab w:val="num" w:pos="1440"/>
        </w:tabs>
        <w:ind w:left="1440" w:hanging="360"/>
      </w:pPr>
      <w:rPr>
        <w:rFonts w:ascii="Arial" w:hAnsi="Arial" w:hint="default"/>
      </w:rPr>
    </w:lvl>
    <w:lvl w:ilvl="2" w:tplc="4EF69202">
      <w:start w:val="207"/>
      <w:numFmt w:val="bullet"/>
      <w:lvlText w:val="•"/>
      <w:lvlJc w:val="left"/>
      <w:pPr>
        <w:tabs>
          <w:tab w:val="num" w:pos="2160"/>
        </w:tabs>
        <w:ind w:left="2160" w:hanging="360"/>
      </w:pPr>
      <w:rPr>
        <w:rFonts w:ascii="Arial" w:hAnsi="Arial" w:hint="default"/>
      </w:rPr>
    </w:lvl>
    <w:lvl w:ilvl="3" w:tplc="BA922744" w:tentative="1">
      <w:start w:val="1"/>
      <w:numFmt w:val="bullet"/>
      <w:lvlText w:val="•"/>
      <w:lvlJc w:val="left"/>
      <w:pPr>
        <w:tabs>
          <w:tab w:val="num" w:pos="2880"/>
        </w:tabs>
        <w:ind w:left="2880" w:hanging="360"/>
      </w:pPr>
      <w:rPr>
        <w:rFonts w:ascii="Arial" w:hAnsi="Arial" w:hint="default"/>
      </w:rPr>
    </w:lvl>
    <w:lvl w:ilvl="4" w:tplc="DA86F082" w:tentative="1">
      <w:start w:val="1"/>
      <w:numFmt w:val="bullet"/>
      <w:lvlText w:val="•"/>
      <w:lvlJc w:val="left"/>
      <w:pPr>
        <w:tabs>
          <w:tab w:val="num" w:pos="3600"/>
        </w:tabs>
        <w:ind w:left="3600" w:hanging="360"/>
      </w:pPr>
      <w:rPr>
        <w:rFonts w:ascii="Arial" w:hAnsi="Arial" w:hint="default"/>
      </w:rPr>
    </w:lvl>
    <w:lvl w:ilvl="5" w:tplc="336C0704" w:tentative="1">
      <w:start w:val="1"/>
      <w:numFmt w:val="bullet"/>
      <w:lvlText w:val="•"/>
      <w:lvlJc w:val="left"/>
      <w:pPr>
        <w:tabs>
          <w:tab w:val="num" w:pos="4320"/>
        </w:tabs>
        <w:ind w:left="4320" w:hanging="360"/>
      </w:pPr>
      <w:rPr>
        <w:rFonts w:ascii="Arial" w:hAnsi="Arial" w:hint="default"/>
      </w:rPr>
    </w:lvl>
    <w:lvl w:ilvl="6" w:tplc="813A21AE" w:tentative="1">
      <w:start w:val="1"/>
      <w:numFmt w:val="bullet"/>
      <w:lvlText w:val="•"/>
      <w:lvlJc w:val="left"/>
      <w:pPr>
        <w:tabs>
          <w:tab w:val="num" w:pos="5040"/>
        </w:tabs>
        <w:ind w:left="5040" w:hanging="360"/>
      </w:pPr>
      <w:rPr>
        <w:rFonts w:ascii="Arial" w:hAnsi="Arial" w:hint="default"/>
      </w:rPr>
    </w:lvl>
    <w:lvl w:ilvl="7" w:tplc="563A8A32" w:tentative="1">
      <w:start w:val="1"/>
      <w:numFmt w:val="bullet"/>
      <w:lvlText w:val="•"/>
      <w:lvlJc w:val="left"/>
      <w:pPr>
        <w:tabs>
          <w:tab w:val="num" w:pos="5760"/>
        </w:tabs>
        <w:ind w:left="5760" w:hanging="360"/>
      </w:pPr>
      <w:rPr>
        <w:rFonts w:ascii="Arial" w:hAnsi="Arial" w:hint="default"/>
      </w:rPr>
    </w:lvl>
    <w:lvl w:ilvl="8" w:tplc="0546CE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47CBC"/>
    <w:multiLevelType w:val="hybridMultilevel"/>
    <w:tmpl w:val="2220AF12"/>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04A46"/>
    <w:multiLevelType w:val="hybridMultilevel"/>
    <w:tmpl w:val="8822EE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FC3204"/>
    <w:multiLevelType w:val="hybridMultilevel"/>
    <w:tmpl w:val="15ACA9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2643D"/>
    <w:multiLevelType w:val="hybridMultilevel"/>
    <w:tmpl w:val="94646E5E"/>
    <w:lvl w:ilvl="0" w:tplc="9CBED5A2">
      <w:start w:val="1"/>
      <w:numFmt w:val="bullet"/>
      <w:lvlText w:val="–"/>
      <w:lvlJc w:val="left"/>
      <w:pPr>
        <w:tabs>
          <w:tab w:val="num" w:pos="360"/>
        </w:tabs>
        <w:ind w:left="360" w:hanging="360"/>
      </w:pPr>
      <w:rPr>
        <w:rFonts w:ascii="Arial" w:hAnsi="Arial" w:hint="default"/>
      </w:rPr>
    </w:lvl>
    <w:lvl w:ilvl="1" w:tplc="665E7DA8">
      <w:start w:val="1"/>
      <w:numFmt w:val="bullet"/>
      <w:lvlText w:val="–"/>
      <w:lvlJc w:val="left"/>
      <w:pPr>
        <w:tabs>
          <w:tab w:val="num" w:pos="1080"/>
        </w:tabs>
        <w:ind w:left="1080" w:hanging="360"/>
      </w:pPr>
      <w:rPr>
        <w:rFonts w:ascii="Arial" w:hAnsi="Arial" w:hint="default"/>
      </w:rPr>
    </w:lvl>
    <w:lvl w:ilvl="2" w:tplc="1F8802DC">
      <w:start w:val="32"/>
      <w:numFmt w:val="bullet"/>
      <w:lvlText w:val="•"/>
      <w:lvlJc w:val="left"/>
      <w:pPr>
        <w:tabs>
          <w:tab w:val="num" w:pos="1800"/>
        </w:tabs>
        <w:ind w:left="1800" w:hanging="360"/>
      </w:pPr>
      <w:rPr>
        <w:rFonts w:ascii="Arial" w:hAnsi="Arial" w:hint="default"/>
      </w:rPr>
    </w:lvl>
    <w:lvl w:ilvl="3" w:tplc="015A11E4" w:tentative="1">
      <w:start w:val="1"/>
      <w:numFmt w:val="bullet"/>
      <w:lvlText w:val="–"/>
      <w:lvlJc w:val="left"/>
      <w:pPr>
        <w:tabs>
          <w:tab w:val="num" w:pos="2520"/>
        </w:tabs>
        <w:ind w:left="2520" w:hanging="360"/>
      </w:pPr>
      <w:rPr>
        <w:rFonts w:ascii="Arial" w:hAnsi="Arial" w:hint="default"/>
      </w:rPr>
    </w:lvl>
    <w:lvl w:ilvl="4" w:tplc="A22CFF32" w:tentative="1">
      <w:start w:val="1"/>
      <w:numFmt w:val="bullet"/>
      <w:lvlText w:val="–"/>
      <w:lvlJc w:val="left"/>
      <w:pPr>
        <w:tabs>
          <w:tab w:val="num" w:pos="3240"/>
        </w:tabs>
        <w:ind w:left="3240" w:hanging="360"/>
      </w:pPr>
      <w:rPr>
        <w:rFonts w:ascii="Arial" w:hAnsi="Arial" w:hint="default"/>
      </w:rPr>
    </w:lvl>
    <w:lvl w:ilvl="5" w:tplc="ECA05B9C" w:tentative="1">
      <w:start w:val="1"/>
      <w:numFmt w:val="bullet"/>
      <w:lvlText w:val="–"/>
      <w:lvlJc w:val="left"/>
      <w:pPr>
        <w:tabs>
          <w:tab w:val="num" w:pos="3960"/>
        </w:tabs>
        <w:ind w:left="3960" w:hanging="360"/>
      </w:pPr>
      <w:rPr>
        <w:rFonts w:ascii="Arial" w:hAnsi="Arial" w:hint="default"/>
      </w:rPr>
    </w:lvl>
    <w:lvl w:ilvl="6" w:tplc="FE524118" w:tentative="1">
      <w:start w:val="1"/>
      <w:numFmt w:val="bullet"/>
      <w:lvlText w:val="–"/>
      <w:lvlJc w:val="left"/>
      <w:pPr>
        <w:tabs>
          <w:tab w:val="num" w:pos="4680"/>
        </w:tabs>
        <w:ind w:left="4680" w:hanging="360"/>
      </w:pPr>
      <w:rPr>
        <w:rFonts w:ascii="Arial" w:hAnsi="Arial" w:hint="default"/>
      </w:rPr>
    </w:lvl>
    <w:lvl w:ilvl="7" w:tplc="8B4E923C" w:tentative="1">
      <w:start w:val="1"/>
      <w:numFmt w:val="bullet"/>
      <w:lvlText w:val="–"/>
      <w:lvlJc w:val="left"/>
      <w:pPr>
        <w:tabs>
          <w:tab w:val="num" w:pos="5400"/>
        </w:tabs>
        <w:ind w:left="5400" w:hanging="360"/>
      </w:pPr>
      <w:rPr>
        <w:rFonts w:ascii="Arial" w:hAnsi="Arial" w:hint="default"/>
      </w:rPr>
    </w:lvl>
    <w:lvl w:ilvl="8" w:tplc="A4FE522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467C9"/>
    <w:multiLevelType w:val="hybridMultilevel"/>
    <w:tmpl w:val="CB24A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2C18B5"/>
    <w:multiLevelType w:val="hybridMultilevel"/>
    <w:tmpl w:val="2CCC0AD2"/>
    <w:lvl w:ilvl="0" w:tplc="63F64426">
      <w:start w:val="1"/>
      <w:numFmt w:val="bullet"/>
      <w:lvlText w:val="•"/>
      <w:lvlJc w:val="left"/>
      <w:pPr>
        <w:tabs>
          <w:tab w:val="num" w:pos="720"/>
        </w:tabs>
        <w:ind w:left="720" w:hanging="360"/>
      </w:pPr>
      <w:rPr>
        <w:rFonts w:ascii="Arial" w:hAnsi="Arial" w:hint="default"/>
      </w:rPr>
    </w:lvl>
    <w:lvl w:ilvl="1" w:tplc="E48C915E">
      <w:start w:val="207"/>
      <w:numFmt w:val="bullet"/>
      <w:lvlText w:val="–"/>
      <w:lvlJc w:val="left"/>
      <w:pPr>
        <w:tabs>
          <w:tab w:val="num" w:pos="1440"/>
        </w:tabs>
        <w:ind w:left="1440" w:hanging="360"/>
      </w:pPr>
      <w:rPr>
        <w:rFonts w:ascii="Arial" w:hAnsi="Arial" w:hint="default"/>
      </w:rPr>
    </w:lvl>
    <w:lvl w:ilvl="2" w:tplc="51768514">
      <w:start w:val="207"/>
      <w:numFmt w:val="bullet"/>
      <w:lvlText w:val="•"/>
      <w:lvlJc w:val="left"/>
      <w:pPr>
        <w:tabs>
          <w:tab w:val="num" w:pos="2160"/>
        </w:tabs>
        <w:ind w:left="2160" w:hanging="360"/>
      </w:pPr>
      <w:rPr>
        <w:rFonts w:ascii="Arial" w:hAnsi="Arial" w:hint="default"/>
      </w:rPr>
    </w:lvl>
    <w:lvl w:ilvl="3" w:tplc="BFE65C02" w:tentative="1">
      <w:start w:val="1"/>
      <w:numFmt w:val="bullet"/>
      <w:lvlText w:val="•"/>
      <w:lvlJc w:val="left"/>
      <w:pPr>
        <w:tabs>
          <w:tab w:val="num" w:pos="2880"/>
        </w:tabs>
        <w:ind w:left="2880" w:hanging="360"/>
      </w:pPr>
      <w:rPr>
        <w:rFonts w:ascii="Arial" w:hAnsi="Arial" w:hint="default"/>
      </w:rPr>
    </w:lvl>
    <w:lvl w:ilvl="4" w:tplc="36CEE454" w:tentative="1">
      <w:start w:val="1"/>
      <w:numFmt w:val="bullet"/>
      <w:lvlText w:val="•"/>
      <w:lvlJc w:val="left"/>
      <w:pPr>
        <w:tabs>
          <w:tab w:val="num" w:pos="3600"/>
        </w:tabs>
        <w:ind w:left="3600" w:hanging="360"/>
      </w:pPr>
      <w:rPr>
        <w:rFonts w:ascii="Arial" w:hAnsi="Arial" w:hint="default"/>
      </w:rPr>
    </w:lvl>
    <w:lvl w:ilvl="5" w:tplc="E6303CEA" w:tentative="1">
      <w:start w:val="1"/>
      <w:numFmt w:val="bullet"/>
      <w:lvlText w:val="•"/>
      <w:lvlJc w:val="left"/>
      <w:pPr>
        <w:tabs>
          <w:tab w:val="num" w:pos="4320"/>
        </w:tabs>
        <w:ind w:left="4320" w:hanging="360"/>
      </w:pPr>
      <w:rPr>
        <w:rFonts w:ascii="Arial" w:hAnsi="Arial" w:hint="default"/>
      </w:rPr>
    </w:lvl>
    <w:lvl w:ilvl="6" w:tplc="4E1E4BA2" w:tentative="1">
      <w:start w:val="1"/>
      <w:numFmt w:val="bullet"/>
      <w:lvlText w:val="•"/>
      <w:lvlJc w:val="left"/>
      <w:pPr>
        <w:tabs>
          <w:tab w:val="num" w:pos="5040"/>
        </w:tabs>
        <w:ind w:left="5040" w:hanging="360"/>
      </w:pPr>
      <w:rPr>
        <w:rFonts w:ascii="Arial" w:hAnsi="Arial" w:hint="default"/>
      </w:rPr>
    </w:lvl>
    <w:lvl w:ilvl="7" w:tplc="DFB81A80" w:tentative="1">
      <w:start w:val="1"/>
      <w:numFmt w:val="bullet"/>
      <w:lvlText w:val="•"/>
      <w:lvlJc w:val="left"/>
      <w:pPr>
        <w:tabs>
          <w:tab w:val="num" w:pos="5760"/>
        </w:tabs>
        <w:ind w:left="5760" w:hanging="360"/>
      </w:pPr>
      <w:rPr>
        <w:rFonts w:ascii="Arial" w:hAnsi="Arial" w:hint="default"/>
      </w:rPr>
    </w:lvl>
    <w:lvl w:ilvl="8" w:tplc="0F4E85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F3B9A"/>
    <w:multiLevelType w:val="hybridMultilevel"/>
    <w:tmpl w:val="9A263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E76C4"/>
    <w:multiLevelType w:val="hybridMultilevel"/>
    <w:tmpl w:val="27762F4C"/>
    <w:lvl w:ilvl="0" w:tplc="53649762">
      <w:start w:val="1"/>
      <w:numFmt w:val="bullet"/>
      <w:lvlText w:val=""/>
      <w:lvlJc w:val="left"/>
      <w:pPr>
        <w:ind w:left="360" w:hanging="360"/>
      </w:pPr>
      <w:rPr>
        <w:rFonts w:ascii="Wingdings" w:eastAsia="Malgun Gothic"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C30D24"/>
    <w:multiLevelType w:val="hybridMultilevel"/>
    <w:tmpl w:val="90942950"/>
    <w:lvl w:ilvl="0" w:tplc="B2B67448">
      <w:start w:val="9"/>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9DA1AA2"/>
    <w:multiLevelType w:val="hybridMultilevel"/>
    <w:tmpl w:val="DBEA3742"/>
    <w:lvl w:ilvl="0" w:tplc="6F30ECD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BF79D1"/>
    <w:multiLevelType w:val="hybridMultilevel"/>
    <w:tmpl w:val="27207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94069"/>
    <w:multiLevelType w:val="hybridMultilevel"/>
    <w:tmpl w:val="70749B4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357AA4"/>
    <w:multiLevelType w:val="hybridMultilevel"/>
    <w:tmpl w:val="90C202A6"/>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2"/>
  </w:num>
  <w:num w:numId="3">
    <w:abstractNumId w:val="39"/>
  </w:num>
  <w:num w:numId="4">
    <w:abstractNumId w:val="10"/>
  </w:num>
  <w:num w:numId="5">
    <w:abstractNumId w:val="23"/>
  </w:num>
  <w:num w:numId="6">
    <w:abstractNumId w:val="27"/>
  </w:num>
  <w:num w:numId="7">
    <w:abstractNumId w:val="6"/>
  </w:num>
  <w:num w:numId="8">
    <w:abstractNumId w:val="22"/>
  </w:num>
  <w:num w:numId="9">
    <w:abstractNumId w:val="13"/>
  </w:num>
  <w:num w:numId="10">
    <w:abstractNumId w:val="24"/>
  </w:num>
  <w:num w:numId="11">
    <w:abstractNumId w:val="4"/>
  </w:num>
  <w:num w:numId="12">
    <w:abstractNumId w:val="43"/>
  </w:num>
  <w:num w:numId="13">
    <w:abstractNumId w:val="33"/>
  </w:num>
  <w:num w:numId="14">
    <w:abstractNumId w:val="37"/>
  </w:num>
  <w:num w:numId="15">
    <w:abstractNumId w:val="26"/>
  </w:num>
  <w:num w:numId="16">
    <w:abstractNumId w:val="1"/>
  </w:num>
  <w:num w:numId="17">
    <w:abstractNumId w:val="29"/>
  </w:num>
  <w:num w:numId="18">
    <w:abstractNumId w:val="41"/>
  </w:num>
  <w:num w:numId="19">
    <w:abstractNumId w:val="46"/>
  </w:num>
  <w:num w:numId="20">
    <w:abstractNumId w:val="18"/>
  </w:num>
  <w:num w:numId="21">
    <w:abstractNumId w:val="30"/>
  </w:num>
  <w:num w:numId="22">
    <w:abstractNumId w:val="17"/>
  </w:num>
  <w:num w:numId="23">
    <w:abstractNumId w:val="34"/>
  </w:num>
  <w:num w:numId="24">
    <w:abstractNumId w:val="11"/>
  </w:num>
  <w:num w:numId="25">
    <w:abstractNumId w:val="15"/>
  </w:num>
  <w:num w:numId="26">
    <w:abstractNumId w:val="35"/>
  </w:num>
  <w:num w:numId="27">
    <w:abstractNumId w:val="25"/>
  </w:num>
  <w:num w:numId="28">
    <w:abstractNumId w:val="16"/>
  </w:num>
  <w:num w:numId="29">
    <w:abstractNumId w:val="36"/>
  </w:num>
  <w:num w:numId="30">
    <w:abstractNumId w:val="7"/>
  </w:num>
  <w:num w:numId="31">
    <w:abstractNumId w:val="8"/>
  </w:num>
  <w:num w:numId="32">
    <w:abstractNumId w:val="32"/>
  </w:num>
  <w:num w:numId="33">
    <w:abstractNumId w:val="12"/>
  </w:num>
  <w:num w:numId="34">
    <w:abstractNumId w:val="19"/>
  </w:num>
  <w:num w:numId="35">
    <w:abstractNumId w:val="45"/>
  </w:num>
  <w:num w:numId="36">
    <w:abstractNumId w:val="9"/>
  </w:num>
  <w:num w:numId="37">
    <w:abstractNumId w:val="21"/>
  </w:num>
  <w:num w:numId="38">
    <w:abstractNumId w:val="47"/>
  </w:num>
  <w:num w:numId="39">
    <w:abstractNumId w:val="28"/>
  </w:num>
  <w:num w:numId="40">
    <w:abstractNumId w:val="5"/>
  </w:num>
  <w:num w:numId="41">
    <w:abstractNumId w:val="38"/>
  </w:num>
  <w:num w:numId="42">
    <w:abstractNumId w:val="20"/>
  </w:num>
  <w:num w:numId="43">
    <w:abstractNumId w:val="14"/>
  </w:num>
  <w:num w:numId="44">
    <w:abstractNumId w:val="40"/>
  </w:num>
  <w:num w:numId="45">
    <w:abstractNumId w:val="3"/>
  </w:num>
  <w:num w:numId="46">
    <w:abstractNumId w:val="44"/>
  </w:num>
  <w:num w:numId="47">
    <w:abstractNumId w:val="0"/>
  </w:num>
  <w:num w:numId="4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588"/>
    <w:rsid w:val="00002A92"/>
    <w:rsid w:val="00002ACA"/>
    <w:rsid w:val="00002D75"/>
    <w:rsid w:val="0000304A"/>
    <w:rsid w:val="000033A8"/>
    <w:rsid w:val="00004076"/>
    <w:rsid w:val="00004C12"/>
    <w:rsid w:val="00005774"/>
    <w:rsid w:val="00006D00"/>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77B"/>
    <w:rsid w:val="00032854"/>
    <w:rsid w:val="0003291E"/>
    <w:rsid w:val="00033DCD"/>
    <w:rsid w:val="0003419B"/>
    <w:rsid w:val="00035515"/>
    <w:rsid w:val="000375ED"/>
    <w:rsid w:val="000404A6"/>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57FCB"/>
    <w:rsid w:val="00060151"/>
    <w:rsid w:val="00060631"/>
    <w:rsid w:val="0006267E"/>
    <w:rsid w:val="000627C6"/>
    <w:rsid w:val="00063AC6"/>
    <w:rsid w:val="00063C12"/>
    <w:rsid w:val="00064276"/>
    <w:rsid w:val="00064C52"/>
    <w:rsid w:val="00064F28"/>
    <w:rsid w:val="000650EB"/>
    <w:rsid w:val="00065630"/>
    <w:rsid w:val="000668EB"/>
    <w:rsid w:val="00067580"/>
    <w:rsid w:val="000703C5"/>
    <w:rsid w:val="000708F1"/>
    <w:rsid w:val="000709A0"/>
    <w:rsid w:val="0007119C"/>
    <w:rsid w:val="00072453"/>
    <w:rsid w:val="00073C42"/>
    <w:rsid w:val="00073CC7"/>
    <w:rsid w:val="000742A6"/>
    <w:rsid w:val="00075052"/>
    <w:rsid w:val="000755B5"/>
    <w:rsid w:val="00076FF5"/>
    <w:rsid w:val="00077222"/>
    <w:rsid w:val="000775AB"/>
    <w:rsid w:val="00077768"/>
    <w:rsid w:val="00082C19"/>
    <w:rsid w:val="000831E5"/>
    <w:rsid w:val="00083457"/>
    <w:rsid w:val="00083DE3"/>
    <w:rsid w:val="000852C6"/>
    <w:rsid w:val="0008629D"/>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DF"/>
    <w:rsid w:val="00094CF7"/>
    <w:rsid w:val="0009739B"/>
    <w:rsid w:val="000A0688"/>
    <w:rsid w:val="000A06A2"/>
    <w:rsid w:val="000A0CD7"/>
    <w:rsid w:val="000A1D31"/>
    <w:rsid w:val="000A1E21"/>
    <w:rsid w:val="000A26F4"/>
    <w:rsid w:val="000A527C"/>
    <w:rsid w:val="000A5315"/>
    <w:rsid w:val="000A591F"/>
    <w:rsid w:val="000A6336"/>
    <w:rsid w:val="000A6970"/>
    <w:rsid w:val="000A6DB9"/>
    <w:rsid w:val="000A77A6"/>
    <w:rsid w:val="000B015D"/>
    <w:rsid w:val="000B0B99"/>
    <w:rsid w:val="000B1726"/>
    <w:rsid w:val="000B25B1"/>
    <w:rsid w:val="000B2A90"/>
    <w:rsid w:val="000B2B68"/>
    <w:rsid w:val="000B3824"/>
    <w:rsid w:val="000B4FD7"/>
    <w:rsid w:val="000B7E59"/>
    <w:rsid w:val="000C074E"/>
    <w:rsid w:val="000C14C1"/>
    <w:rsid w:val="000C17BE"/>
    <w:rsid w:val="000C272D"/>
    <w:rsid w:val="000C279D"/>
    <w:rsid w:val="000C2DAC"/>
    <w:rsid w:val="000C3A4B"/>
    <w:rsid w:val="000C3C17"/>
    <w:rsid w:val="000C650F"/>
    <w:rsid w:val="000C722D"/>
    <w:rsid w:val="000C7F34"/>
    <w:rsid w:val="000D00DD"/>
    <w:rsid w:val="000D090D"/>
    <w:rsid w:val="000D1026"/>
    <w:rsid w:val="000D10A4"/>
    <w:rsid w:val="000D13A6"/>
    <w:rsid w:val="000D19F4"/>
    <w:rsid w:val="000D221E"/>
    <w:rsid w:val="000D25AC"/>
    <w:rsid w:val="000D2A37"/>
    <w:rsid w:val="000D2A4D"/>
    <w:rsid w:val="000D2EB0"/>
    <w:rsid w:val="000D4806"/>
    <w:rsid w:val="000D49B0"/>
    <w:rsid w:val="000D5200"/>
    <w:rsid w:val="000D6CB7"/>
    <w:rsid w:val="000D758A"/>
    <w:rsid w:val="000D77B5"/>
    <w:rsid w:val="000D7A18"/>
    <w:rsid w:val="000D7C9E"/>
    <w:rsid w:val="000D7EA8"/>
    <w:rsid w:val="000E13E9"/>
    <w:rsid w:val="000E1449"/>
    <w:rsid w:val="000E1B85"/>
    <w:rsid w:val="000E2201"/>
    <w:rsid w:val="000E25E8"/>
    <w:rsid w:val="000E48A4"/>
    <w:rsid w:val="000E4B72"/>
    <w:rsid w:val="000E512F"/>
    <w:rsid w:val="000E7166"/>
    <w:rsid w:val="000F0D83"/>
    <w:rsid w:val="000F2916"/>
    <w:rsid w:val="000F3287"/>
    <w:rsid w:val="000F3AB3"/>
    <w:rsid w:val="000F433B"/>
    <w:rsid w:val="000F5D7C"/>
    <w:rsid w:val="000F5E78"/>
    <w:rsid w:val="000F60C9"/>
    <w:rsid w:val="000F6FE6"/>
    <w:rsid w:val="000F762B"/>
    <w:rsid w:val="001006D5"/>
    <w:rsid w:val="00100CCE"/>
    <w:rsid w:val="00100FDB"/>
    <w:rsid w:val="0010112F"/>
    <w:rsid w:val="00101AC6"/>
    <w:rsid w:val="00101FE9"/>
    <w:rsid w:val="00102506"/>
    <w:rsid w:val="00102A8E"/>
    <w:rsid w:val="00103666"/>
    <w:rsid w:val="001038BF"/>
    <w:rsid w:val="00103FB1"/>
    <w:rsid w:val="00104814"/>
    <w:rsid w:val="00104BD6"/>
    <w:rsid w:val="0010629E"/>
    <w:rsid w:val="001067FF"/>
    <w:rsid w:val="00106F9A"/>
    <w:rsid w:val="00107C3A"/>
    <w:rsid w:val="00107DFD"/>
    <w:rsid w:val="00110BB3"/>
    <w:rsid w:val="00111454"/>
    <w:rsid w:val="00111693"/>
    <w:rsid w:val="00111A99"/>
    <w:rsid w:val="00112A78"/>
    <w:rsid w:val="00113E9D"/>
    <w:rsid w:val="00114EB4"/>
    <w:rsid w:val="001155B8"/>
    <w:rsid w:val="0011596A"/>
    <w:rsid w:val="001159E1"/>
    <w:rsid w:val="00115B15"/>
    <w:rsid w:val="001171A7"/>
    <w:rsid w:val="00117B15"/>
    <w:rsid w:val="00120B93"/>
    <w:rsid w:val="00120E6A"/>
    <w:rsid w:val="00121508"/>
    <w:rsid w:val="0012156A"/>
    <w:rsid w:val="001215C4"/>
    <w:rsid w:val="00121AC2"/>
    <w:rsid w:val="00122DE2"/>
    <w:rsid w:val="0012303A"/>
    <w:rsid w:val="00123B51"/>
    <w:rsid w:val="0012457E"/>
    <w:rsid w:val="001276FE"/>
    <w:rsid w:val="00127A0A"/>
    <w:rsid w:val="00127AD3"/>
    <w:rsid w:val="0013023F"/>
    <w:rsid w:val="0013041F"/>
    <w:rsid w:val="0013080D"/>
    <w:rsid w:val="00130A5C"/>
    <w:rsid w:val="00130A86"/>
    <w:rsid w:val="0013130F"/>
    <w:rsid w:val="00131748"/>
    <w:rsid w:val="001329AC"/>
    <w:rsid w:val="00132CCB"/>
    <w:rsid w:val="00133026"/>
    <w:rsid w:val="00135071"/>
    <w:rsid w:val="00135EB0"/>
    <w:rsid w:val="00136C5F"/>
    <w:rsid w:val="00136E4B"/>
    <w:rsid w:val="00137048"/>
    <w:rsid w:val="00137383"/>
    <w:rsid w:val="001379DE"/>
    <w:rsid w:val="00140E28"/>
    <w:rsid w:val="00141184"/>
    <w:rsid w:val="001411F4"/>
    <w:rsid w:val="0014141E"/>
    <w:rsid w:val="0014343A"/>
    <w:rsid w:val="00143869"/>
    <w:rsid w:val="00146DE6"/>
    <w:rsid w:val="00146EEE"/>
    <w:rsid w:val="001471E4"/>
    <w:rsid w:val="00147305"/>
    <w:rsid w:val="00147FF5"/>
    <w:rsid w:val="001503B7"/>
    <w:rsid w:val="0015445A"/>
    <w:rsid w:val="00154F6E"/>
    <w:rsid w:val="001551D0"/>
    <w:rsid w:val="00157248"/>
    <w:rsid w:val="00160084"/>
    <w:rsid w:val="001616FF"/>
    <w:rsid w:val="0016221F"/>
    <w:rsid w:val="00162392"/>
    <w:rsid w:val="001639BD"/>
    <w:rsid w:val="00164498"/>
    <w:rsid w:val="001649A0"/>
    <w:rsid w:val="0016551E"/>
    <w:rsid w:val="001657E0"/>
    <w:rsid w:val="00165FD9"/>
    <w:rsid w:val="00166E76"/>
    <w:rsid w:val="0016793B"/>
    <w:rsid w:val="00167D7B"/>
    <w:rsid w:val="00167F3F"/>
    <w:rsid w:val="0017023C"/>
    <w:rsid w:val="0017033E"/>
    <w:rsid w:val="00170CD5"/>
    <w:rsid w:val="0017106C"/>
    <w:rsid w:val="00171E74"/>
    <w:rsid w:val="00172663"/>
    <w:rsid w:val="00174E38"/>
    <w:rsid w:val="00175637"/>
    <w:rsid w:val="001759A9"/>
    <w:rsid w:val="00175C9C"/>
    <w:rsid w:val="00176B67"/>
    <w:rsid w:val="00177E42"/>
    <w:rsid w:val="001801D3"/>
    <w:rsid w:val="00180AD4"/>
    <w:rsid w:val="00181899"/>
    <w:rsid w:val="00182680"/>
    <w:rsid w:val="00182E06"/>
    <w:rsid w:val="00184848"/>
    <w:rsid w:val="001850D6"/>
    <w:rsid w:val="00185C48"/>
    <w:rsid w:val="001864F6"/>
    <w:rsid w:val="001911AC"/>
    <w:rsid w:val="0019161B"/>
    <w:rsid w:val="00193B4C"/>
    <w:rsid w:val="0019499E"/>
    <w:rsid w:val="00194B1F"/>
    <w:rsid w:val="00194C4B"/>
    <w:rsid w:val="001954A9"/>
    <w:rsid w:val="00196998"/>
    <w:rsid w:val="00197BA4"/>
    <w:rsid w:val="00197D53"/>
    <w:rsid w:val="001A0646"/>
    <w:rsid w:val="001A0C11"/>
    <w:rsid w:val="001A2884"/>
    <w:rsid w:val="001A3681"/>
    <w:rsid w:val="001A3AFD"/>
    <w:rsid w:val="001A3EC6"/>
    <w:rsid w:val="001A53DF"/>
    <w:rsid w:val="001A56C7"/>
    <w:rsid w:val="001A5E65"/>
    <w:rsid w:val="001A6620"/>
    <w:rsid w:val="001B010D"/>
    <w:rsid w:val="001B0196"/>
    <w:rsid w:val="001B1FAD"/>
    <w:rsid w:val="001B2E6A"/>
    <w:rsid w:val="001B3004"/>
    <w:rsid w:val="001B33CE"/>
    <w:rsid w:val="001B4387"/>
    <w:rsid w:val="001B5A6F"/>
    <w:rsid w:val="001B5CFD"/>
    <w:rsid w:val="001B5D33"/>
    <w:rsid w:val="001B620C"/>
    <w:rsid w:val="001B631C"/>
    <w:rsid w:val="001B7896"/>
    <w:rsid w:val="001B7B86"/>
    <w:rsid w:val="001B7FB7"/>
    <w:rsid w:val="001C06AA"/>
    <w:rsid w:val="001C1ADA"/>
    <w:rsid w:val="001C3694"/>
    <w:rsid w:val="001C46E4"/>
    <w:rsid w:val="001C488F"/>
    <w:rsid w:val="001C58A4"/>
    <w:rsid w:val="001C64AB"/>
    <w:rsid w:val="001C6890"/>
    <w:rsid w:val="001C76C5"/>
    <w:rsid w:val="001C7CCA"/>
    <w:rsid w:val="001D04EE"/>
    <w:rsid w:val="001D07C2"/>
    <w:rsid w:val="001D0D60"/>
    <w:rsid w:val="001D0FD7"/>
    <w:rsid w:val="001D1B10"/>
    <w:rsid w:val="001D2861"/>
    <w:rsid w:val="001D34EB"/>
    <w:rsid w:val="001D4091"/>
    <w:rsid w:val="001D492A"/>
    <w:rsid w:val="001D49D1"/>
    <w:rsid w:val="001D4F6C"/>
    <w:rsid w:val="001D524E"/>
    <w:rsid w:val="001D5490"/>
    <w:rsid w:val="001D61B8"/>
    <w:rsid w:val="001D6955"/>
    <w:rsid w:val="001D76F3"/>
    <w:rsid w:val="001E01A3"/>
    <w:rsid w:val="001E04F0"/>
    <w:rsid w:val="001E083E"/>
    <w:rsid w:val="001E2551"/>
    <w:rsid w:val="001E52BF"/>
    <w:rsid w:val="001E5959"/>
    <w:rsid w:val="001E6068"/>
    <w:rsid w:val="001E6796"/>
    <w:rsid w:val="001E70CD"/>
    <w:rsid w:val="001E7E62"/>
    <w:rsid w:val="001F1669"/>
    <w:rsid w:val="001F2638"/>
    <w:rsid w:val="001F3815"/>
    <w:rsid w:val="001F3BD8"/>
    <w:rsid w:val="001F3DCC"/>
    <w:rsid w:val="001F4519"/>
    <w:rsid w:val="001F5199"/>
    <w:rsid w:val="001F5314"/>
    <w:rsid w:val="001F6F91"/>
    <w:rsid w:val="001F7403"/>
    <w:rsid w:val="001F7530"/>
    <w:rsid w:val="001F7B02"/>
    <w:rsid w:val="001F7C2B"/>
    <w:rsid w:val="0020074C"/>
    <w:rsid w:val="00200BA8"/>
    <w:rsid w:val="00201037"/>
    <w:rsid w:val="00201101"/>
    <w:rsid w:val="00202049"/>
    <w:rsid w:val="00202279"/>
    <w:rsid w:val="00202A41"/>
    <w:rsid w:val="00202BE0"/>
    <w:rsid w:val="00202CE8"/>
    <w:rsid w:val="0020394A"/>
    <w:rsid w:val="002044FD"/>
    <w:rsid w:val="00205DF1"/>
    <w:rsid w:val="002065A9"/>
    <w:rsid w:val="002071BD"/>
    <w:rsid w:val="00207B0E"/>
    <w:rsid w:val="00210081"/>
    <w:rsid w:val="002113F8"/>
    <w:rsid w:val="0021177B"/>
    <w:rsid w:val="0021354A"/>
    <w:rsid w:val="00213D11"/>
    <w:rsid w:val="00214221"/>
    <w:rsid w:val="0021488F"/>
    <w:rsid w:val="0021595D"/>
    <w:rsid w:val="00215964"/>
    <w:rsid w:val="002164F7"/>
    <w:rsid w:val="00217127"/>
    <w:rsid w:val="00217130"/>
    <w:rsid w:val="002177FD"/>
    <w:rsid w:val="00217AA4"/>
    <w:rsid w:val="00217DAB"/>
    <w:rsid w:val="00220B99"/>
    <w:rsid w:val="00220CE6"/>
    <w:rsid w:val="00221014"/>
    <w:rsid w:val="00221965"/>
    <w:rsid w:val="00222B5E"/>
    <w:rsid w:val="00223137"/>
    <w:rsid w:val="002233EC"/>
    <w:rsid w:val="002233ED"/>
    <w:rsid w:val="002234ED"/>
    <w:rsid w:val="00223BC8"/>
    <w:rsid w:val="00224CAD"/>
    <w:rsid w:val="00224FF0"/>
    <w:rsid w:val="00225263"/>
    <w:rsid w:val="00225F6B"/>
    <w:rsid w:val="002275D3"/>
    <w:rsid w:val="00227E85"/>
    <w:rsid w:val="002302CD"/>
    <w:rsid w:val="002303D3"/>
    <w:rsid w:val="00233378"/>
    <w:rsid w:val="00233868"/>
    <w:rsid w:val="002346F0"/>
    <w:rsid w:val="00234FC6"/>
    <w:rsid w:val="002354CF"/>
    <w:rsid w:val="00235759"/>
    <w:rsid w:val="002374D4"/>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41D"/>
    <w:rsid w:val="00266890"/>
    <w:rsid w:val="00266901"/>
    <w:rsid w:val="00266A3B"/>
    <w:rsid w:val="00266F32"/>
    <w:rsid w:val="0026726C"/>
    <w:rsid w:val="002679C3"/>
    <w:rsid w:val="00267AF9"/>
    <w:rsid w:val="0027050B"/>
    <w:rsid w:val="002714B9"/>
    <w:rsid w:val="00271DDC"/>
    <w:rsid w:val="00271FF9"/>
    <w:rsid w:val="002738B0"/>
    <w:rsid w:val="002738CD"/>
    <w:rsid w:val="00274128"/>
    <w:rsid w:val="00274425"/>
    <w:rsid w:val="002745DA"/>
    <w:rsid w:val="00274B12"/>
    <w:rsid w:val="002757AF"/>
    <w:rsid w:val="0027602A"/>
    <w:rsid w:val="00277DA1"/>
    <w:rsid w:val="00277F82"/>
    <w:rsid w:val="00277F90"/>
    <w:rsid w:val="00280698"/>
    <w:rsid w:val="00280A79"/>
    <w:rsid w:val="00280D04"/>
    <w:rsid w:val="00280DEA"/>
    <w:rsid w:val="00281BC7"/>
    <w:rsid w:val="002823A4"/>
    <w:rsid w:val="00282DB7"/>
    <w:rsid w:val="00283135"/>
    <w:rsid w:val="002831F2"/>
    <w:rsid w:val="00284524"/>
    <w:rsid w:val="002852BE"/>
    <w:rsid w:val="00286644"/>
    <w:rsid w:val="0028666E"/>
    <w:rsid w:val="002873FC"/>
    <w:rsid w:val="00287951"/>
    <w:rsid w:val="00287996"/>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0B9"/>
    <w:rsid w:val="002A1BD4"/>
    <w:rsid w:val="002A1E47"/>
    <w:rsid w:val="002A228B"/>
    <w:rsid w:val="002A370E"/>
    <w:rsid w:val="002A3A3D"/>
    <w:rsid w:val="002A470D"/>
    <w:rsid w:val="002A47F5"/>
    <w:rsid w:val="002A4AB5"/>
    <w:rsid w:val="002A4DC5"/>
    <w:rsid w:val="002A6C90"/>
    <w:rsid w:val="002A74C0"/>
    <w:rsid w:val="002A74D6"/>
    <w:rsid w:val="002A7C33"/>
    <w:rsid w:val="002B01FD"/>
    <w:rsid w:val="002B1E4F"/>
    <w:rsid w:val="002B34EB"/>
    <w:rsid w:val="002B35E1"/>
    <w:rsid w:val="002B3922"/>
    <w:rsid w:val="002B3B3B"/>
    <w:rsid w:val="002B3DF2"/>
    <w:rsid w:val="002B4C6E"/>
    <w:rsid w:val="002B52C6"/>
    <w:rsid w:val="002B57DB"/>
    <w:rsid w:val="002B58BE"/>
    <w:rsid w:val="002B63A8"/>
    <w:rsid w:val="002B6BDA"/>
    <w:rsid w:val="002B6C6F"/>
    <w:rsid w:val="002B71B0"/>
    <w:rsid w:val="002B7831"/>
    <w:rsid w:val="002C0D28"/>
    <w:rsid w:val="002C1230"/>
    <w:rsid w:val="002C46A5"/>
    <w:rsid w:val="002C7AD7"/>
    <w:rsid w:val="002D070A"/>
    <w:rsid w:val="002D0EA7"/>
    <w:rsid w:val="002D225B"/>
    <w:rsid w:val="002D233C"/>
    <w:rsid w:val="002D2706"/>
    <w:rsid w:val="002D2EF7"/>
    <w:rsid w:val="002D3A4A"/>
    <w:rsid w:val="002D3F64"/>
    <w:rsid w:val="002D4852"/>
    <w:rsid w:val="002D488B"/>
    <w:rsid w:val="002D53AF"/>
    <w:rsid w:val="002D5B2B"/>
    <w:rsid w:val="002D6FEE"/>
    <w:rsid w:val="002D7BDC"/>
    <w:rsid w:val="002E11B9"/>
    <w:rsid w:val="002E2CB4"/>
    <w:rsid w:val="002E315D"/>
    <w:rsid w:val="002E333E"/>
    <w:rsid w:val="002E5EC2"/>
    <w:rsid w:val="002E60AB"/>
    <w:rsid w:val="002F00C5"/>
    <w:rsid w:val="002F1F19"/>
    <w:rsid w:val="002F2563"/>
    <w:rsid w:val="002F28D8"/>
    <w:rsid w:val="002F28DF"/>
    <w:rsid w:val="002F2D1F"/>
    <w:rsid w:val="002F4408"/>
    <w:rsid w:val="002F47AD"/>
    <w:rsid w:val="002F5790"/>
    <w:rsid w:val="002F6FEC"/>
    <w:rsid w:val="002F7560"/>
    <w:rsid w:val="003006CA"/>
    <w:rsid w:val="003009FE"/>
    <w:rsid w:val="0030269C"/>
    <w:rsid w:val="0030336D"/>
    <w:rsid w:val="003035CF"/>
    <w:rsid w:val="00303FBB"/>
    <w:rsid w:val="003052A7"/>
    <w:rsid w:val="00305485"/>
    <w:rsid w:val="00305D56"/>
    <w:rsid w:val="003065FD"/>
    <w:rsid w:val="00306CC1"/>
    <w:rsid w:val="0031062D"/>
    <w:rsid w:val="00310B3E"/>
    <w:rsid w:val="003114E5"/>
    <w:rsid w:val="00312857"/>
    <w:rsid w:val="00313316"/>
    <w:rsid w:val="00313945"/>
    <w:rsid w:val="00313DC6"/>
    <w:rsid w:val="00314E63"/>
    <w:rsid w:val="003155DC"/>
    <w:rsid w:val="003156B5"/>
    <w:rsid w:val="00316644"/>
    <w:rsid w:val="003169D0"/>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27A36"/>
    <w:rsid w:val="0033129D"/>
    <w:rsid w:val="00331803"/>
    <w:rsid w:val="00331D04"/>
    <w:rsid w:val="003324E2"/>
    <w:rsid w:val="00332688"/>
    <w:rsid w:val="00333BC8"/>
    <w:rsid w:val="00333FA6"/>
    <w:rsid w:val="003341BA"/>
    <w:rsid w:val="003341F8"/>
    <w:rsid w:val="0033527C"/>
    <w:rsid w:val="0033544D"/>
    <w:rsid w:val="00336575"/>
    <w:rsid w:val="00337211"/>
    <w:rsid w:val="00337623"/>
    <w:rsid w:val="0034011D"/>
    <w:rsid w:val="00341889"/>
    <w:rsid w:val="0034194A"/>
    <w:rsid w:val="0034437D"/>
    <w:rsid w:val="003443B9"/>
    <w:rsid w:val="00345DEA"/>
    <w:rsid w:val="003476A1"/>
    <w:rsid w:val="003503B8"/>
    <w:rsid w:val="003505F8"/>
    <w:rsid w:val="003514CD"/>
    <w:rsid w:val="00353275"/>
    <w:rsid w:val="00353783"/>
    <w:rsid w:val="00354861"/>
    <w:rsid w:val="00354C75"/>
    <w:rsid w:val="003552C8"/>
    <w:rsid w:val="00356A7E"/>
    <w:rsid w:val="00360211"/>
    <w:rsid w:val="003605E0"/>
    <w:rsid w:val="00361538"/>
    <w:rsid w:val="00361D72"/>
    <w:rsid w:val="00361ECD"/>
    <w:rsid w:val="003626DE"/>
    <w:rsid w:val="00362D53"/>
    <w:rsid w:val="00362DB7"/>
    <w:rsid w:val="003632B4"/>
    <w:rsid w:val="00363312"/>
    <w:rsid w:val="003636D3"/>
    <w:rsid w:val="00363F8E"/>
    <w:rsid w:val="00364A48"/>
    <w:rsid w:val="00364A9A"/>
    <w:rsid w:val="003665DD"/>
    <w:rsid w:val="00367444"/>
    <w:rsid w:val="00367548"/>
    <w:rsid w:val="00367C76"/>
    <w:rsid w:val="00367F5B"/>
    <w:rsid w:val="0037092D"/>
    <w:rsid w:val="0037122E"/>
    <w:rsid w:val="003720E2"/>
    <w:rsid w:val="0037239C"/>
    <w:rsid w:val="00372926"/>
    <w:rsid w:val="00372BA8"/>
    <w:rsid w:val="003738D9"/>
    <w:rsid w:val="003739C4"/>
    <w:rsid w:val="00373FE3"/>
    <w:rsid w:val="0037564F"/>
    <w:rsid w:val="0037611E"/>
    <w:rsid w:val="00377165"/>
    <w:rsid w:val="00377469"/>
    <w:rsid w:val="00377D5D"/>
    <w:rsid w:val="00380384"/>
    <w:rsid w:val="0038165A"/>
    <w:rsid w:val="0038169D"/>
    <w:rsid w:val="00381784"/>
    <w:rsid w:val="003818F6"/>
    <w:rsid w:val="00382688"/>
    <w:rsid w:val="0038352B"/>
    <w:rsid w:val="00383DB4"/>
    <w:rsid w:val="0038529F"/>
    <w:rsid w:val="0038584A"/>
    <w:rsid w:val="003865F2"/>
    <w:rsid w:val="003877AE"/>
    <w:rsid w:val="00390672"/>
    <w:rsid w:val="00390D43"/>
    <w:rsid w:val="00391A1B"/>
    <w:rsid w:val="00391AA1"/>
    <w:rsid w:val="00391D76"/>
    <w:rsid w:val="0039242C"/>
    <w:rsid w:val="00392B69"/>
    <w:rsid w:val="00392E06"/>
    <w:rsid w:val="00393923"/>
    <w:rsid w:val="00393D72"/>
    <w:rsid w:val="00393FF9"/>
    <w:rsid w:val="0039435D"/>
    <w:rsid w:val="0039448A"/>
    <w:rsid w:val="003947B1"/>
    <w:rsid w:val="00394CB0"/>
    <w:rsid w:val="0039593B"/>
    <w:rsid w:val="00395E02"/>
    <w:rsid w:val="00396217"/>
    <w:rsid w:val="00396C17"/>
    <w:rsid w:val="00396E19"/>
    <w:rsid w:val="003975BB"/>
    <w:rsid w:val="003A0042"/>
    <w:rsid w:val="003A048E"/>
    <w:rsid w:val="003A0663"/>
    <w:rsid w:val="003A2009"/>
    <w:rsid w:val="003A26A9"/>
    <w:rsid w:val="003A274C"/>
    <w:rsid w:val="003A2F0B"/>
    <w:rsid w:val="003A4806"/>
    <w:rsid w:val="003A5832"/>
    <w:rsid w:val="003A5945"/>
    <w:rsid w:val="003A633C"/>
    <w:rsid w:val="003A653A"/>
    <w:rsid w:val="003A69C3"/>
    <w:rsid w:val="003A730C"/>
    <w:rsid w:val="003B0AC6"/>
    <w:rsid w:val="003B10D3"/>
    <w:rsid w:val="003B33FB"/>
    <w:rsid w:val="003B3A63"/>
    <w:rsid w:val="003B3E1F"/>
    <w:rsid w:val="003B4F92"/>
    <w:rsid w:val="003B5840"/>
    <w:rsid w:val="003B5A10"/>
    <w:rsid w:val="003B784F"/>
    <w:rsid w:val="003C0308"/>
    <w:rsid w:val="003C0353"/>
    <w:rsid w:val="003C0919"/>
    <w:rsid w:val="003C13C6"/>
    <w:rsid w:val="003C1E94"/>
    <w:rsid w:val="003C2C5D"/>
    <w:rsid w:val="003C321D"/>
    <w:rsid w:val="003C32F0"/>
    <w:rsid w:val="003C4547"/>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3FB2"/>
    <w:rsid w:val="003D44EF"/>
    <w:rsid w:val="003D4B70"/>
    <w:rsid w:val="003D581F"/>
    <w:rsid w:val="003D6109"/>
    <w:rsid w:val="003D647F"/>
    <w:rsid w:val="003D6F63"/>
    <w:rsid w:val="003D78AB"/>
    <w:rsid w:val="003D79CD"/>
    <w:rsid w:val="003E079D"/>
    <w:rsid w:val="003E0FEE"/>
    <w:rsid w:val="003E1753"/>
    <w:rsid w:val="003E1A24"/>
    <w:rsid w:val="003E2779"/>
    <w:rsid w:val="003E28C8"/>
    <w:rsid w:val="003E4027"/>
    <w:rsid w:val="003E430F"/>
    <w:rsid w:val="003E525D"/>
    <w:rsid w:val="003E59FC"/>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6B8A"/>
    <w:rsid w:val="003F7398"/>
    <w:rsid w:val="004000F3"/>
    <w:rsid w:val="00400F5D"/>
    <w:rsid w:val="00401ED6"/>
    <w:rsid w:val="00401F93"/>
    <w:rsid w:val="0040329D"/>
    <w:rsid w:val="00403956"/>
    <w:rsid w:val="00404B4A"/>
    <w:rsid w:val="00405C8A"/>
    <w:rsid w:val="0040633D"/>
    <w:rsid w:val="0040671B"/>
    <w:rsid w:val="00406B92"/>
    <w:rsid w:val="004107E6"/>
    <w:rsid w:val="00411473"/>
    <w:rsid w:val="00411ABA"/>
    <w:rsid w:val="004124F8"/>
    <w:rsid w:val="004129E3"/>
    <w:rsid w:val="00412DA3"/>
    <w:rsid w:val="0041305E"/>
    <w:rsid w:val="00420853"/>
    <w:rsid w:val="00420DF9"/>
    <w:rsid w:val="00421BBF"/>
    <w:rsid w:val="00421E04"/>
    <w:rsid w:val="004239D8"/>
    <w:rsid w:val="004240D5"/>
    <w:rsid w:val="00424A72"/>
    <w:rsid w:val="00424A97"/>
    <w:rsid w:val="00424D6E"/>
    <w:rsid w:val="004254DF"/>
    <w:rsid w:val="00427387"/>
    <w:rsid w:val="00427C83"/>
    <w:rsid w:val="004300DC"/>
    <w:rsid w:val="00430452"/>
    <w:rsid w:val="00430799"/>
    <w:rsid w:val="00431E35"/>
    <w:rsid w:val="00432C2C"/>
    <w:rsid w:val="00432D00"/>
    <w:rsid w:val="00433489"/>
    <w:rsid w:val="00433F23"/>
    <w:rsid w:val="004351C1"/>
    <w:rsid w:val="00435A06"/>
    <w:rsid w:val="0043651E"/>
    <w:rsid w:val="00436AEE"/>
    <w:rsid w:val="00436C46"/>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4EF2"/>
    <w:rsid w:val="00455DB2"/>
    <w:rsid w:val="00455E7A"/>
    <w:rsid w:val="0045644B"/>
    <w:rsid w:val="0045694D"/>
    <w:rsid w:val="00460C15"/>
    <w:rsid w:val="004614F5"/>
    <w:rsid w:val="0046162B"/>
    <w:rsid w:val="00461C28"/>
    <w:rsid w:val="004624A3"/>
    <w:rsid w:val="00463462"/>
    <w:rsid w:val="00465A26"/>
    <w:rsid w:val="0046666D"/>
    <w:rsid w:val="00467A29"/>
    <w:rsid w:val="00470D36"/>
    <w:rsid w:val="0047103B"/>
    <w:rsid w:val="0047128F"/>
    <w:rsid w:val="00473741"/>
    <w:rsid w:val="00473944"/>
    <w:rsid w:val="00473AE0"/>
    <w:rsid w:val="00474060"/>
    <w:rsid w:val="00474BDC"/>
    <w:rsid w:val="00474D44"/>
    <w:rsid w:val="00474F44"/>
    <w:rsid w:val="0047692C"/>
    <w:rsid w:val="00477446"/>
    <w:rsid w:val="00477672"/>
    <w:rsid w:val="004777CE"/>
    <w:rsid w:val="00477A06"/>
    <w:rsid w:val="004800A8"/>
    <w:rsid w:val="0048015F"/>
    <w:rsid w:val="00481436"/>
    <w:rsid w:val="00481D44"/>
    <w:rsid w:val="00481F84"/>
    <w:rsid w:val="004849CE"/>
    <w:rsid w:val="00484F59"/>
    <w:rsid w:val="00485376"/>
    <w:rsid w:val="0048570F"/>
    <w:rsid w:val="00485A1A"/>
    <w:rsid w:val="00485F12"/>
    <w:rsid w:val="00485FF9"/>
    <w:rsid w:val="00486540"/>
    <w:rsid w:val="00487090"/>
    <w:rsid w:val="00491C93"/>
    <w:rsid w:val="004923DF"/>
    <w:rsid w:val="0049325B"/>
    <w:rsid w:val="00493A37"/>
    <w:rsid w:val="00493A86"/>
    <w:rsid w:val="0049548C"/>
    <w:rsid w:val="004965F3"/>
    <w:rsid w:val="004A0A28"/>
    <w:rsid w:val="004A2F45"/>
    <w:rsid w:val="004A360E"/>
    <w:rsid w:val="004A43B9"/>
    <w:rsid w:val="004A4659"/>
    <w:rsid w:val="004A4968"/>
    <w:rsid w:val="004A4D2B"/>
    <w:rsid w:val="004A5660"/>
    <w:rsid w:val="004A574A"/>
    <w:rsid w:val="004A5A2F"/>
    <w:rsid w:val="004A617A"/>
    <w:rsid w:val="004A6A21"/>
    <w:rsid w:val="004A73B7"/>
    <w:rsid w:val="004A742B"/>
    <w:rsid w:val="004A7C0C"/>
    <w:rsid w:val="004B02A2"/>
    <w:rsid w:val="004B0763"/>
    <w:rsid w:val="004B096B"/>
    <w:rsid w:val="004B0CA4"/>
    <w:rsid w:val="004B2890"/>
    <w:rsid w:val="004B37FF"/>
    <w:rsid w:val="004B38E1"/>
    <w:rsid w:val="004B3FBF"/>
    <w:rsid w:val="004B461B"/>
    <w:rsid w:val="004B4C96"/>
    <w:rsid w:val="004B6F7C"/>
    <w:rsid w:val="004C104A"/>
    <w:rsid w:val="004C14AB"/>
    <w:rsid w:val="004C1AC1"/>
    <w:rsid w:val="004C2115"/>
    <w:rsid w:val="004C3B1D"/>
    <w:rsid w:val="004C4315"/>
    <w:rsid w:val="004C48A5"/>
    <w:rsid w:val="004C5D06"/>
    <w:rsid w:val="004C657C"/>
    <w:rsid w:val="004C6B44"/>
    <w:rsid w:val="004C6B53"/>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12F"/>
    <w:rsid w:val="004E03B4"/>
    <w:rsid w:val="004E0B36"/>
    <w:rsid w:val="004E0E3A"/>
    <w:rsid w:val="004E30D4"/>
    <w:rsid w:val="004E5728"/>
    <w:rsid w:val="004E577A"/>
    <w:rsid w:val="004E6011"/>
    <w:rsid w:val="004E6BBD"/>
    <w:rsid w:val="004F02FD"/>
    <w:rsid w:val="004F040F"/>
    <w:rsid w:val="004F04D1"/>
    <w:rsid w:val="004F07E6"/>
    <w:rsid w:val="004F120F"/>
    <w:rsid w:val="004F17BB"/>
    <w:rsid w:val="004F2A2B"/>
    <w:rsid w:val="004F2EC9"/>
    <w:rsid w:val="004F3AAD"/>
    <w:rsid w:val="004F60A5"/>
    <w:rsid w:val="004F6845"/>
    <w:rsid w:val="0050054C"/>
    <w:rsid w:val="00501E42"/>
    <w:rsid w:val="00501F41"/>
    <w:rsid w:val="00503979"/>
    <w:rsid w:val="00503993"/>
    <w:rsid w:val="00503F9D"/>
    <w:rsid w:val="005042F3"/>
    <w:rsid w:val="0050560F"/>
    <w:rsid w:val="00506EDF"/>
    <w:rsid w:val="00507091"/>
    <w:rsid w:val="005074C4"/>
    <w:rsid w:val="005079CC"/>
    <w:rsid w:val="0051092A"/>
    <w:rsid w:val="005109A0"/>
    <w:rsid w:val="0051192C"/>
    <w:rsid w:val="00513AB6"/>
    <w:rsid w:val="00514016"/>
    <w:rsid w:val="0051414A"/>
    <w:rsid w:val="00514BFF"/>
    <w:rsid w:val="00514ED9"/>
    <w:rsid w:val="0051553E"/>
    <w:rsid w:val="00515B5F"/>
    <w:rsid w:val="00515DAE"/>
    <w:rsid w:val="00515E95"/>
    <w:rsid w:val="005164AA"/>
    <w:rsid w:val="0051746B"/>
    <w:rsid w:val="00520036"/>
    <w:rsid w:val="005209A5"/>
    <w:rsid w:val="00520D78"/>
    <w:rsid w:val="0052343E"/>
    <w:rsid w:val="0052348B"/>
    <w:rsid w:val="005257EB"/>
    <w:rsid w:val="00526A64"/>
    <w:rsid w:val="00526BC4"/>
    <w:rsid w:val="00526FD1"/>
    <w:rsid w:val="00527339"/>
    <w:rsid w:val="00527939"/>
    <w:rsid w:val="00527FA8"/>
    <w:rsid w:val="0053211B"/>
    <w:rsid w:val="00533109"/>
    <w:rsid w:val="00533D37"/>
    <w:rsid w:val="00534DF6"/>
    <w:rsid w:val="00535D74"/>
    <w:rsid w:val="00535E8C"/>
    <w:rsid w:val="00535EE7"/>
    <w:rsid w:val="005360DA"/>
    <w:rsid w:val="00536EC3"/>
    <w:rsid w:val="00537F42"/>
    <w:rsid w:val="005406A9"/>
    <w:rsid w:val="00540BAC"/>
    <w:rsid w:val="00541207"/>
    <w:rsid w:val="005434F9"/>
    <w:rsid w:val="0054367D"/>
    <w:rsid w:val="005436CD"/>
    <w:rsid w:val="00544654"/>
    <w:rsid w:val="00544D62"/>
    <w:rsid w:val="00545B0A"/>
    <w:rsid w:val="00545EE1"/>
    <w:rsid w:val="0054785D"/>
    <w:rsid w:val="0055027D"/>
    <w:rsid w:val="0055167A"/>
    <w:rsid w:val="00551FCB"/>
    <w:rsid w:val="00553AF5"/>
    <w:rsid w:val="00555494"/>
    <w:rsid w:val="00555F2F"/>
    <w:rsid w:val="00556DAA"/>
    <w:rsid w:val="00560063"/>
    <w:rsid w:val="005601BD"/>
    <w:rsid w:val="00561E3D"/>
    <w:rsid w:val="00565E4F"/>
    <w:rsid w:val="005661B8"/>
    <w:rsid w:val="00567B39"/>
    <w:rsid w:val="00570100"/>
    <w:rsid w:val="00573586"/>
    <w:rsid w:val="00574094"/>
    <w:rsid w:val="005742D7"/>
    <w:rsid w:val="005744E6"/>
    <w:rsid w:val="00574BBA"/>
    <w:rsid w:val="00574D57"/>
    <w:rsid w:val="00574E7C"/>
    <w:rsid w:val="005750FD"/>
    <w:rsid w:val="00575276"/>
    <w:rsid w:val="00576688"/>
    <w:rsid w:val="00576994"/>
    <w:rsid w:val="00576ADB"/>
    <w:rsid w:val="00576C74"/>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46C"/>
    <w:rsid w:val="0059368B"/>
    <w:rsid w:val="00594308"/>
    <w:rsid w:val="00594AAF"/>
    <w:rsid w:val="00595B38"/>
    <w:rsid w:val="005962BE"/>
    <w:rsid w:val="005963B6"/>
    <w:rsid w:val="00597F38"/>
    <w:rsid w:val="005A1CF9"/>
    <w:rsid w:val="005A1D16"/>
    <w:rsid w:val="005A1F16"/>
    <w:rsid w:val="005A243A"/>
    <w:rsid w:val="005A2BF4"/>
    <w:rsid w:val="005A3440"/>
    <w:rsid w:val="005A3ED9"/>
    <w:rsid w:val="005A490C"/>
    <w:rsid w:val="005A4C2A"/>
    <w:rsid w:val="005A4D4B"/>
    <w:rsid w:val="005A54EA"/>
    <w:rsid w:val="005A5FC0"/>
    <w:rsid w:val="005A6545"/>
    <w:rsid w:val="005A73AC"/>
    <w:rsid w:val="005B0F8C"/>
    <w:rsid w:val="005B186D"/>
    <w:rsid w:val="005B2025"/>
    <w:rsid w:val="005B2ADD"/>
    <w:rsid w:val="005B2AE8"/>
    <w:rsid w:val="005B334E"/>
    <w:rsid w:val="005B33D7"/>
    <w:rsid w:val="005B3F28"/>
    <w:rsid w:val="005B4E77"/>
    <w:rsid w:val="005B5832"/>
    <w:rsid w:val="005B5915"/>
    <w:rsid w:val="005B5C71"/>
    <w:rsid w:val="005B7E9A"/>
    <w:rsid w:val="005C0704"/>
    <w:rsid w:val="005C0B39"/>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44"/>
    <w:rsid w:val="005D5971"/>
    <w:rsid w:val="005D7473"/>
    <w:rsid w:val="005D7BC7"/>
    <w:rsid w:val="005E2034"/>
    <w:rsid w:val="005E4C7C"/>
    <w:rsid w:val="005E4E53"/>
    <w:rsid w:val="005E52D7"/>
    <w:rsid w:val="005E53DC"/>
    <w:rsid w:val="005E58B6"/>
    <w:rsid w:val="005E5EF9"/>
    <w:rsid w:val="005E6F22"/>
    <w:rsid w:val="005F1DCD"/>
    <w:rsid w:val="005F1FBE"/>
    <w:rsid w:val="005F39AE"/>
    <w:rsid w:val="005F4042"/>
    <w:rsid w:val="005F4E6B"/>
    <w:rsid w:val="005F514C"/>
    <w:rsid w:val="005F51F7"/>
    <w:rsid w:val="005F58AD"/>
    <w:rsid w:val="005F5BAD"/>
    <w:rsid w:val="005F7771"/>
    <w:rsid w:val="005F7EE3"/>
    <w:rsid w:val="00600C24"/>
    <w:rsid w:val="00600CDE"/>
    <w:rsid w:val="006012E0"/>
    <w:rsid w:val="00601FCC"/>
    <w:rsid w:val="00602143"/>
    <w:rsid w:val="0060297E"/>
    <w:rsid w:val="00603253"/>
    <w:rsid w:val="00604978"/>
    <w:rsid w:val="00604AB6"/>
    <w:rsid w:val="00605580"/>
    <w:rsid w:val="00605798"/>
    <w:rsid w:val="00605A23"/>
    <w:rsid w:val="006068B4"/>
    <w:rsid w:val="00607327"/>
    <w:rsid w:val="00607671"/>
    <w:rsid w:val="006078B5"/>
    <w:rsid w:val="00611433"/>
    <w:rsid w:val="00611482"/>
    <w:rsid w:val="0061155D"/>
    <w:rsid w:val="006140C9"/>
    <w:rsid w:val="00614ED4"/>
    <w:rsid w:val="00615A3A"/>
    <w:rsid w:val="00615A8C"/>
    <w:rsid w:val="00615CB1"/>
    <w:rsid w:val="00615D77"/>
    <w:rsid w:val="00615D88"/>
    <w:rsid w:val="00615FF5"/>
    <w:rsid w:val="0061652A"/>
    <w:rsid w:val="00616AB6"/>
    <w:rsid w:val="00616F0A"/>
    <w:rsid w:val="006170BE"/>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2A59"/>
    <w:rsid w:val="00633D78"/>
    <w:rsid w:val="0063477E"/>
    <w:rsid w:val="00640F56"/>
    <w:rsid w:val="00641D77"/>
    <w:rsid w:val="00642A83"/>
    <w:rsid w:val="00643083"/>
    <w:rsid w:val="00643097"/>
    <w:rsid w:val="0064342E"/>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1486"/>
    <w:rsid w:val="00662FB7"/>
    <w:rsid w:val="006630EB"/>
    <w:rsid w:val="006634B8"/>
    <w:rsid w:val="00664009"/>
    <w:rsid w:val="006663DD"/>
    <w:rsid w:val="006666D6"/>
    <w:rsid w:val="006676C8"/>
    <w:rsid w:val="006678AE"/>
    <w:rsid w:val="006708D5"/>
    <w:rsid w:val="00670F1B"/>
    <w:rsid w:val="006710BE"/>
    <w:rsid w:val="00672469"/>
    <w:rsid w:val="00673614"/>
    <w:rsid w:val="0067365E"/>
    <w:rsid w:val="00675513"/>
    <w:rsid w:val="00680617"/>
    <w:rsid w:val="00680C02"/>
    <w:rsid w:val="00680FE3"/>
    <w:rsid w:val="006811C4"/>
    <w:rsid w:val="00681617"/>
    <w:rsid w:val="0068173F"/>
    <w:rsid w:val="006826A1"/>
    <w:rsid w:val="006826B6"/>
    <w:rsid w:val="00682D7F"/>
    <w:rsid w:val="00683223"/>
    <w:rsid w:val="00683595"/>
    <w:rsid w:val="006842CB"/>
    <w:rsid w:val="00684ADC"/>
    <w:rsid w:val="00684B10"/>
    <w:rsid w:val="00686730"/>
    <w:rsid w:val="00690293"/>
    <w:rsid w:val="00690437"/>
    <w:rsid w:val="006918CE"/>
    <w:rsid w:val="00691E94"/>
    <w:rsid w:val="00692030"/>
    <w:rsid w:val="0069233F"/>
    <w:rsid w:val="00694BC6"/>
    <w:rsid w:val="00695000"/>
    <w:rsid w:val="00696206"/>
    <w:rsid w:val="00696E55"/>
    <w:rsid w:val="0069732C"/>
    <w:rsid w:val="00697A04"/>
    <w:rsid w:val="006A0925"/>
    <w:rsid w:val="006A25EB"/>
    <w:rsid w:val="006A2D2D"/>
    <w:rsid w:val="006A2D38"/>
    <w:rsid w:val="006A3E8D"/>
    <w:rsid w:val="006A4C3A"/>
    <w:rsid w:val="006A69A2"/>
    <w:rsid w:val="006A6FAD"/>
    <w:rsid w:val="006A76EB"/>
    <w:rsid w:val="006B1826"/>
    <w:rsid w:val="006B1B29"/>
    <w:rsid w:val="006B2332"/>
    <w:rsid w:val="006B2BD3"/>
    <w:rsid w:val="006B347E"/>
    <w:rsid w:val="006B4275"/>
    <w:rsid w:val="006B43E1"/>
    <w:rsid w:val="006B471C"/>
    <w:rsid w:val="006B5138"/>
    <w:rsid w:val="006B5A69"/>
    <w:rsid w:val="006B5E75"/>
    <w:rsid w:val="006B60EB"/>
    <w:rsid w:val="006B6EFB"/>
    <w:rsid w:val="006B7056"/>
    <w:rsid w:val="006B73C0"/>
    <w:rsid w:val="006B7556"/>
    <w:rsid w:val="006C0965"/>
    <w:rsid w:val="006C0DF1"/>
    <w:rsid w:val="006C1EF7"/>
    <w:rsid w:val="006C292A"/>
    <w:rsid w:val="006C2CEB"/>
    <w:rsid w:val="006C2E0E"/>
    <w:rsid w:val="006C4640"/>
    <w:rsid w:val="006C67C2"/>
    <w:rsid w:val="006D0769"/>
    <w:rsid w:val="006D10AC"/>
    <w:rsid w:val="006D17F0"/>
    <w:rsid w:val="006D1A92"/>
    <w:rsid w:val="006D1BEB"/>
    <w:rsid w:val="006D1DE3"/>
    <w:rsid w:val="006D206D"/>
    <w:rsid w:val="006D2E11"/>
    <w:rsid w:val="006D2ED0"/>
    <w:rsid w:val="006D395E"/>
    <w:rsid w:val="006D3D85"/>
    <w:rsid w:val="006D42AE"/>
    <w:rsid w:val="006D60A8"/>
    <w:rsid w:val="006D65EE"/>
    <w:rsid w:val="006D6C3D"/>
    <w:rsid w:val="006D6D03"/>
    <w:rsid w:val="006D6D52"/>
    <w:rsid w:val="006D6E7F"/>
    <w:rsid w:val="006D6F16"/>
    <w:rsid w:val="006D716D"/>
    <w:rsid w:val="006D75D9"/>
    <w:rsid w:val="006D7619"/>
    <w:rsid w:val="006E0232"/>
    <w:rsid w:val="006E02D0"/>
    <w:rsid w:val="006E11A2"/>
    <w:rsid w:val="006E1EC6"/>
    <w:rsid w:val="006E2265"/>
    <w:rsid w:val="006E270A"/>
    <w:rsid w:val="006E5428"/>
    <w:rsid w:val="006E6697"/>
    <w:rsid w:val="006E6A26"/>
    <w:rsid w:val="006E6A76"/>
    <w:rsid w:val="006F0475"/>
    <w:rsid w:val="006F1315"/>
    <w:rsid w:val="006F199F"/>
    <w:rsid w:val="006F1D35"/>
    <w:rsid w:val="006F204A"/>
    <w:rsid w:val="006F2C73"/>
    <w:rsid w:val="006F3944"/>
    <w:rsid w:val="006F4553"/>
    <w:rsid w:val="006F4BD2"/>
    <w:rsid w:val="006F4D44"/>
    <w:rsid w:val="006F4D8E"/>
    <w:rsid w:val="006F5381"/>
    <w:rsid w:val="006F6EF9"/>
    <w:rsid w:val="006F711B"/>
    <w:rsid w:val="006F79E1"/>
    <w:rsid w:val="006F7BCF"/>
    <w:rsid w:val="007019AB"/>
    <w:rsid w:val="00702322"/>
    <w:rsid w:val="0070274F"/>
    <w:rsid w:val="007040FE"/>
    <w:rsid w:val="00705B9C"/>
    <w:rsid w:val="00706011"/>
    <w:rsid w:val="00707D33"/>
    <w:rsid w:val="00710308"/>
    <w:rsid w:val="007107E5"/>
    <w:rsid w:val="0071081E"/>
    <w:rsid w:val="00710C91"/>
    <w:rsid w:val="007110E6"/>
    <w:rsid w:val="00711976"/>
    <w:rsid w:val="00711A2F"/>
    <w:rsid w:val="00711F57"/>
    <w:rsid w:val="007130BE"/>
    <w:rsid w:val="00714030"/>
    <w:rsid w:val="00714D53"/>
    <w:rsid w:val="007155D3"/>
    <w:rsid w:val="00717778"/>
    <w:rsid w:val="007177ED"/>
    <w:rsid w:val="00720A64"/>
    <w:rsid w:val="007213C4"/>
    <w:rsid w:val="0072161A"/>
    <w:rsid w:val="0072162A"/>
    <w:rsid w:val="0072166D"/>
    <w:rsid w:val="007217AF"/>
    <w:rsid w:val="00721B2F"/>
    <w:rsid w:val="00721C7E"/>
    <w:rsid w:val="007238F8"/>
    <w:rsid w:val="00724FA9"/>
    <w:rsid w:val="00725549"/>
    <w:rsid w:val="007307BF"/>
    <w:rsid w:val="00732C0F"/>
    <w:rsid w:val="00732EEB"/>
    <w:rsid w:val="00735068"/>
    <w:rsid w:val="00735463"/>
    <w:rsid w:val="00736A60"/>
    <w:rsid w:val="00737F4D"/>
    <w:rsid w:val="00741392"/>
    <w:rsid w:val="00741A81"/>
    <w:rsid w:val="00741B82"/>
    <w:rsid w:val="00741BE6"/>
    <w:rsid w:val="007423E6"/>
    <w:rsid w:val="00744138"/>
    <w:rsid w:val="007460C5"/>
    <w:rsid w:val="00746D48"/>
    <w:rsid w:val="00750E72"/>
    <w:rsid w:val="0075378D"/>
    <w:rsid w:val="00753A2D"/>
    <w:rsid w:val="00753A41"/>
    <w:rsid w:val="00755AD7"/>
    <w:rsid w:val="00756864"/>
    <w:rsid w:val="00757B5F"/>
    <w:rsid w:val="00760CE8"/>
    <w:rsid w:val="00760EFF"/>
    <w:rsid w:val="00761697"/>
    <w:rsid w:val="0076208F"/>
    <w:rsid w:val="0076238C"/>
    <w:rsid w:val="007625EC"/>
    <w:rsid w:val="00763140"/>
    <w:rsid w:val="007658A6"/>
    <w:rsid w:val="00765929"/>
    <w:rsid w:val="00765A93"/>
    <w:rsid w:val="00765BAE"/>
    <w:rsid w:val="00766BA8"/>
    <w:rsid w:val="00766C80"/>
    <w:rsid w:val="007710BE"/>
    <w:rsid w:val="00771A1E"/>
    <w:rsid w:val="00771F90"/>
    <w:rsid w:val="0077264B"/>
    <w:rsid w:val="00773D39"/>
    <w:rsid w:val="0077429E"/>
    <w:rsid w:val="00775996"/>
    <w:rsid w:val="0077688F"/>
    <w:rsid w:val="00776D43"/>
    <w:rsid w:val="00776FB7"/>
    <w:rsid w:val="007776B9"/>
    <w:rsid w:val="00777922"/>
    <w:rsid w:val="00777B16"/>
    <w:rsid w:val="0078003D"/>
    <w:rsid w:val="0078020B"/>
    <w:rsid w:val="00780248"/>
    <w:rsid w:val="0078028C"/>
    <w:rsid w:val="007806A0"/>
    <w:rsid w:val="007807E9"/>
    <w:rsid w:val="00781967"/>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6767"/>
    <w:rsid w:val="007973AE"/>
    <w:rsid w:val="00797420"/>
    <w:rsid w:val="00797B10"/>
    <w:rsid w:val="007A0937"/>
    <w:rsid w:val="007A3593"/>
    <w:rsid w:val="007A3DB5"/>
    <w:rsid w:val="007A4854"/>
    <w:rsid w:val="007A6487"/>
    <w:rsid w:val="007A671D"/>
    <w:rsid w:val="007B03AD"/>
    <w:rsid w:val="007B05DF"/>
    <w:rsid w:val="007B0F14"/>
    <w:rsid w:val="007B238F"/>
    <w:rsid w:val="007B299C"/>
    <w:rsid w:val="007B2A97"/>
    <w:rsid w:val="007B3ED7"/>
    <w:rsid w:val="007B49B4"/>
    <w:rsid w:val="007B6146"/>
    <w:rsid w:val="007B7427"/>
    <w:rsid w:val="007C08D8"/>
    <w:rsid w:val="007C1FEB"/>
    <w:rsid w:val="007C25EB"/>
    <w:rsid w:val="007C28D0"/>
    <w:rsid w:val="007C4B71"/>
    <w:rsid w:val="007C5142"/>
    <w:rsid w:val="007C5842"/>
    <w:rsid w:val="007C5947"/>
    <w:rsid w:val="007C6231"/>
    <w:rsid w:val="007C65B1"/>
    <w:rsid w:val="007C68BA"/>
    <w:rsid w:val="007C748E"/>
    <w:rsid w:val="007C7CD0"/>
    <w:rsid w:val="007D113F"/>
    <w:rsid w:val="007D17EF"/>
    <w:rsid w:val="007D3572"/>
    <w:rsid w:val="007D3B92"/>
    <w:rsid w:val="007D3E81"/>
    <w:rsid w:val="007D470D"/>
    <w:rsid w:val="007D4BBD"/>
    <w:rsid w:val="007D4FD7"/>
    <w:rsid w:val="007D6D52"/>
    <w:rsid w:val="007D7A62"/>
    <w:rsid w:val="007E0659"/>
    <w:rsid w:val="007E0F54"/>
    <w:rsid w:val="007E151A"/>
    <w:rsid w:val="007E1D9C"/>
    <w:rsid w:val="007E3E67"/>
    <w:rsid w:val="007E3F18"/>
    <w:rsid w:val="007E42C7"/>
    <w:rsid w:val="007E57D0"/>
    <w:rsid w:val="007E63F4"/>
    <w:rsid w:val="007E721D"/>
    <w:rsid w:val="007E785B"/>
    <w:rsid w:val="007E7FB0"/>
    <w:rsid w:val="007F0D2B"/>
    <w:rsid w:val="007F16EB"/>
    <w:rsid w:val="007F359B"/>
    <w:rsid w:val="007F3748"/>
    <w:rsid w:val="007F400E"/>
    <w:rsid w:val="007F50F1"/>
    <w:rsid w:val="007F693C"/>
    <w:rsid w:val="007F75CB"/>
    <w:rsid w:val="007F76E5"/>
    <w:rsid w:val="00800F24"/>
    <w:rsid w:val="00801C37"/>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152"/>
    <w:rsid w:val="0083669C"/>
    <w:rsid w:val="008371F9"/>
    <w:rsid w:val="00837E33"/>
    <w:rsid w:val="00840022"/>
    <w:rsid w:val="00841458"/>
    <w:rsid w:val="00842316"/>
    <w:rsid w:val="008428B3"/>
    <w:rsid w:val="0084354B"/>
    <w:rsid w:val="00843705"/>
    <w:rsid w:val="008446DE"/>
    <w:rsid w:val="008450A5"/>
    <w:rsid w:val="008451D5"/>
    <w:rsid w:val="00845257"/>
    <w:rsid w:val="0084639D"/>
    <w:rsid w:val="0084790D"/>
    <w:rsid w:val="0084792E"/>
    <w:rsid w:val="0085153B"/>
    <w:rsid w:val="00851AF6"/>
    <w:rsid w:val="00852FCA"/>
    <w:rsid w:val="008550B6"/>
    <w:rsid w:val="00860184"/>
    <w:rsid w:val="00860ECC"/>
    <w:rsid w:val="00861ED9"/>
    <w:rsid w:val="00862327"/>
    <w:rsid w:val="00862ED7"/>
    <w:rsid w:val="0086401C"/>
    <w:rsid w:val="008640F9"/>
    <w:rsid w:val="00864E80"/>
    <w:rsid w:val="0086596B"/>
    <w:rsid w:val="00866C79"/>
    <w:rsid w:val="00866E62"/>
    <w:rsid w:val="008677FE"/>
    <w:rsid w:val="00867A51"/>
    <w:rsid w:val="00870CAB"/>
    <w:rsid w:val="00872047"/>
    <w:rsid w:val="0087249F"/>
    <w:rsid w:val="0087300A"/>
    <w:rsid w:val="00873BC4"/>
    <w:rsid w:val="00875365"/>
    <w:rsid w:val="0087541D"/>
    <w:rsid w:val="008765FC"/>
    <w:rsid w:val="00877054"/>
    <w:rsid w:val="00877486"/>
    <w:rsid w:val="0087758D"/>
    <w:rsid w:val="00877BB5"/>
    <w:rsid w:val="00877BC4"/>
    <w:rsid w:val="008801C9"/>
    <w:rsid w:val="00880A9E"/>
    <w:rsid w:val="00881099"/>
    <w:rsid w:val="00881485"/>
    <w:rsid w:val="00881565"/>
    <w:rsid w:val="00881A3E"/>
    <w:rsid w:val="00881CA6"/>
    <w:rsid w:val="008822B4"/>
    <w:rsid w:val="008835D0"/>
    <w:rsid w:val="00884784"/>
    <w:rsid w:val="00884FE0"/>
    <w:rsid w:val="00887540"/>
    <w:rsid w:val="008876A1"/>
    <w:rsid w:val="008903AE"/>
    <w:rsid w:val="00890470"/>
    <w:rsid w:val="008910C4"/>
    <w:rsid w:val="00891393"/>
    <w:rsid w:val="00891EC2"/>
    <w:rsid w:val="00892EF8"/>
    <w:rsid w:val="00893197"/>
    <w:rsid w:val="00893917"/>
    <w:rsid w:val="00893C85"/>
    <w:rsid w:val="00893DA9"/>
    <w:rsid w:val="00895684"/>
    <w:rsid w:val="00895A0D"/>
    <w:rsid w:val="00895E5D"/>
    <w:rsid w:val="008A026C"/>
    <w:rsid w:val="008A0FFB"/>
    <w:rsid w:val="008A2ED9"/>
    <w:rsid w:val="008A3312"/>
    <w:rsid w:val="008A3EE6"/>
    <w:rsid w:val="008A4260"/>
    <w:rsid w:val="008A4B3A"/>
    <w:rsid w:val="008A4B59"/>
    <w:rsid w:val="008A4D2F"/>
    <w:rsid w:val="008A4E83"/>
    <w:rsid w:val="008A60FF"/>
    <w:rsid w:val="008A6641"/>
    <w:rsid w:val="008A7736"/>
    <w:rsid w:val="008B0857"/>
    <w:rsid w:val="008B0993"/>
    <w:rsid w:val="008B2121"/>
    <w:rsid w:val="008B2920"/>
    <w:rsid w:val="008B494B"/>
    <w:rsid w:val="008B5987"/>
    <w:rsid w:val="008B6030"/>
    <w:rsid w:val="008B668C"/>
    <w:rsid w:val="008B7A5C"/>
    <w:rsid w:val="008C2577"/>
    <w:rsid w:val="008C2FD9"/>
    <w:rsid w:val="008C3FDD"/>
    <w:rsid w:val="008C5D63"/>
    <w:rsid w:val="008C735F"/>
    <w:rsid w:val="008C7918"/>
    <w:rsid w:val="008C7A40"/>
    <w:rsid w:val="008D27B4"/>
    <w:rsid w:val="008D324A"/>
    <w:rsid w:val="008D3B9F"/>
    <w:rsid w:val="008D3F53"/>
    <w:rsid w:val="008D4209"/>
    <w:rsid w:val="008D5A50"/>
    <w:rsid w:val="008D5B3E"/>
    <w:rsid w:val="008D5BAB"/>
    <w:rsid w:val="008D5DFC"/>
    <w:rsid w:val="008D7D8C"/>
    <w:rsid w:val="008E0543"/>
    <w:rsid w:val="008E0BE4"/>
    <w:rsid w:val="008E1091"/>
    <w:rsid w:val="008E158C"/>
    <w:rsid w:val="008E1CBB"/>
    <w:rsid w:val="008E1EB9"/>
    <w:rsid w:val="008E25C1"/>
    <w:rsid w:val="008E3305"/>
    <w:rsid w:val="008E59AA"/>
    <w:rsid w:val="008E6325"/>
    <w:rsid w:val="008E686B"/>
    <w:rsid w:val="008F2B67"/>
    <w:rsid w:val="008F2C09"/>
    <w:rsid w:val="008F2C25"/>
    <w:rsid w:val="008F301F"/>
    <w:rsid w:val="008F3F16"/>
    <w:rsid w:val="008F42D5"/>
    <w:rsid w:val="008F43A1"/>
    <w:rsid w:val="008F55A4"/>
    <w:rsid w:val="008F64B6"/>
    <w:rsid w:val="008F6B64"/>
    <w:rsid w:val="008F7365"/>
    <w:rsid w:val="0090039D"/>
    <w:rsid w:val="00900885"/>
    <w:rsid w:val="0090121D"/>
    <w:rsid w:val="00901346"/>
    <w:rsid w:val="00901A1C"/>
    <w:rsid w:val="00901C8E"/>
    <w:rsid w:val="00902F36"/>
    <w:rsid w:val="00902F8A"/>
    <w:rsid w:val="009038A9"/>
    <w:rsid w:val="00903A2F"/>
    <w:rsid w:val="00903A5C"/>
    <w:rsid w:val="00904657"/>
    <w:rsid w:val="00904908"/>
    <w:rsid w:val="009055C6"/>
    <w:rsid w:val="00905998"/>
    <w:rsid w:val="00906A09"/>
    <w:rsid w:val="00906BCC"/>
    <w:rsid w:val="009078A9"/>
    <w:rsid w:val="00907CE5"/>
    <w:rsid w:val="009103AF"/>
    <w:rsid w:val="009112F8"/>
    <w:rsid w:val="00911AB3"/>
    <w:rsid w:val="009123F0"/>
    <w:rsid w:val="00912F09"/>
    <w:rsid w:val="0091365E"/>
    <w:rsid w:val="00913944"/>
    <w:rsid w:val="00916842"/>
    <w:rsid w:val="009170D7"/>
    <w:rsid w:val="00917BD8"/>
    <w:rsid w:val="00917FC7"/>
    <w:rsid w:val="0092003A"/>
    <w:rsid w:val="00920EE6"/>
    <w:rsid w:val="009215FD"/>
    <w:rsid w:val="00921C98"/>
    <w:rsid w:val="00922227"/>
    <w:rsid w:val="00923571"/>
    <w:rsid w:val="00923733"/>
    <w:rsid w:val="0092441A"/>
    <w:rsid w:val="00924843"/>
    <w:rsid w:val="00924BF9"/>
    <w:rsid w:val="0092530C"/>
    <w:rsid w:val="00927D32"/>
    <w:rsid w:val="00930BAF"/>
    <w:rsid w:val="009312A8"/>
    <w:rsid w:val="00931E59"/>
    <w:rsid w:val="009322F2"/>
    <w:rsid w:val="0093328E"/>
    <w:rsid w:val="00933BB5"/>
    <w:rsid w:val="00934B46"/>
    <w:rsid w:val="00934FEB"/>
    <w:rsid w:val="009354B9"/>
    <w:rsid w:val="009357A6"/>
    <w:rsid w:val="009359CC"/>
    <w:rsid w:val="0093725F"/>
    <w:rsid w:val="00937E33"/>
    <w:rsid w:val="009428C2"/>
    <w:rsid w:val="00943EAF"/>
    <w:rsid w:val="009446EA"/>
    <w:rsid w:val="009447CF"/>
    <w:rsid w:val="009451C4"/>
    <w:rsid w:val="00945740"/>
    <w:rsid w:val="00946733"/>
    <w:rsid w:val="00947445"/>
    <w:rsid w:val="009502CE"/>
    <w:rsid w:val="00950716"/>
    <w:rsid w:val="00951F6A"/>
    <w:rsid w:val="0095220B"/>
    <w:rsid w:val="00952316"/>
    <w:rsid w:val="00952B7C"/>
    <w:rsid w:val="00954215"/>
    <w:rsid w:val="00954A84"/>
    <w:rsid w:val="009564A8"/>
    <w:rsid w:val="009567F8"/>
    <w:rsid w:val="009605EF"/>
    <w:rsid w:val="0096178B"/>
    <w:rsid w:val="0096225A"/>
    <w:rsid w:val="00965373"/>
    <w:rsid w:val="00966DA2"/>
    <w:rsid w:val="00967D6D"/>
    <w:rsid w:val="0097004F"/>
    <w:rsid w:val="009704C5"/>
    <w:rsid w:val="00970B2B"/>
    <w:rsid w:val="00971484"/>
    <w:rsid w:val="0097261C"/>
    <w:rsid w:val="00972D70"/>
    <w:rsid w:val="00973B39"/>
    <w:rsid w:val="00975CC7"/>
    <w:rsid w:val="00975D8A"/>
    <w:rsid w:val="00976F41"/>
    <w:rsid w:val="00977476"/>
    <w:rsid w:val="00977E64"/>
    <w:rsid w:val="00980278"/>
    <w:rsid w:val="00980425"/>
    <w:rsid w:val="0098068D"/>
    <w:rsid w:val="00980E0C"/>
    <w:rsid w:val="009812FF"/>
    <w:rsid w:val="0098153F"/>
    <w:rsid w:val="009824CA"/>
    <w:rsid w:val="009836D0"/>
    <w:rsid w:val="00983E39"/>
    <w:rsid w:val="0098598C"/>
    <w:rsid w:val="00985B18"/>
    <w:rsid w:val="00986810"/>
    <w:rsid w:val="00986FF8"/>
    <w:rsid w:val="00987209"/>
    <w:rsid w:val="00990DD9"/>
    <w:rsid w:val="0099106A"/>
    <w:rsid w:val="00991371"/>
    <w:rsid w:val="009914DC"/>
    <w:rsid w:val="009916E4"/>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1501"/>
    <w:rsid w:val="009B245D"/>
    <w:rsid w:val="009B28CF"/>
    <w:rsid w:val="009B3289"/>
    <w:rsid w:val="009B40B4"/>
    <w:rsid w:val="009B4837"/>
    <w:rsid w:val="009B57B8"/>
    <w:rsid w:val="009B6849"/>
    <w:rsid w:val="009B78C4"/>
    <w:rsid w:val="009B7F8D"/>
    <w:rsid w:val="009C0805"/>
    <w:rsid w:val="009C09A4"/>
    <w:rsid w:val="009C0C7F"/>
    <w:rsid w:val="009C114C"/>
    <w:rsid w:val="009C179A"/>
    <w:rsid w:val="009C2D57"/>
    <w:rsid w:val="009C2DD9"/>
    <w:rsid w:val="009C368E"/>
    <w:rsid w:val="009C3A0D"/>
    <w:rsid w:val="009C3FE1"/>
    <w:rsid w:val="009C43E2"/>
    <w:rsid w:val="009C614B"/>
    <w:rsid w:val="009C665B"/>
    <w:rsid w:val="009C6809"/>
    <w:rsid w:val="009C6B5D"/>
    <w:rsid w:val="009C6D51"/>
    <w:rsid w:val="009C7129"/>
    <w:rsid w:val="009C7F5A"/>
    <w:rsid w:val="009D0202"/>
    <w:rsid w:val="009D0769"/>
    <w:rsid w:val="009D0F6C"/>
    <w:rsid w:val="009D1438"/>
    <w:rsid w:val="009D15E4"/>
    <w:rsid w:val="009D17C2"/>
    <w:rsid w:val="009D1C8A"/>
    <w:rsid w:val="009D26AB"/>
    <w:rsid w:val="009D45C5"/>
    <w:rsid w:val="009D5587"/>
    <w:rsid w:val="009E0732"/>
    <w:rsid w:val="009E2872"/>
    <w:rsid w:val="009E4A14"/>
    <w:rsid w:val="009E4A21"/>
    <w:rsid w:val="009E4B32"/>
    <w:rsid w:val="009E7140"/>
    <w:rsid w:val="009F0D5B"/>
    <w:rsid w:val="009F0F9B"/>
    <w:rsid w:val="009F1890"/>
    <w:rsid w:val="009F1A2B"/>
    <w:rsid w:val="009F24A1"/>
    <w:rsid w:val="009F307D"/>
    <w:rsid w:val="009F34AE"/>
    <w:rsid w:val="009F41D8"/>
    <w:rsid w:val="009F451D"/>
    <w:rsid w:val="009F5B4F"/>
    <w:rsid w:val="009F5BDF"/>
    <w:rsid w:val="009F5D7F"/>
    <w:rsid w:val="009F6586"/>
    <w:rsid w:val="009F6C44"/>
    <w:rsid w:val="00A0109D"/>
    <w:rsid w:val="00A01A26"/>
    <w:rsid w:val="00A01C84"/>
    <w:rsid w:val="00A0257F"/>
    <w:rsid w:val="00A02D0F"/>
    <w:rsid w:val="00A06E9F"/>
    <w:rsid w:val="00A0774C"/>
    <w:rsid w:val="00A109F3"/>
    <w:rsid w:val="00A11BF8"/>
    <w:rsid w:val="00A12A90"/>
    <w:rsid w:val="00A14EF6"/>
    <w:rsid w:val="00A16523"/>
    <w:rsid w:val="00A1768E"/>
    <w:rsid w:val="00A17773"/>
    <w:rsid w:val="00A2032A"/>
    <w:rsid w:val="00A207CA"/>
    <w:rsid w:val="00A21216"/>
    <w:rsid w:val="00A232AC"/>
    <w:rsid w:val="00A252F2"/>
    <w:rsid w:val="00A26BD0"/>
    <w:rsid w:val="00A26D9D"/>
    <w:rsid w:val="00A2781F"/>
    <w:rsid w:val="00A306C2"/>
    <w:rsid w:val="00A30EB8"/>
    <w:rsid w:val="00A31043"/>
    <w:rsid w:val="00A31E66"/>
    <w:rsid w:val="00A328DA"/>
    <w:rsid w:val="00A33E4A"/>
    <w:rsid w:val="00A368E9"/>
    <w:rsid w:val="00A36ED8"/>
    <w:rsid w:val="00A371FA"/>
    <w:rsid w:val="00A37A66"/>
    <w:rsid w:val="00A402EC"/>
    <w:rsid w:val="00A4034A"/>
    <w:rsid w:val="00A40AD6"/>
    <w:rsid w:val="00A41899"/>
    <w:rsid w:val="00A424DE"/>
    <w:rsid w:val="00A42DD2"/>
    <w:rsid w:val="00A4626E"/>
    <w:rsid w:val="00A4697B"/>
    <w:rsid w:val="00A471C4"/>
    <w:rsid w:val="00A47880"/>
    <w:rsid w:val="00A47A1D"/>
    <w:rsid w:val="00A47A54"/>
    <w:rsid w:val="00A50C75"/>
    <w:rsid w:val="00A50ED8"/>
    <w:rsid w:val="00A51FC5"/>
    <w:rsid w:val="00A52E5B"/>
    <w:rsid w:val="00A5697C"/>
    <w:rsid w:val="00A60EBA"/>
    <w:rsid w:val="00A61895"/>
    <w:rsid w:val="00A6241F"/>
    <w:rsid w:val="00A62ADF"/>
    <w:rsid w:val="00A62E71"/>
    <w:rsid w:val="00A633D7"/>
    <w:rsid w:val="00A63D53"/>
    <w:rsid w:val="00A646F6"/>
    <w:rsid w:val="00A649F1"/>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498F"/>
    <w:rsid w:val="00A753A2"/>
    <w:rsid w:val="00A769DE"/>
    <w:rsid w:val="00A77054"/>
    <w:rsid w:val="00A812D4"/>
    <w:rsid w:val="00A8184F"/>
    <w:rsid w:val="00A81B80"/>
    <w:rsid w:val="00A81B88"/>
    <w:rsid w:val="00A81D58"/>
    <w:rsid w:val="00A82675"/>
    <w:rsid w:val="00A83127"/>
    <w:rsid w:val="00A846F3"/>
    <w:rsid w:val="00A84E99"/>
    <w:rsid w:val="00A85135"/>
    <w:rsid w:val="00A859A5"/>
    <w:rsid w:val="00A86177"/>
    <w:rsid w:val="00A8755F"/>
    <w:rsid w:val="00A90775"/>
    <w:rsid w:val="00A90920"/>
    <w:rsid w:val="00A90DAC"/>
    <w:rsid w:val="00A930E9"/>
    <w:rsid w:val="00A93CC8"/>
    <w:rsid w:val="00A9571F"/>
    <w:rsid w:val="00A96360"/>
    <w:rsid w:val="00A97430"/>
    <w:rsid w:val="00A9778A"/>
    <w:rsid w:val="00A97967"/>
    <w:rsid w:val="00AA10C3"/>
    <w:rsid w:val="00AA196F"/>
    <w:rsid w:val="00AA26F6"/>
    <w:rsid w:val="00AA431D"/>
    <w:rsid w:val="00AA5935"/>
    <w:rsid w:val="00AA5AAD"/>
    <w:rsid w:val="00AA6847"/>
    <w:rsid w:val="00AA729C"/>
    <w:rsid w:val="00AB1DAE"/>
    <w:rsid w:val="00AB2514"/>
    <w:rsid w:val="00AB265D"/>
    <w:rsid w:val="00AB2CAA"/>
    <w:rsid w:val="00AB2EE5"/>
    <w:rsid w:val="00AB465B"/>
    <w:rsid w:val="00AB4EF1"/>
    <w:rsid w:val="00AB51AA"/>
    <w:rsid w:val="00AB6015"/>
    <w:rsid w:val="00AB63F6"/>
    <w:rsid w:val="00AB6A6C"/>
    <w:rsid w:val="00AB6DF8"/>
    <w:rsid w:val="00AC10FE"/>
    <w:rsid w:val="00AC11F6"/>
    <w:rsid w:val="00AC2ABA"/>
    <w:rsid w:val="00AC2BAB"/>
    <w:rsid w:val="00AC3BC2"/>
    <w:rsid w:val="00AC4104"/>
    <w:rsid w:val="00AC414E"/>
    <w:rsid w:val="00AC44EB"/>
    <w:rsid w:val="00AC5F5B"/>
    <w:rsid w:val="00AC640A"/>
    <w:rsid w:val="00AC7214"/>
    <w:rsid w:val="00AD058B"/>
    <w:rsid w:val="00AD0FDB"/>
    <w:rsid w:val="00AD265D"/>
    <w:rsid w:val="00AD392E"/>
    <w:rsid w:val="00AD3C7E"/>
    <w:rsid w:val="00AD3DB5"/>
    <w:rsid w:val="00AD568E"/>
    <w:rsid w:val="00AD5F6E"/>
    <w:rsid w:val="00AD5F7B"/>
    <w:rsid w:val="00AD6148"/>
    <w:rsid w:val="00AD66A2"/>
    <w:rsid w:val="00AD6CA7"/>
    <w:rsid w:val="00AD6F1B"/>
    <w:rsid w:val="00AD763E"/>
    <w:rsid w:val="00AD7755"/>
    <w:rsid w:val="00AE0192"/>
    <w:rsid w:val="00AE18B3"/>
    <w:rsid w:val="00AE2048"/>
    <w:rsid w:val="00AE2C5B"/>
    <w:rsid w:val="00AE2D81"/>
    <w:rsid w:val="00AE2F80"/>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5BFB"/>
    <w:rsid w:val="00AF744F"/>
    <w:rsid w:val="00AF75BE"/>
    <w:rsid w:val="00AF78AE"/>
    <w:rsid w:val="00AF7D46"/>
    <w:rsid w:val="00B0032A"/>
    <w:rsid w:val="00B009C4"/>
    <w:rsid w:val="00B00B23"/>
    <w:rsid w:val="00B00C96"/>
    <w:rsid w:val="00B01DB5"/>
    <w:rsid w:val="00B04586"/>
    <w:rsid w:val="00B05085"/>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5C6F"/>
    <w:rsid w:val="00B37E19"/>
    <w:rsid w:val="00B40685"/>
    <w:rsid w:val="00B410F3"/>
    <w:rsid w:val="00B42710"/>
    <w:rsid w:val="00B4397A"/>
    <w:rsid w:val="00B44633"/>
    <w:rsid w:val="00B44FFA"/>
    <w:rsid w:val="00B450F1"/>
    <w:rsid w:val="00B47F16"/>
    <w:rsid w:val="00B50A4C"/>
    <w:rsid w:val="00B51895"/>
    <w:rsid w:val="00B52B53"/>
    <w:rsid w:val="00B53B8E"/>
    <w:rsid w:val="00B53D62"/>
    <w:rsid w:val="00B5581D"/>
    <w:rsid w:val="00B56040"/>
    <w:rsid w:val="00B56478"/>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4D44"/>
    <w:rsid w:val="00B7692A"/>
    <w:rsid w:val="00B770E7"/>
    <w:rsid w:val="00B7737D"/>
    <w:rsid w:val="00B774A4"/>
    <w:rsid w:val="00B77754"/>
    <w:rsid w:val="00B80CFC"/>
    <w:rsid w:val="00B80FAF"/>
    <w:rsid w:val="00B81BE2"/>
    <w:rsid w:val="00B836ED"/>
    <w:rsid w:val="00B846DA"/>
    <w:rsid w:val="00B848C9"/>
    <w:rsid w:val="00B85D36"/>
    <w:rsid w:val="00B875DD"/>
    <w:rsid w:val="00B92C52"/>
    <w:rsid w:val="00B93E09"/>
    <w:rsid w:val="00B93EE0"/>
    <w:rsid w:val="00B9655D"/>
    <w:rsid w:val="00B96BFE"/>
    <w:rsid w:val="00B96F17"/>
    <w:rsid w:val="00BA0693"/>
    <w:rsid w:val="00BA0940"/>
    <w:rsid w:val="00BA267A"/>
    <w:rsid w:val="00BA3A0E"/>
    <w:rsid w:val="00BA3D0B"/>
    <w:rsid w:val="00BA46FD"/>
    <w:rsid w:val="00BA496F"/>
    <w:rsid w:val="00BA5A0C"/>
    <w:rsid w:val="00BB0244"/>
    <w:rsid w:val="00BB05D5"/>
    <w:rsid w:val="00BB308A"/>
    <w:rsid w:val="00BB3582"/>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4CAE"/>
    <w:rsid w:val="00BC5E4F"/>
    <w:rsid w:val="00BC5ECA"/>
    <w:rsid w:val="00BC6B61"/>
    <w:rsid w:val="00BD123B"/>
    <w:rsid w:val="00BD215F"/>
    <w:rsid w:val="00BD2B63"/>
    <w:rsid w:val="00BD30BD"/>
    <w:rsid w:val="00BD33B2"/>
    <w:rsid w:val="00BD4050"/>
    <w:rsid w:val="00BD433E"/>
    <w:rsid w:val="00BD4462"/>
    <w:rsid w:val="00BD4BD2"/>
    <w:rsid w:val="00BD63CF"/>
    <w:rsid w:val="00BD72D1"/>
    <w:rsid w:val="00BD7DAB"/>
    <w:rsid w:val="00BE0BE9"/>
    <w:rsid w:val="00BE1A0A"/>
    <w:rsid w:val="00BE25BC"/>
    <w:rsid w:val="00BE3492"/>
    <w:rsid w:val="00BE3569"/>
    <w:rsid w:val="00BE389E"/>
    <w:rsid w:val="00BE398D"/>
    <w:rsid w:val="00BE3A64"/>
    <w:rsid w:val="00BE3D38"/>
    <w:rsid w:val="00BE3E4B"/>
    <w:rsid w:val="00BE447E"/>
    <w:rsid w:val="00BE46F4"/>
    <w:rsid w:val="00BE4960"/>
    <w:rsid w:val="00BE5030"/>
    <w:rsid w:val="00BE56CB"/>
    <w:rsid w:val="00BE66B6"/>
    <w:rsid w:val="00BE77AD"/>
    <w:rsid w:val="00BE7E89"/>
    <w:rsid w:val="00BF0563"/>
    <w:rsid w:val="00BF0BE6"/>
    <w:rsid w:val="00BF1C5C"/>
    <w:rsid w:val="00BF216C"/>
    <w:rsid w:val="00BF26A0"/>
    <w:rsid w:val="00BF2C7B"/>
    <w:rsid w:val="00BF67B1"/>
    <w:rsid w:val="00BF76D9"/>
    <w:rsid w:val="00C00726"/>
    <w:rsid w:val="00C00CF5"/>
    <w:rsid w:val="00C00D80"/>
    <w:rsid w:val="00C02C22"/>
    <w:rsid w:val="00C0397A"/>
    <w:rsid w:val="00C0411A"/>
    <w:rsid w:val="00C043D6"/>
    <w:rsid w:val="00C0469F"/>
    <w:rsid w:val="00C04EB8"/>
    <w:rsid w:val="00C0522E"/>
    <w:rsid w:val="00C06B4F"/>
    <w:rsid w:val="00C10261"/>
    <w:rsid w:val="00C109C6"/>
    <w:rsid w:val="00C10A32"/>
    <w:rsid w:val="00C11520"/>
    <w:rsid w:val="00C1271B"/>
    <w:rsid w:val="00C13585"/>
    <w:rsid w:val="00C13880"/>
    <w:rsid w:val="00C144F4"/>
    <w:rsid w:val="00C16203"/>
    <w:rsid w:val="00C17342"/>
    <w:rsid w:val="00C17437"/>
    <w:rsid w:val="00C17568"/>
    <w:rsid w:val="00C17C73"/>
    <w:rsid w:val="00C17F46"/>
    <w:rsid w:val="00C20496"/>
    <w:rsid w:val="00C20C78"/>
    <w:rsid w:val="00C21432"/>
    <w:rsid w:val="00C215D0"/>
    <w:rsid w:val="00C22D72"/>
    <w:rsid w:val="00C232F1"/>
    <w:rsid w:val="00C23C48"/>
    <w:rsid w:val="00C25AD1"/>
    <w:rsid w:val="00C25BE3"/>
    <w:rsid w:val="00C2617F"/>
    <w:rsid w:val="00C26885"/>
    <w:rsid w:val="00C27490"/>
    <w:rsid w:val="00C311DA"/>
    <w:rsid w:val="00C32284"/>
    <w:rsid w:val="00C328DB"/>
    <w:rsid w:val="00C32AC2"/>
    <w:rsid w:val="00C33BE7"/>
    <w:rsid w:val="00C34682"/>
    <w:rsid w:val="00C34AE5"/>
    <w:rsid w:val="00C359D2"/>
    <w:rsid w:val="00C365F6"/>
    <w:rsid w:val="00C36B43"/>
    <w:rsid w:val="00C37ED2"/>
    <w:rsid w:val="00C4031B"/>
    <w:rsid w:val="00C40D0D"/>
    <w:rsid w:val="00C42ED0"/>
    <w:rsid w:val="00C43D0A"/>
    <w:rsid w:val="00C44D97"/>
    <w:rsid w:val="00C44FE3"/>
    <w:rsid w:val="00C46977"/>
    <w:rsid w:val="00C470BA"/>
    <w:rsid w:val="00C50936"/>
    <w:rsid w:val="00C50B4C"/>
    <w:rsid w:val="00C50CC2"/>
    <w:rsid w:val="00C511E0"/>
    <w:rsid w:val="00C516E6"/>
    <w:rsid w:val="00C52045"/>
    <w:rsid w:val="00C531D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14E"/>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4D13"/>
    <w:rsid w:val="00C753CF"/>
    <w:rsid w:val="00C75B14"/>
    <w:rsid w:val="00C75CAA"/>
    <w:rsid w:val="00C76E8B"/>
    <w:rsid w:val="00C77464"/>
    <w:rsid w:val="00C777BC"/>
    <w:rsid w:val="00C80059"/>
    <w:rsid w:val="00C80084"/>
    <w:rsid w:val="00C80395"/>
    <w:rsid w:val="00C8049E"/>
    <w:rsid w:val="00C824C3"/>
    <w:rsid w:val="00C82D0D"/>
    <w:rsid w:val="00C83756"/>
    <w:rsid w:val="00C83CD9"/>
    <w:rsid w:val="00C83E01"/>
    <w:rsid w:val="00C848F8"/>
    <w:rsid w:val="00C8491F"/>
    <w:rsid w:val="00C852E7"/>
    <w:rsid w:val="00C858DF"/>
    <w:rsid w:val="00C8628A"/>
    <w:rsid w:val="00C865CD"/>
    <w:rsid w:val="00C865E0"/>
    <w:rsid w:val="00C86B56"/>
    <w:rsid w:val="00C877FD"/>
    <w:rsid w:val="00C87E29"/>
    <w:rsid w:val="00C9223F"/>
    <w:rsid w:val="00C93759"/>
    <w:rsid w:val="00C937E2"/>
    <w:rsid w:val="00C93ED9"/>
    <w:rsid w:val="00C93FF0"/>
    <w:rsid w:val="00C9424E"/>
    <w:rsid w:val="00C943D1"/>
    <w:rsid w:val="00C94D61"/>
    <w:rsid w:val="00C9621E"/>
    <w:rsid w:val="00C96B75"/>
    <w:rsid w:val="00C97379"/>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2F1"/>
    <w:rsid w:val="00CB3FA8"/>
    <w:rsid w:val="00CB414B"/>
    <w:rsid w:val="00CB43B6"/>
    <w:rsid w:val="00CB7374"/>
    <w:rsid w:val="00CB79AA"/>
    <w:rsid w:val="00CB7DB8"/>
    <w:rsid w:val="00CC00E2"/>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6CC9"/>
    <w:rsid w:val="00CC7B1E"/>
    <w:rsid w:val="00CC7C8D"/>
    <w:rsid w:val="00CC7E95"/>
    <w:rsid w:val="00CD0B9F"/>
    <w:rsid w:val="00CD0F12"/>
    <w:rsid w:val="00CD13E5"/>
    <w:rsid w:val="00CD1AAC"/>
    <w:rsid w:val="00CD1BD3"/>
    <w:rsid w:val="00CD22F5"/>
    <w:rsid w:val="00CD2317"/>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A44"/>
    <w:rsid w:val="00CF0C5D"/>
    <w:rsid w:val="00CF2124"/>
    <w:rsid w:val="00CF2DEB"/>
    <w:rsid w:val="00CF32AB"/>
    <w:rsid w:val="00CF359A"/>
    <w:rsid w:val="00CF3790"/>
    <w:rsid w:val="00CF3B66"/>
    <w:rsid w:val="00CF4168"/>
    <w:rsid w:val="00CF4F42"/>
    <w:rsid w:val="00CF4FE5"/>
    <w:rsid w:val="00CF5450"/>
    <w:rsid w:val="00CF57C7"/>
    <w:rsid w:val="00CF5C65"/>
    <w:rsid w:val="00CF6AD3"/>
    <w:rsid w:val="00CF6E14"/>
    <w:rsid w:val="00CF7537"/>
    <w:rsid w:val="00CF7C58"/>
    <w:rsid w:val="00D00AE3"/>
    <w:rsid w:val="00D0161D"/>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6167"/>
    <w:rsid w:val="00D268A0"/>
    <w:rsid w:val="00D2719E"/>
    <w:rsid w:val="00D27B3D"/>
    <w:rsid w:val="00D3051E"/>
    <w:rsid w:val="00D32097"/>
    <w:rsid w:val="00D32434"/>
    <w:rsid w:val="00D33009"/>
    <w:rsid w:val="00D33ACD"/>
    <w:rsid w:val="00D348E4"/>
    <w:rsid w:val="00D34C4C"/>
    <w:rsid w:val="00D35135"/>
    <w:rsid w:val="00D3733B"/>
    <w:rsid w:val="00D40DAB"/>
    <w:rsid w:val="00D4171F"/>
    <w:rsid w:val="00D41C47"/>
    <w:rsid w:val="00D43135"/>
    <w:rsid w:val="00D438B0"/>
    <w:rsid w:val="00D4452F"/>
    <w:rsid w:val="00D452C0"/>
    <w:rsid w:val="00D45FF2"/>
    <w:rsid w:val="00D51146"/>
    <w:rsid w:val="00D5147E"/>
    <w:rsid w:val="00D51890"/>
    <w:rsid w:val="00D51B09"/>
    <w:rsid w:val="00D53155"/>
    <w:rsid w:val="00D53247"/>
    <w:rsid w:val="00D53BD8"/>
    <w:rsid w:val="00D54B73"/>
    <w:rsid w:val="00D54DB1"/>
    <w:rsid w:val="00D5568B"/>
    <w:rsid w:val="00D55C99"/>
    <w:rsid w:val="00D56243"/>
    <w:rsid w:val="00D56839"/>
    <w:rsid w:val="00D56A09"/>
    <w:rsid w:val="00D56BEE"/>
    <w:rsid w:val="00D60FB3"/>
    <w:rsid w:val="00D611F3"/>
    <w:rsid w:val="00D61897"/>
    <w:rsid w:val="00D6233F"/>
    <w:rsid w:val="00D62EE1"/>
    <w:rsid w:val="00D63046"/>
    <w:rsid w:val="00D63E21"/>
    <w:rsid w:val="00D65BEE"/>
    <w:rsid w:val="00D66837"/>
    <w:rsid w:val="00D66AA4"/>
    <w:rsid w:val="00D675D0"/>
    <w:rsid w:val="00D701A1"/>
    <w:rsid w:val="00D71118"/>
    <w:rsid w:val="00D71290"/>
    <w:rsid w:val="00D71842"/>
    <w:rsid w:val="00D72311"/>
    <w:rsid w:val="00D727EA"/>
    <w:rsid w:val="00D72E1A"/>
    <w:rsid w:val="00D7312B"/>
    <w:rsid w:val="00D73811"/>
    <w:rsid w:val="00D74323"/>
    <w:rsid w:val="00D74A45"/>
    <w:rsid w:val="00D74EF6"/>
    <w:rsid w:val="00D8023F"/>
    <w:rsid w:val="00D83906"/>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689C"/>
    <w:rsid w:val="00D970F0"/>
    <w:rsid w:val="00D97D71"/>
    <w:rsid w:val="00DA19A1"/>
    <w:rsid w:val="00DA1C90"/>
    <w:rsid w:val="00DA1EEC"/>
    <w:rsid w:val="00DA40E9"/>
    <w:rsid w:val="00DA43FD"/>
    <w:rsid w:val="00DA520D"/>
    <w:rsid w:val="00DA711A"/>
    <w:rsid w:val="00DB11AA"/>
    <w:rsid w:val="00DB14D9"/>
    <w:rsid w:val="00DB20BE"/>
    <w:rsid w:val="00DB28ED"/>
    <w:rsid w:val="00DB2C61"/>
    <w:rsid w:val="00DB3288"/>
    <w:rsid w:val="00DB3B5E"/>
    <w:rsid w:val="00DB3D27"/>
    <w:rsid w:val="00DB5770"/>
    <w:rsid w:val="00DB6F93"/>
    <w:rsid w:val="00DC00A5"/>
    <w:rsid w:val="00DC1896"/>
    <w:rsid w:val="00DC19D1"/>
    <w:rsid w:val="00DC1D4C"/>
    <w:rsid w:val="00DC309C"/>
    <w:rsid w:val="00DC3EE1"/>
    <w:rsid w:val="00DC3F52"/>
    <w:rsid w:val="00DC43BF"/>
    <w:rsid w:val="00DC4A9D"/>
    <w:rsid w:val="00DC4EE4"/>
    <w:rsid w:val="00DC541E"/>
    <w:rsid w:val="00DC5DB3"/>
    <w:rsid w:val="00DC5EC2"/>
    <w:rsid w:val="00DC64A4"/>
    <w:rsid w:val="00DD0010"/>
    <w:rsid w:val="00DD0B61"/>
    <w:rsid w:val="00DD12AF"/>
    <w:rsid w:val="00DD1DCF"/>
    <w:rsid w:val="00DD2039"/>
    <w:rsid w:val="00DD2263"/>
    <w:rsid w:val="00DD2D71"/>
    <w:rsid w:val="00DD2ED7"/>
    <w:rsid w:val="00DD356D"/>
    <w:rsid w:val="00DD40E2"/>
    <w:rsid w:val="00DD41C8"/>
    <w:rsid w:val="00DD51B5"/>
    <w:rsid w:val="00DD6237"/>
    <w:rsid w:val="00DD6A39"/>
    <w:rsid w:val="00DE0864"/>
    <w:rsid w:val="00DE10C2"/>
    <w:rsid w:val="00DE135B"/>
    <w:rsid w:val="00DE241F"/>
    <w:rsid w:val="00DE2A42"/>
    <w:rsid w:val="00DE31AD"/>
    <w:rsid w:val="00DE4B0D"/>
    <w:rsid w:val="00DE4CAC"/>
    <w:rsid w:val="00DE6006"/>
    <w:rsid w:val="00DE6BCA"/>
    <w:rsid w:val="00DE714A"/>
    <w:rsid w:val="00DF1019"/>
    <w:rsid w:val="00DF1385"/>
    <w:rsid w:val="00DF198C"/>
    <w:rsid w:val="00DF232F"/>
    <w:rsid w:val="00DF27CE"/>
    <w:rsid w:val="00DF2CB8"/>
    <w:rsid w:val="00DF3A66"/>
    <w:rsid w:val="00DF3E32"/>
    <w:rsid w:val="00DF429B"/>
    <w:rsid w:val="00DF4887"/>
    <w:rsid w:val="00DF4C6E"/>
    <w:rsid w:val="00DF549F"/>
    <w:rsid w:val="00DF564F"/>
    <w:rsid w:val="00DF676A"/>
    <w:rsid w:val="00DF68B2"/>
    <w:rsid w:val="00DF73AC"/>
    <w:rsid w:val="00DF7613"/>
    <w:rsid w:val="00DF7E17"/>
    <w:rsid w:val="00E007C7"/>
    <w:rsid w:val="00E009AC"/>
    <w:rsid w:val="00E01DC1"/>
    <w:rsid w:val="00E02CCE"/>
    <w:rsid w:val="00E052E0"/>
    <w:rsid w:val="00E063DF"/>
    <w:rsid w:val="00E10B86"/>
    <w:rsid w:val="00E11275"/>
    <w:rsid w:val="00E11BD7"/>
    <w:rsid w:val="00E11D4C"/>
    <w:rsid w:val="00E13802"/>
    <w:rsid w:val="00E14CDA"/>
    <w:rsid w:val="00E14E0C"/>
    <w:rsid w:val="00E14E59"/>
    <w:rsid w:val="00E152CF"/>
    <w:rsid w:val="00E158C4"/>
    <w:rsid w:val="00E1599F"/>
    <w:rsid w:val="00E15AA3"/>
    <w:rsid w:val="00E16DF8"/>
    <w:rsid w:val="00E205FB"/>
    <w:rsid w:val="00E20EC0"/>
    <w:rsid w:val="00E21452"/>
    <w:rsid w:val="00E21458"/>
    <w:rsid w:val="00E216E5"/>
    <w:rsid w:val="00E2340E"/>
    <w:rsid w:val="00E237D1"/>
    <w:rsid w:val="00E238E4"/>
    <w:rsid w:val="00E2410B"/>
    <w:rsid w:val="00E244B4"/>
    <w:rsid w:val="00E2520C"/>
    <w:rsid w:val="00E254F3"/>
    <w:rsid w:val="00E25875"/>
    <w:rsid w:val="00E2793E"/>
    <w:rsid w:val="00E27982"/>
    <w:rsid w:val="00E32EDF"/>
    <w:rsid w:val="00E3384C"/>
    <w:rsid w:val="00E348A1"/>
    <w:rsid w:val="00E348BA"/>
    <w:rsid w:val="00E34E86"/>
    <w:rsid w:val="00E351CD"/>
    <w:rsid w:val="00E35478"/>
    <w:rsid w:val="00E359CA"/>
    <w:rsid w:val="00E3673D"/>
    <w:rsid w:val="00E40768"/>
    <w:rsid w:val="00E40FD7"/>
    <w:rsid w:val="00E41835"/>
    <w:rsid w:val="00E42776"/>
    <w:rsid w:val="00E42B7D"/>
    <w:rsid w:val="00E4454D"/>
    <w:rsid w:val="00E44835"/>
    <w:rsid w:val="00E45723"/>
    <w:rsid w:val="00E457E1"/>
    <w:rsid w:val="00E45DD4"/>
    <w:rsid w:val="00E46774"/>
    <w:rsid w:val="00E469D9"/>
    <w:rsid w:val="00E479B9"/>
    <w:rsid w:val="00E50821"/>
    <w:rsid w:val="00E5236B"/>
    <w:rsid w:val="00E52A40"/>
    <w:rsid w:val="00E5332E"/>
    <w:rsid w:val="00E53541"/>
    <w:rsid w:val="00E53C61"/>
    <w:rsid w:val="00E53E59"/>
    <w:rsid w:val="00E53E98"/>
    <w:rsid w:val="00E541F4"/>
    <w:rsid w:val="00E54ADA"/>
    <w:rsid w:val="00E550A8"/>
    <w:rsid w:val="00E553C0"/>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15A"/>
    <w:rsid w:val="00E67F31"/>
    <w:rsid w:val="00E70DE5"/>
    <w:rsid w:val="00E71E31"/>
    <w:rsid w:val="00E725B1"/>
    <w:rsid w:val="00E73012"/>
    <w:rsid w:val="00E73144"/>
    <w:rsid w:val="00E7511C"/>
    <w:rsid w:val="00E754E4"/>
    <w:rsid w:val="00E76B97"/>
    <w:rsid w:val="00E777F8"/>
    <w:rsid w:val="00E77836"/>
    <w:rsid w:val="00E807EC"/>
    <w:rsid w:val="00E815C7"/>
    <w:rsid w:val="00E81FF4"/>
    <w:rsid w:val="00E83787"/>
    <w:rsid w:val="00E84296"/>
    <w:rsid w:val="00E84B03"/>
    <w:rsid w:val="00E84C6F"/>
    <w:rsid w:val="00E852E3"/>
    <w:rsid w:val="00E855BB"/>
    <w:rsid w:val="00E85B24"/>
    <w:rsid w:val="00E86F8A"/>
    <w:rsid w:val="00E87A93"/>
    <w:rsid w:val="00E87B10"/>
    <w:rsid w:val="00E902AB"/>
    <w:rsid w:val="00E90C53"/>
    <w:rsid w:val="00E90F70"/>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2EEF"/>
    <w:rsid w:val="00EA37AF"/>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1F86"/>
    <w:rsid w:val="00EB25B1"/>
    <w:rsid w:val="00EB3120"/>
    <w:rsid w:val="00EB43B7"/>
    <w:rsid w:val="00EB45BB"/>
    <w:rsid w:val="00EB5757"/>
    <w:rsid w:val="00EB62DD"/>
    <w:rsid w:val="00EB7D53"/>
    <w:rsid w:val="00EB7E2D"/>
    <w:rsid w:val="00EC03BE"/>
    <w:rsid w:val="00EC1899"/>
    <w:rsid w:val="00EC1B2D"/>
    <w:rsid w:val="00EC1D3E"/>
    <w:rsid w:val="00EC2EDE"/>
    <w:rsid w:val="00EC3A39"/>
    <w:rsid w:val="00EC45EE"/>
    <w:rsid w:val="00EC4AF7"/>
    <w:rsid w:val="00EC6877"/>
    <w:rsid w:val="00ED00DE"/>
    <w:rsid w:val="00ED0268"/>
    <w:rsid w:val="00ED048F"/>
    <w:rsid w:val="00ED0A8D"/>
    <w:rsid w:val="00ED2850"/>
    <w:rsid w:val="00ED456D"/>
    <w:rsid w:val="00ED5032"/>
    <w:rsid w:val="00ED66F9"/>
    <w:rsid w:val="00EE082D"/>
    <w:rsid w:val="00EE08C5"/>
    <w:rsid w:val="00EE0A96"/>
    <w:rsid w:val="00EE0FE5"/>
    <w:rsid w:val="00EE12C1"/>
    <w:rsid w:val="00EE2AC1"/>
    <w:rsid w:val="00EE3563"/>
    <w:rsid w:val="00EE442B"/>
    <w:rsid w:val="00EE4827"/>
    <w:rsid w:val="00EE625B"/>
    <w:rsid w:val="00EE65D6"/>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076A"/>
    <w:rsid w:val="00F011E9"/>
    <w:rsid w:val="00F01548"/>
    <w:rsid w:val="00F01774"/>
    <w:rsid w:val="00F01D83"/>
    <w:rsid w:val="00F01E2C"/>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17EFF"/>
    <w:rsid w:val="00F2058B"/>
    <w:rsid w:val="00F20DB4"/>
    <w:rsid w:val="00F21237"/>
    <w:rsid w:val="00F212BA"/>
    <w:rsid w:val="00F2166F"/>
    <w:rsid w:val="00F21A7F"/>
    <w:rsid w:val="00F21C7D"/>
    <w:rsid w:val="00F229F9"/>
    <w:rsid w:val="00F2372B"/>
    <w:rsid w:val="00F24681"/>
    <w:rsid w:val="00F24866"/>
    <w:rsid w:val="00F271E4"/>
    <w:rsid w:val="00F2776C"/>
    <w:rsid w:val="00F27C7B"/>
    <w:rsid w:val="00F30825"/>
    <w:rsid w:val="00F30B86"/>
    <w:rsid w:val="00F3162C"/>
    <w:rsid w:val="00F316D5"/>
    <w:rsid w:val="00F32027"/>
    <w:rsid w:val="00F32A82"/>
    <w:rsid w:val="00F32FFD"/>
    <w:rsid w:val="00F34BD1"/>
    <w:rsid w:val="00F350A1"/>
    <w:rsid w:val="00F3545D"/>
    <w:rsid w:val="00F3676F"/>
    <w:rsid w:val="00F370D1"/>
    <w:rsid w:val="00F37561"/>
    <w:rsid w:val="00F37941"/>
    <w:rsid w:val="00F4006E"/>
    <w:rsid w:val="00F40471"/>
    <w:rsid w:val="00F40B32"/>
    <w:rsid w:val="00F413FF"/>
    <w:rsid w:val="00F432E5"/>
    <w:rsid w:val="00F45E58"/>
    <w:rsid w:val="00F46173"/>
    <w:rsid w:val="00F47ABE"/>
    <w:rsid w:val="00F5018B"/>
    <w:rsid w:val="00F502F6"/>
    <w:rsid w:val="00F50EF1"/>
    <w:rsid w:val="00F51028"/>
    <w:rsid w:val="00F51B2D"/>
    <w:rsid w:val="00F52A37"/>
    <w:rsid w:val="00F52CD6"/>
    <w:rsid w:val="00F535C5"/>
    <w:rsid w:val="00F538FA"/>
    <w:rsid w:val="00F53C45"/>
    <w:rsid w:val="00F5546B"/>
    <w:rsid w:val="00F55A6D"/>
    <w:rsid w:val="00F56484"/>
    <w:rsid w:val="00F56701"/>
    <w:rsid w:val="00F56C05"/>
    <w:rsid w:val="00F56D48"/>
    <w:rsid w:val="00F56E59"/>
    <w:rsid w:val="00F61161"/>
    <w:rsid w:val="00F6182E"/>
    <w:rsid w:val="00F61852"/>
    <w:rsid w:val="00F61B31"/>
    <w:rsid w:val="00F628A6"/>
    <w:rsid w:val="00F62EA8"/>
    <w:rsid w:val="00F632FA"/>
    <w:rsid w:val="00F63B0A"/>
    <w:rsid w:val="00F63DC4"/>
    <w:rsid w:val="00F63E12"/>
    <w:rsid w:val="00F6537B"/>
    <w:rsid w:val="00F66D2F"/>
    <w:rsid w:val="00F70310"/>
    <w:rsid w:val="00F71912"/>
    <w:rsid w:val="00F731B9"/>
    <w:rsid w:val="00F735BB"/>
    <w:rsid w:val="00F736F2"/>
    <w:rsid w:val="00F74937"/>
    <w:rsid w:val="00F7496A"/>
    <w:rsid w:val="00F75FDE"/>
    <w:rsid w:val="00F76C00"/>
    <w:rsid w:val="00F76EF8"/>
    <w:rsid w:val="00F774C1"/>
    <w:rsid w:val="00F778C6"/>
    <w:rsid w:val="00F809BC"/>
    <w:rsid w:val="00F812A4"/>
    <w:rsid w:val="00F81854"/>
    <w:rsid w:val="00F82A79"/>
    <w:rsid w:val="00F82CFD"/>
    <w:rsid w:val="00F8318B"/>
    <w:rsid w:val="00F83C00"/>
    <w:rsid w:val="00F84490"/>
    <w:rsid w:val="00F84C11"/>
    <w:rsid w:val="00F85DC0"/>
    <w:rsid w:val="00F866FB"/>
    <w:rsid w:val="00F87EF9"/>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DA"/>
    <w:rsid w:val="00FA37F1"/>
    <w:rsid w:val="00FA38E6"/>
    <w:rsid w:val="00FA3CCC"/>
    <w:rsid w:val="00FA6310"/>
    <w:rsid w:val="00FA6328"/>
    <w:rsid w:val="00FA7566"/>
    <w:rsid w:val="00FA7C6D"/>
    <w:rsid w:val="00FB03EA"/>
    <w:rsid w:val="00FB1962"/>
    <w:rsid w:val="00FB4F84"/>
    <w:rsid w:val="00FB52F3"/>
    <w:rsid w:val="00FB556B"/>
    <w:rsid w:val="00FB6B74"/>
    <w:rsid w:val="00FB7598"/>
    <w:rsid w:val="00FB7645"/>
    <w:rsid w:val="00FB7700"/>
    <w:rsid w:val="00FB7C17"/>
    <w:rsid w:val="00FC083F"/>
    <w:rsid w:val="00FC0D33"/>
    <w:rsid w:val="00FC1D4F"/>
    <w:rsid w:val="00FC2BA3"/>
    <w:rsid w:val="00FC623E"/>
    <w:rsid w:val="00FC6C75"/>
    <w:rsid w:val="00FC71D7"/>
    <w:rsid w:val="00FC79E0"/>
    <w:rsid w:val="00FD0D5B"/>
    <w:rsid w:val="00FD1195"/>
    <w:rsid w:val="00FD194D"/>
    <w:rsid w:val="00FD2879"/>
    <w:rsid w:val="00FD3250"/>
    <w:rsid w:val="00FD3BD9"/>
    <w:rsid w:val="00FD6AE8"/>
    <w:rsid w:val="00FD6C44"/>
    <w:rsid w:val="00FD71D2"/>
    <w:rsid w:val="00FD73F6"/>
    <w:rsid w:val="00FD7DAF"/>
    <w:rsid w:val="00FE085B"/>
    <w:rsid w:val="00FE11A8"/>
    <w:rsid w:val="00FE1935"/>
    <w:rsid w:val="00FE1F6A"/>
    <w:rsid w:val="00FE3C5C"/>
    <w:rsid w:val="00FE5C15"/>
    <w:rsid w:val="00FE5E3A"/>
    <w:rsid w:val="00FE6754"/>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5B0"/>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4"/>
      </w:numPr>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4"/>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4"/>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4"/>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paragraph" w:customStyle="1" w:styleId="0LG">
    <w:name w:val="0LG"/>
    <w:basedOn w:val="maintext"/>
    <w:link w:val="0LGChar"/>
    <w:qFormat/>
    <w:rsid w:val="008451D5"/>
    <w:pPr>
      <w:spacing w:before="0" w:after="120"/>
      <w:ind w:firstLineChars="0" w:firstLine="360"/>
    </w:pPr>
    <w:rPr>
      <w:lang w:eastAsia="en-US"/>
    </w:rPr>
  </w:style>
  <w:style w:type="character" w:customStyle="1" w:styleId="0LGChar">
    <w:name w:val="0LG Char"/>
    <w:basedOn w:val="maintextChar"/>
    <w:link w:val="0LG"/>
    <w:rsid w:val="008451D5"/>
    <w:rPr>
      <w:rFonts w:eastAsia="Malgun Gothic" w:cs="Batang"/>
      <w:lang w:val="en-GB" w:eastAsia="en-US"/>
    </w:rPr>
  </w:style>
  <w:style w:type="character" w:styleId="PlaceholderText">
    <w:name w:val="Placeholder Text"/>
    <w:basedOn w:val="DefaultParagraphFont"/>
    <w:uiPriority w:val="99"/>
    <w:semiHidden/>
    <w:rsid w:val="003505F8"/>
    <w:rPr>
      <w:color w:val="808080"/>
    </w:rPr>
  </w:style>
  <w:style w:type="table" w:customStyle="1" w:styleId="TableGridLight1">
    <w:name w:val="Table Grid Light1"/>
    <w:basedOn w:val="TableNormal"/>
    <w:uiPriority w:val="40"/>
    <w:rsid w:val="007023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maintext"/>
    <w:link w:val="0MaintextChar"/>
    <w:qFormat/>
    <w:rsid w:val="00AA5AAD"/>
    <w:pPr>
      <w:spacing w:before="0" w:after="120"/>
      <w:ind w:firstLineChars="0" w:firstLine="360"/>
    </w:pPr>
    <w:rPr>
      <w:sz w:val="22"/>
      <w:lang w:eastAsia="en-US"/>
    </w:rPr>
  </w:style>
  <w:style w:type="character" w:customStyle="1" w:styleId="0MaintextChar">
    <w:name w:val="0 Main text Char"/>
    <w:basedOn w:val="maintextChar"/>
    <w:link w:val="0Maintext"/>
    <w:rsid w:val="00AA5AAD"/>
    <w:rPr>
      <w:rFonts w:eastAsia="Malgun Gothic" w:cs="Batang"/>
      <w:sz w:val="22"/>
      <w:lang w:val="en-GB" w:eastAsia="en-US"/>
    </w:rPr>
  </w:style>
  <w:style w:type="table" w:customStyle="1" w:styleId="GridTable4-Accent51">
    <w:name w:val="Grid Table 4 - Accent 51"/>
    <w:basedOn w:val="TableNormal"/>
    <w:uiPriority w:val="49"/>
    <w:rsid w:val="0013080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1">
    <w:name w:val="RAN1 bullet1"/>
    <w:basedOn w:val="Normal"/>
    <w:link w:val="RAN1bullet1Char"/>
    <w:qFormat/>
    <w:rsid w:val="00801C37"/>
    <w:pPr>
      <w:spacing w:after="0"/>
    </w:pPr>
    <w:rPr>
      <w:rFonts w:ascii="Times" w:eastAsia="Batang" w:hAnsi="Times"/>
      <w:szCs w:val="24"/>
      <w:lang w:eastAsia="x-none"/>
    </w:rPr>
  </w:style>
  <w:style w:type="paragraph" w:customStyle="1" w:styleId="RAN1bullet2">
    <w:name w:val="RAN1 bullet2"/>
    <w:basedOn w:val="Normal"/>
    <w:link w:val="RAN1bullet2Char"/>
    <w:qFormat/>
    <w:rsid w:val="00801C37"/>
    <w:pPr>
      <w:numPr>
        <w:ilvl w:val="1"/>
        <w:numId w:val="47"/>
      </w:numPr>
      <w:tabs>
        <w:tab w:val="left" w:pos="1440"/>
      </w:tabs>
      <w:spacing w:after="0"/>
    </w:pPr>
    <w:rPr>
      <w:rFonts w:ascii="Times" w:eastAsia="Batang" w:hAnsi="Times"/>
      <w:lang w:val="en-US"/>
    </w:rPr>
  </w:style>
  <w:style w:type="character" w:customStyle="1" w:styleId="RAN1bullet1Char">
    <w:name w:val="RAN1 bullet1 Char"/>
    <w:link w:val="RAN1bullet1"/>
    <w:rsid w:val="00801C37"/>
    <w:rPr>
      <w:rFonts w:ascii="Times" w:hAnsi="Times"/>
      <w:szCs w:val="24"/>
      <w:lang w:val="en-GB" w:eastAsia="x-none"/>
    </w:rPr>
  </w:style>
  <w:style w:type="paragraph" w:customStyle="1" w:styleId="RAN1bullet3">
    <w:name w:val="RAN1 bullet3"/>
    <w:basedOn w:val="RAN1bullet2"/>
    <w:link w:val="RAN1bullet3Char"/>
    <w:qFormat/>
    <w:rsid w:val="00801C37"/>
    <w:pPr>
      <w:numPr>
        <w:ilvl w:val="2"/>
        <w:numId w:val="46"/>
      </w:numPr>
    </w:pPr>
  </w:style>
  <w:style w:type="character" w:customStyle="1" w:styleId="RAN1bullet2Char">
    <w:name w:val="RAN1 bullet2 Char"/>
    <w:link w:val="RAN1bullet2"/>
    <w:rsid w:val="00801C37"/>
    <w:rPr>
      <w:rFonts w:ascii="Times" w:hAnsi="Times"/>
      <w:lang w:eastAsia="en-US"/>
    </w:rPr>
  </w:style>
  <w:style w:type="character" w:customStyle="1" w:styleId="RAN1bullet3Char">
    <w:name w:val="RAN1 bullet3 Char"/>
    <w:link w:val="RAN1bullet3"/>
    <w:rsid w:val="00801C37"/>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79793691">
      <w:bodyDiv w:val="1"/>
      <w:marLeft w:val="0"/>
      <w:marRight w:val="0"/>
      <w:marTop w:val="0"/>
      <w:marBottom w:val="0"/>
      <w:divBdr>
        <w:top w:val="none" w:sz="0" w:space="0" w:color="auto"/>
        <w:left w:val="none" w:sz="0" w:space="0" w:color="auto"/>
        <w:bottom w:val="none" w:sz="0" w:space="0" w:color="auto"/>
        <w:right w:val="none" w:sz="0" w:space="0" w:color="auto"/>
      </w:divBdr>
      <w:divsChild>
        <w:div w:id="428088573">
          <w:marLeft w:val="547"/>
          <w:marRight w:val="0"/>
          <w:marTop w:val="106"/>
          <w:marBottom w:val="0"/>
          <w:divBdr>
            <w:top w:val="none" w:sz="0" w:space="0" w:color="auto"/>
            <w:left w:val="none" w:sz="0" w:space="0" w:color="auto"/>
            <w:bottom w:val="none" w:sz="0" w:space="0" w:color="auto"/>
            <w:right w:val="none" w:sz="0" w:space="0" w:color="auto"/>
          </w:divBdr>
        </w:div>
        <w:div w:id="812257184">
          <w:marLeft w:val="1166"/>
          <w:marRight w:val="0"/>
          <w:marTop w:val="91"/>
          <w:marBottom w:val="0"/>
          <w:divBdr>
            <w:top w:val="none" w:sz="0" w:space="0" w:color="auto"/>
            <w:left w:val="none" w:sz="0" w:space="0" w:color="auto"/>
            <w:bottom w:val="none" w:sz="0" w:space="0" w:color="auto"/>
            <w:right w:val="none" w:sz="0" w:space="0" w:color="auto"/>
          </w:divBdr>
        </w:div>
        <w:div w:id="2135055659">
          <w:marLeft w:val="1166"/>
          <w:marRight w:val="0"/>
          <w:marTop w:val="91"/>
          <w:marBottom w:val="0"/>
          <w:divBdr>
            <w:top w:val="none" w:sz="0" w:space="0" w:color="auto"/>
            <w:left w:val="none" w:sz="0" w:space="0" w:color="auto"/>
            <w:bottom w:val="none" w:sz="0" w:space="0" w:color="auto"/>
            <w:right w:val="none" w:sz="0" w:space="0" w:color="auto"/>
          </w:divBdr>
        </w:div>
        <w:div w:id="1359045845">
          <w:marLeft w:val="1800"/>
          <w:marRight w:val="0"/>
          <w:marTop w:val="72"/>
          <w:marBottom w:val="0"/>
          <w:divBdr>
            <w:top w:val="none" w:sz="0" w:space="0" w:color="auto"/>
            <w:left w:val="none" w:sz="0" w:space="0" w:color="auto"/>
            <w:bottom w:val="none" w:sz="0" w:space="0" w:color="auto"/>
            <w:right w:val="none" w:sz="0" w:space="0" w:color="auto"/>
          </w:divBdr>
        </w:div>
        <w:div w:id="1867794536">
          <w:marLeft w:val="1800"/>
          <w:marRight w:val="0"/>
          <w:marTop w:val="72"/>
          <w:marBottom w:val="0"/>
          <w:divBdr>
            <w:top w:val="none" w:sz="0" w:space="0" w:color="auto"/>
            <w:left w:val="none" w:sz="0" w:space="0" w:color="auto"/>
            <w:bottom w:val="none" w:sz="0" w:space="0" w:color="auto"/>
            <w:right w:val="none" w:sz="0" w:space="0" w:color="auto"/>
          </w:divBdr>
        </w:div>
        <w:div w:id="688874685">
          <w:marLeft w:val="1800"/>
          <w:marRight w:val="0"/>
          <w:marTop w:val="72"/>
          <w:marBottom w:val="0"/>
          <w:divBdr>
            <w:top w:val="none" w:sz="0" w:space="0" w:color="auto"/>
            <w:left w:val="none" w:sz="0" w:space="0" w:color="auto"/>
            <w:bottom w:val="none" w:sz="0" w:space="0" w:color="auto"/>
            <w:right w:val="none" w:sz="0" w:space="0" w:color="auto"/>
          </w:divBdr>
        </w:div>
        <w:div w:id="1958833574">
          <w:marLeft w:val="1166"/>
          <w:marRight w:val="0"/>
          <w:marTop w:val="91"/>
          <w:marBottom w:val="0"/>
          <w:divBdr>
            <w:top w:val="none" w:sz="0" w:space="0" w:color="auto"/>
            <w:left w:val="none" w:sz="0" w:space="0" w:color="auto"/>
            <w:bottom w:val="none" w:sz="0" w:space="0" w:color="auto"/>
            <w:right w:val="none" w:sz="0" w:space="0" w:color="auto"/>
          </w:divBdr>
        </w:div>
        <w:div w:id="542644697">
          <w:marLeft w:val="547"/>
          <w:marRight w:val="0"/>
          <w:marTop w:val="10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775251">
      <w:bodyDiv w:val="1"/>
      <w:marLeft w:val="0"/>
      <w:marRight w:val="0"/>
      <w:marTop w:val="0"/>
      <w:marBottom w:val="0"/>
      <w:divBdr>
        <w:top w:val="none" w:sz="0" w:space="0" w:color="auto"/>
        <w:left w:val="none" w:sz="0" w:space="0" w:color="auto"/>
        <w:bottom w:val="none" w:sz="0" w:space="0" w:color="auto"/>
        <w:right w:val="none" w:sz="0" w:space="0" w:color="auto"/>
      </w:divBdr>
      <w:divsChild>
        <w:div w:id="1998994665">
          <w:marLeft w:val="1166"/>
          <w:marRight w:val="0"/>
          <w:marTop w:val="96"/>
          <w:marBottom w:val="0"/>
          <w:divBdr>
            <w:top w:val="none" w:sz="0" w:space="0" w:color="auto"/>
            <w:left w:val="none" w:sz="0" w:space="0" w:color="auto"/>
            <w:bottom w:val="none" w:sz="0" w:space="0" w:color="auto"/>
            <w:right w:val="none" w:sz="0" w:space="0" w:color="auto"/>
          </w:divBdr>
        </w:div>
        <w:div w:id="512766249">
          <w:marLeft w:val="1800"/>
          <w:marRight w:val="0"/>
          <w:marTop w:val="77"/>
          <w:marBottom w:val="0"/>
          <w:divBdr>
            <w:top w:val="none" w:sz="0" w:space="0" w:color="auto"/>
            <w:left w:val="none" w:sz="0" w:space="0" w:color="auto"/>
            <w:bottom w:val="none" w:sz="0" w:space="0" w:color="auto"/>
            <w:right w:val="none" w:sz="0" w:space="0" w:color="auto"/>
          </w:divBdr>
        </w:div>
        <w:div w:id="1393192361">
          <w:marLeft w:val="1800"/>
          <w:marRight w:val="0"/>
          <w:marTop w:val="77"/>
          <w:marBottom w:val="0"/>
          <w:divBdr>
            <w:top w:val="none" w:sz="0" w:space="0" w:color="auto"/>
            <w:left w:val="none" w:sz="0" w:space="0" w:color="auto"/>
            <w:bottom w:val="none" w:sz="0" w:space="0" w:color="auto"/>
            <w:right w:val="none" w:sz="0" w:space="0" w:color="auto"/>
          </w:divBdr>
        </w:div>
        <w:div w:id="1675231293">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655136812">
      <w:bodyDiv w:val="1"/>
      <w:marLeft w:val="0"/>
      <w:marRight w:val="0"/>
      <w:marTop w:val="0"/>
      <w:marBottom w:val="0"/>
      <w:divBdr>
        <w:top w:val="none" w:sz="0" w:space="0" w:color="auto"/>
        <w:left w:val="none" w:sz="0" w:space="0" w:color="auto"/>
        <w:bottom w:val="none" w:sz="0" w:space="0" w:color="auto"/>
        <w:right w:val="none" w:sz="0" w:space="0" w:color="auto"/>
      </w:divBdr>
      <w:divsChild>
        <w:div w:id="1764644686">
          <w:marLeft w:val="1080"/>
          <w:marRight w:val="0"/>
          <w:marTop w:val="0"/>
          <w:marBottom w:val="160"/>
          <w:divBdr>
            <w:top w:val="none" w:sz="0" w:space="0" w:color="auto"/>
            <w:left w:val="none" w:sz="0" w:space="0" w:color="auto"/>
            <w:bottom w:val="none" w:sz="0" w:space="0" w:color="auto"/>
            <w:right w:val="none" w:sz="0" w:space="0" w:color="auto"/>
          </w:divBdr>
        </w:div>
      </w:divsChild>
    </w:div>
    <w:div w:id="1663662142">
      <w:bodyDiv w:val="1"/>
      <w:marLeft w:val="0"/>
      <w:marRight w:val="0"/>
      <w:marTop w:val="0"/>
      <w:marBottom w:val="0"/>
      <w:divBdr>
        <w:top w:val="none" w:sz="0" w:space="0" w:color="auto"/>
        <w:left w:val="none" w:sz="0" w:space="0" w:color="auto"/>
        <w:bottom w:val="none" w:sz="0" w:space="0" w:color="auto"/>
        <w:right w:val="none" w:sz="0" w:space="0" w:color="auto"/>
      </w:divBdr>
      <w:divsChild>
        <w:div w:id="1653944210">
          <w:marLeft w:val="547"/>
          <w:marRight w:val="0"/>
          <w:marTop w:val="106"/>
          <w:marBottom w:val="0"/>
          <w:divBdr>
            <w:top w:val="none" w:sz="0" w:space="0" w:color="auto"/>
            <w:left w:val="none" w:sz="0" w:space="0" w:color="auto"/>
            <w:bottom w:val="none" w:sz="0" w:space="0" w:color="auto"/>
            <w:right w:val="none" w:sz="0" w:space="0" w:color="auto"/>
          </w:divBdr>
        </w:div>
        <w:div w:id="1589997046">
          <w:marLeft w:val="1166"/>
          <w:marRight w:val="0"/>
          <w:marTop w:val="96"/>
          <w:marBottom w:val="0"/>
          <w:divBdr>
            <w:top w:val="none" w:sz="0" w:space="0" w:color="auto"/>
            <w:left w:val="none" w:sz="0" w:space="0" w:color="auto"/>
            <w:bottom w:val="none" w:sz="0" w:space="0" w:color="auto"/>
            <w:right w:val="none" w:sz="0" w:space="0" w:color="auto"/>
          </w:divBdr>
        </w:div>
        <w:div w:id="1586456434">
          <w:marLeft w:val="1800"/>
          <w:marRight w:val="0"/>
          <w:marTop w:val="82"/>
          <w:marBottom w:val="0"/>
          <w:divBdr>
            <w:top w:val="none" w:sz="0" w:space="0" w:color="auto"/>
            <w:left w:val="none" w:sz="0" w:space="0" w:color="auto"/>
            <w:bottom w:val="none" w:sz="0" w:space="0" w:color="auto"/>
            <w:right w:val="none" w:sz="0" w:space="0" w:color="auto"/>
          </w:divBdr>
        </w:div>
        <w:div w:id="290717962">
          <w:marLeft w:val="1166"/>
          <w:marRight w:val="0"/>
          <w:marTop w:val="96"/>
          <w:marBottom w:val="0"/>
          <w:divBdr>
            <w:top w:val="none" w:sz="0" w:space="0" w:color="auto"/>
            <w:left w:val="none" w:sz="0" w:space="0" w:color="auto"/>
            <w:bottom w:val="none" w:sz="0" w:space="0" w:color="auto"/>
            <w:right w:val="none" w:sz="0" w:space="0" w:color="auto"/>
          </w:divBdr>
        </w:div>
        <w:div w:id="566964166">
          <w:marLeft w:val="1166"/>
          <w:marRight w:val="0"/>
          <w:marTop w:val="96"/>
          <w:marBottom w:val="0"/>
          <w:divBdr>
            <w:top w:val="none" w:sz="0" w:space="0" w:color="auto"/>
            <w:left w:val="none" w:sz="0" w:space="0" w:color="auto"/>
            <w:bottom w:val="none" w:sz="0" w:space="0" w:color="auto"/>
            <w:right w:val="none" w:sz="0" w:space="0" w:color="auto"/>
          </w:divBdr>
        </w:div>
        <w:div w:id="63920816">
          <w:marLeft w:val="1800"/>
          <w:marRight w:val="0"/>
          <w:marTop w:val="82"/>
          <w:marBottom w:val="0"/>
          <w:divBdr>
            <w:top w:val="none" w:sz="0" w:space="0" w:color="auto"/>
            <w:left w:val="none" w:sz="0" w:space="0" w:color="auto"/>
            <w:bottom w:val="none" w:sz="0" w:space="0" w:color="auto"/>
            <w:right w:val="none" w:sz="0" w:space="0" w:color="auto"/>
          </w:divBdr>
        </w:div>
        <w:div w:id="1292438278">
          <w:marLeft w:val="1800"/>
          <w:marRight w:val="0"/>
          <w:marTop w:val="82"/>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4204036">
      <w:bodyDiv w:val="1"/>
      <w:marLeft w:val="0"/>
      <w:marRight w:val="0"/>
      <w:marTop w:val="0"/>
      <w:marBottom w:val="0"/>
      <w:divBdr>
        <w:top w:val="none" w:sz="0" w:space="0" w:color="auto"/>
        <w:left w:val="none" w:sz="0" w:space="0" w:color="auto"/>
        <w:bottom w:val="none" w:sz="0" w:space="0" w:color="auto"/>
        <w:right w:val="none" w:sz="0" w:space="0" w:color="auto"/>
      </w:divBdr>
      <w:divsChild>
        <w:div w:id="1070081153">
          <w:marLeft w:val="821"/>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6E5EB-47D3-4423-8876-A4DAA7B63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1366</Words>
  <Characters>7790</Characters>
  <Application>Microsoft Office Word</Application>
  <DocSecurity>0</DocSecurity>
  <Lines>64</Lines>
  <Paragraphs>18</Paragraphs>
  <ScaleCrop>false</ScaleCrop>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2017-11-17T18:46:00Z</dcterms:created>
  <dcterms:modified xsi:type="dcterms:W3CDTF">2017-11-17T18:46:00Z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