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13F06" w:rsidRPr="00B14A49" w:rsidRDefault="00B13F06" w:rsidP="00B13F06">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#91</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0D6100">
        <w:rPr>
          <w:rFonts w:cs="Arial"/>
          <w:bCs/>
          <w:sz w:val="22"/>
        </w:rPr>
        <w:t>20208</w:t>
      </w:r>
    </w:p>
    <w:p w:rsidR="00B13F06" w:rsidRPr="005D47C0" w:rsidRDefault="00B13F06" w:rsidP="00B13F06">
      <w:pPr>
        <w:pStyle w:val="Header"/>
        <w:widowControl w:val="0"/>
        <w:tabs>
          <w:tab w:val="clear" w:pos="9072"/>
          <w:tab w:val="right" w:pos="8280"/>
          <w:tab w:val="right" w:pos="9781"/>
        </w:tabs>
        <w:snapToGrid w:val="0"/>
        <w:ind w:left="-2" w:right="-57"/>
        <w:rPr>
          <w:rFonts w:cs="Arial"/>
          <w:bCs/>
          <w:sz w:val="22"/>
        </w:rPr>
      </w:pPr>
      <w:r>
        <w:rPr>
          <w:bCs/>
          <w:sz w:val="22"/>
          <w:szCs w:val="22"/>
          <w:lang w:val="en-GB"/>
        </w:rPr>
        <w:t>Reno</w:t>
      </w:r>
      <w:r w:rsidRPr="00983C9D">
        <w:rPr>
          <w:bCs/>
          <w:sz w:val="22"/>
          <w:szCs w:val="22"/>
          <w:lang w:val="en-GB"/>
        </w:rPr>
        <w:t xml:space="preserve">, </w:t>
      </w:r>
      <w:r>
        <w:rPr>
          <w:bCs/>
          <w:sz w:val="22"/>
          <w:szCs w:val="22"/>
          <w:lang w:val="en-GB"/>
        </w:rPr>
        <w:t>USA</w:t>
      </w:r>
      <w:r w:rsidRPr="00983C9D">
        <w:rPr>
          <w:bCs/>
          <w:sz w:val="22"/>
          <w:szCs w:val="22"/>
          <w:lang w:val="en-GB"/>
        </w:rPr>
        <w:t xml:space="preserve">, </w:t>
      </w:r>
      <w:r>
        <w:rPr>
          <w:bCs/>
          <w:sz w:val="22"/>
          <w:szCs w:val="22"/>
          <w:lang w:val="en-GB"/>
        </w:rPr>
        <w:t>November 27</w:t>
      </w:r>
      <w:r w:rsidRPr="00122A4B">
        <w:rPr>
          <w:bCs/>
          <w:sz w:val="22"/>
          <w:szCs w:val="22"/>
          <w:vertAlign w:val="superscript"/>
          <w:lang w:val="en-GB"/>
        </w:rPr>
        <w:t>th</w:t>
      </w:r>
      <w:r>
        <w:rPr>
          <w:bCs/>
          <w:sz w:val="22"/>
          <w:szCs w:val="22"/>
          <w:lang w:val="en-GB"/>
        </w:rPr>
        <w:t xml:space="preserve"> </w:t>
      </w:r>
      <w:r w:rsidRPr="00983C9D">
        <w:rPr>
          <w:bCs/>
          <w:sz w:val="22"/>
          <w:szCs w:val="22"/>
          <w:lang w:val="en-GB"/>
        </w:rPr>
        <w:t xml:space="preserve">– </w:t>
      </w:r>
      <w:r>
        <w:rPr>
          <w:bCs/>
          <w:sz w:val="22"/>
          <w:szCs w:val="22"/>
          <w:lang w:val="en-GB"/>
        </w:rPr>
        <w:t>December 1</w:t>
      </w:r>
      <w:r w:rsidRPr="00122A4B">
        <w:rPr>
          <w:bCs/>
          <w:sz w:val="22"/>
          <w:szCs w:val="22"/>
          <w:vertAlign w:val="superscript"/>
          <w:lang w:val="en-GB"/>
        </w:rPr>
        <w:t>st</w:t>
      </w:r>
      <w:r>
        <w:rPr>
          <w:bCs/>
          <w:sz w:val="22"/>
          <w:szCs w:val="22"/>
          <w:lang w:val="en-GB"/>
        </w:rPr>
        <w:t xml:space="preserve">, </w:t>
      </w:r>
      <w:r w:rsidRPr="00983C9D">
        <w:rPr>
          <w:bCs/>
          <w:sz w:val="22"/>
          <w:szCs w:val="22"/>
          <w:lang w:val="en-GB"/>
        </w:rPr>
        <w:t>201</w:t>
      </w:r>
      <w:r w:rsidRPr="00983C9D">
        <w:rPr>
          <w:rFonts w:hint="eastAsia"/>
          <w:bCs/>
          <w:sz w:val="22"/>
          <w:szCs w:val="22"/>
          <w:lang w:val="en-GB"/>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B13F06">
        <w:rPr>
          <w:sz w:val="22"/>
          <w:szCs w:val="22"/>
        </w:rPr>
        <w:t xml:space="preserve">Further details of </w:t>
      </w:r>
      <w:r w:rsidR="001234CC" w:rsidRPr="001234CC">
        <w:rPr>
          <w:sz w:val="22"/>
          <w:szCs w:val="22"/>
        </w:rPr>
        <w:t>BWP operation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53151">
        <w:rPr>
          <w:sz w:val="22"/>
          <w:szCs w:val="22"/>
        </w:rPr>
        <w:t>7</w:t>
      </w:r>
      <w:r w:rsidR="001234CC">
        <w:rPr>
          <w:rFonts w:eastAsia="SimSun"/>
          <w:sz w:val="22"/>
          <w:szCs w:val="22"/>
          <w:lang w:eastAsia="zh-CN"/>
        </w:rPr>
        <w:t>.3.4.1</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866039" w:rsidRDefault="009E5901" w:rsidP="00866039">
      <w:pPr>
        <w:pStyle w:val="BodyText"/>
        <w:rPr>
          <w:rFonts w:eastAsia="SimSun"/>
          <w:lang w:eastAsia="zh-CN"/>
        </w:rPr>
      </w:pPr>
      <w:r>
        <w:rPr>
          <w:rFonts w:eastAsia="SimSun"/>
          <w:lang w:eastAsia="zh-CN"/>
        </w:rPr>
        <w:t>Significant progress was made at RAN1 #90bis on finalizing BWP operation</w:t>
      </w:r>
      <w:r w:rsidR="00866039">
        <w:rPr>
          <w:rFonts w:eastAsia="SimSun"/>
          <w:lang w:eastAsia="zh-CN"/>
        </w:rPr>
        <w:t xml:space="preserve"> </w:t>
      </w:r>
      <w:r w:rsidR="00AA22C9">
        <w:rPr>
          <w:rFonts w:eastAsia="SimSun"/>
          <w:lang w:eastAsia="zh-CN"/>
        </w:rPr>
        <w:fldChar w:fldCharType="begin"/>
      </w:r>
      <w:r w:rsidR="00866039">
        <w:rPr>
          <w:rFonts w:eastAsia="SimSun"/>
          <w:lang w:eastAsia="zh-CN"/>
        </w:rPr>
        <w:instrText xml:space="preserve"> REF _Ref498593959 \n \h </w:instrText>
      </w:r>
      <w:r w:rsidR="00AA22C9">
        <w:rPr>
          <w:rFonts w:eastAsia="SimSun"/>
          <w:lang w:eastAsia="zh-CN"/>
        </w:rPr>
      </w:r>
      <w:r w:rsidR="00AA22C9">
        <w:rPr>
          <w:rFonts w:eastAsia="SimSun"/>
          <w:lang w:eastAsia="zh-CN"/>
        </w:rPr>
        <w:fldChar w:fldCharType="separate"/>
      </w:r>
      <w:r w:rsidR="006B7311">
        <w:rPr>
          <w:rFonts w:eastAsia="SimSun"/>
          <w:lang w:eastAsia="zh-CN"/>
        </w:rPr>
        <w:t>[1]</w:t>
      </w:r>
      <w:r w:rsidR="00AA22C9">
        <w:rPr>
          <w:rFonts w:eastAsia="SimSun"/>
          <w:lang w:eastAsia="zh-CN"/>
        </w:rPr>
        <w:fldChar w:fldCharType="end"/>
      </w:r>
      <w:r>
        <w:rPr>
          <w:rFonts w:eastAsia="SimSun"/>
          <w:lang w:eastAsia="zh-CN"/>
        </w:rPr>
        <w:t>.</w:t>
      </w:r>
      <w:r w:rsidR="00866039">
        <w:rPr>
          <w:rFonts w:eastAsia="SimSun"/>
          <w:lang w:eastAsia="zh-CN"/>
        </w:rPr>
        <w:t xml:space="preserve"> This </w:t>
      </w:r>
      <w:r>
        <w:rPr>
          <w:rFonts w:eastAsia="SimSun"/>
          <w:lang w:eastAsia="zh-CN"/>
        </w:rPr>
        <w:t>contribution discusses several remaining aspects</w:t>
      </w:r>
      <w:r w:rsidR="00E31FD2">
        <w:rPr>
          <w:rFonts w:eastAsia="SimSun"/>
          <w:lang w:eastAsia="zh-CN"/>
        </w:rPr>
        <w:t xml:space="preserve">, some of which were </w:t>
      </w:r>
      <w:r w:rsidR="00866039">
        <w:rPr>
          <w:rFonts w:eastAsia="SimSun"/>
          <w:lang w:eastAsia="zh-CN"/>
        </w:rPr>
        <w:t xml:space="preserve">discussed </w:t>
      </w:r>
      <w:r w:rsidR="00E31FD2">
        <w:rPr>
          <w:rFonts w:eastAsia="SimSun"/>
          <w:lang w:eastAsia="zh-CN"/>
        </w:rPr>
        <w:t xml:space="preserve">at RAN1 #90bis </w:t>
      </w:r>
      <w:r w:rsidR="00866039">
        <w:rPr>
          <w:rFonts w:eastAsia="SimSun"/>
          <w:lang w:eastAsia="zh-CN"/>
        </w:rPr>
        <w:t xml:space="preserve">(see </w:t>
      </w:r>
      <w:r w:rsidR="00AA22C9">
        <w:rPr>
          <w:rFonts w:eastAsia="SimSun"/>
          <w:lang w:eastAsia="zh-CN"/>
        </w:rPr>
        <w:fldChar w:fldCharType="begin"/>
      </w:r>
      <w:r w:rsidR="00866039">
        <w:rPr>
          <w:rFonts w:eastAsia="SimSun"/>
          <w:lang w:eastAsia="zh-CN"/>
        </w:rPr>
        <w:instrText xml:space="preserve"> REF _Ref498594014 \n \h </w:instrText>
      </w:r>
      <w:r w:rsidR="00AA22C9">
        <w:rPr>
          <w:rFonts w:eastAsia="SimSun"/>
          <w:lang w:eastAsia="zh-CN"/>
        </w:rPr>
      </w:r>
      <w:r w:rsidR="00AA22C9">
        <w:rPr>
          <w:rFonts w:eastAsia="SimSun"/>
          <w:lang w:eastAsia="zh-CN"/>
        </w:rPr>
        <w:fldChar w:fldCharType="separate"/>
      </w:r>
      <w:r w:rsidR="006B7311">
        <w:rPr>
          <w:rFonts w:eastAsia="SimSun"/>
          <w:lang w:eastAsia="zh-CN"/>
        </w:rPr>
        <w:t>[2]</w:t>
      </w:r>
      <w:r w:rsidR="00AA22C9">
        <w:rPr>
          <w:rFonts w:eastAsia="SimSun"/>
          <w:lang w:eastAsia="zh-CN"/>
        </w:rPr>
        <w:fldChar w:fldCharType="end"/>
      </w:r>
      <w:r w:rsidR="00866039">
        <w:rPr>
          <w:rFonts w:eastAsia="SimSun"/>
          <w:lang w:eastAsia="zh-CN"/>
        </w:rPr>
        <w:t xml:space="preserve"> for a summary).</w:t>
      </w:r>
    </w:p>
    <w:p w:rsidR="004B2628" w:rsidRDefault="005560F6" w:rsidP="00423654">
      <w:pPr>
        <w:pStyle w:val="BodyText"/>
        <w:rPr>
          <w:rFonts w:eastAsia="SimSun"/>
          <w:lang w:eastAsia="zh-CN"/>
        </w:rPr>
      </w:pPr>
      <w:r>
        <w:rPr>
          <w:rFonts w:eastAsia="SimSun"/>
          <w:lang w:eastAsia="zh-CN"/>
        </w:rPr>
        <w:t xml:space="preserve">  </w:t>
      </w:r>
    </w:p>
    <w:p w:rsidR="004B2628" w:rsidRDefault="003E382E" w:rsidP="004B2628">
      <w:pPr>
        <w:pStyle w:val="Heading1"/>
      </w:pPr>
      <w:r>
        <w:t>Discussion</w:t>
      </w:r>
    </w:p>
    <w:p w:rsidR="00125169" w:rsidRDefault="00DF3813" w:rsidP="00125169">
      <w:pPr>
        <w:pStyle w:val="Heading2"/>
      </w:pPr>
      <w:r>
        <w:t>BWP configuration</w:t>
      </w:r>
    </w:p>
    <w:p w:rsidR="00BC0DAC" w:rsidRPr="00BC0DAC" w:rsidRDefault="00BC0DAC" w:rsidP="00125169">
      <w:pPr>
        <w:jc w:val="both"/>
        <w:rPr>
          <w:rFonts w:eastAsia="SimSun"/>
          <w:b/>
          <w:u w:val="single"/>
          <w:lang w:eastAsia="zh-CN"/>
        </w:rPr>
      </w:pPr>
      <w:r w:rsidRPr="00BC0DAC">
        <w:rPr>
          <w:rFonts w:eastAsia="SimSun"/>
          <w:b/>
          <w:u w:val="single"/>
          <w:lang w:eastAsia="zh-CN"/>
        </w:rPr>
        <w:t>RA procedure</w:t>
      </w:r>
    </w:p>
    <w:p w:rsidR="0020502B" w:rsidRDefault="00BC0DAC" w:rsidP="00125169">
      <w:pPr>
        <w:jc w:val="both"/>
        <w:rPr>
          <w:rFonts w:eastAsia="SimSun"/>
          <w:lang w:eastAsia="zh-CN"/>
        </w:rPr>
      </w:pPr>
      <w:r>
        <w:rPr>
          <w:rFonts w:eastAsia="SimSun"/>
          <w:lang w:eastAsia="zh-CN"/>
        </w:rPr>
        <w:t xml:space="preserve">For an idle mode UE, the initial active DL/UL BWPs are valid until such a time in connected mode that the gNB decides to configure additional BWPs. Until this </w:t>
      </w:r>
      <w:r w:rsidR="000607B5">
        <w:rPr>
          <w:rFonts w:eastAsia="SimSun"/>
          <w:lang w:eastAsia="zh-CN"/>
        </w:rPr>
        <w:t>RRC (re-)</w:t>
      </w:r>
      <w:r>
        <w:rPr>
          <w:rFonts w:eastAsia="SimSun"/>
          <w:lang w:eastAsia="zh-CN"/>
        </w:rPr>
        <w:t xml:space="preserve">configuration, the PRACH configuration is </w:t>
      </w:r>
      <w:r w:rsidR="00E7554C">
        <w:rPr>
          <w:rFonts w:eastAsia="SimSun"/>
          <w:lang w:eastAsia="zh-CN"/>
        </w:rPr>
        <w:t>p</w:t>
      </w:r>
      <w:r>
        <w:rPr>
          <w:rFonts w:eastAsia="SimSun"/>
          <w:lang w:eastAsia="zh-CN"/>
        </w:rPr>
        <w:t xml:space="preserve">rovided by RMSI. </w:t>
      </w:r>
      <w:r w:rsidR="00E7554C">
        <w:rPr>
          <w:rFonts w:eastAsia="SimSun"/>
          <w:lang w:eastAsia="zh-CN"/>
        </w:rPr>
        <w:t>If a UE is configured with additional UL BWPs, it should be possible to configure PRACH resources in these BWPs. In our view, if a UE is configured for PRACH in an UL BWP, the UE should also be configured with a common search space in a DL BWP for monitoring for the DL RA messages, i.e. Msg2 and Msg4. For a DL/UL BWP pair, a natural choice for this CSS is the DL BWP in the BWP pair. For paired spectrum, if the BWP containing the CSS for monitoring for RA messages is indicated as part of the UL BWP configuration.</w:t>
      </w:r>
      <w:r w:rsidR="0020502B">
        <w:rPr>
          <w:rFonts w:eastAsia="SimSun"/>
          <w:lang w:eastAsia="zh-CN"/>
        </w:rPr>
        <w:t xml:space="preserve"> </w:t>
      </w:r>
    </w:p>
    <w:p w:rsidR="0020502B" w:rsidRDefault="0020502B" w:rsidP="00125169">
      <w:pPr>
        <w:jc w:val="both"/>
        <w:rPr>
          <w:rFonts w:eastAsia="SimSun"/>
          <w:lang w:eastAsia="zh-CN"/>
        </w:rPr>
      </w:pPr>
    </w:p>
    <w:p w:rsidR="001C4333" w:rsidRDefault="0020502B" w:rsidP="00125169">
      <w:pPr>
        <w:jc w:val="both"/>
        <w:rPr>
          <w:rFonts w:eastAsia="SimSun"/>
          <w:lang w:eastAsia="zh-CN"/>
        </w:rPr>
      </w:pPr>
      <w:r>
        <w:rPr>
          <w:rFonts w:eastAsia="SimSun"/>
          <w:lang w:eastAsia="zh-CN"/>
        </w:rPr>
        <w:t xml:space="preserve">If there are more configured DL BWPs than UL BWPs, it may be the case that there is no CSS for monitoring for RA in the presently active DL BWP. Indeed, for contention-based RA, the gNB does not know, at least until it receives RA Msg3, the identity of the UE that transmitted a detected preamble. As such, any UE transmitting a preamble should then monitor for RAR on the linked DL BWP. This would mean a switch to the DL BWP tied to the UL BWP where the preamble is sent. It was mentioned that upon completion of the RA procedure, such a UE may </w:t>
      </w:r>
      <w:r w:rsidR="00D52457">
        <w:rPr>
          <w:rFonts w:eastAsia="SimSun"/>
          <w:lang w:eastAsia="zh-CN"/>
        </w:rPr>
        <w:t xml:space="preserve">switch back to monitoring the previously active DL BWP upon completion of the RA procedure. </w:t>
      </w:r>
      <w:r>
        <w:rPr>
          <w:rFonts w:eastAsia="SimSun"/>
          <w:lang w:eastAsia="zh-CN"/>
        </w:rPr>
        <w:t xml:space="preserve">However, since </w:t>
      </w:r>
      <w:r w:rsidR="00D52457">
        <w:rPr>
          <w:rFonts w:eastAsia="SimSun"/>
          <w:lang w:eastAsia="zh-CN"/>
        </w:rPr>
        <w:t xml:space="preserve">the gNB </w:t>
      </w:r>
      <w:r>
        <w:rPr>
          <w:rFonts w:eastAsia="SimSun"/>
          <w:lang w:eastAsia="zh-CN"/>
        </w:rPr>
        <w:t xml:space="preserve">knows the identity of the UE it is </w:t>
      </w:r>
      <w:r w:rsidR="00D52457">
        <w:rPr>
          <w:rFonts w:eastAsia="SimSun"/>
          <w:lang w:eastAsia="zh-CN"/>
        </w:rPr>
        <w:t xml:space="preserve">up to the gNB to activate a different BWP when necessary. </w:t>
      </w:r>
    </w:p>
    <w:p w:rsidR="001C4333" w:rsidRDefault="001C4333" w:rsidP="00125169">
      <w:pPr>
        <w:jc w:val="both"/>
        <w:rPr>
          <w:rFonts w:eastAsia="SimSun"/>
          <w:lang w:eastAsia="zh-CN"/>
        </w:rPr>
      </w:pPr>
    </w:p>
    <w:p w:rsidR="00BC0DAC" w:rsidRPr="00E84F5A" w:rsidRDefault="001C4333" w:rsidP="00125169">
      <w:pPr>
        <w:jc w:val="both"/>
        <w:rPr>
          <w:rFonts w:eastAsia="SimSun"/>
          <w:b/>
          <w:lang w:eastAsia="zh-CN"/>
        </w:rPr>
      </w:pPr>
      <w:r w:rsidRPr="00E84F5A">
        <w:rPr>
          <w:rFonts w:eastAsia="SimSun"/>
          <w:b/>
          <w:lang w:eastAsia="zh-CN"/>
        </w:rPr>
        <w:t xml:space="preserve">Proposal: </w:t>
      </w:r>
      <w:r w:rsidR="0020502B" w:rsidRPr="00E84F5A">
        <w:rPr>
          <w:rFonts w:eastAsia="SimSun"/>
          <w:b/>
          <w:lang w:eastAsia="zh-CN"/>
        </w:rPr>
        <w:t>regarding RA configuration and procedure</w:t>
      </w:r>
    </w:p>
    <w:p w:rsidR="0020502B" w:rsidRPr="00E84F5A" w:rsidRDefault="0020502B" w:rsidP="0020502B">
      <w:pPr>
        <w:pStyle w:val="ListParagraph"/>
        <w:numPr>
          <w:ilvl w:val="0"/>
          <w:numId w:val="42"/>
        </w:numPr>
        <w:ind w:firstLineChars="0"/>
        <w:jc w:val="both"/>
        <w:rPr>
          <w:rFonts w:ascii="Times New Roman" w:hAnsi="Times New Roman" w:cs="Times New Roman"/>
          <w:b/>
          <w:sz w:val="20"/>
          <w:szCs w:val="20"/>
        </w:rPr>
      </w:pPr>
      <w:r w:rsidRPr="00E84F5A">
        <w:rPr>
          <w:rFonts w:ascii="Times New Roman" w:hAnsi="Times New Roman" w:cs="Times New Roman"/>
          <w:b/>
          <w:sz w:val="20"/>
          <w:szCs w:val="20"/>
        </w:rPr>
        <w:t>A UE may be configured for PRACH transmission in a configured UL BWP in addition to the default UL BWP</w:t>
      </w:r>
    </w:p>
    <w:p w:rsidR="0020502B" w:rsidRPr="00E84F5A" w:rsidRDefault="0020502B" w:rsidP="0020502B">
      <w:pPr>
        <w:pStyle w:val="ListParagraph"/>
        <w:numPr>
          <w:ilvl w:val="0"/>
          <w:numId w:val="42"/>
        </w:numPr>
        <w:ind w:firstLineChars="0"/>
        <w:jc w:val="both"/>
        <w:rPr>
          <w:rFonts w:ascii="Times New Roman" w:hAnsi="Times New Roman" w:cs="Times New Roman"/>
          <w:b/>
          <w:sz w:val="20"/>
          <w:szCs w:val="20"/>
        </w:rPr>
      </w:pPr>
      <w:r w:rsidRPr="00E84F5A">
        <w:rPr>
          <w:rFonts w:ascii="Times New Roman" w:hAnsi="Times New Roman" w:cs="Times New Roman"/>
          <w:b/>
          <w:sz w:val="20"/>
          <w:szCs w:val="20"/>
        </w:rPr>
        <w:t>For each UL BWP where the UE is configured with PRACH resources, the UE is also configured with a common search space in a DL BWP for monitoring for PDCCH scheduling RA messages</w:t>
      </w:r>
    </w:p>
    <w:p w:rsidR="00E84F5A" w:rsidRPr="00E84F5A" w:rsidRDefault="0020502B" w:rsidP="0020502B">
      <w:pPr>
        <w:pStyle w:val="ListParagraph"/>
        <w:numPr>
          <w:ilvl w:val="0"/>
          <w:numId w:val="42"/>
        </w:numPr>
        <w:ind w:firstLineChars="0"/>
        <w:jc w:val="both"/>
        <w:rPr>
          <w:rFonts w:ascii="Times New Roman" w:hAnsi="Times New Roman" w:cs="Times New Roman"/>
          <w:b/>
          <w:sz w:val="20"/>
          <w:szCs w:val="20"/>
        </w:rPr>
      </w:pPr>
      <w:r w:rsidRPr="00E84F5A">
        <w:rPr>
          <w:rFonts w:ascii="Times New Roman" w:hAnsi="Times New Roman" w:cs="Times New Roman"/>
          <w:b/>
          <w:sz w:val="20"/>
          <w:szCs w:val="20"/>
        </w:rPr>
        <w:t>If a UE initiates a RA procedure in an UL BWP</w:t>
      </w:r>
      <w:r w:rsidR="00E84F5A" w:rsidRPr="00E84F5A">
        <w:rPr>
          <w:rFonts w:ascii="Times New Roman" w:hAnsi="Times New Roman" w:cs="Times New Roman"/>
          <w:b/>
          <w:sz w:val="20"/>
          <w:szCs w:val="20"/>
        </w:rPr>
        <w:t xml:space="preserve">, the UE monitors for PDCCH scheduling RA messages in the RA-linked DL BWP. </w:t>
      </w:r>
    </w:p>
    <w:p w:rsidR="0020502B" w:rsidRPr="00E84F5A" w:rsidRDefault="00E84F5A" w:rsidP="00E84F5A">
      <w:pPr>
        <w:pStyle w:val="ListParagraph"/>
        <w:numPr>
          <w:ilvl w:val="1"/>
          <w:numId w:val="42"/>
        </w:numPr>
        <w:ind w:firstLineChars="0"/>
        <w:jc w:val="both"/>
        <w:rPr>
          <w:rFonts w:ascii="Times New Roman" w:hAnsi="Times New Roman" w:cs="Times New Roman"/>
          <w:b/>
          <w:sz w:val="20"/>
          <w:szCs w:val="20"/>
        </w:rPr>
      </w:pPr>
      <w:r w:rsidRPr="00E84F5A">
        <w:rPr>
          <w:rFonts w:ascii="Times New Roman" w:hAnsi="Times New Roman" w:cs="Times New Roman"/>
          <w:b/>
          <w:sz w:val="20"/>
          <w:szCs w:val="20"/>
        </w:rPr>
        <w:t>Note: this may require a switch from the presently active DL BWP</w:t>
      </w:r>
      <w:r w:rsidR="0020502B" w:rsidRPr="00E84F5A">
        <w:rPr>
          <w:rFonts w:ascii="Times New Roman" w:hAnsi="Times New Roman" w:cs="Times New Roman"/>
          <w:b/>
          <w:sz w:val="20"/>
          <w:szCs w:val="20"/>
        </w:rPr>
        <w:t xml:space="preserve"> </w:t>
      </w:r>
    </w:p>
    <w:p w:rsidR="00E84F5A" w:rsidRPr="00E84F5A" w:rsidRDefault="00E84F5A" w:rsidP="00E84F5A">
      <w:pPr>
        <w:pStyle w:val="ListParagraph"/>
        <w:numPr>
          <w:ilvl w:val="1"/>
          <w:numId w:val="42"/>
        </w:numPr>
        <w:ind w:firstLineChars="0"/>
        <w:jc w:val="both"/>
        <w:rPr>
          <w:rFonts w:ascii="Times New Roman" w:hAnsi="Times New Roman" w:cs="Times New Roman"/>
          <w:b/>
          <w:sz w:val="20"/>
          <w:szCs w:val="20"/>
        </w:rPr>
      </w:pPr>
      <w:r w:rsidRPr="00E84F5A">
        <w:rPr>
          <w:rFonts w:ascii="Times New Roman" w:hAnsi="Times New Roman" w:cs="Times New Roman"/>
          <w:b/>
          <w:sz w:val="20"/>
          <w:szCs w:val="20"/>
        </w:rPr>
        <w:t>Upon completion of the RA procedure the UE continues to monitor PDCCH in this RA-linked DL BWP unless or until a scheduling DCI is received activating a different DL BWP.</w:t>
      </w:r>
    </w:p>
    <w:p w:rsidR="004B2628" w:rsidRPr="002C4EA6" w:rsidRDefault="004B2628" w:rsidP="004B2628">
      <w:pPr>
        <w:pStyle w:val="BodyText"/>
        <w:rPr>
          <w:rFonts w:eastAsia="SimSun"/>
          <w:b/>
          <w:lang w:eastAsia="zh-CN"/>
        </w:rPr>
      </w:pPr>
    </w:p>
    <w:p w:rsidR="002A0246" w:rsidRDefault="001C4333" w:rsidP="002A0246">
      <w:pPr>
        <w:pStyle w:val="Heading2"/>
      </w:pPr>
      <w:r>
        <w:t>BWP activation and scheduling aspects</w:t>
      </w:r>
    </w:p>
    <w:p w:rsidR="001C4333" w:rsidRPr="001C4333" w:rsidRDefault="001C4333" w:rsidP="002D4467">
      <w:pPr>
        <w:jc w:val="both"/>
        <w:rPr>
          <w:b/>
          <w:u w:val="single"/>
        </w:rPr>
      </w:pPr>
      <w:r w:rsidRPr="001C4333">
        <w:rPr>
          <w:b/>
          <w:u w:val="single"/>
        </w:rPr>
        <w:t>DCI format size</w:t>
      </w:r>
    </w:p>
    <w:p w:rsidR="004E4EB9" w:rsidRDefault="0085523F" w:rsidP="001C4333">
      <w:pPr>
        <w:jc w:val="both"/>
      </w:pPr>
      <w:r>
        <w:t>If a UE is configured with multiple DL or UL BWPs in a serving</w:t>
      </w:r>
      <w:r w:rsidR="00DF3813">
        <w:t xml:space="preserve"> cell</w:t>
      </w:r>
      <w:r>
        <w:t>, an inactive DL/UL BWP</w:t>
      </w:r>
      <w:r w:rsidR="00DF3813">
        <w:t xml:space="preserve"> can be activated by a DCI scheduling a DL assignment or UL grant </w:t>
      </w:r>
      <w:r>
        <w:t xml:space="preserve">respectively </w:t>
      </w:r>
      <w:r w:rsidR="004E4EB9">
        <w:t xml:space="preserve">in this </w:t>
      </w:r>
      <w:r>
        <w:t>BWP</w:t>
      </w:r>
      <w:r w:rsidR="00DF3813">
        <w:t xml:space="preserve">. </w:t>
      </w:r>
      <w:r w:rsidR="001C4333">
        <w:t>An open</w:t>
      </w:r>
      <w:r w:rsidR="001C5770">
        <w:t xml:space="preserve"> issue is whether the DCI format size is dependent</w:t>
      </w:r>
      <w:r w:rsidR="001C4333">
        <w:t xml:space="preserve"> on, or independent of, </w:t>
      </w:r>
      <w:r w:rsidR="001C5770">
        <w:t xml:space="preserve">the </w:t>
      </w:r>
      <w:r w:rsidR="001C4333">
        <w:t xml:space="preserve">BW of the </w:t>
      </w:r>
      <w:r w:rsidR="001C5770">
        <w:t>active DL</w:t>
      </w:r>
      <w:r w:rsidR="001C4333">
        <w:t>/</w:t>
      </w:r>
      <w:r w:rsidR="001C5770">
        <w:t xml:space="preserve">UL BWP. </w:t>
      </w:r>
      <w:r w:rsidR="001C4333">
        <w:t xml:space="preserve">This primarily involves the bit width of the frequency domain resource allocation field. </w:t>
      </w:r>
      <w:r w:rsidR="00503D03">
        <w:t xml:space="preserve">If </w:t>
      </w:r>
      <w:r w:rsidR="001C5770">
        <w:t xml:space="preserve">dependent </w:t>
      </w:r>
      <w:r w:rsidR="00503D03">
        <w:t xml:space="preserve">on the BWP size </w:t>
      </w:r>
      <w:r w:rsidR="001C5770">
        <w:t xml:space="preserve">it may lead to increased number of blind decodes as the </w:t>
      </w:r>
      <w:r w:rsidR="00503D03">
        <w:t xml:space="preserve">DCI payload sizes would be different. </w:t>
      </w:r>
      <w:r w:rsidR="001C4333">
        <w:t xml:space="preserve">Making it independent implies </w:t>
      </w:r>
      <w:r w:rsidR="001C4333">
        <w:lastRenderedPageBreak/>
        <w:t xml:space="preserve">an RA field size that is fixed to the largest BWP regardless of which BWP the UE monitors on. </w:t>
      </w:r>
      <w:r w:rsidR="00503D03">
        <w:t>To see the impact of this proposal we consider the frequency domain resource allocation field size using the number of PRBs defined by RAN4 for below 6</w:t>
      </w:r>
      <w:r w:rsidR="000B7B81">
        <w:t xml:space="preserve"> </w:t>
      </w:r>
      <w:r w:rsidR="00503D03">
        <w:t xml:space="preserve">GHz and 15 KHz subcarrier spacing in </w:t>
      </w:r>
      <w:r w:rsidR="00AA22C9">
        <w:fldChar w:fldCharType="begin"/>
      </w:r>
      <w:r w:rsidR="000B7B81">
        <w:instrText xml:space="preserve"> REF _Ref494632892 \n \h </w:instrText>
      </w:r>
      <w:r w:rsidR="00AA22C9">
        <w:fldChar w:fldCharType="separate"/>
      </w:r>
      <w:r w:rsidR="006B7311">
        <w:t>[3]</w:t>
      </w:r>
      <w:r w:rsidR="00AA22C9">
        <w:fldChar w:fldCharType="end"/>
      </w:r>
      <w:r w:rsidR="000B7B81">
        <w:t xml:space="preserve">. </w:t>
      </w:r>
    </w:p>
    <w:p w:rsidR="004E4EB9" w:rsidRDefault="004E4EB9" w:rsidP="002D4467">
      <w:pPr>
        <w:jc w:val="both"/>
      </w:pPr>
    </w:p>
    <w:p w:rsidR="002D4467" w:rsidRDefault="00AA22C9" w:rsidP="002D4467">
      <w:pPr>
        <w:jc w:val="both"/>
      </w:pPr>
      <w:r>
        <w:fldChar w:fldCharType="begin"/>
      </w:r>
      <w:r w:rsidR="0069397A">
        <w:instrText xml:space="preserve"> REF _Ref494633711 \h </w:instrText>
      </w:r>
      <w:r>
        <w:fldChar w:fldCharType="separate"/>
      </w:r>
      <w:r w:rsidR="006B7311">
        <w:t xml:space="preserve">Table </w:t>
      </w:r>
      <w:r w:rsidR="006B7311">
        <w:rPr>
          <w:noProof/>
        </w:rPr>
        <w:t>1</w:t>
      </w:r>
      <w:r>
        <w:fldChar w:fldCharType="end"/>
      </w:r>
      <w:r w:rsidR="0069397A">
        <w:t xml:space="preserve"> shows the required bit widths for the resource allocation field for both </w:t>
      </w:r>
      <w:r w:rsidR="006B7311">
        <w:t xml:space="preserve">RA Type0 and Type 1 for </w:t>
      </w:r>
      <w:r w:rsidR="0069397A">
        <w:t>a carrier bandwidth of 50 MHz</w:t>
      </w:r>
      <w:r w:rsidR="006B7311">
        <w:t>, 15 KHz SCS (total of 270 PRBs</w:t>
      </w:r>
      <w:r w:rsidR="0069397A">
        <w:t>) and different BWP sizes</w:t>
      </w:r>
      <w:r w:rsidR="007F69CB">
        <w:t>, P</w:t>
      </w:r>
      <w:r w:rsidR="0069397A">
        <w:t xml:space="preserve">. The minimum BWP size shown of 25 PRBs matches the minimum carrier BW below 6 GHz. </w:t>
      </w:r>
      <w:r w:rsidR="006B7311">
        <w:t xml:space="preserve">It was agreed to support two configurations for the BWP sizes for different BW ranges. The selected sizes here are based on the design in </w:t>
      </w:r>
      <w:r>
        <w:fldChar w:fldCharType="begin"/>
      </w:r>
      <w:r w:rsidR="006B7311">
        <w:instrText xml:space="preserve"> REF _Ref494633975 \n \h </w:instrText>
      </w:r>
      <w:r>
        <w:fldChar w:fldCharType="separate"/>
      </w:r>
      <w:r w:rsidR="006B7311">
        <w:t>[4]</w:t>
      </w:r>
      <w:r>
        <w:fldChar w:fldCharType="end"/>
      </w:r>
      <w:r w:rsidR="006B7311">
        <w:t xml:space="preserve">, where the objective is to match LTE RA field bit widths as much as possible. </w:t>
      </w:r>
    </w:p>
    <w:p w:rsidR="0069397A" w:rsidRDefault="0069397A" w:rsidP="0069397A">
      <w:pPr>
        <w:pStyle w:val="Caption"/>
        <w:keepNext/>
        <w:jc w:val="center"/>
      </w:pPr>
      <w:bookmarkStart w:id="3" w:name="_Ref494633711"/>
      <w:r>
        <w:t xml:space="preserve">Table </w:t>
      </w:r>
      <w:fldSimple w:instr=" SEQ Table \* ARABIC ">
        <w:r w:rsidR="006B7311">
          <w:rPr>
            <w:noProof/>
          </w:rPr>
          <w:t>1</w:t>
        </w:r>
      </w:fldSimple>
      <w:bookmarkEnd w:id="3"/>
      <w:r>
        <w:t xml:space="preserve"> Required bit width of resource allocation field for different BWP sizes</w:t>
      </w:r>
    </w:p>
    <w:tbl>
      <w:tblPr>
        <w:tblStyle w:val="TableGrid"/>
        <w:tblW w:w="0" w:type="auto"/>
        <w:jc w:val="center"/>
        <w:tblLook w:val="04A0"/>
      </w:tblPr>
      <w:tblGrid>
        <w:gridCol w:w="2008"/>
        <w:gridCol w:w="1327"/>
        <w:gridCol w:w="988"/>
        <w:gridCol w:w="1125"/>
        <w:gridCol w:w="1500"/>
      </w:tblGrid>
      <w:tr w:rsidR="000B7B81" w:rsidTr="0069397A">
        <w:trPr>
          <w:jc w:val="center"/>
        </w:trPr>
        <w:tc>
          <w:tcPr>
            <w:tcW w:w="2008" w:type="dxa"/>
            <w:vMerge w:val="restart"/>
            <w:shd w:val="clear" w:color="auto" w:fill="FBD4B4" w:themeFill="accent6" w:themeFillTint="66"/>
          </w:tcPr>
          <w:p w:rsidR="000B7B81" w:rsidRDefault="000B7B81" w:rsidP="0069397A">
            <w:pPr>
              <w:jc w:val="center"/>
            </w:pPr>
            <w:r>
              <w:t>Carrier BW</w:t>
            </w:r>
          </w:p>
          <w:p w:rsidR="000B7B81" w:rsidRDefault="000B7B81" w:rsidP="0069397A">
            <w:pPr>
              <w:jc w:val="center"/>
            </w:pPr>
            <w:r>
              <w:t>(MHz/N</w:t>
            </w:r>
            <w:r w:rsidRPr="000B7B81">
              <w:rPr>
                <w:vertAlign w:val="subscript"/>
              </w:rPr>
              <w:t>RB</w:t>
            </w:r>
            <w:r>
              <w:t>)</w:t>
            </w:r>
          </w:p>
        </w:tc>
        <w:tc>
          <w:tcPr>
            <w:tcW w:w="1327" w:type="dxa"/>
            <w:vMerge w:val="restart"/>
            <w:shd w:val="clear" w:color="auto" w:fill="FBD4B4" w:themeFill="accent6" w:themeFillTint="66"/>
          </w:tcPr>
          <w:p w:rsidR="000B7B81" w:rsidRDefault="000B7B81" w:rsidP="0069397A">
            <w:pPr>
              <w:jc w:val="center"/>
            </w:pPr>
            <w:r>
              <w:t>BWP size</w:t>
            </w:r>
          </w:p>
          <w:p w:rsidR="000B7B81" w:rsidRDefault="000B7B81" w:rsidP="0069397A">
            <w:pPr>
              <w:jc w:val="center"/>
            </w:pPr>
            <w:r>
              <w:t>(N</w:t>
            </w:r>
            <w:r w:rsidRPr="000B7B81">
              <w:rPr>
                <w:vertAlign w:val="subscript"/>
              </w:rPr>
              <w:t>BWP-RB</w:t>
            </w:r>
            <w:r>
              <w:t>)</w:t>
            </w:r>
          </w:p>
        </w:tc>
        <w:tc>
          <w:tcPr>
            <w:tcW w:w="2113" w:type="dxa"/>
            <w:gridSpan w:val="2"/>
            <w:shd w:val="clear" w:color="auto" w:fill="FBD4B4" w:themeFill="accent6" w:themeFillTint="66"/>
          </w:tcPr>
          <w:p w:rsidR="000B7B81" w:rsidRDefault="006B7311" w:rsidP="006B7311">
            <w:pPr>
              <w:jc w:val="center"/>
            </w:pPr>
            <w:r>
              <w:t>Type0 RA</w:t>
            </w:r>
          </w:p>
        </w:tc>
        <w:tc>
          <w:tcPr>
            <w:tcW w:w="1500" w:type="dxa"/>
            <w:vMerge w:val="restart"/>
            <w:shd w:val="clear" w:color="auto" w:fill="FBD4B4" w:themeFill="accent6" w:themeFillTint="66"/>
          </w:tcPr>
          <w:p w:rsidR="000B7B81" w:rsidRDefault="006B7311" w:rsidP="006B7311">
            <w:pPr>
              <w:jc w:val="center"/>
            </w:pPr>
            <w:r>
              <w:t>Type1 RA</w:t>
            </w:r>
          </w:p>
        </w:tc>
      </w:tr>
      <w:tr w:rsidR="000B7B81" w:rsidTr="0069397A">
        <w:trPr>
          <w:jc w:val="center"/>
        </w:trPr>
        <w:tc>
          <w:tcPr>
            <w:tcW w:w="2008" w:type="dxa"/>
            <w:vMerge/>
          </w:tcPr>
          <w:p w:rsidR="000B7B81" w:rsidRDefault="000B7B81" w:rsidP="0069397A">
            <w:pPr>
              <w:jc w:val="center"/>
            </w:pPr>
          </w:p>
        </w:tc>
        <w:tc>
          <w:tcPr>
            <w:tcW w:w="1327" w:type="dxa"/>
            <w:vMerge/>
          </w:tcPr>
          <w:p w:rsidR="000B7B81" w:rsidRDefault="000B7B81" w:rsidP="0069397A">
            <w:pPr>
              <w:jc w:val="center"/>
            </w:pPr>
          </w:p>
        </w:tc>
        <w:tc>
          <w:tcPr>
            <w:tcW w:w="988" w:type="dxa"/>
            <w:shd w:val="clear" w:color="auto" w:fill="FBD4B4" w:themeFill="accent6" w:themeFillTint="66"/>
          </w:tcPr>
          <w:p w:rsidR="000B7B81" w:rsidRDefault="000B7B81" w:rsidP="0069397A">
            <w:pPr>
              <w:jc w:val="center"/>
            </w:pPr>
            <w:r>
              <w:t>P</w:t>
            </w:r>
          </w:p>
        </w:tc>
        <w:tc>
          <w:tcPr>
            <w:tcW w:w="1125" w:type="dxa"/>
            <w:shd w:val="clear" w:color="auto" w:fill="FBD4B4" w:themeFill="accent6" w:themeFillTint="66"/>
          </w:tcPr>
          <w:p w:rsidR="000B7B81" w:rsidRDefault="00AA22C9" w:rsidP="0069397A">
            <w:pPr>
              <w:jc w:val="center"/>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BWP-RB</m:t>
                            </m:r>
                          </m:sub>
                        </m:sSub>
                      </m:num>
                      <m:den>
                        <m:r>
                          <w:rPr>
                            <w:rFonts w:ascii="Cambria Math" w:hAnsi="Cambria Math"/>
                          </w:rPr>
                          <m:t>P</m:t>
                        </m:r>
                      </m:den>
                    </m:f>
                  </m:e>
                </m:d>
              </m:oMath>
            </m:oMathPara>
          </w:p>
        </w:tc>
        <w:tc>
          <w:tcPr>
            <w:tcW w:w="1500" w:type="dxa"/>
            <w:vMerge/>
          </w:tcPr>
          <w:p w:rsidR="000B7B81" w:rsidRDefault="000B7B81" w:rsidP="0069397A">
            <w:pPr>
              <w:jc w:val="center"/>
            </w:pPr>
          </w:p>
        </w:tc>
      </w:tr>
      <w:tr w:rsidR="000B7B81" w:rsidTr="0069397A">
        <w:trPr>
          <w:jc w:val="center"/>
        </w:trPr>
        <w:tc>
          <w:tcPr>
            <w:tcW w:w="2008" w:type="dxa"/>
            <w:vMerge w:val="restart"/>
          </w:tcPr>
          <w:p w:rsidR="000B7B81" w:rsidRDefault="000B7B81" w:rsidP="0069397A">
            <w:pPr>
              <w:jc w:val="center"/>
            </w:pPr>
            <w:r>
              <w:t>50/270</w:t>
            </w:r>
          </w:p>
        </w:tc>
        <w:tc>
          <w:tcPr>
            <w:tcW w:w="1327" w:type="dxa"/>
          </w:tcPr>
          <w:p w:rsidR="000B7B81" w:rsidRDefault="000B7B81" w:rsidP="0069397A">
            <w:pPr>
              <w:jc w:val="center"/>
            </w:pPr>
            <w:r>
              <w:t>270</w:t>
            </w:r>
          </w:p>
        </w:tc>
        <w:tc>
          <w:tcPr>
            <w:tcW w:w="988" w:type="dxa"/>
          </w:tcPr>
          <w:p w:rsidR="000B7B81" w:rsidRDefault="000B7B81" w:rsidP="0069397A">
            <w:pPr>
              <w:jc w:val="center"/>
            </w:pPr>
            <w:r>
              <w:t>16</w:t>
            </w:r>
          </w:p>
        </w:tc>
        <w:tc>
          <w:tcPr>
            <w:tcW w:w="1125" w:type="dxa"/>
          </w:tcPr>
          <w:p w:rsidR="000B7B81" w:rsidRDefault="000B7B81" w:rsidP="0069397A">
            <w:pPr>
              <w:jc w:val="center"/>
            </w:pPr>
            <w:r>
              <w:t>17</w:t>
            </w:r>
          </w:p>
        </w:tc>
        <w:tc>
          <w:tcPr>
            <w:tcW w:w="1500" w:type="dxa"/>
          </w:tcPr>
          <w:p w:rsidR="000B7B81" w:rsidRDefault="0069397A" w:rsidP="0069397A">
            <w:pPr>
              <w:jc w:val="center"/>
            </w:pPr>
            <w:r>
              <w:t>16</w:t>
            </w:r>
          </w:p>
        </w:tc>
      </w:tr>
      <w:tr w:rsidR="000B7B81" w:rsidTr="0069397A">
        <w:trPr>
          <w:jc w:val="center"/>
        </w:trPr>
        <w:tc>
          <w:tcPr>
            <w:tcW w:w="2008" w:type="dxa"/>
            <w:vMerge/>
          </w:tcPr>
          <w:p w:rsidR="000B7B81" w:rsidRDefault="000B7B81" w:rsidP="0069397A">
            <w:pPr>
              <w:jc w:val="center"/>
            </w:pPr>
          </w:p>
        </w:tc>
        <w:tc>
          <w:tcPr>
            <w:tcW w:w="1327" w:type="dxa"/>
          </w:tcPr>
          <w:p w:rsidR="000B7B81" w:rsidRDefault="000B7B81" w:rsidP="0069397A">
            <w:pPr>
              <w:jc w:val="center"/>
            </w:pPr>
            <w:r>
              <w:t>52</w:t>
            </w:r>
          </w:p>
        </w:tc>
        <w:tc>
          <w:tcPr>
            <w:tcW w:w="988" w:type="dxa"/>
          </w:tcPr>
          <w:p w:rsidR="000B7B81" w:rsidRDefault="000B7B81" w:rsidP="0069397A">
            <w:pPr>
              <w:jc w:val="center"/>
            </w:pPr>
            <w:r>
              <w:t>4</w:t>
            </w:r>
          </w:p>
        </w:tc>
        <w:tc>
          <w:tcPr>
            <w:tcW w:w="1125" w:type="dxa"/>
          </w:tcPr>
          <w:p w:rsidR="000B7B81" w:rsidRDefault="000B7B81" w:rsidP="0069397A">
            <w:pPr>
              <w:jc w:val="center"/>
            </w:pPr>
            <w:r>
              <w:t>13</w:t>
            </w:r>
          </w:p>
        </w:tc>
        <w:tc>
          <w:tcPr>
            <w:tcW w:w="1500" w:type="dxa"/>
          </w:tcPr>
          <w:p w:rsidR="000B7B81" w:rsidRDefault="0069397A" w:rsidP="0069397A">
            <w:pPr>
              <w:jc w:val="center"/>
            </w:pPr>
            <w:r>
              <w:t>11</w:t>
            </w:r>
          </w:p>
        </w:tc>
      </w:tr>
      <w:tr w:rsidR="000B7B81" w:rsidTr="0069397A">
        <w:trPr>
          <w:jc w:val="center"/>
        </w:trPr>
        <w:tc>
          <w:tcPr>
            <w:tcW w:w="2008" w:type="dxa"/>
            <w:vMerge/>
          </w:tcPr>
          <w:p w:rsidR="000B7B81" w:rsidRDefault="000B7B81" w:rsidP="0069397A">
            <w:pPr>
              <w:jc w:val="center"/>
            </w:pPr>
          </w:p>
        </w:tc>
        <w:tc>
          <w:tcPr>
            <w:tcW w:w="1327" w:type="dxa"/>
          </w:tcPr>
          <w:p w:rsidR="000B7B81" w:rsidRDefault="000B7B81" w:rsidP="0069397A">
            <w:pPr>
              <w:jc w:val="center"/>
            </w:pPr>
            <w:r>
              <w:t>25</w:t>
            </w:r>
          </w:p>
        </w:tc>
        <w:tc>
          <w:tcPr>
            <w:tcW w:w="988" w:type="dxa"/>
          </w:tcPr>
          <w:p w:rsidR="000B7B81" w:rsidRDefault="000B7B81" w:rsidP="0069397A">
            <w:pPr>
              <w:jc w:val="center"/>
            </w:pPr>
            <w:r>
              <w:t>2</w:t>
            </w:r>
          </w:p>
        </w:tc>
        <w:tc>
          <w:tcPr>
            <w:tcW w:w="1125" w:type="dxa"/>
          </w:tcPr>
          <w:p w:rsidR="000B7B81" w:rsidRDefault="000B7B81" w:rsidP="0069397A">
            <w:pPr>
              <w:jc w:val="center"/>
            </w:pPr>
            <w:r>
              <w:t>13</w:t>
            </w:r>
          </w:p>
        </w:tc>
        <w:tc>
          <w:tcPr>
            <w:tcW w:w="1500" w:type="dxa"/>
          </w:tcPr>
          <w:p w:rsidR="000B7B81" w:rsidRDefault="0069397A" w:rsidP="0069397A">
            <w:pPr>
              <w:jc w:val="center"/>
            </w:pPr>
            <w:r>
              <w:t>9</w:t>
            </w:r>
          </w:p>
        </w:tc>
      </w:tr>
    </w:tbl>
    <w:p w:rsidR="000B7B81" w:rsidRDefault="000B7B81" w:rsidP="0069397A">
      <w:pPr>
        <w:jc w:val="center"/>
      </w:pPr>
    </w:p>
    <w:p w:rsidR="00C55815" w:rsidRDefault="007F69CB" w:rsidP="003E382E">
      <w:pPr>
        <w:jc w:val="both"/>
      </w:pPr>
      <w:r>
        <w:t>It can be seen for Type0 RA that even when P = 16</w:t>
      </w:r>
      <w:r w:rsidR="00E203C8">
        <w:t xml:space="preserve"> is used to reduce the </w:t>
      </w:r>
      <w:r>
        <w:t xml:space="preserve">RA field </w:t>
      </w:r>
      <w:r w:rsidR="00E203C8">
        <w:t xml:space="preserve">bit width there would be an increase of 4 bits for a DCI scheduled on the smaller BWP of 25 PRBs. For </w:t>
      </w:r>
      <w:r>
        <w:t xml:space="preserve">Type1 RA </w:t>
      </w:r>
      <w:r w:rsidR="00E203C8">
        <w:t xml:space="preserve">it is even worse as 7 additional bits have to be supported. </w:t>
      </w:r>
      <w:r>
        <w:t xml:space="preserve">It should be noted that the issue of maintaining same DCI format size can be mitigated for Type0 by designing one of the two RBG configurations with similar RBG sizes for typical BWP sizes. Such a solution would not work for Type1 but as observed in </w:t>
      </w:r>
      <w:r w:rsidR="00AA22C9">
        <w:fldChar w:fldCharType="begin"/>
      </w:r>
      <w:r>
        <w:instrText xml:space="preserve"> REF _Ref494633711 \h </w:instrText>
      </w:r>
      <w:r w:rsidR="00AA22C9">
        <w:fldChar w:fldCharType="separate"/>
      </w:r>
      <w:r>
        <w:t xml:space="preserve">Table </w:t>
      </w:r>
      <w:r>
        <w:rPr>
          <w:noProof/>
        </w:rPr>
        <w:t>1</w:t>
      </w:r>
      <w:r w:rsidR="00AA22C9">
        <w:fldChar w:fldCharType="end"/>
      </w:r>
      <w:r>
        <w:t xml:space="preserve"> DCI overhead penalty is prohibitive.</w:t>
      </w:r>
    </w:p>
    <w:p w:rsidR="00E203C8" w:rsidRDefault="00E203C8" w:rsidP="003E382E">
      <w:pPr>
        <w:jc w:val="both"/>
      </w:pPr>
      <w:r>
        <w:t xml:space="preserve"> </w:t>
      </w:r>
    </w:p>
    <w:p w:rsidR="003E382E" w:rsidRDefault="0069397A" w:rsidP="003E382E">
      <w:pPr>
        <w:jc w:val="both"/>
      </w:pPr>
      <w:r>
        <w:t xml:space="preserve">In </w:t>
      </w:r>
      <w:r w:rsidR="00AA22C9">
        <w:fldChar w:fldCharType="begin"/>
      </w:r>
      <w:r>
        <w:instrText xml:space="preserve"> REF _Ref494633975 \n \h </w:instrText>
      </w:r>
      <w:r w:rsidR="00AA22C9">
        <w:fldChar w:fldCharType="separate"/>
      </w:r>
      <w:r w:rsidR="006B7311">
        <w:t>[4]</w:t>
      </w:r>
      <w:r w:rsidR="00AA22C9">
        <w:fldChar w:fldCharType="end"/>
      </w:r>
      <w:r>
        <w:t xml:space="preserve"> we propose</w:t>
      </w:r>
      <w:r w:rsidR="00C55815">
        <w:t>d</w:t>
      </w:r>
      <w:r>
        <w:t xml:space="preserve"> a</w:t>
      </w:r>
      <w:r w:rsidR="00C55815">
        <w:t>n alternative</w:t>
      </w:r>
      <w:r>
        <w:t xml:space="preserve"> solution where the DCI format </w:t>
      </w:r>
      <w:r w:rsidR="00C93B5D">
        <w:t xml:space="preserve">size </w:t>
      </w:r>
      <w:r w:rsidR="00920CDD">
        <w:t xml:space="preserve">depends on the BW of the BWP where a scheduling DCI is </w:t>
      </w:r>
      <w:r w:rsidR="00C93B5D">
        <w:t>received</w:t>
      </w:r>
      <w:r>
        <w:t xml:space="preserve">. </w:t>
      </w:r>
      <w:r w:rsidR="00C55815">
        <w:t xml:space="preserve">To avoid an increase in the number of blind decodes, the UE can interpret the RA field based on the scheduled BWP. </w:t>
      </w:r>
      <w:r>
        <w:t xml:space="preserve">For </w:t>
      </w:r>
      <w:r w:rsidR="00C93B5D">
        <w:t xml:space="preserve">example, for </w:t>
      </w:r>
      <w:r>
        <w:t xml:space="preserve">a transition from a small BWP to a larger BWP, the UE interprets the RA field as being only the LSBs of the required RA field </w:t>
      </w:r>
      <w:r w:rsidR="00C93B5D">
        <w:t>for scheduling</w:t>
      </w:r>
      <w:r>
        <w:t xml:space="preserve"> the larger BWP. The scheduling restriction is not considered </w:t>
      </w:r>
      <w:r w:rsidR="00C93B5D">
        <w:t>an issue as the UE may not have performed CSI measurements on the target BWP and the gNB may start off with a small resource allocation.</w:t>
      </w:r>
      <w:r w:rsidR="00C55815" w:rsidRPr="00C55815">
        <w:t xml:space="preserve"> </w:t>
      </w:r>
      <w:r w:rsidR="00FE14B4">
        <w:t xml:space="preserve">This is also the subject of separate discussion in a subsequent section. </w:t>
      </w:r>
      <w:r w:rsidR="00C55815">
        <w:t xml:space="preserve">More details </w:t>
      </w:r>
      <w:r w:rsidR="00FE14B4">
        <w:t xml:space="preserve">on this proposal </w:t>
      </w:r>
      <w:r w:rsidR="00C55815">
        <w:t xml:space="preserve">are provided in </w:t>
      </w:r>
      <w:r w:rsidR="00AA22C9">
        <w:fldChar w:fldCharType="begin"/>
      </w:r>
      <w:r w:rsidR="00C55815">
        <w:instrText xml:space="preserve"> REF _Ref494633975 \n \h </w:instrText>
      </w:r>
      <w:r w:rsidR="00AA22C9">
        <w:fldChar w:fldCharType="separate"/>
      </w:r>
      <w:r w:rsidR="006B7311">
        <w:t>[4]</w:t>
      </w:r>
      <w:r w:rsidR="00AA22C9">
        <w:fldChar w:fldCharType="end"/>
      </w:r>
      <w:r w:rsidR="00C55815">
        <w:t>.</w:t>
      </w:r>
    </w:p>
    <w:p w:rsidR="00C93B5D" w:rsidRDefault="00C93B5D" w:rsidP="003E382E">
      <w:pPr>
        <w:jc w:val="both"/>
      </w:pPr>
    </w:p>
    <w:p w:rsidR="00C93B5D" w:rsidRDefault="00FE14B4" w:rsidP="003E382E">
      <w:pPr>
        <w:jc w:val="both"/>
        <w:rPr>
          <w:b/>
        </w:rPr>
      </w:pPr>
      <w:r>
        <w:rPr>
          <w:b/>
        </w:rPr>
        <w:t>Proposal</w:t>
      </w:r>
      <w:r w:rsidR="00C93B5D" w:rsidRPr="00C93B5D">
        <w:rPr>
          <w:b/>
        </w:rPr>
        <w:t xml:space="preserve">: The DCI format size </w:t>
      </w:r>
      <w:r>
        <w:rPr>
          <w:b/>
        </w:rPr>
        <w:t>corresponding to a PDCCH received in a search space on the active DL BWP depends on the BW of the active DL or UL BWP.</w:t>
      </w:r>
    </w:p>
    <w:p w:rsidR="009777F8" w:rsidRDefault="009777F8" w:rsidP="003E382E">
      <w:pPr>
        <w:jc w:val="both"/>
        <w:rPr>
          <w:b/>
        </w:rPr>
      </w:pPr>
    </w:p>
    <w:p w:rsidR="00A04E8D" w:rsidRDefault="00A04E8D" w:rsidP="003E382E">
      <w:pPr>
        <w:jc w:val="both"/>
        <w:rPr>
          <w:b/>
          <w:u w:val="single"/>
        </w:rPr>
      </w:pPr>
    </w:p>
    <w:p w:rsidR="00A04E8D" w:rsidRPr="00A04E8D" w:rsidRDefault="00A04E8D" w:rsidP="003E382E">
      <w:pPr>
        <w:jc w:val="both"/>
        <w:rPr>
          <w:b/>
          <w:u w:val="single"/>
        </w:rPr>
      </w:pPr>
      <w:r>
        <w:rPr>
          <w:b/>
          <w:u w:val="single"/>
        </w:rPr>
        <w:t>Timer-based DL BWP activation</w:t>
      </w:r>
    </w:p>
    <w:p w:rsidR="00790CE6" w:rsidRDefault="00311599" w:rsidP="00406CCE">
      <w:pPr>
        <w:jc w:val="both"/>
      </w:pPr>
      <w:r w:rsidRPr="00311599">
        <w:t xml:space="preserve">It was </w:t>
      </w:r>
      <w:r>
        <w:t xml:space="preserve">agreed to support a dedicated timer to switch from a non-default DL BWP to the default DL BWP upon expiration of the timer. It was also agreed that a UE resets the timer when it receives a PDCCH scheduling a PDSCH in the active DL BWP. Other conditions for resetting the timer may be needed. For instance, DL SPS is not associated with a PDCCH but clearly shows that the </w:t>
      </w:r>
      <w:r w:rsidR="00790CE6">
        <w:t>UE should continue receiving data in the active BWP. For TDD (unpaired spectrum) the timer should also be reset when an UL grant is received given that both DL and UL BWPs are switched to the default BWP pair upon timer expiry</w:t>
      </w:r>
      <w:r>
        <w:t>.</w:t>
      </w:r>
    </w:p>
    <w:p w:rsidR="00790CE6" w:rsidRDefault="00790CE6" w:rsidP="00406CCE">
      <w:pPr>
        <w:jc w:val="both"/>
      </w:pPr>
    </w:p>
    <w:p w:rsidR="00790CE6" w:rsidRPr="00504311" w:rsidRDefault="00790CE6" w:rsidP="00406CCE">
      <w:pPr>
        <w:jc w:val="both"/>
        <w:rPr>
          <w:b/>
        </w:rPr>
      </w:pPr>
      <w:r w:rsidRPr="00504311">
        <w:rPr>
          <w:b/>
        </w:rPr>
        <w:t>Proposal: in addition to reception of a PDCCH scheduling PDSCH a UE resets the timer for the following scenarios</w:t>
      </w:r>
    </w:p>
    <w:p w:rsidR="00332659" w:rsidRPr="00504311" w:rsidRDefault="00790CE6" w:rsidP="00790CE6">
      <w:pPr>
        <w:pStyle w:val="ListParagraph"/>
        <w:numPr>
          <w:ilvl w:val="0"/>
          <w:numId w:val="40"/>
        </w:numPr>
        <w:ind w:firstLineChars="0"/>
        <w:jc w:val="both"/>
        <w:rPr>
          <w:rFonts w:ascii="Times New Roman" w:hAnsi="Times New Roman" w:cs="Times New Roman"/>
          <w:b/>
          <w:sz w:val="20"/>
        </w:rPr>
      </w:pPr>
      <w:r w:rsidRPr="00504311">
        <w:rPr>
          <w:rFonts w:ascii="Times New Roman" w:hAnsi="Times New Roman" w:cs="Times New Roman"/>
          <w:b/>
          <w:sz w:val="20"/>
        </w:rPr>
        <w:t>At the start of a DL SPS occasion when DL SPS is configured in the active DL BWP</w:t>
      </w:r>
    </w:p>
    <w:p w:rsidR="00790CE6" w:rsidRPr="00504311" w:rsidRDefault="00790CE6" w:rsidP="00790CE6">
      <w:pPr>
        <w:pStyle w:val="ListParagraph"/>
        <w:numPr>
          <w:ilvl w:val="0"/>
          <w:numId w:val="40"/>
        </w:numPr>
        <w:ind w:firstLineChars="0"/>
        <w:jc w:val="both"/>
        <w:rPr>
          <w:rFonts w:ascii="Times New Roman" w:hAnsi="Times New Roman" w:cs="Times New Roman"/>
          <w:b/>
          <w:sz w:val="20"/>
        </w:rPr>
      </w:pPr>
      <w:r w:rsidRPr="00504311">
        <w:rPr>
          <w:rFonts w:ascii="Times New Roman" w:hAnsi="Times New Roman" w:cs="Times New Roman"/>
          <w:b/>
          <w:sz w:val="20"/>
        </w:rPr>
        <w:t>When an UL grant is received for the UL BWP in a DL/UL BWP pair</w:t>
      </w:r>
    </w:p>
    <w:p w:rsidR="001C4333" w:rsidRDefault="001C4333" w:rsidP="00406CCE">
      <w:pPr>
        <w:jc w:val="both"/>
        <w:rPr>
          <w:b/>
        </w:rPr>
      </w:pPr>
    </w:p>
    <w:p w:rsidR="00172296" w:rsidRDefault="00172296" w:rsidP="00406CCE">
      <w:pPr>
        <w:jc w:val="both"/>
        <w:rPr>
          <w:b/>
        </w:rPr>
      </w:pPr>
    </w:p>
    <w:p w:rsidR="00172296" w:rsidRDefault="000607B5" w:rsidP="00406CCE">
      <w:pPr>
        <w:jc w:val="both"/>
        <w:rPr>
          <w:b/>
          <w:u w:val="single"/>
        </w:rPr>
      </w:pPr>
      <w:r>
        <w:rPr>
          <w:b/>
          <w:u w:val="single"/>
        </w:rPr>
        <w:t xml:space="preserve">On inter-BWP </w:t>
      </w:r>
      <w:r w:rsidR="00172296" w:rsidRPr="00172296">
        <w:rPr>
          <w:b/>
          <w:u w:val="single"/>
        </w:rPr>
        <w:t>CSI measurements</w:t>
      </w:r>
    </w:p>
    <w:p w:rsidR="00172296" w:rsidRDefault="000607B5" w:rsidP="00406CCE">
      <w:pPr>
        <w:jc w:val="both"/>
      </w:pPr>
      <w:r>
        <w:t>An open issue is whether the general agreement on measurements as shown below applies to CSI measurements across BWPs.</w:t>
      </w:r>
    </w:p>
    <w:p w:rsidR="000607B5" w:rsidRPr="000607B5" w:rsidRDefault="000607B5" w:rsidP="00406CCE">
      <w:pPr>
        <w:jc w:val="both"/>
      </w:pPr>
    </w:p>
    <w:p w:rsidR="000607B5" w:rsidRDefault="000607B5" w:rsidP="000607B5">
      <w:r>
        <w:rPr>
          <w:b/>
          <w:bCs/>
          <w:highlight w:val="green"/>
          <w:u w:val="single"/>
        </w:rPr>
        <w:t>Agreements:</w:t>
      </w:r>
    </w:p>
    <w:p w:rsidR="000607B5" w:rsidRDefault="000607B5" w:rsidP="000607B5">
      <w:pPr>
        <w:ind w:left="720" w:hanging="360"/>
      </w:pPr>
      <w:r>
        <w:rPr>
          <w:rFonts w:ascii="Arial" w:hAnsi="Arial" w:cs="Arial"/>
        </w:rPr>
        <w:t>•</w:t>
      </w:r>
      <w:r>
        <w:rPr>
          <w:sz w:val="14"/>
          <w:szCs w:val="14"/>
        </w:rPr>
        <w:t xml:space="preserve">        </w:t>
      </w:r>
      <w:r>
        <w:t>When a UE performs measurement or transmit SRS outside of its active BWP, it is considered as a measurement gap</w:t>
      </w:r>
    </w:p>
    <w:p w:rsidR="000607B5" w:rsidRDefault="000607B5" w:rsidP="000607B5">
      <w:pPr>
        <w:ind w:left="1440" w:hanging="360"/>
      </w:pPr>
      <w:r>
        <w:rPr>
          <w:rFonts w:ascii="Arial" w:hAnsi="Arial" w:cs="Arial"/>
        </w:rPr>
        <w:t>–</w:t>
      </w:r>
      <w:r>
        <w:rPr>
          <w:sz w:val="14"/>
          <w:szCs w:val="14"/>
        </w:rPr>
        <w:t xml:space="preserve">       </w:t>
      </w:r>
      <w:r>
        <w:t>FFS: details of measurement gap configuration</w:t>
      </w:r>
    </w:p>
    <w:p w:rsidR="000607B5" w:rsidRDefault="000607B5" w:rsidP="000607B5">
      <w:pPr>
        <w:ind w:left="1440" w:hanging="360"/>
      </w:pPr>
      <w:r>
        <w:rPr>
          <w:rFonts w:ascii="Arial" w:hAnsi="Arial" w:cs="Arial"/>
        </w:rPr>
        <w:t>–</w:t>
      </w:r>
      <w:r>
        <w:rPr>
          <w:sz w:val="14"/>
          <w:szCs w:val="14"/>
        </w:rPr>
        <w:t xml:space="preserve">       </w:t>
      </w:r>
      <w:r>
        <w:t>During the measurement gap, UE is not expected to monitor CORESET</w:t>
      </w:r>
    </w:p>
    <w:p w:rsidR="000607B5" w:rsidRDefault="000607B5" w:rsidP="00406CCE">
      <w:pPr>
        <w:jc w:val="both"/>
        <w:rPr>
          <w:u w:val="single"/>
        </w:rPr>
      </w:pPr>
    </w:p>
    <w:p w:rsidR="000607B5" w:rsidRDefault="000607B5" w:rsidP="00406CCE">
      <w:pPr>
        <w:jc w:val="both"/>
      </w:pPr>
      <w:r w:rsidRPr="000607B5">
        <w:lastRenderedPageBreak/>
        <w:t xml:space="preserve">During offline discussions </w:t>
      </w:r>
      <w:r>
        <w:t>two alternatives were summarized as follows:</w:t>
      </w:r>
    </w:p>
    <w:p w:rsidR="000607B5" w:rsidRPr="000607B5" w:rsidRDefault="000607B5" w:rsidP="000607B5">
      <w:pPr>
        <w:numPr>
          <w:ilvl w:val="0"/>
          <w:numId w:val="41"/>
        </w:numPr>
        <w:jc w:val="both"/>
      </w:pPr>
      <w:r>
        <w:t xml:space="preserve">Alt. 1: </w:t>
      </w:r>
      <w:r w:rsidRPr="000607B5">
        <w:t>A UE can perform CSI measurement outside of its active BWP via a measurement gap configuration</w:t>
      </w:r>
    </w:p>
    <w:p w:rsidR="000607B5" w:rsidRPr="000607B5" w:rsidRDefault="000607B5" w:rsidP="000607B5">
      <w:pPr>
        <w:numPr>
          <w:ilvl w:val="1"/>
          <w:numId w:val="41"/>
        </w:numPr>
        <w:jc w:val="both"/>
      </w:pPr>
      <w:r w:rsidRPr="000607B5">
        <w:t>All CSI-RS configurations must be confined in configured (not necessarily active) BWPs</w:t>
      </w:r>
    </w:p>
    <w:p w:rsidR="000607B5" w:rsidRPr="000607B5" w:rsidRDefault="000607B5" w:rsidP="000607B5">
      <w:pPr>
        <w:numPr>
          <w:ilvl w:val="1"/>
          <w:numId w:val="41"/>
        </w:numPr>
        <w:jc w:val="both"/>
      </w:pPr>
      <w:r w:rsidRPr="000607B5">
        <w:t>FFS: details of measurement gap configuration</w:t>
      </w:r>
    </w:p>
    <w:p w:rsidR="000607B5" w:rsidRPr="000607B5" w:rsidRDefault="000607B5" w:rsidP="000607B5">
      <w:pPr>
        <w:numPr>
          <w:ilvl w:val="1"/>
          <w:numId w:val="41"/>
        </w:numPr>
        <w:jc w:val="both"/>
      </w:pPr>
      <w:r w:rsidRPr="000607B5">
        <w:t xml:space="preserve">During the measurement gap, UE is not expected to monitor </w:t>
      </w:r>
      <w:r w:rsidR="00BC25B9">
        <w:t>for PDCCH in the active BWP</w:t>
      </w:r>
    </w:p>
    <w:p w:rsidR="000607B5" w:rsidRPr="000607B5" w:rsidRDefault="000607B5" w:rsidP="00BC25B9">
      <w:pPr>
        <w:numPr>
          <w:ilvl w:val="0"/>
          <w:numId w:val="41"/>
        </w:numPr>
        <w:jc w:val="both"/>
      </w:pPr>
      <w:r w:rsidRPr="000607B5">
        <w:t>Alt. 2</w:t>
      </w:r>
      <w:r w:rsidR="00BC25B9">
        <w:t xml:space="preserve">: </w:t>
      </w:r>
      <w:r w:rsidRPr="000607B5">
        <w:t>A UE can only perform CSI measurement within its active BWP</w:t>
      </w:r>
    </w:p>
    <w:p w:rsidR="000607B5" w:rsidRPr="000607B5" w:rsidRDefault="000607B5" w:rsidP="00BC25B9">
      <w:pPr>
        <w:numPr>
          <w:ilvl w:val="1"/>
          <w:numId w:val="41"/>
        </w:numPr>
        <w:jc w:val="both"/>
      </w:pPr>
      <w:r w:rsidRPr="000607B5">
        <w:t>The CSI measurement outside of the current active BWP is performed via BWP switching.</w:t>
      </w:r>
    </w:p>
    <w:p w:rsidR="000607B5" w:rsidRDefault="000607B5" w:rsidP="00406CCE">
      <w:pPr>
        <w:jc w:val="both"/>
      </w:pPr>
    </w:p>
    <w:p w:rsidR="00F0527C" w:rsidRDefault="00F0527C" w:rsidP="00F0527C">
      <w:pPr>
        <w:jc w:val="both"/>
      </w:pPr>
      <w:r>
        <w:t>First the motivation for performing CSI measurements in an inactive BWP should be addressed. For the use case of BW adaptation for energy savings, the UE may be activated on a larger BWP from a smaller BWP when heavy DL data arrives at the network. For this case the network would switch the UE to the larger BWP regardless of the availability of CSI before the switch. The gNB would likely be conservative in the scheduling assignment carrying the activation indication. Alternatively, and similar to scheduling in high speed deployment scenarios, the gNB w</w:t>
      </w:r>
      <w:r w:rsidRPr="00F0527C">
        <w:t xml:space="preserve">ill </w:t>
      </w:r>
      <w:r>
        <w:t xml:space="preserve">likely use </w:t>
      </w:r>
      <w:r w:rsidRPr="00F0527C">
        <w:t>frequency distributed scheduling</w:t>
      </w:r>
      <w:r>
        <w:t xml:space="preserve"> since CSI is either not available or is outdated as may be the case with periodic-CSI measurements</w:t>
      </w:r>
      <w:r w:rsidRPr="00F0527C">
        <w:t xml:space="preserve">. </w:t>
      </w:r>
      <w:r>
        <w:t xml:space="preserve">Therefore, Alt. 2 is sufficient for this use case. </w:t>
      </w:r>
    </w:p>
    <w:p w:rsidR="00F0527C" w:rsidRDefault="00F0527C" w:rsidP="00F0527C">
      <w:pPr>
        <w:jc w:val="both"/>
      </w:pPr>
    </w:p>
    <w:p w:rsidR="00F0527C" w:rsidRPr="00F0527C" w:rsidRDefault="00E84F5A" w:rsidP="00F0527C">
      <w:pPr>
        <w:jc w:val="both"/>
      </w:pPr>
      <w:r>
        <w:t xml:space="preserve">A different BWP use case is where a UE supporting a wideband carrier is configured to operate on a smaller BWP at any one time. This case has also been called </w:t>
      </w:r>
      <w:r w:rsidRPr="00E84F5A">
        <w:rPr>
          <w:i/>
        </w:rPr>
        <w:t>virtual CA</w:t>
      </w:r>
      <w:r>
        <w:t xml:space="preserve"> where each BWP represents a so-called serving cell. In this case an argument can be made that the gNB may want to receive CSI measurements for an inactive BWP to determine whether to activate a different BWP for the UE. In this case Alt. 1 provides a measurement gap to facilitate such a measurement. This benefit does not come for free for BWP operation. Firstly, a measurement gap is also a scheduling gap as the UE cannot be scheduled within the measurement period. </w:t>
      </w:r>
      <w:r w:rsidR="00791CD9">
        <w:t>If periodic CSI measurements are required, it means a periodic occurrence of these measurement gaps which is not desirable. A more efficient solution would be to schedule the UE for aperiodic CSI measurement on a target BWP. The UE may then be re-activated on the previous BWP either autonomously or by a scheduling DCI. This is somewhat equivalent to Alt. 2 and so it is sufficient for both cases to adopt Alt. 2.</w:t>
      </w:r>
    </w:p>
    <w:p w:rsidR="00F0527C" w:rsidRDefault="00F0527C" w:rsidP="00406CCE">
      <w:pPr>
        <w:jc w:val="both"/>
      </w:pPr>
    </w:p>
    <w:p w:rsidR="00DE55DD" w:rsidRDefault="00DE55DD" w:rsidP="00406CCE">
      <w:pPr>
        <w:jc w:val="both"/>
        <w:rPr>
          <w:b/>
        </w:rPr>
      </w:pPr>
      <w:r w:rsidRPr="00DE55DD">
        <w:rPr>
          <w:b/>
        </w:rPr>
        <w:t>Proposal: a UE only perform CSI measurements within the active DL BWP.</w:t>
      </w:r>
    </w:p>
    <w:p w:rsidR="00553A6E" w:rsidRDefault="00553A6E" w:rsidP="00406CCE">
      <w:pPr>
        <w:jc w:val="both"/>
        <w:rPr>
          <w:b/>
        </w:rPr>
      </w:pPr>
    </w:p>
    <w:p w:rsidR="00553A6E" w:rsidRDefault="00553A6E" w:rsidP="00406CCE">
      <w:pPr>
        <w:jc w:val="both"/>
        <w:rPr>
          <w:b/>
        </w:rPr>
      </w:pPr>
    </w:p>
    <w:p w:rsidR="00AA22C9" w:rsidRDefault="00553A6E">
      <w:pPr>
        <w:pStyle w:val="Heading2"/>
      </w:pPr>
      <w:r>
        <w:t xml:space="preserve">DCI with “zero” assignment </w:t>
      </w:r>
    </w:p>
    <w:p w:rsidR="00553A6E" w:rsidRDefault="00553A6E" w:rsidP="00553A6E">
      <w:pPr>
        <w:pStyle w:val="BodyText"/>
      </w:pPr>
      <w:r>
        <w:t xml:space="preserve">The active BWP switching by DCI </w:t>
      </w:r>
      <w:r w:rsidR="00D33B0F">
        <w:t xml:space="preserve">is </w:t>
      </w:r>
      <w:r>
        <w:t>intend</w:t>
      </w:r>
      <w:r w:rsidR="00D33B0F">
        <w:t>ed</w:t>
      </w:r>
      <w:r>
        <w:t xml:space="preserve"> </w:t>
      </w:r>
      <w:r w:rsidR="00D33B0F">
        <w:t xml:space="preserve">for a fast </w:t>
      </w:r>
      <w:r>
        <w:t xml:space="preserve">transition time </w:t>
      </w:r>
      <w:r w:rsidR="00D33B0F">
        <w:t xml:space="preserve">when activating one </w:t>
      </w:r>
      <w:r>
        <w:t xml:space="preserve">BWP </w:t>
      </w:r>
      <w:r w:rsidR="00D33B0F">
        <w:t>from</w:t>
      </w:r>
      <w:r>
        <w:t xml:space="preserve"> another BWP. Although active BWP could be switched fast, the newly active BWP m</w:t>
      </w:r>
      <w:r w:rsidR="00D33B0F">
        <w:t>ay not be used to schedule PDSCH or PUSCH or at least not immediately</w:t>
      </w:r>
      <w:r>
        <w:t xml:space="preserve">. </w:t>
      </w:r>
      <w:r w:rsidR="00D33B0F">
        <w:t>For instance, w</w:t>
      </w:r>
      <w:r>
        <w:t xml:space="preserve">hen an active DL BWP is switched, </w:t>
      </w:r>
      <w:r w:rsidR="00D33B0F">
        <w:t xml:space="preserve">the </w:t>
      </w:r>
      <w:r>
        <w:t xml:space="preserve">UE needs to perform channel tracking </w:t>
      </w:r>
      <w:r w:rsidR="00D33B0F">
        <w:t>in</w:t>
      </w:r>
      <w:r>
        <w:t xml:space="preserve"> the newly activated BWP unless th</w:t>
      </w:r>
      <w:r w:rsidR="00D33B0F">
        <w:t xml:space="preserve">is </w:t>
      </w:r>
      <w:r>
        <w:t>BWP has the same large channel properties as th</w:t>
      </w:r>
      <w:r w:rsidR="00D33B0F">
        <w:t xml:space="preserve">e previously active </w:t>
      </w:r>
      <w:r>
        <w:t xml:space="preserve">BWP. </w:t>
      </w:r>
      <w:r w:rsidR="00302D0C">
        <w:t>The time needed</w:t>
      </w:r>
      <w:r>
        <w:t xml:space="preserve"> to </w:t>
      </w:r>
      <w:r w:rsidR="00302D0C">
        <w:t xml:space="preserve">get reliable timing and frequency offset information </w:t>
      </w:r>
      <w:r w:rsidR="00D33B0F">
        <w:t xml:space="preserve">of the channel may range from a </w:t>
      </w:r>
      <w:r w:rsidR="00302D0C">
        <w:t xml:space="preserve">few to tens of slots. </w:t>
      </w:r>
      <w:r w:rsidR="00D33B0F">
        <w:t xml:space="preserve">The </w:t>
      </w:r>
      <w:r w:rsidR="00302D0C">
        <w:t xml:space="preserve">UE would perform channel measurements such as RRM and CSI measurements. Additional time is </w:t>
      </w:r>
      <w:r w:rsidR="00D33B0F">
        <w:t xml:space="preserve">also </w:t>
      </w:r>
      <w:r w:rsidR="00302D0C">
        <w:t xml:space="preserve">needed to get reliable CSI measurement. The front end processing time would require a few ms to tens of ms before the new activated BWP being used for PDSCH transmission with link adaptation. </w:t>
      </w:r>
      <w:r w:rsidR="00D33B0F">
        <w:t>A</w:t>
      </w:r>
      <w:r w:rsidR="00302D0C">
        <w:t xml:space="preserve"> DCI with “zero” assignment would allow the gNB to switch </w:t>
      </w:r>
      <w:r w:rsidR="00D33B0F">
        <w:t xml:space="preserve">the </w:t>
      </w:r>
      <w:r w:rsidR="00302D0C">
        <w:t xml:space="preserve">BWP in advance and in preparation of scheduling PDSCH or PUSCH transmission.  </w:t>
      </w:r>
    </w:p>
    <w:p w:rsidR="00302D0C" w:rsidRPr="00302D0C" w:rsidRDefault="00302D0C" w:rsidP="00553A6E">
      <w:pPr>
        <w:pStyle w:val="BodyText"/>
        <w:rPr>
          <w:b/>
        </w:rPr>
      </w:pPr>
      <w:r>
        <w:rPr>
          <w:b/>
        </w:rPr>
        <w:t xml:space="preserve">Proposal:  </w:t>
      </w:r>
      <w:r w:rsidRPr="00302D0C">
        <w:rPr>
          <w:b/>
        </w:rPr>
        <w:t xml:space="preserve">DCI with “zero” assignment would allow the gNB to switch BWP in advance and in preparation of scheduling PDSCH or PUSCH transmission.  </w:t>
      </w:r>
    </w:p>
    <w:p w:rsidR="00553A6E" w:rsidRPr="00DE55DD" w:rsidRDefault="00553A6E" w:rsidP="00406CCE">
      <w:pPr>
        <w:jc w:val="both"/>
        <w:rPr>
          <w:b/>
        </w:rPr>
      </w:pP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8054F9">
        <w:rPr>
          <w:rFonts w:eastAsia="SimSun"/>
          <w:lang w:eastAsia="zh-CN"/>
        </w:rPr>
        <w:t xml:space="preserve">several </w:t>
      </w:r>
      <w:r w:rsidR="00EE7AE9">
        <w:rPr>
          <w:rFonts w:eastAsia="SimSun"/>
          <w:lang w:eastAsia="zh-CN"/>
        </w:rPr>
        <w:t>open issues for BWP operation. The proposals are summarized below</w:t>
      </w:r>
      <w:r w:rsidR="008054F9">
        <w:rPr>
          <w:rFonts w:eastAsia="SimSun"/>
          <w:lang w:eastAsia="zh-CN"/>
        </w:rPr>
        <w:t>:</w:t>
      </w:r>
    </w:p>
    <w:p w:rsidR="006C1421" w:rsidRPr="00E84F5A" w:rsidRDefault="006C1421" w:rsidP="006C1421">
      <w:pPr>
        <w:jc w:val="both"/>
        <w:rPr>
          <w:rFonts w:eastAsia="SimSun"/>
          <w:b/>
          <w:lang w:eastAsia="zh-CN"/>
        </w:rPr>
      </w:pPr>
      <w:r w:rsidRPr="00E84F5A">
        <w:rPr>
          <w:rFonts w:eastAsia="SimSun"/>
          <w:b/>
          <w:lang w:eastAsia="zh-CN"/>
        </w:rPr>
        <w:t>Proposal: regarding RA configuration and procedure</w:t>
      </w:r>
    </w:p>
    <w:p w:rsidR="006C1421" w:rsidRPr="00E84F5A" w:rsidRDefault="006C1421" w:rsidP="006C1421">
      <w:pPr>
        <w:pStyle w:val="ListParagraph"/>
        <w:numPr>
          <w:ilvl w:val="0"/>
          <w:numId w:val="42"/>
        </w:numPr>
        <w:ind w:firstLineChars="0"/>
        <w:jc w:val="both"/>
        <w:rPr>
          <w:rFonts w:ascii="Times New Roman" w:hAnsi="Times New Roman" w:cs="Times New Roman"/>
          <w:b/>
          <w:sz w:val="20"/>
          <w:szCs w:val="20"/>
        </w:rPr>
      </w:pPr>
      <w:r w:rsidRPr="00E84F5A">
        <w:rPr>
          <w:rFonts w:ascii="Times New Roman" w:hAnsi="Times New Roman" w:cs="Times New Roman"/>
          <w:b/>
          <w:sz w:val="20"/>
          <w:szCs w:val="20"/>
        </w:rPr>
        <w:t>A UE may be configured for PRACH transmission in a configured UL BWP in addition to the default UL BWP</w:t>
      </w:r>
    </w:p>
    <w:p w:rsidR="006C1421" w:rsidRPr="00E84F5A" w:rsidRDefault="006C1421" w:rsidP="006C1421">
      <w:pPr>
        <w:pStyle w:val="ListParagraph"/>
        <w:numPr>
          <w:ilvl w:val="0"/>
          <w:numId w:val="42"/>
        </w:numPr>
        <w:ind w:firstLineChars="0"/>
        <w:jc w:val="both"/>
        <w:rPr>
          <w:rFonts w:ascii="Times New Roman" w:hAnsi="Times New Roman" w:cs="Times New Roman"/>
          <w:b/>
          <w:sz w:val="20"/>
          <w:szCs w:val="20"/>
        </w:rPr>
      </w:pPr>
      <w:r w:rsidRPr="00E84F5A">
        <w:rPr>
          <w:rFonts w:ascii="Times New Roman" w:hAnsi="Times New Roman" w:cs="Times New Roman"/>
          <w:b/>
          <w:sz w:val="20"/>
          <w:szCs w:val="20"/>
        </w:rPr>
        <w:t>For each UL BWP where the UE is configured with PRACH resources, the UE is also configured with a common search space in a DL BWP for monitoring for PDCCH scheduling RA messages</w:t>
      </w:r>
    </w:p>
    <w:p w:rsidR="006C1421" w:rsidRPr="00E84F5A" w:rsidRDefault="006C1421" w:rsidP="006C1421">
      <w:pPr>
        <w:pStyle w:val="ListParagraph"/>
        <w:numPr>
          <w:ilvl w:val="0"/>
          <w:numId w:val="42"/>
        </w:numPr>
        <w:ind w:firstLineChars="0"/>
        <w:jc w:val="both"/>
        <w:rPr>
          <w:rFonts w:ascii="Times New Roman" w:hAnsi="Times New Roman" w:cs="Times New Roman"/>
          <w:b/>
          <w:sz w:val="20"/>
          <w:szCs w:val="20"/>
        </w:rPr>
      </w:pPr>
      <w:r w:rsidRPr="00E84F5A">
        <w:rPr>
          <w:rFonts w:ascii="Times New Roman" w:hAnsi="Times New Roman" w:cs="Times New Roman"/>
          <w:b/>
          <w:sz w:val="20"/>
          <w:szCs w:val="20"/>
        </w:rPr>
        <w:t xml:space="preserve">If a UE initiates a RA procedure in an UL BWP, the UE monitors for PDCCH scheduling RA messages in the RA-linked DL BWP. </w:t>
      </w:r>
    </w:p>
    <w:p w:rsidR="006C1421" w:rsidRPr="00E84F5A" w:rsidRDefault="006C1421" w:rsidP="006C1421">
      <w:pPr>
        <w:pStyle w:val="ListParagraph"/>
        <w:numPr>
          <w:ilvl w:val="1"/>
          <w:numId w:val="42"/>
        </w:numPr>
        <w:ind w:firstLineChars="0"/>
        <w:jc w:val="both"/>
        <w:rPr>
          <w:rFonts w:ascii="Times New Roman" w:hAnsi="Times New Roman" w:cs="Times New Roman"/>
          <w:b/>
          <w:sz w:val="20"/>
          <w:szCs w:val="20"/>
        </w:rPr>
      </w:pPr>
      <w:r w:rsidRPr="00E84F5A">
        <w:rPr>
          <w:rFonts w:ascii="Times New Roman" w:hAnsi="Times New Roman" w:cs="Times New Roman"/>
          <w:b/>
          <w:sz w:val="20"/>
          <w:szCs w:val="20"/>
        </w:rPr>
        <w:lastRenderedPageBreak/>
        <w:t xml:space="preserve">Note: this may require a switch from the presently active DL BWP </w:t>
      </w:r>
    </w:p>
    <w:p w:rsidR="006C1421" w:rsidRPr="00E84F5A" w:rsidRDefault="006C1421" w:rsidP="006C1421">
      <w:pPr>
        <w:pStyle w:val="ListParagraph"/>
        <w:numPr>
          <w:ilvl w:val="1"/>
          <w:numId w:val="42"/>
        </w:numPr>
        <w:ind w:firstLineChars="0"/>
        <w:jc w:val="both"/>
        <w:rPr>
          <w:rFonts w:ascii="Times New Roman" w:hAnsi="Times New Roman" w:cs="Times New Roman"/>
          <w:b/>
          <w:sz w:val="20"/>
          <w:szCs w:val="20"/>
        </w:rPr>
      </w:pPr>
      <w:r w:rsidRPr="00E84F5A">
        <w:rPr>
          <w:rFonts w:ascii="Times New Roman" w:hAnsi="Times New Roman" w:cs="Times New Roman"/>
          <w:b/>
          <w:sz w:val="20"/>
          <w:szCs w:val="20"/>
        </w:rPr>
        <w:t>Upon completion of the RA procedure the UE continues to monitor PDCCH in this RA-linked DL BWP unless or until a scheduling DCI is received activating a different DL BWP.</w:t>
      </w:r>
    </w:p>
    <w:p w:rsidR="006C1421" w:rsidRDefault="006C1421" w:rsidP="006C1421"/>
    <w:p w:rsidR="006C1421" w:rsidRDefault="006C1421" w:rsidP="006C1421">
      <w:pPr>
        <w:jc w:val="both"/>
        <w:rPr>
          <w:b/>
        </w:rPr>
      </w:pPr>
      <w:r>
        <w:rPr>
          <w:b/>
        </w:rPr>
        <w:t>Proposal</w:t>
      </w:r>
      <w:r w:rsidRPr="00C93B5D">
        <w:rPr>
          <w:b/>
        </w:rPr>
        <w:t xml:space="preserve">: The DCI format size </w:t>
      </w:r>
      <w:r>
        <w:rPr>
          <w:b/>
        </w:rPr>
        <w:t>corresponding to a PDCCH received in a search space on the active DL BWP depends on the BW of the active DL or UL BWP.</w:t>
      </w:r>
    </w:p>
    <w:p w:rsidR="006C1421" w:rsidRDefault="006C1421" w:rsidP="006C1421"/>
    <w:p w:rsidR="006C1421" w:rsidRPr="00504311" w:rsidRDefault="006C1421" w:rsidP="006C1421">
      <w:pPr>
        <w:jc w:val="both"/>
        <w:rPr>
          <w:b/>
        </w:rPr>
      </w:pPr>
      <w:r w:rsidRPr="00504311">
        <w:rPr>
          <w:b/>
        </w:rPr>
        <w:t>Proposal: in addition to reception of a PDCCH scheduling PDSCH a UE resets the timer for the following scenarios</w:t>
      </w:r>
    </w:p>
    <w:p w:rsidR="006C1421" w:rsidRPr="00504311" w:rsidRDefault="006C1421" w:rsidP="006C1421">
      <w:pPr>
        <w:pStyle w:val="ListParagraph"/>
        <w:numPr>
          <w:ilvl w:val="0"/>
          <w:numId w:val="40"/>
        </w:numPr>
        <w:ind w:firstLineChars="0"/>
        <w:jc w:val="both"/>
        <w:rPr>
          <w:rFonts w:ascii="Times New Roman" w:hAnsi="Times New Roman" w:cs="Times New Roman"/>
          <w:b/>
          <w:sz w:val="20"/>
        </w:rPr>
      </w:pPr>
      <w:r w:rsidRPr="00504311">
        <w:rPr>
          <w:rFonts w:ascii="Times New Roman" w:hAnsi="Times New Roman" w:cs="Times New Roman"/>
          <w:b/>
          <w:sz w:val="20"/>
        </w:rPr>
        <w:t>At the start of a DL SPS occasion when DL SPS is configured in the active DL BWP</w:t>
      </w:r>
    </w:p>
    <w:p w:rsidR="006C1421" w:rsidRPr="00504311" w:rsidRDefault="006C1421" w:rsidP="006C1421">
      <w:pPr>
        <w:pStyle w:val="ListParagraph"/>
        <w:numPr>
          <w:ilvl w:val="0"/>
          <w:numId w:val="40"/>
        </w:numPr>
        <w:ind w:firstLineChars="0"/>
        <w:jc w:val="both"/>
        <w:rPr>
          <w:rFonts w:ascii="Times New Roman" w:hAnsi="Times New Roman" w:cs="Times New Roman"/>
          <w:b/>
          <w:sz w:val="20"/>
        </w:rPr>
      </w:pPr>
      <w:r w:rsidRPr="00504311">
        <w:rPr>
          <w:rFonts w:ascii="Times New Roman" w:hAnsi="Times New Roman" w:cs="Times New Roman"/>
          <w:b/>
          <w:sz w:val="20"/>
        </w:rPr>
        <w:t>When an UL grant is received for the UL BWP in a DL/UL BWP pair</w:t>
      </w:r>
    </w:p>
    <w:p w:rsidR="006C1421" w:rsidRDefault="006C1421" w:rsidP="006C1421"/>
    <w:p w:rsidR="006C1421" w:rsidRPr="00DE55DD" w:rsidRDefault="006C1421" w:rsidP="006C1421">
      <w:pPr>
        <w:jc w:val="both"/>
        <w:rPr>
          <w:b/>
        </w:rPr>
      </w:pPr>
      <w:r w:rsidRPr="00DE55DD">
        <w:rPr>
          <w:b/>
        </w:rPr>
        <w:t>Proposal: a UE only perform CSI measurements within the active DL BWP.</w:t>
      </w:r>
    </w:p>
    <w:p w:rsidR="00D33B0F" w:rsidRDefault="00D33B0F" w:rsidP="00302D0C">
      <w:pPr>
        <w:pStyle w:val="BodyText"/>
        <w:rPr>
          <w:b/>
        </w:rPr>
      </w:pPr>
    </w:p>
    <w:p w:rsidR="00302D0C" w:rsidRPr="00302D0C" w:rsidRDefault="00302D0C" w:rsidP="00302D0C">
      <w:pPr>
        <w:pStyle w:val="BodyText"/>
        <w:rPr>
          <w:b/>
        </w:rPr>
      </w:pPr>
      <w:r>
        <w:rPr>
          <w:b/>
        </w:rPr>
        <w:t xml:space="preserve">Proposal:  </w:t>
      </w:r>
      <w:r w:rsidRPr="00302D0C">
        <w:rPr>
          <w:b/>
        </w:rPr>
        <w:t xml:space="preserve">DCI with “zero” assignment would allow the gNB to switch BWP in advance and in preparation of scheduling PDSCH or PUSCH transmission.  </w:t>
      </w:r>
    </w:p>
    <w:p w:rsidR="00302D0C" w:rsidRPr="00553A6E" w:rsidRDefault="00302D0C" w:rsidP="00302D0C">
      <w:pPr>
        <w:pStyle w:val="BodyText"/>
      </w:pP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9E5901" w:rsidRDefault="009E5901" w:rsidP="001D5131">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98593959"/>
      <w:bookmarkStart w:id="5" w:name="_Ref494539557"/>
      <w:bookmarkStart w:id="6" w:name="_Ref492471095"/>
      <w:bookmarkStart w:id="7" w:name="_Ref489862743"/>
      <w:bookmarkStart w:id="8" w:name="_Ref494442760"/>
      <w:bookmarkStart w:id="9" w:name="_Ref489862339"/>
      <w:bookmarkStart w:id="10" w:name="_Ref484795456"/>
      <w:bookmarkStart w:id="11" w:name="_Ref473632999"/>
      <w:bookmarkStart w:id="12" w:name="_Ref477464042"/>
      <w:bookmarkStart w:id="13" w:name="_Ref481506070"/>
      <w:bookmarkStart w:id="14" w:name="_Ref484777052"/>
      <w:r>
        <w:rPr>
          <w:rFonts w:eastAsia="SimSun"/>
          <w:noProof/>
          <w:lang w:eastAsia="zh-CN"/>
        </w:rPr>
        <w:t>Chairman’s Meeting Notes, RAN1 #90bis.</w:t>
      </w:r>
      <w:bookmarkEnd w:id="4"/>
    </w:p>
    <w:p w:rsidR="001D5131" w:rsidRDefault="001D5131" w:rsidP="001D5131">
      <w:pPr>
        <w:pStyle w:val="BodyText"/>
        <w:numPr>
          <w:ilvl w:val="1"/>
          <w:numId w:val="1"/>
        </w:numPr>
        <w:tabs>
          <w:tab w:val="clear" w:pos="1545"/>
          <w:tab w:val="left" w:pos="0"/>
          <w:tab w:val="left" w:pos="540"/>
        </w:tabs>
        <w:ind w:left="540" w:hangingChars="270" w:hanging="540"/>
        <w:rPr>
          <w:rFonts w:eastAsia="SimSun"/>
          <w:noProof/>
          <w:lang w:eastAsia="zh-CN"/>
        </w:rPr>
      </w:pPr>
      <w:bookmarkStart w:id="15" w:name="_Ref498594014"/>
      <w:r>
        <w:rPr>
          <w:rFonts w:eastAsia="SimSun"/>
          <w:noProof/>
          <w:lang w:eastAsia="zh-CN"/>
        </w:rPr>
        <w:t>R1-171</w:t>
      </w:r>
      <w:r w:rsidR="009E5901">
        <w:rPr>
          <w:rFonts w:eastAsia="SimSun"/>
          <w:noProof/>
          <w:lang w:eastAsia="zh-CN"/>
        </w:rPr>
        <w:t>8901</w:t>
      </w:r>
      <w:r>
        <w:rPr>
          <w:rFonts w:eastAsia="SimSun"/>
          <w:noProof/>
          <w:lang w:eastAsia="zh-CN"/>
        </w:rPr>
        <w:t>, “</w:t>
      </w:r>
      <w:r w:rsidR="003E382E" w:rsidRPr="003E382E">
        <w:rPr>
          <w:rFonts w:eastAsia="SimSun"/>
          <w:noProof/>
          <w:lang w:eastAsia="zh-CN"/>
        </w:rPr>
        <w:t>Summary of Bandwidth Part Operation</w:t>
      </w:r>
      <w:r>
        <w:rPr>
          <w:rFonts w:eastAsia="SimSun"/>
          <w:noProof/>
          <w:lang w:eastAsia="zh-CN"/>
        </w:rPr>
        <w:t xml:space="preserve">”, </w:t>
      </w:r>
      <w:r w:rsidR="003E382E">
        <w:rPr>
          <w:rFonts w:eastAsia="SimSun"/>
          <w:noProof/>
          <w:lang w:eastAsia="zh-CN"/>
        </w:rPr>
        <w:t>MediaTek</w:t>
      </w:r>
      <w:r>
        <w:rPr>
          <w:rFonts w:eastAsia="SimSun"/>
          <w:noProof/>
          <w:lang w:eastAsia="zh-CN"/>
        </w:rPr>
        <w:t>, RAN1 #</w:t>
      </w:r>
      <w:bookmarkEnd w:id="5"/>
      <w:r w:rsidR="009E5901">
        <w:rPr>
          <w:rFonts w:eastAsia="SimSun"/>
          <w:noProof/>
          <w:lang w:eastAsia="zh-CN"/>
        </w:rPr>
        <w:t>90bis</w:t>
      </w:r>
      <w:bookmarkEnd w:id="15"/>
    </w:p>
    <w:p w:rsidR="0061428D" w:rsidRDefault="00235030" w:rsidP="003E382E">
      <w:pPr>
        <w:pStyle w:val="BodyText"/>
        <w:numPr>
          <w:ilvl w:val="1"/>
          <w:numId w:val="1"/>
        </w:numPr>
        <w:tabs>
          <w:tab w:val="clear" w:pos="1545"/>
          <w:tab w:val="left" w:pos="0"/>
          <w:tab w:val="left" w:pos="540"/>
        </w:tabs>
        <w:ind w:left="540" w:hangingChars="270" w:hanging="540"/>
        <w:rPr>
          <w:rFonts w:eastAsia="SimSun"/>
          <w:noProof/>
          <w:lang w:eastAsia="zh-CN"/>
        </w:rPr>
      </w:pPr>
      <w:bookmarkStart w:id="16" w:name="_Ref494539698"/>
      <w:bookmarkStart w:id="17" w:name="_Ref494632892"/>
      <w:r>
        <w:rPr>
          <w:rFonts w:eastAsia="SimSun"/>
          <w:noProof/>
          <w:lang w:eastAsia="zh-CN"/>
        </w:rPr>
        <w:t>R</w:t>
      </w:r>
      <w:r w:rsidR="00503D03">
        <w:rPr>
          <w:rFonts w:eastAsia="SimSun"/>
          <w:noProof/>
          <w:lang w:eastAsia="zh-CN"/>
        </w:rPr>
        <w:t>4-1709075</w:t>
      </w:r>
      <w:r>
        <w:rPr>
          <w:rFonts w:eastAsia="SimSun"/>
          <w:noProof/>
          <w:lang w:eastAsia="zh-CN"/>
        </w:rPr>
        <w:t>, “</w:t>
      </w:r>
      <w:r w:rsidR="00503D03" w:rsidRPr="00503D03">
        <w:t>Way forward on spectrum utilization</w:t>
      </w:r>
      <w:r>
        <w:rPr>
          <w:rFonts w:eastAsia="SimSun"/>
          <w:noProof/>
          <w:lang w:eastAsia="zh-CN"/>
        </w:rPr>
        <w:t xml:space="preserve">”, </w:t>
      </w:r>
      <w:r w:rsidR="00503D03" w:rsidRPr="00503D03">
        <w:rPr>
          <w:rFonts w:eastAsia="SimSun"/>
          <w:noProof/>
          <w:lang w:eastAsia="zh-CN"/>
        </w:rPr>
        <w:t>Samsung, Qualcomm, Intel, Ericsson, Nokia</w:t>
      </w:r>
      <w:r w:rsidR="00503D03">
        <w:rPr>
          <w:rFonts w:eastAsia="SimSun"/>
          <w:noProof/>
          <w:lang w:eastAsia="zh-CN"/>
        </w:rPr>
        <w:t>, RAN4</w:t>
      </w:r>
      <w:r>
        <w:rPr>
          <w:rFonts w:eastAsia="SimSun"/>
          <w:noProof/>
          <w:lang w:eastAsia="zh-CN"/>
        </w:rPr>
        <w:t xml:space="preserve"> #</w:t>
      </w:r>
      <w:bookmarkEnd w:id="6"/>
      <w:bookmarkEnd w:id="7"/>
      <w:bookmarkEnd w:id="8"/>
      <w:bookmarkEnd w:id="9"/>
      <w:bookmarkEnd w:id="10"/>
      <w:bookmarkEnd w:id="11"/>
      <w:bookmarkEnd w:id="12"/>
      <w:bookmarkEnd w:id="13"/>
      <w:bookmarkEnd w:id="14"/>
      <w:bookmarkEnd w:id="16"/>
      <w:r w:rsidR="00503D03">
        <w:rPr>
          <w:rFonts w:eastAsia="SimSun"/>
          <w:noProof/>
          <w:lang w:eastAsia="zh-CN"/>
        </w:rPr>
        <w:t>84</w:t>
      </w:r>
      <w:bookmarkEnd w:id="17"/>
    </w:p>
    <w:p w:rsidR="000B7B81" w:rsidRPr="003E382E" w:rsidRDefault="000B7B81" w:rsidP="003E382E">
      <w:pPr>
        <w:pStyle w:val="BodyText"/>
        <w:numPr>
          <w:ilvl w:val="1"/>
          <w:numId w:val="1"/>
        </w:numPr>
        <w:tabs>
          <w:tab w:val="clear" w:pos="1545"/>
          <w:tab w:val="left" w:pos="0"/>
          <w:tab w:val="left" w:pos="540"/>
        </w:tabs>
        <w:ind w:left="540" w:hangingChars="270" w:hanging="540"/>
        <w:rPr>
          <w:rFonts w:eastAsia="SimSun"/>
          <w:noProof/>
          <w:lang w:eastAsia="zh-CN"/>
        </w:rPr>
      </w:pPr>
      <w:bookmarkStart w:id="18" w:name="_Ref494633975"/>
      <w:r>
        <w:rPr>
          <w:rFonts w:eastAsia="SimSun"/>
          <w:noProof/>
          <w:lang w:eastAsia="zh-CN"/>
        </w:rPr>
        <w:t>R1-17</w:t>
      </w:r>
      <w:r w:rsidR="000D6100">
        <w:rPr>
          <w:rFonts w:eastAsia="SimSun"/>
          <w:noProof/>
          <w:lang w:eastAsia="zh-CN"/>
        </w:rPr>
        <w:t>20202</w:t>
      </w:r>
      <w:r>
        <w:rPr>
          <w:rFonts w:eastAsia="SimSun"/>
          <w:noProof/>
          <w:lang w:eastAsia="zh-CN"/>
        </w:rPr>
        <w:t>, “</w:t>
      </w:r>
      <w:r w:rsidR="000D6100" w:rsidRPr="000D6100">
        <w:rPr>
          <w:rFonts w:eastAsia="SimSun"/>
          <w:noProof/>
          <w:lang w:eastAsia="zh-CN"/>
        </w:rPr>
        <w:t>On PDSCH and PUSCH resource allocation</w:t>
      </w:r>
      <w:r>
        <w:rPr>
          <w:rFonts w:eastAsia="SimSun"/>
          <w:noProof/>
          <w:lang w:eastAsia="zh-CN"/>
        </w:rPr>
        <w:t>”, CATT, RAN1 #9</w:t>
      </w:r>
      <w:r w:rsidR="000D6100">
        <w:rPr>
          <w:rFonts w:eastAsia="SimSun"/>
          <w:noProof/>
          <w:lang w:eastAsia="zh-CN"/>
        </w:rPr>
        <w:t>1</w:t>
      </w:r>
      <w:bookmarkEnd w:id="18"/>
    </w:p>
    <w:sectPr w:rsidR="000B7B81" w:rsidRPr="003E382E"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0F2F" w:rsidRDefault="009E0F2F" w:rsidP="00E9523A">
      <w:pPr>
        <w:ind w:left="-2"/>
      </w:pPr>
      <w:r>
        <w:separator/>
      </w:r>
    </w:p>
  </w:endnote>
  <w:endnote w:type="continuationSeparator" w:id="1">
    <w:p w:rsidR="009E0F2F" w:rsidRDefault="009E0F2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0F2F" w:rsidRDefault="009E0F2F" w:rsidP="00E9523A">
      <w:pPr>
        <w:ind w:left="-2"/>
      </w:pPr>
      <w:r>
        <w:separator/>
      </w:r>
    </w:p>
  </w:footnote>
  <w:footnote w:type="continuationSeparator" w:id="1">
    <w:p w:rsidR="009E0F2F" w:rsidRDefault="009E0F2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D62" w:rsidRPr="001A329E" w:rsidRDefault="00C37D62"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343052"/>
    <w:multiLevelType w:val="hybridMultilevel"/>
    <w:tmpl w:val="6B02A8D6"/>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3">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4">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5">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7">
    <w:nsid w:val="19B737A2"/>
    <w:multiLevelType w:val="hybridMultilevel"/>
    <w:tmpl w:val="DC1E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4825C0"/>
    <w:multiLevelType w:val="hybridMultilevel"/>
    <w:tmpl w:val="6C8CC1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1817FA6"/>
    <w:multiLevelType w:val="hybridMultilevel"/>
    <w:tmpl w:val="B3206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AA70C0"/>
    <w:multiLevelType w:val="hybridMultilevel"/>
    <w:tmpl w:val="685C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641FA"/>
    <w:multiLevelType w:val="hybridMultilevel"/>
    <w:tmpl w:val="85D6C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6">
    <w:nsid w:val="30502A8A"/>
    <w:multiLevelType w:val="hybridMultilevel"/>
    <w:tmpl w:val="5644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890D46"/>
    <w:multiLevelType w:val="multilevel"/>
    <w:tmpl w:val="8DE06AB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20">
    <w:nsid w:val="3EC8511F"/>
    <w:multiLevelType w:val="hybridMultilevel"/>
    <w:tmpl w:val="8D32273C"/>
    <w:lvl w:ilvl="0" w:tplc="9D80D2CE">
      <w:start w:val="1"/>
      <w:numFmt w:val="bullet"/>
      <w:lvlText w:val="•"/>
      <w:lvlJc w:val="left"/>
      <w:pPr>
        <w:tabs>
          <w:tab w:val="num" w:pos="720"/>
        </w:tabs>
        <w:ind w:left="720" w:hanging="360"/>
      </w:pPr>
      <w:rPr>
        <w:rFonts w:ascii="Arial" w:hAnsi="Arial" w:hint="default"/>
      </w:rPr>
    </w:lvl>
    <w:lvl w:ilvl="1" w:tplc="D6AAC440">
      <w:start w:val="1"/>
      <w:numFmt w:val="bullet"/>
      <w:lvlText w:val="•"/>
      <w:lvlJc w:val="left"/>
      <w:pPr>
        <w:tabs>
          <w:tab w:val="num" w:pos="1440"/>
        </w:tabs>
        <w:ind w:left="1440" w:hanging="360"/>
      </w:pPr>
      <w:rPr>
        <w:rFonts w:ascii="Arial" w:hAnsi="Arial" w:hint="default"/>
      </w:rPr>
    </w:lvl>
    <w:lvl w:ilvl="2" w:tplc="5AD063CA">
      <w:start w:val="2995"/>
      <w:numFmt w:val="bullet"/>
      <w:lvlText w:val="•"/>
      <w:lvlJc w:val="left"/>
      <w:pPr>
        <w:tabs>
          <w:tab w:val="num" w:pos="2160"/>
        </w:tabs>
        <w:ind w:left="2160" w:hanging="360"/>
      </w:pPr>
      <w:rPr>
        <w:rFonts w:ascii="Arial" w:hAnsi="Arial" w:hint="default"/>
      </w:rPr>
    </w:lvl>
    <w:lvl w:ilvl="3" w:tplc="941679CC">
      <w:start w:val="2995"/>
      <w:numFmt w:val="bullet"/>
      <w:lvlText w:val="•"/>
      <w:lvlJc w:val="left"/>
      <w:pPr>
        <w:tabs>
          <w:tab w:val="num" w:pos="2880"/>
        </w:tabs>
        <w:ind w:left="2880" w:hanging="360"/>
      </w:pPr>
      <w:rPr>
        <w:rFonts w:ascii="Arial" w:hAnsi="Arial" w:hint="default"/>
      </w:rPr>
    </w:lvl>
    <w:lvl w:ilvl="4" w:tplc="F2704146" w:tentative="1">
      <w:start w:val="1"/>
      <w:numFmt w:val="bullet"/>
      <w:lvlText w:val="•"/>
      <w:lvlJc w:val="left"/>
      <w:pPr>
        <w:tabs>
          <w:tab w:val="num" w:pos="3600"/>
        </w:tabs>
        <w:ind w:left="3600" w:hanging="360"/>
      </w:pPr>
      <w:rPr>
        <w:rFonts w:ascii="Arial" w:hAnsi="Arial" w:hint="default"/>
      </w:rPr>
    </w:lvl>
    <w:lvl w:ilvl="5" w:tplc="96D05560" w:tentative="1">
      <w:start w:val="1"/>
      <w:numFmt w:val="bullet"/>
      <w:lvlText w:val="•"/>
      <w:lvlJc w:val="left"/>
      <w:pPr>
        <w:tabs>
          <w:tab w:val="num" w:pos="4320"/>
        </w:tabs>
        <w:ind w:left="4320" w:hanging="360"/>
      </w:pPr>
      <w:rPr>
        <w:rFonts w:ascii="Arial" w:hAnsi="Arial" w:hint="default"/>
      </w:rPr>
    </w:lvl>
    <w:lvl w:ilvl="6" w:tplc="BFDCE4F8" w:tentative="1">
      <w:start w:val="1"/>
      <w:numFmt w:val="bullet"/>
      <w:lvlText w:val="•"/>
      <w:lvlJc w:val="left"/>
      <w:pPr>
        <w:tabs>
          <w:tab w:val="num" w:pos="5040"/>
        </w:tabs>
        <w:ind w:left="5040" w:hanging="360"/>
      </w:pPr>
      <w:rPr>
        <w:rFonts w:ascii="Arial" w:hAnsi="Arial" w:hint="default"/>
      </w:rPr>
    </w:lvl>
    <w:lvl w:ilvl="7" w:tplc="A326527A" w:tentative="1">
      <w:start w:val="1"/>
      <w:numFmt w:val="bullet"/>
      <w:lvlText w:val="•"/>
      <w:lvlJc w:val="left"/>
      <w:pPr>
        <w:tabs>
          <w:tab w:val="num" w:pos="5760"/>
        </w:tabs>
        <w:ind w:left="5760" w:hanging="360"/>
      </w:pPr>
      <w:rPr>
        <w:rFonts w:ascii="Arial" w:hAnsi="Arial" w:hint="default"/>
      </w:rPr>
    </w:lvl>
    <w:lvl w:ilvl="8" w:tplc="649E6BEE" w:tentative="1">
      <w:start w:val="1"/>
      <w:numFmt w:val="bullet"/>
      <w:lvlText w:val="•"/>
      <w:lvlJc w:val="left"/>
      <w:pPr>
        <w:tabs>
          <w:tab w:val="num" w:pos="6480"/>
        </w:tabs>
        <w:ind w:left="6480" w:hanging="360"/>
      </w:pPr>
      <w:rPr>
        <w:rFonts w:ascii="Arial" w:hAnsi="Arial" w:hint="default"/>
      </w:rPr>
    </w:lvl>
  </w:abstractNum>
  <w:abstractNum w:abstractNumId="21">
    <w:nsid w:val="436537B0"/>
    <w:multiLevelType w:val="hybridMultilevel"/>
    <w:tmpl w:val="1B7EF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4A6FBE"/>
    <w:multiLevelType w:val="hybridMultilevel"/>
    <w:tmpl w:val="363CF890"/>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3">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4A1A85"/>
    <w:multiLevelType w:val="hybridMultilevel"/>
    <w:tmpl w:val="485A1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E271A1"/>
    <w:multiLevelType w:val="hybridMultilevel"/>
    <w:tmpl w:val="062C3AB4"/>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8">
    <w:nsid w:val="4B4D1A60"/>
    <w:multiLevelType w:val="hybridMultilevel"/>
    <w:tmpl w:val="189A5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31">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5">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ADC2D1C"/>
    <w:multiLevelType w:val="hybridMultilevel"/>
    <w:tmpl w:val="F7840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AFA18EE"/>
    <w:multiLevelType w:val="hybridMultilevel"/>
    <w:tmpl w:val="1AD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17"/>
  </w:num>
  <w:num w:numId="4">
    <w:abstractNumId w:val="34"/>
  </w:num>
  <w:num w:numId="5">
    <w:abstractNumId w:val="14"/>
  </w:num>
  <w:num w:numId="6">
    <w:abstractNumId w:val="23"/>
  </w:num>
  <w:num w:numId="7">
    <w:abstractNumId w:val="1"/>
  </w:num>
  <w:num w:numId="8">
    <w:abstractNumId w:val="38"/>
  </w:num>
  <w:num w:numId="9">
    <w:abstractNumId w:val="8"/>
  </w:num>
  <w:num w:numId="10">
    <w:abstractNumId w:val="18"/>
  </w:num>
  <w:num w:numId="11">
    <w:abstractNumId w:val="37"/>
  </w:num>
  <w:num w:numId="12">
    <w:abstractNumId w:val="13"/>
  </w:num>
  <w:num w:numId="13">
    <w:abstractNumId w:val="39"/>
  </w:num>
  <w:num w:numId="14">
    <w:abstractNumId w:val="29"/>
  </w:num>
  <w:num w:numId="15">
    <w:abstractNumId w:val="4"/>
  </w:num>
  <w:num w:numId="16">
    <w:abstractNumId w:val="3"/>
  </w:num>
  <w:num w:numId="17">
    <w:abstractNumId w:val="33"/>
  </w:num>
  <w:num w:numId="18">
    <w:abstractNumId w:val="25"/>
  </w:num>
  <w:num w:numId="19">
    <w:abstractNumId w:val="5"/>
  </w:num>
  <w:num w:numId="20">
    <w:abstractNumId w:val="28"/>
  </w:num>
  <w:num w:numId="21">
    <w:abstractNumId w:val="27"/>
  </w:num>
  <w:num w:numId="22">
    <w:abstractNumId w:val="42"/>
  </w:num>
  <w:num w:numId="23">
    <w:abstractNumId w:val="41"/>
  </w:num>
  <w:num w:numId="24">
    <w:abstractNumId w:val="24"/>
  </w:num>
  <w:num w:numId="25">
    <w:abstractNumId w:val="7"/>
  </w:num>
  <w:num w:numId="26">
    <w:abstractNumId w:val="11"/>
  </w:num>
  <w:num w:numId="27">
    <w:abstractNumId w:val="10"/>
  </w:num>
  <w:num w:numId="28">
    <w:abstractNumId w:val="36"/>
  </w:num>
  <w:num w:numId="29">
    <w:abstractNumId w:val="15"/>
  </w:num>
  <w:num w:numId="30">
    <w:abstractNumId w:val="30"/>
  </w:num>
  <w:num w:numId="31">
    <w:abstractNumId w:val="19"/>
  </w:num>
  <w:num w:numId="32">
    <w:abstractNumId w:val="22"/>
  </w:num>
  <w:num w:numId="33">
    <w:abstractNumId w:val="20"/>
  </w:num>
  <w:num w:numId="34">
    <w:abstractNumId w:val="16"/>
  </w:num>
  <w:num w:numId="35">
    <w:abstractNumId w:val="31"/>
  </w:num>
  <w:num w:numId="36">
    <w:abstractNumId w:val="35"/>
  </w:num>
  <w:num w:numId="37">
    <w:abstractNumId w:val="12"/>
  </w:num>
  <w:num w:numId="38">
    <w:abstractNumId w:val="6"/>
  </w:num>
  <w:num w:numId="39">
    <w:abstractNumId w:val="21"/>
  </w:num>
  <w:num w:numId="40">
    <w:abstractNumId w:val="2"/>
  </w:num>
  <w:num w:numId="41">
    <w:abstractNumId w:val="40"/>
  </w:num>
  <w:num w:numId="42">
    <w:abstractNumId w:val="26"/>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84002"/>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013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07B5"/>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6060"/>
    <w:rsid w:val="000868E5"/>
    <w:rsid w:val="00087487"/>
    <w:rsid w:val="0008757D"/>
    <w:rsid w:val="0008760D"/>
    <w:rsid w:val="00090922"/>
    <w:rsid w:val="00090F89"/>
    <w:rsid w:val="000924D0"/>
    <w:rsid w:val="0009369C"/>
    <w:rsid w:val="00093F31"/>
    <w:rsid w:val="00094E92"/>
    <w:rsid w:val="0009508B"/>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4E8"/>
    <w:rsid w:val="000B760E"/>
    <w:rsid w:val="000B7B81"/>
    <w:rsid w:val="000C1A17"/>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100"/>
    <w:rsid w:val="000D625C"/>
    <w:rsid w:val="000D662F"/>
    <w:rsid w:val="000D6DCD"/>
    <w:rsid w:val="000E0007"/>
    <w:rsid w:val="000E0400"/>
    <w:rsid w:val="000E0E57"/>
    <w:rsid w:val="000E0EB9"/>
    <w:rsid w:val="000E11A5"/>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5FE"/>
    <w:rsid w:val="000F4EC1"/>
    <w:rsid w:val="000F5057"/>
    <w:rsid w:val="000F5BAF"/>
    <w:rsid w:val="000F663D"/>
    <w:rsid w:val="000F6BA5"/>
    <w:rsid w:val="000F7BA1"/>
    <w:rsid w:val="001000D8"/>
    <w:rsid w:val="0010044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208"/>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4CC"/>
    <w:rsid w:val="00123937"/>
    <w:rsid w:val="0012437C"/>
    <w:rsid w:val="001245F5"/>
    <w:rsid w:val="001248EB"/>
    <w:rsid w:val="00125169"/>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4AA"/>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50A"/>
    <w:rsid w:val="00170253"/>
    <w:rsid w:val="001708AD"/>
    <w:rsid w:val="00171D29"/>
    <w:rsid w:val="00172296"/>
    <w:rsid w:val="00172723"/>
    <w:rsid w:val="00172A27"/>
    <w:rsid w:val="00172D3A"/>
    <w:rsid w:val="00173557"/>
    <w:rsid w:val="001736B3"/>
    <w:rsid w:val="00173921"/>
    <w:rsid w:val="00173C9E"/>
    <w:rsid w:val="001741F9"/>
    <w:rsid w:val="00175726"/>
    <w:rsid w:val="00175754"/>
    <w:rsid w:val="001758F8"/>
    <w:rsid w:val="00175981"/>
    <w:rsid w:val="00175BB1"/>
    <w:rsid w:val="00175F21"/>
    <w:rsid w:val="0017608D"/>
    <w:rsid w:val="0017766A"/>
    <w:rsid w:val="001800C2"/>
    <w:rsid w:val="0018044B"/>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805"/>
    <w:rsid w:val="001C3954"/>
    <w:rsid w:val="001C3C6C"/>
    <w:rsid w:val="001C3D19"/>
    <w:rsid w:val="001C3EEB"/>
    <w:rsid w:val="001C4333"/>
    <w:rsid w:val="001C4CC5"/>
    <w:rsid w:val="001C5183"/>
    <w:rsid w:val="001C5360"/>
    <w:rsid w:val="001C5770"/>
    <w:rsid w:val="001C5C57"/>
    <w:rsid w:val="001C641E"/>
    <w:rsid w:val="001C6C75"/>
    <w:rsid w:val="001D15B5"/>
    <w:rsid w:val="001D2F70"/>
    <w:rsid w:val="001D322B"/>
    <w:rsid w:val="001D3927"/>
    <w:rsid w:val="001D4B41"/>
    <w:rsid w:val="001D513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F88"/>
    <w:rsid w:val="001F538F"/>
    <w:rsid w:val="001F5E13"/>
    <w:rsid w:val="001F6232"/>
    <w:rsid w:val="001F65EF"/>
    <w:rsid w:val="001F6CDB"/>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02B"/>
    <w:rsid w:val="0020599C"/>
    <w:rsid w:val="00205E54"/>
    <w:rsid w:val="00205F30"/>
    <w:rsid w:val="00205FE7"/>
    <w:rsid w:val="002079CA"/>
    <w:rsid w:val="00207BCC"/>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D69"/>
    <w:rsid w:val="00222E3A"/>
    <w:rsid w:val="00223C5E"/>
    <w:rsid w:val="00224F2F"/>
    <w:rsid w:val="00224FA3"/>
    <w:rsid w:val="002274B4"/>
    <w:rsid w:val="00230796"/>
    <w:rsid w:val="00230EC2"/>
    <w:rsid w:val="002315DD"/>
    <w:rsid w:val="00231D7B"/>
    <w:rsid w:val="00231E88"/>
    <w:rsid w:val="0023202A"/>
    <w:rsid w:val="00232229"/>
    <w:rsid w:val="00233DCB"/>
    <w:rsid w:val="00233E6A"/>
    <w:rsid w:val="00234013"/>
    <w:rsid w:val="00234541"/>
    <w:rsid w:val="00235030"/>
    <w:rsid w:val="00235446"/>
    <w:rsid w:val="00235763"/>
    <w:rsid w:val="0023618F"/>
    <w:rsid w:val="00236355"/>
    <w:rsid w:val="002367CF"/>
    <w:rsid w:val="00236AF5"/>
    <w:rsid w:val="00236DB3"/>
    <w:rsid w:val="00236EC9"/>
    <w:rsid w:val="002373E4"/>
    <w:rsid w:val="002375AD"/>
    <w:rsid w:val="00237712"/>
    <w:rsid w:val="002379AF"/>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D9"/>
    <w:rsid w:val="00251B08"/>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1BA0"/>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C59"/>
    <w:rsid w:val="00297E60"/>
    <w:rsid w:val="002A0246"/>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57D"/>
    <w:rsid w:val="002C0F50"/>
    <w:rsid w:val="002C12A6"/>
    <w:rsid w:val="002C14EB"/>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C7F02"/>
    <w:rsid w:val="002D0A16"/>
    <w:rsid w:val="002D0D81"/>
    <w:rsid w:val="002D1B8B"/>
    <w:rsid w:val="002D29A3"/>
    <w:rsid w:val="002D31BD"/>
    <w:rsid w:val="002D35F7"/>
    <w:rsid w:val="002D36D9"/>
    <w:rsid w:val="002D3F8C"/>
    <w:rsid w:val="002D4467"/>
    <w:rsid w:val="002D508C"/>
    <w:rsid w:val="002D6CA7"/>
    <w:rsid w:val="002D6D27"/>
    <w:rsid w:val="002D7310"/>
    <w:rsid w:val="002D7406"/>
    <w:rsid w:val="002D7630"/>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14B0"/>
    <w:rsid w:val="002F27A6"/>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2D0C"/>
    <w:rsid w:val="00303AAD"/>
    <w:rsid w:val="00304265"/>
    <w:rsid w:val="003045FF"/>
    <w:rsid w:val="00305948"/>
    <w:rsid w:val="00306DF6"/>
    <w:rsid w:val="003072FA"/>
    <w:rsid w:val="00307395"/>
    <w:rsid w:val="003101FE"/>
    <w:rsid w:val="00311599"/>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A25"/>
    <w:rsid w:val="00323CC3"/>
    <w:rsid w:val="00323EB3"/>
    <w:rsid w:val="00323F57"/>
    <w:rsid w:val="0032444B"/>
    <w:rsid w:val="003249C3"/>
    <w:rsid w:val="00324F09"/>
    <w:rsid w:val="00325075"/>
    <w:rsid w:val="00325385"/>
    <w:rsid w:val="003254CB"/>
    <w:rsid w:val="0032550C"/>
    <w:rsid w:val="00326898"/>
    <w:rsid w:val="003270A3"/>
    <w:rsid w:val="00327AD4"/>
    <w:rsid w:val="00327D38"/>
    <w:rsid w:val="0033010F"/>
    <w:rsid w:val="0033158B"/>
    <w:rsid w:val="00331B7D"/>
    <w:rsid w:val="00332356"/>
    <w:rsid w:val="00332659"/>
    <w:rsid w:val="00333FCA"/>
    <w:rsid w:val="00334A31"/>
    <w:rsid w:val="003365EC"/>
    <w:rsid w:val="00336EF2"/>
    <w:rsid w:val="00337619"/>
    <w:rsid w:val="00337FB0"/>
    <w:rsid w:val="0034025E"/>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785"/>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0DF5"/>
    <w:rsid w:val="003E1A33"/>
    <w:rsid w:val="003E24F7"/>
    <w:rsid w:val="003E2DD0"/>
    <w:rsid w:val="003E2FA7"/>
    <w:rsid w:val="003E3145"/>
    <w:rsid w:val="003E382E"/>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3C0"/>
    <w:rsid w:val="00404FD9"/>
    <w:rsid w:val="00405172"/>
    <w:rsid w:val="004055E5"/>
    <w:rsid w:val="004056DA"/>
    <w:rsid w:val="00405C40"/>
    <w:rsid w:val="00406A08"/>
    <w:rsid w:val="00406CCE"/>
    <w:rsid w:val="00406D57"/>
    <w:rsid w:val="0040713A"/>
    <w:rsid w:val="0040795A"/>
    <w:rsid w:val="00410F13"/>
    <w:rsid w:val="004119C3"/>
    <w:rsid w:val="00411BDA"/>
    <w:rsid w:val="00414E4A"/>
    <w:rsid w:val="0041516A"/>
    <w:rsid w:val="00415C5D"/>
    <w:rsid w:val="00415C9A"/>
    <w:rsid w:val="00416ACA"/>
    <w:rsid w:val="00416D4B"/>
    <w:rsid w:val="00417B44"/>
    <w:rsid w:val="00420448"/>
    <w:rsid w:val="00421604"/>
    <w:rsid w:val="004217A4"/>
    <w:rsid w:val="004220AD"/>
    <w:rsid w:val="004223E4"/>
    <w:rsid w:val="004225C9"/>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124"/>
    <w:rsid w:val="004454AC"/>
    <w:rsid w:val="00445B30"/>
    <w:rsid w:val="00446D36"/>
    <w:rsid w:val="00447781"/>
    <w:rsid w:val="004502CB"/>
    <w:rsid w:val="004504DE"/>
    <w:rsid w:val="00450F34"/>
    <w:rsid w:val="00451296"/>
    <w:rsid w:val="00451715"/>
    <w:rsid w:val="00452083"/>
    <w:rsid w:val="00452BE0"/>
    <w:rsid w:val="0045327B"/>
    <w:rsid w:val="0045330B"/>
    <w:rsid w:val="00453415"/>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2779"/>
    <w:rsid w:val="004635F6"/>
    <w:rsid w:val="0046478E"/>
    <w:rsid w:val="00465AE7"/>
    <w:rsid w:val="00465D62"/>
    <w:rsid w:val="004660FC"/>
    <w:rsid w:val="004666D8"/>
    <w:rsid w:val="00466B8E"/>
    <w:rsid w:val="00466B9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603"/>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478"/>
    <w:rsid w:val="004A0FAA"/>
    <w:rsid w:val="004A0FCD"/>
    <w:rsid w:val="004A1251"/>
    <w:rsid w:val="004A12E4"/>
    <w:rsid w:val="004A1994"/>
    <w:rsid w:val="004A1B61"/>
    <w:rsid w:val="004A2203"/>
    <w:rsid w:val="004A3B96"/>
    <w:rsid w:val="004A41E2"/>
    <w:rsid w:val="004A5655"/>
    <w:rsid w:val="004A6474"/>
    <w:rsid w:val="004A6F61"/>
    <w:rsid w:val="004A7649"/>
    <w:rsid w:val="004A7AFB"/>
    <w:rsid w:val="004B1DFF"/>
    <w:rsid w:val="004B2628"/>
    <w:rsid w:val="004B4A1A"/>
    <w:rsid w:val="004B592A"/>
    <w:rsid w:val="004B6F4E"/>
    <w:rsid w:val="004B7107"/>
    <w:rsid w:val="004B7563"/>
    <w:rsid w:val="004B7B3F"/>
    <w:rsid w:val="004C001B"/>
    <w:rsid w:val="004C04B7"/>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0CA4"/>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4EB9"/>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D03"/>
    <w:rsid w:val="00504311"/>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437B"/>
    <w:rsid w:val="0054545C"/>
    <w:rsid w:val="005462E7"/>
    <w:rsid w:val="00546E92"/>
    <w:rsid w:val="00550479"/>
    <w:rsid w:val="00550D6E"/>
    <w:rsid w:val="00552FD9"/>
    <w:rsid w:val="00553A6E"/>
    <w:rsid w:val="00553E3E"/>
    <w:rsid w:val="00554745"/>
    <w:rsid w:val="00554F50"/>
    <w:rsid w:val="00555659"/>
    <w:rsid w:val="005560F6"/>
    <w:rsid w:val="00556315"/>
    <w:rsid w:val="00556460"/>
    <w:rsid w:val="00556876"/>
    <w:rsid w:val="00556E64"/>
    <w:rsid w:val="00557968"/>
    <w:rsid w:val="00557A50"/>
    <w:rsid w:val="00557B73"/>
    <w:rsid w:val="00557B97"/>
    <w:rsid w:val="00560185"/>
    <w:rsid w:val="0056120A"/>
    <w:rsid w:val="005617D4"/>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67E59"/>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683"/>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168"/>
    <w:rsid w:val="00586639"/>
    <w:rsid w:val="00586A54"/>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CD"/>
    <w:rsid w:val="005B32D3"/>
    <w:rsid w:val="005B3EE7"/>
    <w:rsid w:val="005B41F7"/>
    <w:rsid w:val="005B433B"/>
    <w:rsid w:val="005B4D76"/>
    <w:rsid w:val="005B517D"/>
    <w:rsid w:val="005B6156"/>
    <w:rsid w:val="005B762A"/>
    <w:rsid w:val="005B7AE7"/>
    <w:rsid w:val="005C25B6"/>
    <w:rsid w:val="005C2AF8"/>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1D52"/>
    <w:rsid w:val="005E591D"/>
    <w:rsid w:val="005E5F9E"/>
    <w:rsid w:val="005E6581"/>
    <w:rsid w:val="005E7304"/>
    <w:rsid w:val="005E7E22"/>
    <w:rsid w:val="005F00D7"/>
    <w:rsid w:val="005F0351"/>
    <w:rsid w:val="005F0567"/>
    <w:rsid w:val="005F05FD"/>
    <w:rsid w:val="005F0BCA"/>
    <w:rsid w:val="005F22F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28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37ED4"/>
    <w:rsid w:val="006406D5"/>
    <w:rsid w:val="00640A1F"/>
    <w:rsid w:val="00641142"/>
    <w:rsid w:val="00641212"/>
    <w:rsid w:val="006419D8"/>
    <w:rsid w:val="00642216"/>
    <w:rsid w:val="00643210"/>
    <w:rsid w:val="00643346"/>
    <w:rsid w:val="006433BB"/>
    <w:rsid w:val="0064379A"/>
    <w:rsid w:val="0064464A"/>
    <w:rsid w:val="00644A3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88B"/>
    <w:rsid w:val="00672D98"/>
    <w:rsid w:val="00673F5A"/>
    <w:rsid w:val="006749C5"/>
    <w:rsid w:val="00675018"/>
    <w:rsid w:val="00675855"/>
    <w:rsid w:val="00675ADB"/>
    <w:rsid w:val="00675FC9"/>
    <w:rsid w:val="00676122"/>
    <w:rsid w:val="00676630"/>
    <w:rsid w:val="006769E8"/>
    <w:rsid w:val="00680D92"/>
    <w:rsid w:val="00681582"/>
    <w:rsid w:val="006824E8"/>
    <w:rsid w:val="0068265A"/>
    <w:rsid w:val="00682778"/>
    <w:rsid w:val="00683464"/>
    <w:rsid w:val="00684514"/>
    <w:rsid w:val="00684706"/>
    <w:rsid w:val="006847B6"/>
    <w:rsid w:val="00684EB2"/>
    <w:rsid w:val="006855E9"/>
    <w:rsid w:val="0068589E"/>
    <w:rsid w:val="00685935"/>
    <w:rsid w:val="00685B59"/>
    <w:rsid w:val="0068635A"/>
    <w:rsid w:val="00686C3B"/>
    <w:rsid w:val="00686DAC"/>
    <w:rsid w:val="0068716B"/>
    <w:rsid w:val="00687B2A"/>
    <w:rsid w:val="00687CF8"/>
    <w:rsid w:val="006901BE"/>
    <w:rsid w:val="0069046E"/>
    <w:rsid w:val="0069120C"/>
    <w:rsid w:val="0069183C"/>
    <w:rsid w:val="00691AA1"/>
    <w:rsid w:val="00691C80"/>
    <w:rsid w:val="0069212E"/>
    <w:rsid w:val="006924F3"/>
    <w:rsid w:val="00692795"/>
    <w:rsid w:val="0069295B"/>
    <w:rsid w:val="00692F11"/>
    <w:rsid w:val="0069364E"/>
    <w:rsid w:val="0069397A"/>
    <w:rsid w:val="00694C72"/>
    <w:rsid w:val="00694C79"/>
    <w:rsid w:val="00694EB6"/>
    <w:rsid w:val="0069576E"/>
    <w:rsid w:val="00695FD0"/>
    <w:rsid w:val="006968D5"/>
    <w:rsid w:val="006968E2"/>
    <w:rsid w:val="00696AF2"/>
    <w:rsid w:val="006976AA"/>
    <w:rsid w:val="00697AA5"/>
    <w:rsid w:val="00697B4E"/>
    <w:rsid w:val="006A0A1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790"/>
    <w:rsid w:val="006B4F9F"/>
    <w:rsid w:val="006B5137"/>
    <w:rsid w:val="006B51E4"/>
    <w:rsid w:val="006B589D"/>
    <w:rsid w:val="006B5FE2"/>
    <w:rsid w:val="006B6D24"/>
    <w:rsid w:val="006B70FB"/>
    <w:rsid w:val="006B7311"/>
    <w:rsid w:val="006C1421"/>
    <w:rsid w:val="006C18DC"/>
    <w:rsid w:val="006C31DD"/>
    <w:rsid w:val="006C37C1"/>
    <w:rsid w:val="006C405D"/>
    <w:rsid w:val="006C45E3"/>
    <w:rsid w:val="006C5263"/>
    <w:rsid w:val="006C52E9"/>
    <w:rsid w:val="006C58A2"/>
    <w:rsid w:val="006C5FC0"/>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6E08"/>
    <w:rsid w:val="00707342"/>
    <w:rsid w:val="00707386"/>
    <w:rsid w:val="0071040B"/>
    <w:rsid w:val="007113C8"/>
    <w:rsid w:val="0071194B"/>
    <w:rsid w:val="00711C26"/>
    <w:rsid w:val="007122E1"/>
    <w:rsid w:val="0071281A"/>
    <w:rsid w:val="007128A0"/>
    <w:rsid w:val="007136AE"/>
    <w:rsid w:val="0071380F"/>
    <w:rsid w:val="00714710"/>
    <w:rsid w:val="00721B13"/>
    <w:rsid w:val="00721F81"/>
    <w:rsid w:val="0072302A"/>
    <w:rsid w:val="007235DC"/>
    <w:rsid w:val="007236A6"/>
    <w:rsid w:val="00723B5F"/>
    <w:rsid w:val="00723BDD"/>
    <w:rsid w:val="00723C2E"/>
    <w:rsid w:val="007246E9"/>
    <w:rsid w:val="00724B55"/>
    <w:rsid w:val="00725843"/>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0A2"/>
    <w:rsid w:val="007623B7"/>
    <w:rsid w:val="0076331E"/>
    <w:rsid w:val="00763537"/>
    <w:rsid w:val="007635DA"/>
    <w:rsid w:val="00763789"/>
    <w:rsid w:val="00763A94"/>
    <w:rsid w:val="00763B99"/>
    <w:rsid w:val="00763DFB"/>
    <w:rsid w:val="007649A1"/>
    <w:rsid w:val="00764BDA"/>
    <w:rsid w:val="00764CC8"/>
    <w:rsid w:val="00764EC2"/>
    <w:rsid w:val="007650F3"/>
    <w:rsid w:val="00766612"/>
    <w:rsid w:val="0076704B"/>
    <w:rsid w:val="00767605"/>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0CE6"/>
    <w:rsid w:val="00791CD9"/>
    <w:rsid w:val="00791F4F"/>
    <w:rsid w:val="00791F5E"/>
    <w:rsid w:val="00792013"/>
    <w:rsid w:val="00792E5E"/>
    <w:rsid w:val="007935B5"/>
    <w:rsid w:val="00794DE4"/>
    <w:rsid w:val="007956B8"/>
    <w:rsid w:val="00795D18"/>
    <w:rsid w:val="007963A0"/>
    <w:rsid w:val="0079665D"/>
    <w:rsid w:val="00796758"/>
    <w:rsid w:val="007967C1"/>
    <w:rsid w:val="00797F27"/>
    <w:rsid w:val="007A03BC"/>
    <w:rsid w:val="007A17B8"/>
    <w:rsid w:val="007A19F2"/>
    <w:rsid w:val="007A1F96"/>
    <w:rsid w:val="007A2A6F"/>
    <w:rsid w:val="007A3B00"/>
    <w:rsid w:val="007A3D13"/>
    <w:rsid w:val="007A4256"/>
    <w:rsid w:val="007A499A"/>
    <w:rsid w:val="007A49EF"/>
    <w:rsid w:val="007A60BB"/>
    <w:rsid w:val="007A7309"/>
    <w:rsid w:val="007A7811"/>
    <w:rsid w:val="007B0509"/>
    <w:rsid w:val="007B0EC2"/>
    <w:rsid w:val="007B182F"/>
    <w:rsid w:val="007B1ACD"/>
    <w:rsid w:val="007B1BBB"/>
    <w:rsid w:val="007B3634"/>
    <w:rsid w:val="007B411F"/>
    <w:rsid w:val="007B45E1"/>
    <w:rsid w:val="007B5240"/>
    <w:rsid w:val="007B545A"/>
    <w:rsid w:val="007B5582"/>
    <w:rsid w:val="007B5802"/>
    <w:rsid w:val="007B6D70"/>
    <w:rsid w:val="007B748D"/>
    <w:rsid w:val="007B7CC1"/>
    <w:rsid w:val="007B7F4A"/>
    <w:rsid w:val="007C1133"/>
    <w:rsid w:val="007C1611"/>
    <w:rsid w:val="007C1716"/>
    <w:rsid w:val="007C1AE1"/>
    <w:rsid w:val="007C2364"/>
    <w:rsid w:val="007C2972"/>
    <w:rsid w:val="007C3180"/>
    <w:rsid w:val="007C3498"/>
    <w:rsid w:val="007C35BE"/>
    <w:rsid w:val="007C3903"/>
    <w:rsid w:val="007C3A6A"/>
    <w:rsid w:val="007C5413"/>
    <w:rsid w:val="007C6FAD"/>
    <w:rsid w:val="007D03E8"/>
    <w:rsid w:val="007D06DB"/>
    <w:rsid w:val="007D0AB4"/>
    <w:rsid w:val="007D0CE5"/>
    <w:rsid w:val="007D1879"/>
    <w:rsid w:val="007D1DF9"/>
    <w:rsid w:val="007D32A1"/>
    <w:rsid w:val="007D32B2"/>
    <w:rsid w:val="007D3E76"/>
    <w:rsid w:val="007D41FC"/>
    <w:rsid w:val="007D449F"/>
    <w:rsid w:val="007D4B1C"/>
    <w:rsid w:val="007D55B7"/>
    <w:rsid w:val="007D5AE7"/>
    <w:rsid w:val="007D5EDC"/>
    <w:rsid w:val="007D68E4"/>
    <w:rsid w:val="007D6A69"/>
    <w:rsid w:val="007E026D"/>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9CB"/>
    <w:rsid w:val="007F6F01"/>
    <w:rsid w:val="007F7E98"/>
    <w:rsid w:val="00800248"/>
    <w:rsid w:val="00800393"/>
    <w:rsid w:val="00801523"/>
    <w:rsid w:val="00801613"/>
    <w:rsid w:val="0080189A"/>
    <w:rsid w:val="00801932"/>
    <w:rsid w:val="0080249D"/>
    <w:rsid w:val="00802B83"/>
    <w:rsid w:val="008036D9"/>
    <w:rsid w:val="00804E0C"/>
    <w:rsid w:val="008054F9"/>
    <w:rsid w:val="00805827"/>
    <w:rsid w:val="008059F2"/>
    <w:rsid w:val="00805C58"/>
    <w:rsid w:val="008060A9"/>
    <w:rsid w:val="00806527"/>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17E6"/>
    <w:rsid w:val="00822005"/>
    <w:rsid w:val="00822364"/>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5FD8"/>
    <w:rsid w:val="00836727"/>
    <w:rsid w:val="00836DBF"/>
    <w:rsid w:val="00837039"/>
    <w:rsid w:val="0083768C"/>
    <w:rsid w:val="00840A90"/>
    <w:rsid w:val="00840BC0"/>
    <w:rsid w:val="00842114"/>
    <w:rsid w:val="0084237C"/>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23F"/>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039"/>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44A5"/>
    <w:rsid w:val="00885F62"/>
    <w:rsid w:val="00885F67"/>
    <w:rsid w:val="00886B8F"/>
    <w:rsid w:val="00886F38"/>
    <w:rsid w:val="008872DF"/>
    <w:rsid w:val="00887D56"/>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0D"/>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C57"/>
    <w:rsid w:val="008F0481"/>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16"/>
    <w:rsid w:val="00912A94"/>
    <w:rsid w:val="00914E1E"/>
    <w:rsid w:val="0091571D"/>
    <w:rsid w:val="0091597E"/>
    <w:rsid w:val="009163DE"/>
    <w:rsid w:val="00916BBA"/>
    <w:rsid w:val="00917807"/>
    <w:rsid w:val="00917B56"/>
    <w:rsid w:val="009206CB"/>
    <w:rsid w:val="00920CDD"/>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CA"/>
    <w:rsid w:val="009333E8"/>
    <w:rsid w:val="00933524"/>
    <w:rsid w:val="0093364A"/>
    <w:rsid w:val="00934317"/>
    <w:rsid w:val="00934A70"/>
    <w:rsid w:val="009351D9"/>
    <w:rsid w:val="00935326"/>
    <w:rsid w:val="0093546A"/>
    <w:rsid w:val="00935AA1"/>
    <w:rsid w:val="00936F46"/>
    <w:rsid w:val="0093717D"/>
    <w:rsid w:val="0093746E"/>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7F8"/>
    <w:rsid w:val="00977C74"/>
    <w:rsid w:val="00977C8C"/>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2681"/>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2F"/>
    <w:rsid w:val="009E0F5E"/>
    <w:rsid w:val="009E15D3"/>
    <w:rsid w:val="009E1D46"/>
    <w:rsid w:val="009E219B"/>
    <w:rsid w:val="009E258F"/>
    <w:rsid w:val="009E2737"/>
    <w:rsid w:val="009E3A61"/>
    <w:rsid w:val="009E40A1"/>
    <w:rsid w:val="009E4BE8"/>
    <w:rsid w:val="009E4C08"/>
    <w:rsid w:val="009E5901"/>
    <w:rsid w:val="009E5D5A"/>
    <w:rsid w:val="009E6946"/>
    <w:rsid w:val="009E74A5"/>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B7A"/>
    <w:rsid w:val="00A04E8D"/>
    <w:rsid w:val="00A0565B"/>
    <w:rsid w:val="00A0597C"/>
    <w:rsid w:val="00A07278"/>
    <w:rsid w:val="00A11298"/>
    <w:rsid w:val="00A11881"/>
    <w:rsid w:val="00A11A39"/>
    <w:rsid w:val="00A130E7"/>
    <w:rsid w:val="00A13256"/>
    <w:rsid w:val="00A136AF"/>
    <w:rsid w:val="00A15511"/>
    <w:rsid w:val="00A15E2B"/>
    <w:rsid w:val="00A15EB7"/>
    <w:rsid w:val="00A15F2D"/>
    <w:rsid w:val="00A15FAC"/>
    <w:rsid w:val="00A16454"/>
    <w:rsid w:val="00A167A5"/>
    <w:rsid w:val="00A20D35"/>
    <w:rsid w:val="00A2195F"/>
    <w:rsid w:val="00A2208D"/>
    <w:rsid w:val="00A22551"/>
    <w:rsid w:val="00A24745"/>
    <w:rsid w:val="00A252AC"/>
    <w:rsid w:val="00A25414"/>
    <w:rsid w:val="00A25510"/>
    <w:rsid w:val="00A25639"/>
    <w:rsid w:val="00A26382"/>
    <w:rsid w:val="00A26966"/>
    <w:rsid w:val="00A26E23"/>
    <w:rsid w:val="00A26EDC"/>
    <w:rsid w:val="00A272B7"/>
    <w:rsid w:val="00A2755C"/>
    <w:rsid w:val="00A279A6"/>
    <w:rsid w:val="00A31468"/>
    <w:rsid w:val="00A3227C"/>
    <w:rsid w:val="00A32770"/>
    <w:rsid w:val="00A3297E"/>
    <w:rsid w:val="00A34297"/>
    <w:rsid w:val="00A3490B"/>
    <w:rsid w:val="00A34917"/>
    <w:rsid w:val="00A35236"/>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700"/>
    <w:rsid w:val="00A479D0"/>
    <w:rsid w:val="00A47CBA"/>
    <w:rsid w:val="00A507AA"/>
    <w:rsid w:val="00A508CD"/>
    <w:rsid w:val="00A50EE3"/>
    <w:rsid w:val="00A51572"/>
    <w:rsid w:val="00A51A1A"/>
    <w:rsid w:val="00A51B12"/>
    <w:rsid w:val="00A51BA5"/>
    <w:rsid w:val="00A520FC"/>
    <w:rsid w:val="00A5260F"/>
    <w:rsid w:val="00A52DE3"/>
    <w:rsid w:val="00A52F7E"/>
    <w:rsid w:val="00A53151"/>
    <w:rsid w:val="00A54009"/>
    <w:rsid w:val="00A541B8"/>
    <w:rsid w:val="00A5448A"/>
    <w:rsid w:val="00A5458D"/>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4B27"/>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0C15"/>
    <w:rsid w:val="00AA138F"/>
    <w:rsid w:val="00AA22C9"/>
    <w:rsid w:val="00AA243E"/>
    <w:rsid w:val="00AA2981"/>
    <w:rsid w:val="00AA35F2"/>
    <w:rsid w:val="00AA37B4"/>
    <w:rsid w:val="00AA39C4"/>
    <w:rsid w:val="00AA4E0E"/>
    <w:rsid w:val="00AA4E5A"/>
    <w:rsid w:val="00AA6C1B"/>
    <w:rsid w:val="00AA7EE7"/>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AE0"/>
    <w:rsid w:val="00AC3C46"/>
    <w:rsid w:val="00AC42F1"/>
    <w:rsid w:val="00AC60E1"/>
    <w:rsid w:val="00AC6521"/>
    <w:rsid w:val="00AC688D"/>
    <w:rsid w:val="00AC6A9F"/>
    <w:rsid w:val="00AC70E1"/>
    <w:rsid w:val="00AC70F1"/>
    <w:rsid w:val="00AC72C2"/>
    <w:rsid w:val="00AC7903"/>
    <w:rsid w:val="00AC7F32"/>
    <w:rsid w:val="00AD0A02"/>
    <w:rsid w:val="00AD0F73"/>
    <w:rsid w:val="00AD10A8"/>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02F"/>
    <w:rsid w:val="00AE4116"/>
    <w:rsid w:val="00AE4A96"/>
    <w:rsid w:val="00AE511E"/>
    <w:rsid w:val="00AE547B"/>
    <w:rsid w:val="00AE5F19"/>
    <w:rsid w:val="00AE645A"/>
    <w:rsid w:val="00AE6FFA"/>
    <w:rsid w:val="00AE77BC"/>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781"/>
    <w:rsid w:val="00B12EA9"/>
    <w:rsid w:val="00B13011"/>
    <w:rsid w:val="00B133D9"/>
    <w:rsid w:val="00B13AA5"/>
    <w:rsid w:val="00B13E56"/>
    <w:rsid w:val="00B13F0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4F5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1E4"/>
    <w:rsid w:val="00B43D5F"/>
    <w:rsid w:val="00B43EED"/>
    <w:rsid w:val="00B44000"/>
    <w:rsid w:val="00B44420"/>
    <w:rsid w:val="00B44708"/>
    <w:rsid w:val="00B44F85"/>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16FC"/>
    <w:rsid w:val="00B925FC"/>
    <w:rsid w:val="00B927D5"/>
    <w:rsid w:val="00B92821"/>
    <w:rsid w:val="00B93DF9"/>
    <w:rsid w:val="00B9419B"/>
    <w:rsid w:val="00B942CE"/>
    <w:rsid w:val="00B943E2"/>
    <w:rsid w:val="00B94CEC"/>
    <w:rsid w:val="00B95201"/>
    <w:rsid w:val="00B95F1F"/>
    <w:rsid w:val="00B962DA"/>
    <w:rsid w:val="00B9657E"/>
    <w:rsid w:val="00B970E0"/>
    <w:rsid w:val="00B9791C"/>
    <w:rsid w:val="00B97D24"/>
    <w:rsid w:val="00BA1741"/>
    <w:rsid w:val="00BA20F6"/>
    <w:rsid w:val="00BA352E"/>
    <w:rsid w:val="00BA3F27"/>
    <w:rsid w:val="00BA4852"/>
    <w:rsid w:val="00BA4AD0"/>
    <w:rsid w:val="00BA4D88"/>
    <w:rsid w:val="00BA5928"/>
    <w:rsid w:val="00BA5A33"/>
    <w:rsid w:val="00BA7593"/>
    <w:rsid w:val="00BB164B"/>
    <w:rsid w:val="00BB1AD6"/>
    <w:rsid w:val="00BB20DA"/>
    <w:rsid w:val="00BB2ECB"/>
    <w:rsid w:val="00BB3092"/>
    <w:rsid w:val="00BB3920"/>
    <w:rsid w:val="00BB473E"/>
    <w:rsid w:val="00BB5BB4"/>
    <w:rsid w:val="00BB647B"/>
    <w:rsid w:val="00BB70F6"/>
    <w:rsid w:val="00BC0DAC"/>
    <w:rsid w:val="00BC1890"/>
    <w:rsid w:val="00BC198A"/>
    <w:rsid w:val="00BC25B9"/>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1C25"/>
    <w:rsid w:val="00BE25E7"/>
    <w:rsid w:val="00BE37E1"/>
    <w:rsid w:val="00BE390D"/>
    <w:rsid w:val="00BE3F6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07FD6"/>
    <w:rsid w:val="00C1051A"/>
    <w:rsid w:val="00C10858"/>
    <w:rsid w:val="00C119DD"/>
    <w:rsid w:val="00C11D78"/>
    <w:rsid w:val="00C11ED7"/>
    <w:rsid w:val="00C12B74"/>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37D62"/>
    <w:rsid w:val="00C40D72"/>
    <w:rsid w:val="00C40E29"/>
    <w:rsid w:val="00C40F97"/>
    <w:rsid w:val="00C41527"/>
    <w:rsid w:val="00C41E6C"/>
    <w:rsid w:val="00C42FB8"/>
    <w:rsid w:val="00C431A1"/>
    <w:rsid w:val="00C4321D"/>
    <w:rsid w:val="00C43C54"/>
    <w:rsid w:val="00C44840"/>
    <w:rsid w:val="00C45049"/>
    <w:rsid w:val="00C46990"/>
    <w:rsid w:val="00C46BA9"/>
    <w:rsid w:val="00C47666"/>
    <w:rsid w:val="00C50E54"/>
    <w:rsid w:val="00C511D1"/>
    <w:rsid w:val="00C52465"/>
    <w:rsid w:val="00C52C5B"/>
    <w:rsid w:val="00C53339"/>
    <w:rsid w:val="00C53446"/>
    <w:rsid w:val="00C53EBD"/>
    <w:rsid w:val="00C54FFD"/>
    <w:rsid w:val="00C55815"/>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60C1"/>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3B5D"/>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2AFF"/>
    <w:rsid w:val="00CE31BA"/>
    <w:rsid w:val="00CE3A4A"/>
    <w:rsid w:val="00CE412B"/>
    <w:rsid w:val="00CE45EA"/>
    <w:rsid w:val="00CE51A1"/>
    <w:rsid w:val="00CE656D"/>
    <w:rsid w:val="00CE6724"/>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1F37"/>
    <w:rsid w:val="00D32CA5"/>
    <w:rsid w:val="00D33AC1"/>
    <w:rsid w:val="00D33B0F"/>
    <w:rsid w:val="00D34BF6"/>
    <w:rsid w:val="00D35B2F"/>
    <w:rsid w:val="00D36E52"/>
    <w:rsid w:val="00D37A1C"/>
    <w:rsid w:val="00D402E2"/>
    <w:rsid w:val="00D413A7"/>
    <w:rsid w:val="00D41482"/>
    <w:rsid w:val="00D4264C"/>
    <w:rsid w:val="00D43096"/>
    <w:rsid w:val="00D43AEF"/>
    <w:rsid w:val="00D43FAC"/>
    <w:rsid w:val="00D449B5"/>
    <w:rsid w:val="00D45A15"/>
    <w:rsid w:val="00D4795B"/>
    <w:rsid w:val="00D479EE"/>
    <w:rsid w:val="00D47B8A"/>
    <w:rsid w:val="00D50354"/>
    <w:rsid w:val="00D5055F"/>
    <w:rsid w:val="00D51845"/>
    <w:rsid w:val="00D51DD0"/>
    <w:rsid w:val="00D52457"/>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5F82"/>
    <w:rsid w:val="00D6615C"/>
    <w:rsid w:val="00D663A2"/>
    <w:rsid w:val="00D672B9"/>
    <w:rsid w:val="00D67AF4"/>
    <w:rsid w:val="00D724D0"/>
    <w:rsid w:val="00D7328D"/>
    <w:rsid w:val="00D74FD0"/>
    <w:rsid w:val="00D75C29"/>
    <w:rsid w:val="00D763D4"/>
    <w:rsid w:val="00D774E8"/>
    <w:rsid w:val="00D8015B"/>
    <w:rsid w:val="00D804E9"/>
    <w:rsid w:val="00D807E1"/>
    <w:rsid w:val="00D8137B"/>
    <w:rsid w:val="00D814BF"/>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1DE4"/>
    <w:rsid w:val="00DB3675"/>
    <w:rsid w:val="00DB4BCB"/>
    <w:rsid w:val="00DB4DF0"/>
    <w:rsid w:val="00DB50C3"/>
    <w:rsid w:val="00DB56D6"/>
    <w:rsid w:val="00DB5BEA"/>
    <w:rsid w:val="00DB7858"/>
    <w:rsid w:val="00DB7ADF"/>
    <w:rsid w:val="00DB7C06"/>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09BF"/>
    <w:rsid w:val="00DE1E99"/>
    <w:rsid w:val="00DE3F92"/>
    <w:rsid w:val="00DE4789"/>
    <w:rsid w:val="00DE501E"/>
    <w:rsid w:val="00DE55DD"/>
    <w:rsid w:val="00DE579B"/>
    <w:rsid w:val="00DE629A"/>
    <w:rsid w:val="00DE7005"/>
    <w:rsid w:val="00DF0006"/>
    <w:rsid w:val="00DF0859"/>
    <w:rsid w:val="00DF1A39"/>
    <w:rsid w:val="00DF20F3"/>
    <w:rsid w:val="00DF2307"/>
    <w:rsid w:val="00DF3813"/>
    <w:rsid w:val="00DF3F9A"/>
    <w:rsid w:val="00DF46EB"/>
    <w:rsid w:val="00DF4A75"/>
    <w:rsid w:val="00DF4AFE"/>
    <w:rsid w:val="00DF4F6B"/>
    <w:rsid w:val="00DF5C8D"/>
    <w:rsid w:val="00DF6141"/>
    <w:rsid w:val="00DF6209"/>
    <w:rsid w:val="00DF631D"/>
    <w:rsid w:val="00DF6E5D"/>
    <w:rsid w:val="00DF787D"/>
    <w:rsid w:val="00DF79AE"/>
    <w:rsid w:val="00DF7C39"/>
    <w:rsid w:val="00E00741"/>
    <w:rsid w:val="00E0123D"/>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864"/>
    <w:rsid w:val="00E13D19"/>
    <w:rsid w:val="00E14128"/>
    <w:rsid w:val="00E1422F"/>
    <w:rsid w:val="00E148BC"/>
    <w:rsid w:val="00E14AE7"/>
    <w:rsid w:val="00E14D60"/>
    <w:rsid w:val="00E16334"/>
    <w:rsid w:val="00E16C0B"/>
    <w:rsid w:val="00E170B6"/>
    <w:rsid w:val="00E1723D"/>
    <w:rsid w:val="00E17A07"/>
    <w:rsid w:val="00E203C8"/>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0A55"/>
    <w:rsid w:val="00E31FD2"/>
    <w:rsid w:val="00E3279D"/>
    <w:rsid w:val="00E338CC"/>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534A"/>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54C"/>
    <w:rsid w:val="00E75A7F"/>
    <w:rsid w:val="00E76EBB"/>
    <w:rsid w:val="00E80809"/>
    <w:rsid w:val="00E809E0"/>
    <w:rsid w:val="00E81B5D"/>
    <w:rsid w:val="00E82593"/>
    <w:rsid w:val="00E835C0"/>
    <w:rsid w:val="00E83909"/>
    <w:rsid w:val="00E83BF8"/>
    <w:rsid w:val="00E8472A"/>
    <w:rsid w:val="00E848AA"/>
    <w:rsid w:val="00E84F5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AE9"/>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3CCA"/>
    <w:rsid w:val="00F0527C"/>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194"/>
    <w:rsid w:val="00F16DD9"/>
    <w:rsid w:val="00F178A3"/>
    <w:rsid w:val="00F17FBF"/>
    <w:rsid w:val="00F21100"/>
    <w:rsid w:val="00F21D64"/>
    <w:rsid w:val="00F21F6A"/>
    <w:rsid w:val="00F2212C"/>
    <w:rsid w:val="00F2358D"/>
    <w:rsid w:val="00F236F0"/>
    <w:rsid w:val="00F237B4"/>
    <w:rsid w:val="00F23E40"/>
    <w:rsid w:val="00F243D6"/>
    <w:rsid w:val="00F2694D"/>
    <w:rsid w:val="00F26B9C"/>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5F7"/>
    <w:rsid w:val="00F422D7"/>
    <w:rsid w:val="00F43DC1"/>
    <w:rsid w:val="00F4421C"/>
    <w:rsid w:val="00F44411"/>
    <w:rsid w:val="00F44F8A"/>
    <w:rsid w:val="00F45E2A"/>
    <w:rsid w:val="00F45F0C"/>
    <w:rsid w:val="00F46DE7"/>
    <w:rsid w:val="00F47DFB"/>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26E"/>
    <w:rsid w:val="00F736EE"/>
    <w:rsid w:val="00F7373B"/>
    <w:rsid w:val="00F738DC"/>
    <w:rsid w:val="00F73A27"/>
    <w:rsid w:val="00F73BE3"/>
    <w:rsid w:val="00F740CC"/>
    <w:rsid w:val="00F742D7"/>
    <w:rsid w:val="00F74C9E"/>
    <w:rsid w:val="00F761A9"/>
    <w:rsid w:val="00F7670D"/>
    <w:rsid w:val="00F77910"/>
    <w:rsid w:val="00F77F7B"/>
    <w:rsid w:val="00F8014A"/>
    <w:rsid w:val="00F80B8F"/>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3FE2"/>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0C1F"/>
    <w:rsid w:val="00FE14B4"/>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3CF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4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1C4333"/>
    <w:pPr>
      <w:keepNext/>
      <w:numPr>
        <w:ilvl w:val="2"/>
        <w:numId w:val="3"/>
      </w:numPr>
      <w:tabs>
        <w:tab w:val="left" w:pos="-5500"/>
      </w:tabs>
      <w:spacing w:before="120" w:after="180"/>
      <w:outlineLvl w:val="2"/>
    </w:pPr>
    <w:rPr>
      <w:rFonts w:ascii="Arial" w:eastAsia="MS Mincho" w:hAnsi="Arial"/>
      <w:sz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
    <w:link w:val="ListParagraph"/>
    <w:uiPriority w:val="34"/>
    <w:rsid w:val="00586A54"/>
    <w:rPr>
      <w:rFonts w:ascii="SimSun" w:hAnsi="SimSun" w:cs="SimSun"/>
      <w:sz w:val="24"/>
      <w:szCs w:val="24"/>
    </w:rPr>
  </w:style>
  <w:style w:type="paragraph" w:customStyle="1" w:styleId="CharChar1CharCharCharCharCharCharCharCharCharCharCharCharCharCharChar">
    <w:name w:val="Char Char1 Char Char Char Char Char Char Char Char Char Char Char Char Char Char Char"/>
    <w:semiHidden/>
    <w:rsid w:val="00A04B7A"/>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2826576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02006099">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09439722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910978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4606076">
      <w:bodyDiv w:val="1"/>
      <w:marLeft w:val="0"/>
      <w:marRight w:val="0"/>
      <w:marTop w:val="0"/>
      <w:marBottom w:val="0"/>
      <w:divBdr>
        <w:top w:val="none" w:sz="0" w:space="0" w:color="auto"/>
        <w:left w:val="none" w:sz="0" w:space="0" w:color="auto"/>
        <w:bottom w:val="none" w:sz="0" w:space="0" w:color="auto"/>
        <w:right w:val="none" w:sz="0" w:space="0" w:color="auto"/>
      </w:divBdr>
      <w:divsChild>
        <w:div w:id="65228010">
          <w:marLeft w:val="1080"/>
          <w:marRight w:val="0"/>
          <w:marTop w:val="100"/>
          <w:marBottom w:val="0"/>
          <w:divBdr>
            <w:top w:val="none" w:sz="0" w:space="0" w:color="auto"/>
            <w:left w:val="none" w:sz="0" w:space="0" w:color="auto"/>
            <w:bottom w:val="none" w:sz="0" w:space="0" w:color="auto"/>
            <w:right w:val="none" w:sz="0" w:space="0" w:color="auto"/>
          </w:divBdr>
        </w:div>
        <w:div w:id="955020471">
          <w:marLeft w:val="1080"/>
          <w:marRight w:val="0"/>
          <w:marTop w:val="100"/>
          <w:marBottom w:val="0"/>
          <w:divBdr>
            <w:top w:val="none" w:sz="0" w:space="0" w:color="auto"/>
            <w:left w:val="none" w:sz="0" w:space="0" w:color="auto"/>
            <w:bottom w:val="none" w:sz="0" w:space="0" w:color="auto"/>
            <w:right w:val="none" w:sz="0" w:space="0" w:color="auto"/>
          </w:divBdr>
        </w:div>
        <w:div w:id="957637723">
          <w:marLeft w:val="1800"/>
          <w:marRight w:val="0"/>
          <w:marTop w:val="100"/>
          <w:marBottom w:val="0"/>
          <w:divBdr>
            <w:top w:val="none" w:sz="0" w:space="0" w:color="auto"/>
            <w:left w:val="none" w:sz="0" w:space="0" w:color="auto"/>
            <w:bottom w:val="none" w:sz="0" w:space="0" w:color="auto"/>
            <w:right w:val="none" w:sz="0" w:space="0" w:color="auto"/>
          </w:divBdr>
        </w:div>
        <w:div w:id="168375214">
          <w:marLeft w:val="1800"/>
          <w:marRight w:val="0"/>
          <w:marTop w:val="100"/>
          <w:marBottom w:val="0"/>
          <w:divBdr>
            <w:top w:val="none" w:sz="0" w:space="0" w:color="auto"/>
            <w:left w:val="none" w:sz="0" w:space="0" w:color="auto"/>
            <w:bottom w:val="none" w:sz="0" w:space="0" w:color="auto"/>
            <w:right w:val="none" w:sz="0" w:space="0" w:color="auto"/>
          </w:divBdr>
        </w:div>
        <w:div w:id="603535356">
          <w:marLeft w:val="2520"/>
          <w:marRight w:val="0"/>
          <w:marTop w:val="100"/>
          <w:marBottom w:val="0"/>
          <w:divBdr>
            <w:top w:val="none" w:sz="0" w:space="0" w:color="auto"/>
            <w:left w:val="none" w:sz="0" w:space="0" w:color="auto"/>
            <w:bottom w:val="none" w:sz="0" w:space="0" w:color="auto"/>
            <w:right w:val="none" w:sz="0" w:space="0" w:color="auto"/>
          </w:divBdr>
        </w:div>
        <w:div w:id="1681348536">
          <w:marLeft w:val="180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C0937-E567-4BD2-908E-9D2AC8D2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1888</Words>
  <Characters>10762</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5</cp:revision>
  <dcterms:created xsi:type="dcterms:W3CDTF">2017-11-17T21:51:00Z</dcterms:created>
  <dcterms:modified xsi:type="dcterms:W3CDTF">2017-11-17T23:28:00Z</dcterms:modified>
</cp:coreProperties>
</file>