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9B4" w:rsidRPr="00301EF0" w:rsidRDefault="00812461" w:rsidP="00CC79B4">
      <w:pPr>
        <w:tabs>
          <w:tab w:val="center" w:pos="4536"/>
          <w:tab w:val="right" w:pos="8280"/>
          <w:tab w:val="right" w:pos="9781"/>
        </w:tabs>
        <w:ind w:right="-58"/>
        <w:rPr>
          <w:rFonts w:ascii="Arial" w:hAnsi="Arial" w:cs="Arial" w:hint="eastAsia"/>
          <w:b/>
          <w:bCs/>
          <w:lang w:eastAsia="zh-TW"/>
        </w:rPr>
      </w:pPr>
      <w:bookmarkStart w:id="0" w:name="_Ref291680302"/>
      <w:bookmarkStart w:id="1" w:name="_GoBack"/>
      <w:bookmarkEnd w:id="1"/>
      <w:r>
        <w:rPr>
          <w:rFonts w:ascii="Arial" w:hAnsi="Arial" w:cs="Arial"/>
          <w:b/>
          <w:bCs/>
        </w:rPr>
        <w:t xml:space="preserve">3GPP TSG RAN WG1 Meeting </w:t>
      </w:r>
      <w:r w:rsidR="00F23C83">
        <w:rPr>
          <w:rFonts w:ascii="Arial" w:hAnsi="Arial" w:cs="Arial" w:hint="eastAsia"/>
          <w:b/>
          <w:bCs/>
          <w:lang w:eastAsia="zh-TW"/>
        </w:rPr>
        <w:t>91</w:t>
      </w:r>
      <w:r w:rsidR="00CC79B4" w:rsidRPr="00CC79B4">
        <w:rPr>
          <w:rFonts w:ascii="Arial" w:hAnsi="Arial" w:cs="Arial" w:hint="eastAsia"/>
          <w:b/>
          <w:bCs/>
        </w:rPr>
        <w:t xml:space="preserve">           </w:t>
      </w:r>
      <w:r w:rsidR="00CC79B4" w:rsidRPr="00CC79B4">
        <w:rPr>
          <w:rFonts w:ascii="Arial" w:eastAsia="MS Mincho" w:hAnsi="Arial" w:cs="Arial" w:hint="eastAsia"/>
          <w:b/>
          <w:bCs/>
          <w:lang w:eastAsia="ja-JP"/>
        </w:rPr>
        <w:t xml:space="preserve">                             </w:t>
      </w:r>
      <w:r w:rsidR="00CC79B4" w:rsidRPr="00CC79B4">
        <w:rPr>
          <w:rFonts w:ascii="Arial" w:hAnsi="Arial" w:cs="Arial"/>
          <w:b/>
          <w:bCs/>
        </w:rPr>
        <w:tab/>
      </w:r>
      <w:r w:rsidR="00CC79B4">
        <w:rPr>
          <w:rFonts w:ascii="Arial" w:hAnsi="Arial" w:cs="Arial" w:hint="eastAsia"/>
          <w:b/>
          <w:bCs/>
          <w:lang w:eastAsia="zh-TW"/>
        </w:rPr>
        <w:t xml:space="preserve">            </w:t>
      </w:r>
      <w:r w:rsidR="00F23C83">
        <w:rPr>
          <w:rFonts w:ascii="Arial" w:hAnsi="Arial" w:cs="Arial" w:hint="eastAsia"/>
          <w:b/>
          <w:bCs/>
          <w:lang w:eastAsia="zh-TW"/>
        </w:rPr>
        <w:t xml:space="preserve">    </w:t>
      </w:r>
      <w:r>
        <w:rPr>
          <w:rFonts w:ascii="Arial" w:hAnsi="Arial" w:cs="Arial" w:hint="eastAsia"/>
          <w:b/>
          <w:bCs/>
          <w:lang w:eastAsia="zh-TW"/>
        </w:rPr>
        <w:t xml:space="preserve"> </w:t>
      </w:r>
      <w:r w:rsidR="00674C5A">
        <w:rPr>
          <w:rFonts w:ascii="Arial" w:eastAsia="MS Mincho" w:hAnsi="Arial" w:cs="Arial" w:hint="eastAsia"/>
          <w:b/>
          <w:bCs/>
          <w:lang w:eastAsia="ja-JP"/>
        </w:rPr>
        <w:t>R1-17</w:t>
      </w:r>
      <w:r w:rsidR="007C0720">
        <w:rPr>
          <w:rFonts w:ascii="Arial" w:hAnsi="Arial" w:cs="Arial" w:hint="eastAsia"/>
          <w:b/>
          <w:bCs/>
          <w:lang w:eastAsia="zh-TW"/>
        </w:rPr>
        <w:t>19683</w:t>
      </w:r>
    </w:p>
    <w:p w:rsidR="00F23C83" w:rsidRPr="00F23C83" w:rsidRDefault="00F23C83" w:rsidP="00F23C83">
      <w:pPr>
        <w:tabs>
          <w:tab w:val="center" w:pos="4536"/>
          <w:tab w:val="right" w:pos="9072"/>
        </w:tabs>
        <w:rPr>
          <w:rFonts w:ascii="Arial" w:eastAsia="MS Mincho" w:hAnsi="Arial" w:cs="Arial" w:hint="eastAsia"/>
          <w:b/>
          <w:bCs/>
          <w:lang w:eastAsia="ja-JP"/>
        </w:rPr>
      </w:pPr>
      <w:r w:rsidRPr="00F23C83">
        <w:rPr>
          <w:rFonts w:ascii="Arial" w:eastAsia="MS Mincho" w:hAnsi="Arial" w:cs="Arial"/>
          <w:b/>
          <w:bCs/>
          <w:lang w:eastAsia="ja-JP"/>
        </w:rPr>
        <w:t>Reno, USA, November 27</w:t>
      </w:r>
      <w:r w:rsidRPr="00F23C83">
        <w:rPr>
          <w:rFonts w:ascii="Arial" w:eastAsia="MS Mincho" w:hAnsi="Arial" w:cs="Arial"/>
          <w:b/>
          <w:bCs/>
          <w:vertAlign w:val="superscript"/>
          <w:lang w:eastAsia="ja-JP"/>
        </w:rPr>
        <w:t>th</w:t>
      </w:r>
      <w:r w:rsidRPr="00F23C83">
        <w:rPr>
          <w:rFonts w:ascii="Arial" w:eastAsia="MS Mincho" w:hAnsi="Arial" w:cs="Arial"/>
          <w:b/>
          <w:bCs/>
          <w:lang w:eastAsia="ja-JP"/>
        </w:rPr>
        <w:t xml:space="preserve"> – December 1</w:t>
      </w:r>
      <w:r w:rsidRPr="00F23C83">
        <w:rPr>
          <w:rFonts w:ascii="Arial" w:eastAsia="MS Mincho" w:hAnsi="Arial" w:cs="Arial"/>
          <w:b/>
          <w:bCs/>
          <w:vertAlign w:val="superscript"/>
          <w:lang w:eastAsia="ja-JP"/>
        </w:rPr>
        <w:t>st</w:t>
      </w:r>
      <w:r w:rsidRPr="00F23C83">
        <w:rPr>
          <w:rFonts w:ascii="Arial" w:eastAsia="MS Mincho" w:hAnsi="Arial" w:cs="Arial"/>
          <w:b/>
          <w:bCs/>
          <w:lang w:eastAsia="ja-JP"/>
        </w:rPr>
        <w:t>, 2017</w:t>
      </w:r>
    </w:p>
    <w:p w:rsidR="004E2752" w:rsidRPr="00F23C83" w:rsidRDefault="004E2752" w:rsidP="004E2752">
      <w:pPr>
        <w:rPr>
          <w:rFonts w:ascii="Arial" w:hAnsi="Arial" w:cs="Arial" w:hint="eastAsia"/>
          <w:b/>
          <w:bCs/>
          <w:color w:val="000000"/>
          <w:lang w:eastAsia="zh-TW"/>
        </w:rPr>
      </w:pPr>
    </w:p>
    <w:p w:rsidR="00460352" w:rsidRPr="00CC79B4" w:rsidRDefault="00460352" w:rsidP="009B47CB">
      <w:pPr>
        <w:pStyle w:val="a5"/>
        <w:tabs>
          <w:tab w:val="clear" w:pos="4536"/>
          <w:tab w:val="left" w:pos="1800"/>
        </w:tabs>
        <w:ind w:left="1800" w:hanging="1800"/>
        <w:rPr>
          <w:rFonts w:eastAsia="新細明體" w:cs="Arial" w:hint="eastAsia"/>
          <w:szCs w:val="20"/>
          <w:lang w:eastAsia="zh-TW"/>
        </w:rPr>
      </w:pPr>
    </w:p>
    <w:p w:rsidR="009B47CB" w:rsidRPr="00F70422" w:rsidRDefault="009B47CB" w:rsidP="009B47CB">
      <w:pPr>
        <w:pStyle w:val="a5"/>
        <w:tabs>
          <w:tab w:val="clear" w:pos="4536"/>
          <w:tab w:val="left" w:pos="1800"/>
        </w:tabs>
        <w:ind w:left="1800" w:hanging="1800"/>
        <w:rPr>
          <w:rFonts w:eastAsia="新細明體" w:cs="Arial"/>
          <w:szCs w:val="20"/>
          <w:lang w:eastAsia="zh-TW"/>
        </w:rPr>
      </w:pPr>
      <w:r w:rsidRPr="00F70422">
        <w:rPr>
          <w:rFonts w:cs="Arial"/>
          <w:szCs w:val="20"/>
        </w:rPr>
        <w:t>Source:</w:t>
      </w:r>
      <w:r w:rsidRPr="00F70422">
        <w:rPr>
          <w:rFonts w:cs="Arial"/>
          <w:szCs w:val="20"/>
        </w:rPr>
        <w:tab/>
      </w:r>
      <w:r w:rsidRPr="00F70422">
        <w:rPr>
          <w:rFonts w:eastAsia="新細明體" w:cs="Arial"/>
          <w:szCs w:val="20"/>
          <w:lang w:eastAsia="zh-TW"/>
        </w:rPr>
        <w:t>ITRI</w:t>
      </w:r>
    </w:p>
    <w:p w:rsidR="007A368E" w:rsidRPr="007A368E" w:rsidRDefault="009B47CB" w:rsidP="007A368E">
      <w:pPr>
        <w:pStyle w:val="a5"/>
        <w:tabs>
          <w:tab w:val="clear" w:pos="4536"/>
          <w:tab w:val="left" w:pos="1800"/>
        </w:tabs>
        <w:ind w:left="1800" w:hanging="1800"/>
        <w:rPr>
          <w:rFonts w:eastAsia="新細明體" w:hint="eastAsia"/>
          <w:lang w:eastAsia="zh-TW"/>
        </w:rPr>
      </w:pPr>
      <w:r w:rsidRPr="00F70422">
        <w:rPr>
          <w:rFonts w:eastAsia="新細明體" w:cs="Arial"/>
          <w:szCs w:val="20"/>
          <w:lang w:eastAsia="zh-TW"/>
        </w:rPr>
        <w:t>Title:</w:t>
      </w:r>
      <w:bookmarkStart w:id="2" w:name="Title"/>
      <w:bookmarkEnd w:id="2"/>
      <w:r w:rsidRPr="00F70422">
        <w:rPr>
          <w:rFonts w:eastAsia="新細明體" w:cs="Arial"/>
          <w:szCs w:val="20"/>
          <w:lang w:eastAsia="zh-TW"/>
        </w:rPr>
        <w:tab/>
      </w:r>
      <w:r w:rsidR="00A13342">
        <w:rPr>
          <w:rFonts w:eastAsia="新細明體" w:cs="Arial" w:hint="eastAsia"/>
          <w:szCs w:val="20"/>
          <w:lang w:eastAsia="zh-TW"/>
        </w:rPr>
        <w:t>Discussion on Short TTI</w:t>
      </w:r>
      <w:r w:rsidR="00650D08">
        <w:rPr>
          <w:rFonts w:eastAsia="新細明體" w:cs="Arial" w:hint="eastAsia"/>
          <w:szCs w:val="20"/>
          <w:lang w:eastAsia="zh-TW"/>
        </w:rPr>
        <w:t xml:space="preserve"> for V2X Phase 2</w:t>
      </w:r>
    </w:p>
    <w:p w:rsidR="009B47CB" w:rsidRPr="00F70422" w:rsidRDefault="009B47CB" w:rsidP="009B47CB">
      <w:pPr>
        <w:pStyle w:val="a5"/>
        <w:tabs>
          <w:tab w:val="clear" w:pos="4536"/>
          <w:tab w:val="clear" w:pos="9072"/>
          <w:tab w:val="left" w:pos="1800"/>
          <w:tab w:val="center" w:pos="4703"/>
        </w:tabs>
        <w:rPr>
          <w:rFonts w:eastAsia="新細明體" w:cs="Arial"/>
          <w:szCs w:val="20"/>
          <w:lang w:eastAsia="zh-TW"/>
        </w:rPr>
      </w:pPr>
      <w:r w:rsidRPr="00F70422">
        <w:rPr>
          <w:rFonts w:cs="Arial"/>
          <w:szCs w:val="20"/>
        </w:rPr>
        <w:t>Agenda Item:</w:t>
      </w:r>
      <w:bookmarkStart w:id="3" w:name="Source"/>
      <w:bookmarkEnd w:id="3"/>
      <w:r w:rsidRPr="00F70422">
        <w:rPr>
          <w:rFonts w:cs="Arial"/>
          <w:szCs w:val="20"/>
        </w:rPr>
        <w:tab/>
      </w:r>
      <w:r w:rsidR="00A4420C">
        <w:rPr>
          <w:rFonts w:eastAsia="新細明體" w:cs="Arial" w:hint="eastAsia"/>
          <w:szCs w:val="20"/>
          <w:lang w:eastAsia="zh-TW"/>
        </w:rPr>
        <w:t>6</w:t>
      </w:r>
      <w:r w:rsidR="00C35759">
        <w:rPr>
          <w:rFonts w:eastAsia="新細明體" w:cs="Arial"/>
          <w:szCs w:val="20"/>
          <w:lang w:eastAsia="zh-TW"/>
        </w:rPr>
        <w:t>.</w:t>
      </w:r>
      <w:r w:rsidR="00A4420C">
        <w:rPr>
          <w:rFonts w:eastAsia="新細明體" w:cs="Arial" w:hint="eastAsia"/>
          <w:szCs w:val="20"/>
          <w:lang w:eastAsia="zh-TW"/>
        </w:rPr>
        <w:t>2</w:t>
      </w:r>
      <w:r w:rsidR="00C917E4" w:rsidRPr="00F70422">
        <w:rPr>
          <w:rFonts w:eastAsia="新細明體" w:cs="Arial"/>
          <w:szCs w:val="20"/>
          <w:lang w:eastAsia="zh-TW"/>
        </w:rPr>
        <w:t>.</w:t>
      </w:r>
      <w:r w:rsidR="00A4420C">
        <w:rPr>
          <w:rFonts w:eastAsia="新細明體" w:cs="Arial" w:hint="eastAsia"/>
          <w:szCs w:val="20"/>
          <w:lang w:eastAsia="zh-TW"/>
        </w:rPr>
        <w:t>3</w:t>
      </w:r>
      <w:r w:rsidR="00F70422" w:rsidRPr="00F70422">
        <w:rPr>
          <w:rFonts w:eastAsia="新細明體" w:cs="Arial"/>
          <w:szCs w:val="20"/>
          <w:lang w:eastAsia="zh-TW"/>
        </w:rPr>
        <w:t>.</w:t>
      </w:r>
      <w:r w:rsidR="000F527A">
        <w:rPr>
          <w:rFonts w:eastAsia="新細明體" w:cs="Arial" w:hint="eastAsia"/>
          <w:szCs w:val="20"/>
          <w:lang w:eastAsia="zh-TW"/>
        </w:rPr>
        <w:t>6</w:t>
      </w:r>
    </w:p>
    <w:p w:rsidR="009B47CB" w:rsidRPr="00F70422" w:rsidRDefault="009B47CB" w:rsidP="009B47CB">
      <w:pPr>
        <w:pStyle w:val="a5"/>
        <w:tabs>
          <w:tab w:val="left" w:pos="1800"/>
        </w:tabs>
        <w:rPr>
          <w:rFonts w:eastAsia="新細明體" w:cs="Arial"/>
          <w:szCs w:val="20"/>
          <w:lang w:eastAsia="zh-TW"/>
        </w:rPr>
      </w:pPr>
      <w:r w:rsidRPr="00F70422">
        <w:rPr>
          <w:rFonts w:cs="Arial"/>
          <w:szCs w:val="20"/>
        </w:rPr>
        <w:t>Document for:</w:t>
      </w:r>
      <w:r w:rsidRPr="00F70422">
        <w:rPr>
          <w:rFonts w:cs="Arial"/>
          <w:szCs w:val="20"/>
        </w:rPr>
        <w:tab/>
      </w:r>
      <w:bookmarkStart w:id="4" w:name="DocumentFor"/>
      <w:bookmarkEnd w:id="4"/>
      <w:r w:rsidRPr="00F70422">
        <w:rPr>
          <w:rFonts w:cs="Arial"/>
          <w:szCs w:val="20"/>
        </w:rPr>
        <w:t>Discussion</w:t>
      </w:r>
      <w:r w:rsidR="00C917E4" w:rsidRPr="00F70422">
        <w:rPr>
          <w:rFonts w:cs="Arial"/>
          <w:szCs w:val="20"/>
        </w:rPr>
        <w:t xml:space="preserve"> and Decision</w:t>
      </w:r>
    </w:p>
    <w:p w:rsidR="009B47CB" w:rsidRPr="009022F8" w:rsidRDefault="009B47CB" w:rsidP="009B47CB">
      <w:pPr>
        <w:pBdr>
          <w:bottom w:val="single" w:sz="4" w:space="1" w:color="auto"/>
        </w:pBdr>
        <w:tabs>
          <w:tab w:val="left" w:pos="7086"/>
        </w:tabs>
        <w:rPr>
          <w:rFonts w:ascii="Times New Roman" w:hAnsi="Times New Roman"/>
          <w:sz w:val="20"/>
          <w:szCs w:val="20"/>
        </w:rPr>
      </w:pPr>
      <w:r w:rsidRPr="009022F8">
        <w:rPr>
          <w:rFonts w:ascii="Times New Roman" w:hAnsi="Times New Roman"/>
          <w:sz w:val="20"/>
          <w:szCs w:val="20"/>
        </w:rPr>
        <w:tab/>
      </w:r>
    </w:p>
    <w:p w:rsidR="009B47CB" w:rsidRPr="00741A06" w:rsidRDefault="009B47CB" w:rsidP="009B47CB">
      <w:pPr>
        <w:pStyle w:val="1"/>
        <w:rPr>
          <w:rFonts w:ascii="Arial" w:hAnsi="Arial"/>
          <w:szCs w:val="28"/>
        </w:rPr>
      </w:pPr>
      <w:r w:rsidRPr="00741A06">
        <w:rPr>
          <w:rFonts w:ascii="Arial" w:hAnsi="Arial"/>
          <w:szCs w:val="28"/>
        </w:rPr>
        <w:t>Introduction</w:t>
      </w:r>
      <w:bookmarkEnd w:id="0"/>
    </w:p>
    <w:p w:rsidR="00650D08" w:rsidRPr="00650D08" w:rsidRDefault="00650D08" w:rsidP="00EB7B04">
      <w:pPr>
        <w:pStyle w:val="a0"/>
        <w:rPr>
          <w:rFonts w:ascii="Arial" w:hAnsi="Arial" w:cs="Arial"/>
          <w:sz w:val="20"/>
          <w:szCs w:val="20"/>
          <w:lang w:eastAsia="zh-TW"/>
        </w:rPr>
      </w:pPr>
      <w:r w:rsidRPr="00650D08">
        <w:rPr>
          <w:rFonts w:ascii="Arial" w:hAnsi="Arial" w:cs="Arial"/>
          <w:sz w:val="20"/>
          <w:szCs w:val="20"/>
          <w:lang w:eastAsia="zh-TW"/>
        </w:rPr>
        <w:t>RAN plenary #75</w:t>
      </w:r>
      <w:r w:rsidR="00421777">
        <w:rPr>
          <w:rFonts w:ascii="Arial" w:hAnsi="Arial" w:cs="Arial" w:hint="eastAsia"/>
          <w:sz w:val="20"/>
          <w:szCs w:val="20"/>
          <w:lang w:eastAsia="zh-TW"/>
        </w:rPr>
        <w:t xml:space="preserve"> </w:t>
      </w:r>
      <w:r w:rsidRPr="00650D08">
        <w:rPr>
          <w:rFonts w:ascii="Arial" w:hAnsi="Arial" w:cs="Arial"/>
          <w:sz w:val="20"/>
          <w:szCs w:val="20"/>
          <w:lang w:eastAsia="zh-TW"/>
        </w:rPr>
        <w:t xml:space="preserve">approved a work item </w:t>
      </w:r>
      <w:r w:rsidRPr="00650D08">
        <w:rPr>
          <w:rFonts w:ascii="Arial" w:hAnsi="Arial" w:cs="Arial"/>
          <w:sz w:val="20"/>
          <w:szCs w:val="20"/>
          <w:lang w:eastAsia="zh-TW"/>
        </w:rPr>
        <w:fldChar w:fldCharType="begin"/>
      </w:r>
      <w:r w:rsidRPr="00650D08">
        <w:rPr>
          <w:rFonts w:ascii="Arial" w:hAnsi="Arial" w:cs="Arial"/>
          <w:sz w:val="20"/>
          <w:szCs w:val="20"/>
          <w:lang w:eastAsia="zh-TW"/>
        </w:rPr>
        <w:instrText xml:space="preserve"> REF _Ref477334356 \r \h </w:instrText>
      </w:r>
      <w:r w:rsidRPr="00650D08">
        <w:rPr>
          <w:rFonts w:ascii="Arial" w:hAnsi="Arial" w:cs="Arial"/>
          <w:sz w:val="20"/>
          <w:szCs w:val="20"/>
          <w:lang w:eastAsia="zh-TW"/>
        </w:rPr>
      </w:r>
      <w:r>
        <w:rPr>
          <w:rFonts w:ascii="Arial" w:hAnsi="Arial" w:cs="Arial"/>
          <w:sz w:val="20"/>
          <w:szCs w:val="20"/>
          <w:lang w:eastAsia="zh-TW"/>
        </w:rPr>
        <w:instrText xml:space="preserve"> \* MERGEFORMAT </w:instrText>
      </w:r>
      <w:r w:rsidRPr="00650D08">
        <w:rPr>
          <w:rFonts w:ascii="Arial" w:hAnsi="Arial" w:cs="Arial"/>
          <w:sz w:val="20"/>
          <w:szCs w:val="20"/>
          <w:lang w:eastAsia="zh-TW"/>
        </w:rPr>
        <w:fldChar w:fldCharType="separate"/>
      </w:r>
      <w:r w:rsidRPr="00650D08">
        <w:rPr>
          <w:rFonts w:ascii="Arial" w:hAnsi="Arial" w:cs="Arial"/>
          <w:sz w:val="20"/>
          <w:szCs w:val="20"/>
          <w:lang w:eastAsia="zh-TW"/>
        </w:rPr>
        <w:t>[1]</w:t>
      </w:r>
      <w:r w:rsidRPr="00650D08">
        <w:rPr>
          <w:rFonts w:ascii="Arial" w:hAnsi="Arial" w:cs="Arial"/>
          <w:sz w:val="20"/>
          <w:szCs w:val="20"/>
          <w:lang w:eastAsia="zh-TW"/>
        </w:rPr>
        <w:fldChar w:fldCharType="end"/>
      </w:r>
      <w:r w:rsidRPr="00650D08">
        <w:rPr>
          <w:rFonts w:ascii="Arial" w:hAnsi="Arial" w:cs="Arial"/>
          <w:sz w:val="20"/>
          <w:szCs w:val="20"/>
          <w:lang w:eastAsia="zh-TW"/>
        </w:rPr>
        <w:t xml:space="preserve"> for </w:t>
      </w:r>
      <w:r w:rsidRPr="00650D08">
        <w:rPr>
          <w:rFonts w:ascii="Arial" w:hAnsi="Arial" w:cs="Arial" w:hint="eastAsia"/>
          <w:sz w:val="20"/>
          <w:szCs w:val="20"/>
          <w:lang w:eastAsia="zh-TW"/>
        </w:rPr>
        <w:t>3GPP</w:t>
      </w:r>
      <w:r w:rsidRPr="00650D08">
        <w:rPr>
          <w:rFonts w:ascii="Arial" w:hAnsi="Arial" w:cs="Arial"/>
          <w:sz w:val="20"/>
          <w:szCs w:val="20"/>
          <w:lang w:eastAsia="zh-TW"/>
        </w:rPr>
        <w:t xml:space="preserve"> V2X Phase 2 to support advanced V2X services</w:t>
      </w:r>
      <w:r w:rsidRPr="00650D08">
        <w:rPr>
          <w:rFonts w:ascii="Arial" w:hAnsi="Arial" w:cs="Arial" w:hint="eastAsia"/>
          <w:sz w:val="20"/>
          <w:szCs w:val="20"/>
          <w:lang w:eastAsia="zh-TW"/>
        </w:rPr>
        <w:t>.</w:t>
      </w:r>
      <w:r w:rsidRPr="00650D08">
        <w:rPr>
          <w:rFonts w:ascii="Arial" w:hAnsi="Arial" w:cs="Arial"/>
          <w:sz w:val="20"/>
          <w:szCs w:val="20"/>
          <w:lang w:eastAsia="zh-TW"/>
        </w:rPr>
        <w:t xml:space="preserve"> The following </w:t>
      </w:r>
      <w:r>
        <w:rPr>
          <w:rFonts w:ascii="Arial" w:hAnsi="Arial" w:cs="Arial" w:hint="eastAsia"/>
          <w:sz w:val="20"/>
          <w:szCs w:val="20"/>
          <w:lang w:eastAsia="zh-TW"/>
        </w:rPr>
        <w:t xml:space="preserve">short TTI related </w:t>
      </w:r>
      <w:r w:rsidRPr="00650D08">
        <w:rPr>
          <w:rFonts w:ascii="Arial" w:hAnsi="Arial" w:cs="Arial"/>
          <w:sz w:val="20"/>
          <w:szCs w:val="20"/>
          <w:lang w:eastAsia="zh-TW"/>
        </w:rPr>
        <w:t xml:space="preserve">topics are part of the detailed objectives </w:t>
      </w:r>
      <w:r w:rsidRPr="00650D08">
        <w:rPr>
          <w:rFonts w:ascii="Arial" w:hAnsi="Arial" w:cs="Arial" w:hint="eastAsia"/>
          <w:sz w:val="20"/>
          <w:szCs w:val="20"/>
          <w:lang w:eastAsia="zh-TW"/>
        </w:rPr>
        <w:t>of this work item</w:t>
      </w:r>
      <w:r w:rsidRPr="00650D08">
        <w:rPr>
          <w:rFonts w:ascii="Arial" w:hAnsi="Arial" w:cs="Arial"/>
          <w:sz w:val="20"/>
          <w:szCs w:val="20"/>
          <w:lang w:eastAsia="zh-TW"/>
        </w:rPr>
        <w:t>:</w:t>
      </w:r>
    </w:p>
    <w:p w:rsidR="00650D08" w:rsidRPr="00856150" w:rsidRDefault="00650D08" w:rsidP="00EB7B04">
      <w:pPr>
        <w:pStyle w:val="a0"/>
        <w:ind w:left="284"/>
        <w:rPr>
          <w:rFonts w:ascii="Arial" w:hAnsi="Arial" w:cs="Arial"/>
          <w:i/>
          <w:color w:val="000000"/>
          <w:sz w:val="20"/>
          <w:szCs w:val="20"/>
        </w:rPr>
      </w:pPr>
      <w:r w:rsidRPr="00856150">
        <w:rPr>
          <w:rFonts w:ascii="Arial" w:hAnsi="Arial" w:cs="Arial"/>
          <w:i/>
          <w:color w:val="000000"/>
          <w:sz w:val="20"/>
          <w:szCs w:val="20"/>
        </w:rPr>
        <w:t xml:space="preserve">Study the feasibility and gain of PC5 operation with Short TTI, assuming this PC5 functionality would co-exist in the same resource pools as Rel-14 functionality with and without using the same scheduling assignment format, and provide RAN1 observations and recommendations to RAN by RAN#77. [RAN1, RAN2] </w:t>
      </w:r>
    </w:p>
    <w:p w:rsidR="00650D08" w:rsidRPr="00856150" w:rsidRDefault="00650D08" w:rsidP="00650D08">
      <w:pPr>
        <w:pStyle w:val="a0"/>
        <w:spacing w:after="0"/>
        <w:ind w:left="568"/>
        <w:rPr>
          <w:rFonts w:ascii="Arial" w:hAnsi="Arial" w:cs="Arial"/>
          <w:i/>
          <w:color w:val="000000"/>
          <w:sz w:val="20"/>
          <w:szCs w:val="20"/>
        </w:rPr>
      </w:pPr>
      <w:r w:rsidRPr="00856150">
        <w:rPr>
          <w:rFonts w:ascii="Arial" w:hAnsi="Arial" w:cs="Arial"/>
          <w:i/>
          <w:color w:val="000000"/>
          <w:sz w:val="20"/>
          <w:szCs w:val="20"/>
        </w:rPr>
        <w:t>a)</w:t>
      </w:r>
      <w:r w:rsidRPr="00856150">
        <w:rPr>
          <w:rFonts w:ascii="Arial" w:hAnsi="Arial" w:cs="Arial"/>
          <w:i/>
          <w:color w:val="000000"/>
          <w:sz w:val="20"/>
          <w:szCs w:val="20"/>
          <w:lang w:eastAsia="zh-TW"/>
        </w:rPr>
        <w:t xml:space="preserve"> </w:t>
      </w:r>
      <w:r w:rsidRPr="00856150">
        <w:rPr>
          <w:rFonts w:ascii="Arial" w:hAnsi="Arial" w:cs="Arial"/>
          <w:i/>
          <w:color w:val="000000"/>
          <w:sz w:val="20"/>
          <w:szCs w:val="20"/>
        </w:rPr>
        <w:t>A following decision for normative work is up to consensus at RAN.</w:t>
      </w:r>
    </w:p>
    <w:p w:rsidR="00805351" w:rsidRDefault="00805351" w:rsidP="00805351">
      <w:pPr>
        <w:jc w:val="both"/>
        <w:rPr>
          <w:rFonts w:ascii="Arial" w:hAnsi="Arial" w:cs="Arial" w:hint="eastAsia"/>
          <w:sz w:val="20"/>
          <w:szCs w:val="20"/>
          <w:lang w:eastAsia="zh-TW"/>
        </w:rPr>
      </w:pPr>
    </w:p>
    <w:p w:rsidR="00EB7B04" w:rsidRPr="00EB7B04" w:rsidRDefault="00631680" w:rsidP="00631680">
      <w:pPr>
        <w:spacing w:after="120"/>
        <w:rPr>
          <w:rFonts w:ascii="Arial" w:hAnsi="Arial" w:cs="Arial"/>
          <w:sz w:val="20"/>
          <w:szCs w:val="20"/>
          <w:lang w:eastAsia="zh-TW"/>
        </w:rPr>
      </w:pPr>
      <w:r>
        <w:rPr>
          <w:rFonts w:ascii="Arial" w:hAnsi="Arial" w:cs="Arial" w:hint="eastAsia"/>
          <w:sz w:val="20"/>
          <w:szCs w:val="20"/>
          <w:lang w:eastAsia="zh-TW"/>
        </w:rPr>
        <w:t xml:space="preserve">In RAN1#90 meeting, </w:t>
      </w:r>
      <w:r w:rsidR="00EB7B04" w:rsidRPr="00EB7B04">
        <w:rPr>
          <w:rFonts w:ascii="Arial" w:hAnsi="Arial" w:cs="Arial"/>
          <w:sz w:val="20"/>
          <w:szCs w:val="20"/>
          <w:lang w:eastAsia="zh-TW"/>
        </w:rPr>
        <w:t xml:space="preserve">RAN1 has studied </w:t>
      </w:r>
      <w:r w:rsidR="00EB7B04" w:rsidRPr="00EB7B04">
        <w:rPr>
          <w:rFonts w:ascii="Arial" w:hAnsi="Arial" w:cs="Arial" w:hint="eastAsia"/>
          <w:sz w:val="20"/>
          <w:szCs w:val="20"/>
          <w:lang w:eastAsia="zh-TW"/>
        </w:rPr>
        <w:t>t</w:t>
      </w:r>
      <w:r w:rsidR="00EB7B04" w:rsidRPr="00EB7B04">
        <w:rPr>
          <w:rFonts w:ascii="Arial" w:hAnsi="Arial" w:cs="Arial"/>
          <w:sz w:val="20"/>
          <w:szCs w:val="20"/>
          <w:lang w:eastAsia="zh-TW"/>
        </w:rPr>
        <w:t xml:space="preserve">he feasibility and gain of PC5 operation with </w:t>
      </w:r>
      <w:r w:rsidR="00EB7B04" w:rsidRPr="00EB7B04">
        <w:rPr>
          <w:rFonts w:ascii="Arial" w:hAnsi="Arial" w:cs="Arial" w:hint="eastAsia"/>
          <w:sz w:val="20"/>
          <w:szCs w:val="20"/>
          <w:lang w:eastAsia="zh-TW"/>
        </w:rPr>
        <w:t>Short TTI</w:t>
      </w:r>
      <w:r w:rsidR="00EB7B04" w:rsidRPr="00EB7B04">
        <w:rPr>
          <w:rFonts w:ascii="Arial" w:hAnsi="Arial" w:cs="Arial"/>
          <w:sz w:val="20"/>
          <w:szCs w:val="20"/>
          <w:lang w:eastAsia="zh-TW"/>
        </w:rPr>
        <w:t>, assuming this PC5 functionality would co-exist in the same resource pools as Rel-14 functionality. RAN1 has drawn the following observations</w:t>
      </w:r>
      <w:r>
        <w:rPr>
          <w:rFonts w:ascii="Arial" w:hAnsi="Arial" w:cs="Arial" w:hint="eastAsia"/>
          <w:sz w:val="20"/>
          <w:szCs w:val="20"/>
          <w:lang w:eastAsia="zh-TW"/>
        </w:rPr>
        <w:t xml:space="preserve"> [2]</w:t>
      </w:r>
      <w:r w:rsidR="00EB7B04" w:rsidRPr="00EB7B04">
        <w:rPr>
          <w:rFonts w:ascii="Arial" w:hAnsi="Arial" w:cs="Arial"/>
          <w:sz w:val="20"/>
          <w:szCs w:val="20"/>
          <w:lang w:eastAsia="zh-TW"/>
        </w:rPr>
        <w:t>:</w:t>
      </w:r>
    </w:p>
    <w:p w:rsidR="00EB7B04" w:rsidRPr="00631680" w:rsidRDefault="00EB7B04" w:rsidP="005A1584">
      <w:pPr>
        <w:spacing w:after="120"/>
        <w:ind w:leftChars="100" w:left="240"/>
        <w:rPr>
          <w:rFonts w:ascii="Arial" w:hAnsi="Arial" w:cs="Arial" w:hint="eastAsia"/>
          <w:i/>
          <w:sz w:val="20"/>
          <w:szCs w:val="20"/>
          <w:lang w:eastAsia="zh-TW"/>
        </w:rPr>
      </w:pPr>
      <w:r w:rsidRPr="00631680">
        <w:rPr>
          <w:rFonts w:ascii="Arial" w:hAnsi="Arial" w:cs="Arial"/>
          <w:i/>
          <w:sz w:val="20"/>
          <w:szCs w:val="20"/>
          <w:lang w:eastAsia="zh-TW"/>
        </w:rPr>
        <w:t xml:space="preserve">Observation 1: </w:t>
      </w:r>
      <w:r w:rsidRPr="00631680">
        <w:rPr>
          <w:rFonts w:ascii="Arial" w:hAnsi="Arial" w:cs="Arial" w:hint="eastAsia"/>
          <w:i/>
          <w:sz w:val="20"/>
          <w:szCs w:val="20"/>
          <w:lang w:eastAsia="zh-TW"/>
        </w:rPr>
        <w:t xml:space="preserve">RAN1 observes that introducing Rel-15 sTTI transmissions into pools with Rel-14 legacy transmissions, Rel-15 </w:t>
      </w:r>
      <w:r w:rsidRPr="00631680">
        <w:rPr>
          <w:rFonts w:ascii="Arial" w:hAnsi="Arial" w:cs="Arial"/>
          <w:i/>
          <w:sz w:val="20"/>
          <w:szCs w:val="20"/>
          <w:lang w:eastAsia="zh-TW"/>
        </w:rPr>
        <w:t xml:space="preserve">V2X </w:t>
      </w:r>
      <w:r w:rsidRPr="00631680">
        <w:rPr>
          <w:rFonts w:ascii="Arial" w:hAnsi="Arial" w:cs="Arial" w:hint="eastAsia"/>
          <w:i/>
          <w:sz w:val="20"/>
          <w:szCs w:val="20"/>
          <w:lang w:eastAsia="zh-TW"/>
        </w:rPr>
        <w:t>UE complexity will be increased by handling two different TTI lengths</w:t>
      </w:r>
      <w:r w:rsidRPr="00631680">
        <w:rPr>
          <w:rFonts w:ascii="Arial" w:hAnsi="Arial" w:cs="Arial"/>
          <w:i/>
          <w:sz w:val="20"/>
          <w:szCs w:val="20"/>
          <w:lang w:eastAsia="zh-TW"/>
        </w:rPr>
        <w:t>. Some companies view the increase in complexity as significant.</w:t>
      </w:r>
      <w:r w:rsidRPr="00631680">
        <w:rPr>
          <w:rFonts w:ascii="Arial" w:hAnsi="Arial" w:cs="Arial" w:hint="eastAsia"/>
          <w:i/>
          <w:sz w:val="20"/>
          <w:szCs w:val="20"/>
          <w:lang w:eastAsia="zh-TW"/>
        </w:rPr>
        <w:t xml:space="preserve"> </w:t>
      </w:r>
    </w:p>
    <w:p w:rsidR="00EB7B04" w:rsidRPr="00631680" w:rsidRDefault="00EB7B04" w:rsidP="005A1584">
      <w:pPr>
        <w:spacing w:after="120"/>
        <w:ind w:leftChars="100" w:left="240"/>
        <w:rPr>
          <w:rFonts w:ascii="Arial" w:hAnsi="Arial" w:cs="Arial"/>
          <w:i/>
          <w:sz w:val="20"/>
          <w:szCs w:val="20"/>
          <w:lang w:eastAsia="zh-TW"/>
        </w:rPr>
      </w:pPr>
      <w:r w:rsidRPr="00631680">
        <w:rPr>
          <w:rFonts w:ascii="Arial" w:hAnsi="Arial" w:cs="Arial" w:hint="eastAsia"/>
          <w:i/>
          <w:sz w:val="20"/>
          <w:szCs w:val="20"/>
          <w:lang w:eastAsia="zh-TW"/>
        </w:rPr>
        <w:t>Observation 2:</w:t>
      </w:r>
      <w:r w:rsidRPr="00631680">
        <w:rPr>
          <w:rFonts w:ascii="Arial" w:hAnsi="Arial" w:cs="Arial"/>
          <w:i/>
          <w:sz w:val="20"/>
          <w:szCs w:val="20"/>
          <w:lang w:eastAsia="zh-TW"/>
        </w:rPr>
        <w:t xml:space="preserve"> sTTI deployment impacts the performance of Rel-14 UE transmission. RAN1 has discussed possible solutions to mitigate the impact. No conclusion was reached in RAN1 on whether these solutions can solve the impact on Rel14 performance.</w:t>
      </w:r>
      <w:r w:rsidR="00631680" w:rsidRPr="00631680">
        <w:rPr>
          <w:rFonts w:ascii="Arial" w:hAnsi="Arial" w:cs="Arial"/>
          <w:i/>
          <w:sz w:val="20"/>
          <w:szCs w:val="20"/>
          <w:lang w:eastAsia="zh-TW"/>
        </w:rPr>
        <w:t xml:space="preserve"> </w:t>
      </w:r>
    </w:p>
    <w:p w:rsidR="00EB7B04" w:rsidRPr="00631680" w:rsidRDefault="00EB7B04" w:rsidP="005A1584">
      <w:pPr>
        <w:spacing w:after="120"/>
        <w:ind w:leftChars="100" w:left="240"/>
        <w:rPr>
          <w:rFonts w:ascii="Arial" w:hAnsi="Arial" w:cs="Arial"/>
          <w:i/>
          <w:sz w:val="20"/>
          <w:szCs w:val="20"/>
          <w:lang w:eastAsia="zh-TW"/>
        </w:rPr>
      </w:pPr>
      <w:r w:rsidRPr="00631680">
        <w:rPr>
          <w:rFonts w:ascii="Arial" w:hAnsi="Arial" w:cs="Arial"/>
          <w:i/>
          <w:sz w:val="20"/>
          <w:szCs w:val="20"/>
          <w:lang w:eastAsia="zh-TW"/>
        </w:rPr>
        <w:t>Observation 3: Introducing sTTI by itself cannot reduce the radio layer latency</w:t>
      </w:r>
      <w:r w:rsidR="00631680" w:rsidRPr="00631680">
        <w:rPr>
          <w:rFonts w:ascii="Arial" w:hAnsi="Arial" w:cs="Arial"/>
          <w:i/>
          <w:sz w:val="20"/>
          <w:szCs w:val="20"/>
          <w:lang w:eastAsia="zh-TW"/>
        </w:rPr>
        <w:t xml:space="preserve">. </w:t>
      </w:r>
    </w:p>
    <w:p w:rsidR="00EB7B04" w:rsidRPr="00631680" w:rsidRDefault="00EB7B04" w:rsidP="005A1584">
      <w:pPr>
        <w:spacing w:after="120"/>
        <w:ind w:leftChars="100" w:left="240"/>
        <w:rPr>
          <w:rFonts w:ascii="Arial" w:hAnsi="Arial" w:cs="Arial"/>
          <w:i/>
          <w:sz w:val="20"/>
          <w:szCs w:val="20"/>
          <w:lang w:eastAsia="zh-TW"/>
        </w:rPr>
      </w:pPr>
      <w:r w:rsidRPr="00631680">
        <w:rPr>
          <w:rFonts w:ascii="Arial" w:hAnsi="Arial" w:cs="Arial"/>
          <w:i/>
          <w:sz w:val="20"/>
          <w:szCs w:val="20"/>
          <w:lang w:eastAsia="zh-TW"/>
        </w:rPr>
        <w:t>Currently, there is no consensus within RAN1 on the benefits of introducing sTTI for V2X UEs based on studies conducted on RAN1 so far.</w:t>
      </w:r>
    </w:p>
    <w:p w:rsidR="00EB7B04" w:rsidRDefault="00631680" w:rsidP="005A1584">
      <w:pPr>
        <w:spacing w:after="120"/>
        <w:jc w:val="both"/>
        <w:rPr>
          <w:rFonts w:ascii="Arial" w:hAnsi="Arial" w:cs="Arial" w:hint="eastAsia"/>
          <w:sz w:val="20"/>
          <w:szCs w:val="20"/>
          <w:lang w:eastAsia="zh-TW"/>
        </w:rPr>
      </w:pPr>
      <w:r>
        <w:rPr>
          <w:rFonts w:ascii="Arial" w:hAnsi="Arial" w:cs="Arial" w:hint="eastAsia"/>
          <w:sz w:val="20"/>
          <w:szCs w:val="20"/>
          <w:lang w:eastAsia="zh-TW"/>
        </w:rPr>
        <w:t>Also RAN1 sent</w:t>
      </w:r>
      <w:r w:rsidR="005A1584">
        <w:rPr>
          <w:rFonts w:ascii="Arial" w:hAnsi="Arial" w:cs="Arial" w:hint="eastAsia"/>
          <w:sz w:val="20"/>
          <w:szCs w:val="20"/>
          <w:lang w:eastAsia="zh-TW"/>
        </w:rPr>
        <w:t xml:space="preserve"> </w:t>
      </w:r>
      <w:r>
        <w:rPr>
          <w:rFonts w:ascii="Arial" w:hAnsi="Arial" w:cs="Arial" w:hint="eastAsia"/>
          <w:sz w:val="20"/>
          <w:szCs w:val="20"/>
          <w:lang w:eastAsia="zh-TW"/>
        </w:rPr>
        <w:t xml:space="preserve">LS [3] to RAN for above-mentioned observations in RAN#77, </w:t>
      </w:r>
      <w:r w:rsidR="005A1584">
        <w:rPr>
          <w:rFonts w:ascii="Arial" w:hAnsi="Arial" w:cs="Arial" w:hint="eastAsia"/>
          <w:sz w:val="20"/>
          <w:szCs w:val="20"/>
          <w:lang w:eastAsia="zh-TW"/>
        </w:rPr>
        <w:t>and the following conclusions are made in RAN#77:</w:t>
      </w:r>
    </w:p>
    <w:p w:rsidR="005A1584" w:rsidRPr="005A1584" w:rsidRDefault="005A1584" w:rsidP="005A1584">
      <w:pPr>
        <w:tabs>
          <w:tab w:val="left" w:pos="1190"/>
        </w:tabs>
        <w:autoSpaceDE w:val="0"/>
        <w:autoSpaceDN w:val="0"/>
        <w:adjustRightInd w:val="0"/>
        <w:spacing w:after="120"/>
        <w:ind w:leftChars="100" w:left="240"/>
        <w:rPr>
          <w:rFonts w:ascii="Arial" w:hAnsi="Arial" w:cs="Arial" w:hint="eastAsia"/>
          <w:i/>
          <w:sz w:val="20"/>
          <w:szCs w:val="20"/>
          <w:lang w:eastAsia="zh-TW"/>
        </w:rPr>
      </w:pPr>
      <w:r w:rsidRPr="005A1584">
        <w:rPr>
          <w:rFonts w:ascii="Arial" w:hAnsi="Arial" w:cs="Arial"/>
          <w:i/>
          <w:sz w:val="20"/>
          <w:szCs w:val="20"/>
          <w:lang w:eastAsia="zh-TW"/>
        </w:rPr>
        <w:t>conclusion: guidance from RAN to RAN1: short TTI work is deprioritized but not precluded, look into other means of latency reduction than short TTI, if no change in Dec. 17 the short TTI will be droppe</w:t>
      </w:r>
      <w:r w:rsidR="00FE6232">
        <w:rPr>
          <w:rFonts w:ascii="Arial" w:hAnsi="Arial" w:cs="Arial" w:hint="eastAsia"/>
          <w:i/>
          <w:sz w:val="20"/>
          <w:szCs w:val="20"/>
          <w:lang w:eastAsia="zh-TW"/>
        </w:rPr>
        <w:t>d</w:t>
      </w:r>
    </w:p>
    <w:p w:rsidR="005A1584" w:rsidRPr="005A1584" w:rsidRDefault="006A2514" w:rsidP="00805351">
      <w:pPr>
        <w:jc w:val="both"/>
        <w:rPr>
          <w:rFonts w:ascii="Arial" w:hAnsi="Arial" w:cs="Arial" w:hint="eastAsia"/>
          <w:sz w:val="20"/>
          <w:szCs w:val="20"/>
          <w:lang w:eastAsia="zh-TW"/>
        </w:rPr>
      </w:pPr>
      <w:r>
        <w:rPr>
          <w:rFonts w:ascii="Arial" w:hAnsi="Arial" w:cs="Arial" w:hint="eastAsia"/>
          <w:sz w:val="20"/>
          <w:szCs w:val="20"/>
          <w:lang w:eastAsia="zh-TW"/>
        </w:rPr>
        <w:t xml:space="preserve">Because time is limited, short TTI topic is not treated in RAN1#90bis meeting. However, consensus related to short TTI topic </w:t>
      </w:r>
      <w:r>
        <w:rPr>
          <w:rFonts w:ascii="Arial" w:hAnsi="Arial" w:cs="Arial"/>
          <w:sz w:val="20"/>
          <w:szCs w:val="20"/>
          <w:lang w:eastAsia="zh-TW"/>
        </w:rPr>
        <w:t>should</w:t>
      </w:r>
      <w:r>
        <w:rPr>
          <w:rFonts w:ascii="Arial" w:hAnsi="Arial" w:cs="Arial" w:hint="eastAsia"/>
          <w:sz w:val="20"/>
          <w:szCs w:val="20"/>
          <w:lang w:eastAsia="zh-TW"/>
        </w:rPr>
        <w:t xml:space="preserve"> be made at this RAN1 meeting according to the conclusion from RAN#77 meeting. </w:t>
      </w:r>
      <w:r w:rsidR="00D10569">
        <w:rPr>
          <w:rFonts w:ascii="Arial" w:hAnsi="Arial" w:cs="Arial" w:hint="eastAsia"/>
          <w:sz w:val="20"/>
          <w:szCs w:val="20"/>
          <w:lang w:eastAsia="zh-TW"/>
        </w:rPr>
        <w:t xml:space="preserve">In this paper, we will discuss </w:t>
      </w:r>
      <w:r w:rsidR="001B1729">
        <w:rPr>
          <w:rFonts w:ascii="Arial" w:hAnsi="Arial" w:cs="Arial" w:hint="eastAsia"/>
          <w:sz w:val="20"/>
          <w:szCs w:val="20"/>
          <w:lang w:eastAsia="zh-TW"/>
        </w:rPr>
        <w:t xml:space="preserve">the </w:t>
      </w:r>
      <w:r w:rsidR="00D10569">
        <w:rPr>
          <w:rFonts w:ascii="Arial" w:hAnsi="Arial" w:cs="Arial" w:hint="eastAsia"/>
          <w:sz w:val="20"/>
          <w:szCs w:val="20"/>
          <w:lang w:eastAsia="zh-TW"/>
        </w:rPr>
        <w:t>considerations of short TTI design for V2X phase 2, including the considerations of AGC and overhead issues for short TTI.</w:t>
      </w:r>
      <w:r w:rsidR="00A9579D">
        <w:rPr>
          <w:rFonts w:ascii="Arial" w:hAnsi="Arial" w:cs="Arial" w:hint="eastAsia"/>
          <w:sz w:val="20"/>
          <w:szCs w:val="20"/>
          <w:lang w:eastAsia="zh-TW"/>
        </w:rPr>
        <w:t xml:space="preserve"> Then, we will discuss the benefits, including the </w:t>
      </w:r>
      <w:r w:rsidR="00A9579D">
        <w:rPr>
          <w:rFonts w:ascii="Arial" w:hAnsi="Arial" w:cs="Arial"/>
          <w:sz w:val="20"/>
          <w:szCs w:val="20"/>
          <w:lang w:eastAsia="zh-TW"/>
        </w:rPr>
        <w:t>feasibility</w:t>
      </w:r>
      <w:r w:rsidR="008C63BA">
        <w:rPr>
          <w:rFonts w:ascii="Arial" w:hAnsi="Arial" w:cs="Arial" w:hint="eastAsia"/>
          <w:sz w:val="20"/>
          <w:szCs w:val="20"/>
          <w:lang w:eastAsia="zh-TW"/>
        </w:rPr>
        <w:t xml:space="preserve"> and gain for short TTI in 3GPP V2X phase 2.</w:t>
      </w:r>
      <w:r w:rsidR="00F9475B">
        <w:rPr>
          <w:rFonts w:ascii="Arial" w:hAnsi="Arial" w:cs="Arial" w:hint="eastAsia"/>
          <w:sz w:val="20"/>
          <w:szCs w:val="20"/>
          <w:lang w:eastAsia="zh-TW"/>
        </w:rPr>
        <w:t xml:space="preserve"> This contribution is revised from R1-1718084.</w:t>
      </w:r>
    </w:p>
    <w:p w:rsidR="00805351" w:rsidRPr="00741A06" w:rsidRDefault="00805351" w:rsidP="00805351">
      <w:pPr>
        <w:pStyle w:val="1"/>
        <w:rPr>
          <w:rFonts w:ascii="Arial" w:hAnsi="Arial"/>
          <w:szCs w:val="28"/>
          <w:lang w:eastAsia="ja-JP"/>
        </w:rPr>
      </w:pPr>
      <w:r>
        <w:rPr>
          <w:rFonts w:ascii="Arial" w:eastAsia="新細明體" w:hAnsi="Arial" w:hint="eastAsia"/>
          <w:szCs w:val="28"/>
          <w:lang w:eastAsia="zh-TW"/>
        </w:rPr>
        <w:t>Discussion</w:t>
      </w:r>
      <w:r w:rsidRPr="00741A06">
        <w:rPr>
          <w:rFonts w:ascii="Arial" w:eastAsia="新細明體" w:hAnsi="Arial" w:hint="eastAsia"/>
          <w:szCs w:val="28"/>
          <w:lang w:eastAsia="zh-TW"/>
        </w:rPr>
        <w:t xml:space="preserve"> </w:t>
      </w:r>
    </w:p>
    <w:p w:rsidR="00805351" w:rsidRPr="00194B9D" w:rsidRDefault="009D45F3" w:rsidP="00805351">
      <w:pPr>
        <w:jc w:val="both"/>
        <w:rPr>
          <w:rFonts w:ascii="Arial" w:hAnsi="Arial" w:cs="Arial" w:hint="eastAsia"/>
          <w:sz w:val="20"/>
          <w:szCs w:val="20"/>
          <w:lang w:eastAsia="zh-TW"/>
        </w:rPr>
      </w:pPr>
      <w:r>
        <w:rPr>
          <w:rFonts w:ascii="Arial" w:hAnsi="Arial" w:cs="Arial" w:hint="eastAsia"/>
          <w:sz w:val="20"/>
          <w:szCs w:val="20"/>
          <w:lang w:eastAsia="zh-TW"/>
        </w:rPr>
        <w:t xml:space="preserve">In this section, </w:t>
      </w:r>
      <w:r w:rsidR="0044470E">
        <w:rPr>
          <w:rFonts w:ascii="Arial" w:hAnsi="Arial" w:cs="Arial" w:hint="eastAsia"/>
          <w:sz w:val="20"/>
          <w:szCs w:val="20"/>
          <w:lang w:eastAsia="zh-TW"/>
        </w:rPr>
        <w:t>we at first introduce</w:t>
      </w:r>
      <w:r>
        <w:rPr>
          <w:rFonts w:ascii="Arial" w:hAnsi="Arial" w:cs="Arial" w:hint="eastAsia"/>
          <w:sz w:val="20"/>
          <w:szCs w:val="20"/>
          <w:lang w:eastAsia="zh-TW"/>
        </w:rPr>
        <w:t xml:space="preserve"> issues of </w:t>
      </w:r>
      <w:r w:rsidR="000C6707">
        <w:rPr>
          <w:rFonts w:ascii="Arial" w:hAnsi="Arial" w:cs="Arial" w:hint="eastAsia"/>
          <w:sz w:val="20"/>
          <w:szCs w:val="20"/>
          <w:lang w:eastAsia="zh-TW"/>
        </w:rPr>
        <w:t>automatic gain control (</w:t>
      </w:r>
      <w:r>
        <w:rPr>
          <w:rFonts w:ascii="Arial" w:hAnsi="Arial" w:cs="Arial" w:hint="eastAsia"/>
          <w:sz w:val="20"/>
          <w:szCs w:val="20"/>
          <w:lang w:eastAsia="zh-TW"/>
        </w:rPr>
        <w:t>AGC</w:t>
      </w:r>
      <w:r w:rsidR="000C6707">
        <w:rPr>
          <w:rFonts w:ascii="Arial" w:hAnsi="Arial" w:cs="Arial" w:hint="eastAsia"/>
          <w:sz w:val="20"/>
          <w:szCs w:val="20"/>
          <w:lang w:eastAsia="zh-TW"/>
        </w:rPr>
        <w:t>)</w:t>
      </w:r>
      <w:r>
        <w:rPr>
          <w:rFonts w:ascii="Arial" w:hAnsi="Arial" w:cs="Arial" w:hint="eastAsia"/>
          <w:sz w:val="20"/>
          <w:szCs w:val="20"/>
          <w:lang w:eastAsia="zh-TW"/>
        </w:rPr>
        <w:t xml:space="preserve"> and overhead for two scenarios, where the first scenario is that legacy transmission time interval (TTI) for Rel-14 UEs and </w:t>
      </w:r>
      <w:r>
        <w:rPr>
          <w:rFonts w:ascii="Arial" w:hAnsi="Arial" w:cs="Arial"/>
          <w:sz w:val="20"/>
          <w:szCs w:val="20"/>
          <w:lang w:eastAsia="zh-TW"/>
        </w:rPr>
        <w:t xml:space="preserve">short </w:t>
      </w:r>
      <w:r w:rsidRPr="009D45F3">
        <w:rPr>
          <w:rFonts w:ascii="Arial" w:hAnsi="Arial" w:cs="Arial"/>
          <w:sz w:val="20"/>
          <w:szCs w:val="20"/>
          <w:lang w:eastAsia="zh-TW"/>
        </w:rPr>
        <w:t>TTI</w:t>
      </w:r>
      <w:r>
        <w:rPr>
          <w:rFonts w:ascii="Arial" w:hAnsi="Arial" w:cs="Arial" w:hint="eastAsia"/>
          <w:sz w:val="20"/>
          <w:szCs w:val="20"/>
          <w:lang w:eastAsia="zh-TW"/>
        </w:rPr>
        <w:t xml:space="preserve"> for Rel-15 UEs</w:t>
      </w:r>
      <w:r w:rsidRPr="009D45F3">
        <w:rPr>
          <w:rFonts w:ascii="Arial" w:hAnsi="Arial" w:cs="Arial"/>
          <w:sz w:val="20"/>
          <w:szCs w:val="20"/>
          <w:lang w:eastAsia="zh-TW"/>
        </w:rPr>
        <w:t xml:space="preserve"> use different </w:t>
      </w:r>
      <w:r>
        <w:rPr>
          <w:rFonts w:ascii="Arial" w:hAnsi="Arial" w:cs="Arial" w:hint="eastAsia"/>
          <w:sz w:val="20"/>
          <w:szCs w:val="20"/>
          <w:lang w:eastAsia="zh-TW"/>
        </w:rPr>
        <w:t xml:space="preserve">resource </w:t>
      </w:r>
      <w:r w:rsidRPr="009D45F3">
        <w:rPr>
          <w:rFonts w:ascii="Arial" w:hAnsi="Arial" w:cs="Arial"/>
          <w:sz w:val="20"/>
          <w:szCs w:val="20"/>
          <w:lang w:eastAsia="zh-TW"/>
        </w:rPr>
        <w:t>pools</w:t>
      </w:r>
      <w:r>
        <w:rPr>
          <w:rFonts w:ascii="Arial" w:hAnsi="Arial" w:cs="Arial" w:hint="eastAsia"/>
          <w:sz w:val="20"/>
          <w:szCs w:val="20"/>
          <w:lang w:eastAsia="zh-TW"/>
        </w:rPr>
        <w:t xml:space="preserve">, and the second scenario is that legacy TTI for Rel-14 UEs and </w:t>
      </w:r>
      <w:r>
        <w:rPr>
          <w:rFonts w:ascii="Arial" w:hAnsi="Arial" w:cs="Arial"/>
          <w:sz w:val="20"/>
          <w:szCs w:val="20"/>
          <w:lang w:eastAsia="zh-TW"/>
        </w:rPr>
        <w:t xml:space="preserve">short </w:t>
      </w:r>
      <w:r w:rsidRPr="009D45F3">
        <w:rPr>
          <w:rFonts w:ascii="Arial" w:hAnsi="Arial" w:cs="Arial"/>
          <w:sz w:val="20"/>
          <w:szCs w:val="20"/>
          <w:lang w:eastAsia="zh-TW"/>
        </w:rPr>
        <w:t>TTI</w:t>
      </w:r>
      <w:r>
        <w:rPr>
          <w:rFonts w:ascii="Arial" w:hAnsi="Arial" w:cs="Arial" w:hint="eastAsia"/>
          <w:sz w:val="20"/>
          <w:szCs w:val="20"/>
          <w:lang w:eastAsia="zh-TW"/>
        </w:rPr>
        <w:t xml:space="preserve"> for Rel-15 UEs</w:t>
      </w:r>
      <w:r w:rsidRPr="009D45F3">
        <w:rPr>
          <w:rFonts w:ascii="Arial" w:hAnsi="Arial" w:cs="Arial"/>
          <w:sz w:val="20"/>
          <w:szCs w:val="20"/>
          <w:lang w:eastAsia="zh-TW"/>
        </w:rPr>
        <w:t xml:space="preserve"> </w:t>
      </w:r>
      <w:r>
        <w:rPr>
          <w:rFonts w:ascii="Arial" w:hAnsi="Arial" w:cs="Arial" w:hint="eastAsia"/>
          <w:sz w:val="20"/>
          <w:szCs w:val="20"/>
          <w:lang w:eastAsia="zh-TW"/>
        </w:rPr>
        <w:t>share the same</w:t>
      </w:r>
      <w:r>
        <w:rPr>
          <w:rFonts w:ascii="Arial" w:hAnsi="Arial" w:cs="Arial"/>
          <w:sz w:val="20"/>
          <w:szCs w:val="20"/>
          <w:lang w:eastAsia="zh-TW"/>
        </w:rPr>
        <w:t xml:space="preserve"> </w:t>
      </w:r>
      <w:r>
        <w:rPr>
          <w:rFonts w:ascii="Arial" w:hAnsi="Arial" w:cs="Arial" w:hint="eastAsia"/>
          <w:sz w:val="20"/>
          <w:szCs w:val="20"/>
          <w:lang w:eastAsia="zh-TW"/>
        </w:rPr>
        <w:t>resource</w:t>
      </w:r>
      <w:r w:rsidRPr="009D45F3">
        <w:rPr>
          <w:rFonts w:ascii="Arial" w:hAnsi="Arial" w:cs="Arial"/>
          <w:sz w:val="20"/>
          <w:szCs w:val="20"/>
          <w:lang w:eastAsia="zh-TW"/>
        </w:rPr>
        <w:t xml:space="preserve"> pools</w:t>
      </w:r>
      <w:r w:rsidR="00805351">
        <w:rPr>
          <w:rFonts w:ascii="Arial" w:hAnsi="Arial" w:cs="Arial" w:hint="eastAsia"/>
          <w:sz w:val="20"/>
          <w:szCs w:val="20"/>
          <w:lang w:eastAsia="zh-TW"/>
        </w:rPr>
        <w:t>.</w:t>
      </w:r>
      <w:r w:rsidR="00A9579D">
        <w:rPr>
          <w:rFonts w:ascii="Arial" w:hAnsi="Arial" w:cs="Arial" w:hint="eastAsia"/>
          <w:sz w:val="20"/>
          <w:szCs w:val="20"/>
          <w:lang w:eastAsia="zh-TW"/>
        </w:rPr>
        <w:t xml:space="preserve"> Then</w:t>
      </w:r>
      <w:r w:rsidR="0044470E">
        <w:rPr>
          <w:rFonts w:ascii="Arial" w:hAnsi="Arial" w:cs="Arial" w:hint="eastAsia"/>
          <w:sz w:val="20"/>
          <w:szCs w:val="20"/>
          <w:lang w:eastAsia="zh-TW"/>
        </w:rPr>
        <w:t xml:space="preserve">, we </w:t>
      </w:r>
      <w:r>
        <w:rPr>
          <w:rFonts w:ascii="Arial" w:hAnsi="Arial" w:cs="Arial" w:hint="eastAsia"/>
          <w:sz w:val="20"/>
          <w:szCs w:val="20"/>
          <w:lang w:eastAsia="zh-TW"/>
        </w:rPr>
        <w:t xml:space="preserve">discuss the considerations of short </w:t>
      </w:r>
      <w:r w:rsidR="00DD0CCE">
        <w:rPr>
          <w:rFonts w:ascii="Arial" w:hAnsi="Arial" w:cs="Arial" w:hint="eastAsia"/>
          <w:sz w:val="20"/>
          <w:szCs w:val="20"/>
          <w:lang w:eastAsia="zh-TW"/>
        </w:rPr>
        <w:t xml:space="preserve">TTI design </w:t>
      </w:r>
      <w:r w:rsidR="0044470E">
        <w:rPr>
          <w:rFonts w:ascii="Arial" w:hAnsi="Arial" w:cs="Arial" w:hint="eastAsia"/>
          <w:sz w:val="20"/>
          <w:szCs w:val="20"/>
          <w:lang w:eastAsia="zh-TW"/>
        </w:rPr>
        <w:t>to mitigate the above-mentioned issues for the two scenarios</w:t>
      </w:r>
      <w:r>
        <w:rPr>
          <w:rFonts w:ascii="Arial" w:hAnsi="Arial" w:cs="Arial" w:hint="eastAsia"/>
          <w:sz w:val="20"/>
          <w:szCs w:val="20"/>
          <w:lang w:eastAsia="zh-TW"/>
        </w:rPr>
        <w:t>.</w:t>
      </w:r>
      <w:r w:rsidR="00A9579D" w:rsidRPr="00A9579D">
        <w:rPr>
          <w:rFonts w:ascii="Arial" w:hAnsi="Arial" w:cs="Arial" w:hint="eastAsia"/>
          <w:sz w:val="20"/>
          <w:szCs w:val="20"/>
          <w:lang w:eastAsia="zh-TW"/>
        </w:rPr>
        <w:t xml:space="preserve"> </w:t>
      </w:r>
      <w:r w:rsidR="00A9579D">
        <w:rPr>
          <w:rFonts w:ascii="Arial" w:hAnsi="Arial" w:cs="Arial" w:hint="eastAsia"/>
          <w:sz w:val="20"/>
          <w:szCs w:val="20"/>
          <w:lang w:eastAsia="zh-TW"/>
        </w:rPr>
        <w:t>Finally, we discuss the possible benefits for short TTI</w:t>
      </w:r>
      <w:r w:rsidR="0050235A">
        <w:rPr>
          <w:rFonts w:ascii="Arial" w:hAnsi="Arial" w:cs="Arial" w:hint="eastAsia"/>
          <w:sz w:val="20"/>
          <w:szCs w:val="20"/>
          <w:lang w:eastAsia="zh-TW"/>
        </w:rPr>
        <w:t>.</w:t>
      </w:r>
    </w:p>
    <w:p w:rsidR="00805351" w:rsidRPr="00741A06" w:rsidRDefault="00255180" w:rsidP="00805351">
      <w:pPr>
        <w:pStyle w:val="2"/>
        <w:rPr>
          <w:rFonts w:ascii="Arial" w:hAnsi="Arial"/>
          <w:sz w:val="24"/>
          <w:szCs w:val="24"/>
        </w:rPr>
      </w:pPr>
      <w:r w:rsidRPr="00856150">
        <w:rPr>
          <w:rFonts w:ascii="Arial" w:eastAsia="新細明體" w:hAnsi="Arial" w:hint="eastAsia"/>
          <w:sz w:val="24"/>
          <w:szCs w:val="24"/>
          <w:lang w:eastAsia="zh-TW"/>
        </w:rPr>
        <w:lastRenderedPageBreak/>
        <w:t>Issues of AGC and overhead for short TTI</w:t>
      </w:r>
    </w:p>
    <w:p w:rsidR="000C6707" w:rsidRPr="000C6707" w:rsidRDefault="000C6707" w:rsidP="000C6707">
      <w:pPr>
        <w:spacing w:before="120" w:after="120"/>
        <w:jc w:val="both"/>
        <w:rPr>
          <w:rFonts w:ascii="Arial" w:hAnsi="Arial" w:cs="Arial" w:hint="eastAsia"/>
          <w:sz w:val="20"/>
          <w:szCs w:val="20"/>
          <w:lang w:eastAsia="zh-TW"/>
        </w:rPr>
      </w:pPr>
      <w:r>
        <w:rPr>
          <w:rFonts w:ascii="Arial" w:hAnsi="Arial" w:cs="Arial" w:hint="eastAsia"/>
          <w:sz w:val="20"/>
          <w:szCs w:val="20"/>
          <w:lang w:eastAsia="zh-TW"/>
        </w:rPr>
        <w:t>When the l</w:t>
      </w:r>
      <w:r w:rsidRPr="000C6707">
        <w:rPr>
          <w:rFonts w:ascii="Arial" w:hAnsi="Arial" w:cs="Arial" w:hint="eastAsia"/>
          <w:sz w:val="20"/>
          <w:szCs w:val="20"/>
          <w:lang w:eastAsia="zh-TW"/>
        </w:rPr>
        <w:t xml:space="preserve">egacy TTI for Rel-14 UEs and </w:t>
      </w:r>
      <w:r w:rsidRPr="000C6707">
        <w:rPr>
          <w:rFonts w:ascii="Arial" w:hAnsi="Arial" w:cs="Arial"/>
          <w:sz w:val="20"/>
          <w:szCs w:val="20"/>
          <w:lang w:eastAsia="zh-TW"/>
        </w:rPr>
        <w:t>short TTI</w:t>
      </w:r>
      <w:r w:rsidRPr="000C6707">
        <w:rPr>
          <w:rFonts w:ascii="Arial" w:hAnsi="Arial" w:cs="Arial" w:hint="eastAsia"/>
          <w:sz w:val="20"/>
          <w:szCs w:val="20"/>
          <w:lang w:eastAsia="zh-TW"/>
        </w:rPr>
        <w:t xml:space="preserve"> for Rel-15 UEs</w:t>
      </w:r>
      <w:r w:rsidRPr="000C6707">
        <w:rPr>
          <w:rFonts w:ascii="Arial" w:hAnsi="Arial" w:cs="Arial"/>
          <w:sz w:val="20"/>
          <w:szCs w:val="20"/>
          <w:lang w:eastAsia="zh-TW"/>
        </w:rPr>
        <w:t xml:space="preserve"> </w:t>
      </w:r>
      <w:r>
        <w:rPr>
          <w:rFonts w:ascii="Arial" w:hAnsi="Arial" w:cs="Arial" w:hint="eastAsia"/>
          <w:sz w:val="20"/>
          <w:szCs w:val="20"/>
          <w:lang w:eastAsia="zh-TW"/>
        </w:rPr>
        <w:t>use different</w:t>
      </w:r>
      <w:r w:rsidRPr="000C6707">
        <w:rPr>
          <w:rFonts w:ascii="Arial" w:hAnsi="Arial" w:cs="Arial"/>
          <w:sz w:val="20"/>
          <w:szCs w:val="20"/>
          <w:lang w:eastAsia="zh-TW"/>
        </w:rPr>
        <w:t xml:space="preserve"> </w:t>
      </w:r>
      <w:r w:rsidRPr="000C6707">
        <w:rPr>
          <w:rFonts w:ascii="Arial" w:hAnsi="Arial" w:cs="Arial" w:hint="eastAsia"/>
          <w:sz w:val="20"/>
          <w:szCs w:val="20"/>
          <w:lang w:eastAsia="zh-TW"/>
        </w:rPr>
        <w:t xml:space="preserve">resource </w:t>
      </w:r>
      <w:r w:rsidRPr="000C6707">
        <w:rPr>
          <w:rFonts w:ascii="Arial" w:hAnsi="Arial" w:cs="Arial"/>
          <w:sz w:val="20"/>
          <w:szCs w:val="20"/>
          <w:lang w:eastAsia="zh-TW"/>
        </w:rPr>
        <w:t>pools</w:t>
      </w:r>
      <w:r>
        <w:rPr>
          <w:rFonts w:ascii="Arial" w:hAnsi="Arial" w:cs="Arial" w:hint="eastAsia"/>
          <w:sz w:val="20"/>
          <w:szCs w:val="20"/>
          <w:lang w:eastAsia="zh-TW"/>
        </w:rPr>
        <w:t xml:space="preserve">, overhead is an important issue. </w:t>
      </w:r>
    </w:p>
    <w:p w:rsidR="00824349" w:rsidRPr="00824349" w:rsidRDefault="00824349" w:rsidP="00824349">
      <w:pPr>
        <w:pStyle w:val="a0"/>
        <w:rPr>
          <w:rFonts w:ascii="Arial" w:hAnsi="Arial" w:cs="Arial"/>
          <w:sz w:val="20"/>
          <w:szCs w:val="20"/>
          <w:lang w:eastAsia="zh-TW"/>
        </w:rPr>
      </w:pPr>
      <w:r w:rsidRPr="00824349">
        <w:rPr>
          <w:rFonts w:ascii="Arial" w:hAnsi="Arial" w:cs="Arial"/>
          <w:sz w:val="20"/>
          <w:szCs w:val="20"/>
          <w:lang w:eastAsia="zh-TW"/>
        </w:rPr>
        <w:t>In order to improve the performance in high Doppler case, 4-column DMRS in one subframe structure is agreed in Rel-14 LTE V2X</w:t>
      </w:r>
      <w:r>
        <w:rPr>
          <w:rFonts w:ascii="Arial" w:hAnsi="Arial" w:cs="Arial" w:hint="eastAsia"/>
          <w:sz w:val="20"/>
          <w:szCs w:val="20"/>
          <w:lang w:eastAsia="zh-TW"/>
        </w:rPr>
        <w:t>, and the legac</w:t>
      </w:r>
      <w:r w:rsidR="0072793D">
        <w:rPr>
          <w:rFonts w:ascii="Arial" w:hAnsi="Arial" w:cs="Arial" w:hint="eastAsia"/>
          <w:sz w:val="20"/>
          <w:szCs w:val="20"/>
          <w:lang w:eastAsia="zh-TW"/>
        </w:rPr>
        <w:t>y TTI for Rel-14 UEs is shown in</w:t>
      </w:r>
      <w:r>
        <w:rPr>
          <w:rFonts w:ascii="Arial" w:hAnsi="Arial" w:cs="Arial" w:hint="eastAsia"/>
          <w:sz w:val="20"/>
          <w:szCs w:val="20"/>
          <w:lang w:eastAsia="zh-TW"/>
        </w:rPr>
        <w:t xml:space="preserve"> Fig.1 (a)</w:t>
      </w:r>
      <w:r w:rsidRPr="00824349">
        <w:rPr>
          <w:rFonts w:ascii="Arial" w:hAnsi="Arial" w:cs="Arial"/>
          <w:sz w:val="20"/>
          <w:szCs w:val="20"/>
          <w:lang w:eastAsia="zh-TW"/>
        </w:rPr>
        <w:t>. Meanwhile, in Rel-14, the first symbol fo</w:t>
      </w:r>
      <w:r w:rsidR="006C5979">
        <w:rPr>
          <w:rFonts w:ascii="Arial" w:hAnsi="Arial" w:cs="Arial"/>
          <w:sz w:val="20"/>
          <w:szCs w:val="20"/>
          <w:lang w:eastAsia="zh-TW"/>
        </w:rPr>
        <w:t xml:space="preserve">r AGC and the last symbol for </w:t>
      </w:r>
      <w:r w:rsidR="006C5979">
        <w:rPr>
          <w:rFonts w:ascii="Arial" w:hAnsi="Arial" w:cs="Arial" w:hint="eastAsia"/>
          <w:sz w:val="20"/>
          <w:szCs w:val="20"/>
          <w:lang w:eastAsia="zh-TW"/>
        </w:rPr>
        <w:t>guard period</w:t>
      </w:r>
      <w:r w:rsidRPr="00824349">
        <w:rPr>
          <w:rFonts w:ascii="Arial" w:hAnsi="Arial" w:cs="Arial"/>
          <w:sz w:val="20"/>
          <w:szCs w:val="20"/>
          <w:lang w:eastAsia="zh-TW"/>
        </w:rPr>
        <w:t xml:space="preserve"> are configured in one subframe. </w:t>
      </w:r>
    </w:p>
    <w:p w:rsidR="00805351" w:rsidRDefault="00AD3B36" w:rsidP="00824349">
      <w:pPr>
        <w:spacing w:after="120"/>
        <w:jc w:val="both"/>
        <w:rPr>
          <w:rFonts w:ascii="Arial" w:hAnsi="Arial" w:cs="Arial" w:hint="eastAsia"/>
          <w:sz w:val="20"/>
          <w:szCs w:val="20"/>
          <w:lang w:eastAsia="zh-TW"/>
        </w:rPr>
      </w:pPr>
      <w:r>
        <w:rPr>
          <w:rFonts w:ascii="Arial" w:hAnsi="Arial" w:cs="Arial" w:hint="eastAsia"/>
          <w:sz w:val="20"/>
          <w:szCs w:val="20"/>
          <w:lang w:eastAsia="zh-TW"/>
        </w:rPr>
        <w:t>Reference to legacy TTI, a</w:t>
      </w:r>
      <w:r w:rsidR="006C5979">
        <w:rPr>
          <w:rFonts w:ascii="Arial" w:hAnsi="Arial" w:cs="Arial" w:hint="eastAsia"/>
          <w:sz w:val="20"/>
          <w:szCs w:val="20"/>
          <w:lang w:eastAsia="zh-TW"/>
        </w:rPr>
        <w:t>n example of short TTI for Rel-15 UEs</w:t>
      </w:r>
      <w:r w:rsidR="006C5979" w:rsidRPr="00824349">
        <w:rPr>
          <w:rFonts w:ascii="Arial" w:hAnsi="Arial" w:cs="Arial"/>
          <w:sz w:val="20"/>
          <w:szCs w:val="20"/>
          <w:lang w:eastAsia="zh-TW"/>
        </w:rPr>
        <w:t xml:space="preserve"> </w:t>
      </w:r>
      <w:r w:rsidR="006C5979">
        <w:rPr>
          <w:rFonts w:ascii="Arial" w:hAnsi="Arial" w:cs="Arial" w:hint="eastAsia"/>
          <w:sz w:val="20"/>
          <w:szCs w:val="20"/>
          <w:lang w:eastAsia="zh-TW"/>
        </w:rPr>
        <w:t xml:space="preserve">is shown in Fig.1 (b). In the example, the </w:t>
      </w:r>
      <w:r w:rsidR="006C5979">
        <w:rPr>
          <w:rFonts w:ascii="Arial" w:hAnsi="Arial" w:cs="Arial"/>
          <w:sz w:val="20"/>
          <w:szCs w:val="20"/>
          <w:lang w:eastAsia="zh-TW"/>
        </w:rPr>
        <w:t>length</w:t>
      </w:r>
      <w:r w:rsidR="006C5979">
        <w:rPr>
          <w:rFonts w:ascii="Arial" w:hAnsi="Arial" w:cs="Arial" w:hint="eastAsia"/>
          <w:sz w:val="20"/>
          <w:szCs w:val="20"/>
          <w:lang w:eastAsia="zh-TW"/>
        </w:rPr>
        <w:t xml:space="preserve"> of each short TTI is 0.5ms and the symbol duration is the same as that in Rel-14. </w:t>
      </w:r>
      <w:r w:rsidR="00824349" w:rsidRPr="00824349">
        <w:rPr>
          <w:rFonts w:ascii="Arial" w:hAnsi="Arial" w:cs="Arial"/>
          <w:sz w:val="20"/>
          <w:szCs w:val="20"/>
          <w:lang w:eastAsia="zh-TW"/>
        </w:rPr>
        <w:t>I</w:t>
      </w:r>
      <w:r w:rsidR="009A3A26">
        <w:rPr>
          <w:rFonts w:ascii="Arial" w:hAnsi="Arial" w:cs="Arial"/>
          <w:sz w:val="20"/>
          <w:szCs w:val="20"/>
          <w:lang w:eastAsia="zh-TW"/>
        </w:rPr>
        <w:t xml:space="preserve">f AGC is restricted to </w:t>
      </w:r>
      <w:r w:rsidR="009A3A26">
        <w:rPr>
          <w:rFonts w:ascii="Arial" w:hAnsi="Arial" w:cs="Arial" w:hint="eastAsia"/>
          <w:sz w:val="20"/>
          <w:szCs w:val="20"/>
          <w:lang w:eastAsia="zh-TW"/>
        </w:rPr>
        <w:t>occupy</w:t>
      </w:r>
      <w:r w:rsidR="00824349" w:rsidRPr="00824349">
        <w:rPr>
          <w:rFonts w:ascii="Arial" w:hAnsi="Arial" w:cs="Arial"/>
          <w:sz w:val="20"/>
          <w:szCs w:val="20"/>
          <w:lang w:eastAsia="zh-TW"/>
        </w:rPr>
        <w:t xml:space="preserve"> </w:t>
      </w:r>
      <w:r w:rsidR="009A3A26">
        <w:rPr>
          <w:rFonts w:ascii="Arial" w:hAnsi="Arial" w:cs="Arial" w:hint="eastAsia"/>
          <w:sz w:val="20"/>
          <w:szCs w:val="20"/>
          <w:lang w:eastAsia="zh-TW"/>
        </w:rPr>
        <w:t>the first</w:t>
      </w:r>
      <w:r w:rsidR="00824349" w:rsidRPr="00824349">
        <w:rPr>
          <w:rFonts w:ascii="Arial" w:hAnsi="Arial" w:cs="Arial"/>
          <w:sz w:val="20"/>
          <w:szCs w:val="20"/>
          <w:lang w:eastAsia="zh-TW"/>
        </w:rPr>
        <w:t xml:space="preserve"> symbol in the shorten TTI</w:t>
      </w:r>
      <w:r w:rsidR="006C5979">
        <w:rPr>
          <w:rFonts w:ascii="Arial" w:hAnsi="Arial" w:cs="Arial" w:hint="eastAsia"/>
          <w:sz w:val="20"/>
          <w:szCs w:val="20"/>
          <w:lang w:eastAsia="zh-TW"/>
        </w:rPr>
        <w:t xml:space="preserve"> for Rel-15 UEs</w:t>
      </w:r>
      <w:r w:rsidR="00824349" w:rsidRPr="00824349">
        <w:rPr>
          <w:rFonts w:ascii="Arial" w:hAnsi="Arial" w:cs="Arial"/>
          <w:sz w:val="20"/>
          <w:szCs w:val="20"/>
          <w:lang w:eastAsia="zh-TW"/>
        </w:rPr>
        <w:t xml:space="preserve">, the overhead of </w:t>
      </w:r>
      <w:r w:rsidR="006C5979">
        <w:rPr>
          <w:rFonts w:ascii="Arial" w:hAnsi="Arial" w:cs="Arial"/>
          <w:sz w:val="20"/>
          <w:szCs w:val="20"/>
          <w:lang w:eastAsia="zh-TW"/>
        </w:rPr>
        <w:t>each</w:t>
      </w:r>
      <w:r w:rsidR="006C5979">
        <w:rPr>
          <w:rFonts w:ascii="Arial" w:hAnsi="Arial" w:cs="Arial" w:hint="eastAsia"/>
          <w:sz w:val="20"/>
          <w:szCs w:val="20"/>
          <w:lang w:eastAsia="zh-TW"/>
        </w:rPr>
        <w:t xml:space="preserve"> short TTI</w:t>
      </w:r>
      <w:r w:rsidR="00824349" w:rsidRPr="00824349">
        <w:rPr>
          <w:rFonts w:ascii="Arial" w:hAnsi="Arial" w:cs="Arial"/>
          <w:sz w:val="20"/>
          <w:szCs w:val="20"/>
          <w:lang w:eastAsia="zh-TW"/>
        </w:rPr>
        <w:t xml:space="preserve"> is four symbols with AGC </w:t>
      </w:r>
      <w:r w:rsidR="006C5979">
        <w:rPr>
          <w:rFonts w:ascii="Arial" w:hAnsi="Arial" w:cs="Arial"/>
          <w:sz w:val="20"/>
          <w:szCs w:val="20"/>
          <w:lang w:eastAsia="zh-TW"/>
        </w:rPr>
        <w:t>(1 symbol) and G</w:t>
      </w:r>
      <w:r w:rsidR="006C5979">
        <w:rPr>
          <w:rFonts w:ascii="Arial" w:hAnsi="Arial" w:cs="Arial" w:hint="eastAsia"/>
          <w:sz w:val="20"/>
          <w:szCs w:val="20"/>
          <w:lang w:eastAsia="zh-TW"/>
        </w:rPr>
        <w:t>AP</w:t>
      </w:r>
      <w:r w:rsidR="00824349" w:rsidRPr="00824349">
        <w:rPr>
          <w:rFonts w:ascii="Arial" w:hAnsi="Arial" w:cs="Arial"/>
          <w:sz w:val="20"/>
          <w:szCs w:val="20"/>
          <w:lang w:eastAsia="zh-TW"/>
        </w:rPr>
        <w:t xml:space="preserve"> (1 symbol) and DMRS (2 symbols). </w:t>
      </w:r>
      <w:r w:rsidR="00824349" w:rsidRPr="006C5979">
        <w:rPr>
          <w:rFonts w:ascii="Arial" w:hAnsi="Arial" w:cs="Arial"/>
          <w:sz w:val="20"/>
          <w:szCs w:val="20"/>
          <w:lang w:eastAsia="zh-TW"/>
        </w:rPr>
        <w:t>Therefore, only three symbols can be used for the actual payload</w:t>
      </w:r>
      <w:r w:rsidR="006C5979">
        <w:rPr>
          <w:rFonts w:ascii="Arial" w:hAnsi="Arial" w:cs="Arial" w:hint="eastAsia"/>
          <w:sz w:val="20"/>
          <w:szCs w:val="20"/>
          <w:lang w:eastAsia="zh-TW"/>
        </w:rPr>
        <w:t xml:space="preserve"> and the overhead is increased</w:t>
      </w:r>
      <w:r w:rsidR="00824349" w:rsidRPr="006C5979">
        <w:rPr>
          <w:rFonts w:ascii="Arial" w:hAnsi="Arial" w:cs="Arial"/>
          <w:sz w:val="20"/>
          <w:szCs w:val="20"/>
          <w:lang w:eastAsia="zh-TW"/>
        </w:rPr>
        <w:t>.</w:t>
      </w:r>
      <w:r w:rsidR="000C6707">
        <w:rPr>
          <w:rFonts w:ascii="Arial" w:hAnsi="Arial" w:cs="Arial" w:hint="eastAsia"/>
          <w:sz w:val="20"/>
          <w:szCs w:val="20"/>
          <w:lang w:eastAsia="zh-TW"/>
        </w:rPr>
        <w:t xml:space="preserve"> </w:t>
      </w:r>
      <w:r w:rsidR="000C6707">
        <w:rPr>
          <w:rFonts w:ascii="Arial" w:hAnsi="Arial" w:cs="Arial"/>
          <w:sz w:val="20"/>
          <w:szCs w:val="20"/>
          <w:lang w:eastAsia="zh-TW"/>
        </w:rPr>
        <w:t>T</w:t>
      </w:r>
      <w:r w:rsidR="000C6707">
        <w:rPr>
          <w:rFonts w:ascii="Arial" w:hAnsi="Arial" w:cs="Arial" w:hint="eastAsia"/>
          <w:sz w:val="20"/>
          <w:szCs w:val="20"/>
          <w:lang w:eastAsia="zh-TW"/>
        </w:rPr>
        <w:t>he overhead issue is more significant when the length of short TTI is smaller.</w:t>
      </w:r>
    </w:p>
    <w:p w:rsidR="00BB3A94" w:rsidRDefault="0038324A" w:rsidP="00BB3A94">
      <w:pPr>
        <w:pStyle w:val="a0"/>
        <w:jc w:val="center"/>
        <w:rPr>
          <w:rFonts w:hint="eastAsia"/>
          <w:lang w:eastAsia="zh-TW"/>
        </w:rPr>
      </w:pPr>
      <w:r w:rsidRPr="00BB3A94">
        <w:rPr>
          <w:rFonts w:hint="eastAsia"/>
          <w:noProof/>
          <w:lang w:eastAsia="zh-TW"/>
        </w:rPr>
        <w:drawing>
          <wp:inline distT="0" distB="0" distL="0" distR="0">
            <wp:extent cx="1805940" cy="1249680"/>
            <wp:effectExtent l="0" t="0" r="381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5940" cy="1249680"/>
                    </a:xfrm>
                    <a:prstGeom prst="rect">
                      <a:avLst/>
                    </a:prstGeom>
                    <a:noFill/>
                    <a:ln>
                      <a:noFill/>
                    </a:ln>
                  </pic:spPr>
                </pic:pic>
              </a:graphicData>
            </a:graphic>
          </wp:inline>
        </w:drawing>
      </w:r>
      <w:r w:rsidR="000D6A9F">
        <w:rPr>
          <w:rFonts w:hint="eastAsia"/>
          <w:lang w:eastAsia="zh-TW"/>
        </w:rPr>
        <w:t xml:space="preserve">                     </w:t>
      </w:r>
      <w:r w:rsidRPr="000D6A9F">
        <w:rPr>
          <w:rFonts w:hint="eastAsia"/>
          <w:noProof/>
          <w:lang w:eastAsia="zh-TW"/>
        </w:rPr>
        <w:drawing>
          <wp:inline distT="0" distB="0" distL="0" distR="0">
            <wp:extent cx="1691640" cy="1257300"/>
            <wp:effectExtent l="0" t="0" r="381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1640" cy="1257300"/>
                    </a:xfrm>
                    <a:prstGeom prst="rect">
                      <a:avLst/>
                    </a:prstGeom>
                    <a:noFill/>
                    <a:ln>
                      <a:noFill/>
                    </a:ln>
                  </pic:spPr>
                </pic:pic>
              </a:graphicData>
            </a:graphic>
          </wp:inline>
        </w:drawing>
      </w:r>
    </w:p>
    <w:p w:rsidR="000D6A9F" w:rsidRDefault="006336C9" w:rsidP="006336C9">
      <w:pPr>
        <w:pStyle w:val="a0"/>
        <w:spacing w:after="0"/>
        <w:rPr>
          <w:rFonts w:ascii="Arial" w:hAnsi="Arial" w:cs="Arial" w:hint="eastAsia"/>
          <w:sz w:val="20"/>
          <w:szCs w:val="20"/>
          <w:lang w:eastAsia="zh-TW"/>
        </w:rPr>
      </w:pPr>
      <w:r>
        <w:rPr>
          <w:rFonts w:ascii="Arial" w:hAnsi="Arial" w:cs="Arial" w:hint="eastAsia"/>
          <w:sz w:val="20"/>
          <w:szCs w:val="20"/>
          <w:lang w:eastAsia="zh-TW"/>
        </w:rPr>
        <w:t xml:space="preserve">                                           </w:t>
      </w:r>
      <w:r w:rsidR="000D6A9F" w:rsidRPr="000D6A9F">
        <w:rPr>
          <w:rFonts w:ascii="Arial" w:hAnsi="Arial" w:cs="Arial" w:hint="eastAsia"/>
          <w:sz w:val="20"/>
          <w:szCs w:val="20"/>
          <w:lang w:eastAsia="zh-TW"/>
        </w:rPr>
        <w:t>(</w:t>
      </w:r>
      <w:r w:rsidR="000D6A9F">
        <w:rPr>
          <w:rFonts w:ascii="Arial" w:hAnsi="Arial" w:cs="Arial" w:hint="eastAsia"/>
          <w:sz w:val="20"/>
          <w:szCs w:val="20"/>
          <w:lang w:eastAsia="zh-TW"/>
        </w:rPr>
        <w:t>a</w:t>
      </w:r>
      <w:r w:rsidR="000D6A9F" w:rsidRPr="000D6A9F">
        <w:rPr>
          <w:rFonts w:ascii="Arial" w:hAnsi="Arial" w:cs="Arial" w:hint="eastAsia"/>
          <w:sz w:val="20"/>
          <w:szCs w:val="20"/>
          <w:lang w:eastAsia="zh-TW"/>
        </w:rPr>
        <w:t>)</w:t>
      </w:r>
      <w:r w:rsidR="000D6A9F">
        <w:rPr>
          <w:rFonts w:ascii="Arial" w:hAnsi="Arial" w:cs="Arial" w:hint="eastAsia"/>
          <w:sz w:val="20"/>
          <w:szCs w:val="20"/>
          <w:lang w:eastAsia="zh-TW"/>
        </w:rPr>
        <w:t xml:space="preserve">                                              </w:t>
      </w:r>
      <w:r>
        <w:rPr>
          <w:rFonts w:ascii="Arial" w:hAnsi="Arial" w:cs="Arial" w:hint="eastAsia"/>
          <w:sz w:val="20"/>
          <w:szCs w:val="20"/>
          <w:lang w:eastAsia="zh-TW"/>
        </w:rPr>
        <w:t xml:space="preserve">                      </w:t>
      </w:r>
      <w:r w:rsidR="000D6A9F">
        <w:rPr>
          <w:rFonts w:ascii="Arial" w:hAnsi="Arial" w:cs="Arial" w:hint="eastAsia"/>
          <w:sz w:val="20"/>
          <w:szCs w:val="20"/>
          <w:lang w:eastAsia="zh-TW"/>
        </w:rPr>
        <w:t xml:space="preserve">  (b)</w:t>
      </w:r>
    </w:p>
    <w:p w:rsidR="00BB3A94" w:rsidRPr="009A4E31" w:rsidRDefault="00BB3A94" w:rsidP="006C5979">
      <w:pPr>
        <w:pStyle w:val="a0"/>
        <w:jc w:val="center"/>
        <w:rPr>
          <w:rFonts w:ascii="Arial" w:hAnsi="Arial" w:cs="Arial"/>
          <w:sz w:val="20"/>
          <w:szCs w:val="20"/>
          <w:lang w:eastAsia="zh-TW"/>
        </w:rPr>
      </w:pPr>
      <w:r w:rsidRPr="00F70422">
        <w:rPr>
          <w:rFonts w:ascii="Arial" w:hAnsi="Arial" w:cs="Arial"/>
          <w:sz w:val="20"/>
          <w:szCs w:val="20"/>
        </w:rPr>
        <w:t xml:space="preserve">Figure </w:t>
      </w:r>
      <w:r>
        <w:rPr>
          <w:rFonts w:ascii="Arial" w:hAnsi="Arial" w:cs="Arial"/>
          <w:sz w:val="20"/>
          <w:szCs w:val="20"/>
        </w:rPr>
        <w:t>1:</w:t>
      </w:r>
      <w:r w:rsidRPr="00F70422">
        <w:rPr>
          <w:rFonts w:ascii="Arial" w:hAnsi="Arial" w:cs="Arial"/>
          <w:sz w:val="20"/>
          <w:szCs w:val="20"/>
        </w:rPr>
        <w:t xml:space="preserve"> </w:t>
      </w:r>
      <w:r>
        <w:rPr>
          <w:rFonts w:ascii="Arial" w:hAnsi="Arial" w:cs="Arial" w:hint="eastAsia"/>
          <w:sz w:val="20"/>
          <w:szCs w:val="20"/>
          <w:lang w:eastAsia="zh-TW"/>
        </w:rPr>
        <w:t>(a) Legacy TTI for Rel-14 UEs</w:t>
      </w:r>
      <w:r w:rsidR="000D6A9F">
        <w:rPr>
          <w:rFonts w:ascii="Arial" w:hAnsi="Arial" w:cs="Arial" w:hint="eastAsia"/>
          <w:sz w:val="20"/>
          <w:szCs w:val="20"/>
          <w:lang w:eastAsia="zh-TW"/>
        </w:rPr>
        <w:t>,</w:t>
      </w:r>
      <w:r>
        <w:rPr>
          <w:rFonts w:ascii="Arial" w:hAnsi="Arial" w:cs="Arial" w:hint="eastAsia"/>
          <w:sz w:val="20"/>
          <w:szCs w:val="20"/>
          <w:lang w:eastAsia="zh-TW"/>
        </w:rPr>
        <w:t xml:space="preserve"> (b) </w:t>
      </w:r>
      <w:r w:rsidR="000D6A9F">
        <w:rPr>
          <w:rFonts w:ascii="Arial" w:hAnsi="Arial" w:cs="Arial" w:hint="eastAsia"/>
          <w:sz w:val="20"/>
          <w:szCs w:val="20"/>
          <w:lang w:eastAsia="zh-TW"/>
        </w:rPr>
        <w:t xml:space="preserve">an </w:t>
      </w:r>
      <w:r w:rsidR="00824349">
        <w:rPr>
          <w:rFonts w:ascii="Arial" w:hAnsi="Arial" w:cs="Arial" w:hint="eastAsia"/>
          <w:sz w:val="20"/>
          <w:szCs w:val="20"/>
          <w:lang w:eastAsia="zh-TW"/>
        </w:rPr>
        <w:t>example</w:t>
      </w:r>
      <w:r w:rsidR="000D6A9F">
        <w:rPr>
          <w:rFonts w:ascii="Arial" w:hAnsi="Arial" w:cs="Arial" w:hint="eastAsia"/>
          <w:sz w:val="20"/>
          <w:szCs w:val="20"/>
          <w:lang w:eastAsia="zh-TW"/>
        </w:rPr>
        <w:t xml:space="preserve"> of </w:t>
      </w:r>
      <w:r>
        <w:rPr>
          <w:rFonts w:ascii="Arial" w:hAnsi="Arial" w:cs="Arial" w:hint="eastAsia"/>
          <w:sz w:val="20"/>
          <w:szCs w:val="20"/>
          <w:lang w:eastAsia="zh-TW"/>
        </w:rPr>
        <w:t>short TTI for Rel-15 UEs</w:t>
      </w:r>
    </w:p>
    <w:p w:rsidR="00805351" w:rsidRDefault="000C6707" w:rsidP="00455485">
      <w:pPr>
        <w:spacing w:before="120" w:after="120"/>
        <w:jc w:val="both"/>
        <w:rPr>
          <w:rFonts w:ascii="Arial" w:hAnsi="Arial" w:cs="Arial" w:hint="eastAsia"/>
          <w:sz w:val="20"/>
          <w:szCs w:val="20"/>
          <w:lang w:eastAsia="zh-TW"/>
        </w:rPr>
      </w:pPr>
      <w:r>
        <w:rPr>
          <w:rFonts w:ascii="Arial" w:hAnsi="Arial" w:cs="Arial" w:hint="eastAsia"/>
          <w:sz w:val="20"/>
          <w:szCs w:val="20"/>
          <w:lang w:eastAsia="zh-TW"/>
        </w:rPr>
        <w:t>When the l</w:t>
      </w:r>
      <w:r w:rsidRPr="000C6707">
        <w:rPr>
          <w:rFonts w:ascii="Arial" w:hAnsi="Arial" w:cs="Arial" w:hint="eastAsia"/>
          <w:sz w:val="20"/>
          <w:szCs w:val="20"/>
          <w:lang w:eastAsia="zh-TW"/>
        </w:rPr>
        <w:t xml:space="preserve">egacy TTI for Rel-14 UEs and </w:t>
      </w:r>
      <w:r w:rsidRPr="000C6707">
        <w:rPr>
          <w:rFonts w:ascii="Arial" w:hAnsi="Arial" w:cs="Arial"/>
          <w:sz w:val="20"/>
          <w:szCs w:val="20"/>
          <w:lang w:eastAsia="zh-TW"/>
        </w:rPr>
        <w:t>short TTI</w:t>
      </w:r>
      <w:r w:rsidRPr="000C6707">
        <w:rPr>
          <w:rFonts w:ascii="Arial" w:hAnsi="Arial" w:cs="Arial" w:hint="eastAsia"/>
          <w:sz w:val="20"/>
          <w:szCs w:val="20"/>
          <w:lang w:eastAsia="zh-TW"/>
        </w:rPr>
        <w:t xml:space="preserve"> for Rel-15 UEs</w:t>
      </w:r>
      <w:r w:rsidRPr="000C6707">
        <w:rPr>
          <w:rFonts w:ascii="Arial" w:hAnsi="Arial" w:cs="Arial"/>
          <w:sz w:val="20"/>
          <w:szCs w:val="20"/>
          <w:lang w:eastAsia="zh-TW"/>
        </w:rPr>
        <w:t xml:space="preserve"> </w:t>
      </w:r>
      <w:r w:rsidRPr="000C6707">
        <w:rPr>
          <w:rFonts w:ascii="Arial" w:hAnsi="Arial" w:cs="Arial" w:hint="eastAsia"/>
          <w:sz w:val="20"/>
          <w:szCs w:val="20"/>
          <w:lang w:eastAsia="zh-TW"/>
        </w:rPr>
        <w:t>share the same</w:t>
      </w:r>
      <w:r w:rsidRPr="000C6707">
        <w:rPr>
          <w:rFonts w:ascii="Arial" w:hAnsi="Arial" w:cs="Arial"/>
          <w:sz w:val="20"/>
          <w:szCs w:val="20"/>
          <w:lang w:eastAsia="zh-TW"/>
        </w:rPr>
        <w:t xml:space="preserve"> </w:t>
      </w:r>
      <w:r w:rsidRPr="000C6707">
        <w:rPr>
          <w:rFonts w:ascii="Arial" w:hAnsi="Arial" w:cs="Arial" w:hint="eastAsia"/>
          <w:sz w:val="20"/>
          <w:szCs w:val="20"/>
          <w:lang w:eastAsia="zh-TW"/>
        </w:rPr>
        <w:t xml:space="preserve">resource </w:t>
      </w:r>
      <w:r w:rsidRPr="000C6707">
        <w:rPr>
          <w:rFonts w:ascii="Arial" w:hAnsi="Arial" w:cs="Arial"/>
          <w:sz w:val="20"/>
          <w:szCs w:val="20"/>
          <w:lang w:eastAsia="zh-TW"/>
        </w:rPr>
        <w:t>pools</w:t>
      </w:r>
      <w:r>
        <w:rPr>
          <w:rFonts w:ascii="Arial" w:hAnsi="Arial" w:cs="Arial" w:hint="eastAsia"/>
          <w:sz w:val="20"/>
          <w:szCs w:val="20"/>
          <w:lang w:eastAsia="zh-TW"/>
        </w:rPr>
        <w:t xml:space="preserve">, besides the overhead issue, AGC convergence is also an important issue. </w:t>
      </w:r>
    </w:p>
    <w:p w:rsidR="00455485" w:rsidRPr="00455485" w:rsidRDefault="00455485" w:rsidP="00455485">
      <w:pPr>
        <w:spacing w:after="120"/>
        <w:jc w:val="both"/>
        <w:rPr>
          <w:rFonts w:ascii="Arial" w:hAnsi="Arial" w:cs="Arial"/>
          <w:sz w:val="20"/>
          <w:szCs w:val="20"/>
          <w:lang w:eastAsia="zh-TW"/>
        </w:rPr>
      </w:pPr>
      <w:r w:rsidRPr="00455485">
        <w:rPr>
          <w:rFonts w:ascii="Arial" w:hAnsi="Arial" w:cs="Arial"/>
          <w:sz w:val="20"/>
          <w:szCs w:val="20"/>
          <w:lang w:eastAsia="zh-TW"/>
        </w:rPr>
        <w:t>For receiving Rel-14 UE, AGC is settled in the first symbol to achieve suitable dynamic range and kept unchanged during the subframe (TTI). For example</w:t>
      </w:r>
      <w:r>
        <w:rPr>
          <w:rFonts w:ascii="Arial" w:hAnsi="Arial" w:cs="Arial" w:hint="eastAsia"/>
          <w:sz w:val="20"/>
          <w:szCs w:val="20"/>
          <w:lang w:eastAsia="zh-TW"/>
        </w:rPr>
        <w:t xml:space="preserve"> as shown in Fig. 2(a)</w:t>
      </w:r>
      <w:r w:rsidR="00AD3B36">
        <w:rPr>
          <w:rFonts w:ascii="Arial" w:hAnsi="Arial" w:cs="Arial"/>
          <w:sz w:val="20"/>
          <w:szCs w:val="20"/>
          <w:lang w:eastAsia="zh-TW"/>
        </w:rPr>
        <w:t>, when the</w:t>
      </w:r>
      <w:r w:rsidRPr="00455485">
        <w:rPr>
          <w:rFonts w:ascii="Arial" w:hAnsi="Arial" w:cs="Arial"/>
          <w:sz w:val="20"/>
          <w:szCs w:val="20"/>
          <w:lang w:eastAsia="zh-TW"/>
        </w:rPr>
        <w:t xml:space="preserve"> Rel</w:t>
      </w:r>
      <w:r>
        <w:rPr>
          <w:rFonts w:ascii="Arial" w:hAnsi="Arial" w:cs="Arial"/>
          <w:sz w:val="20"/>
          <w:szCs w:val="20"/>
          <w:lang w:eastAsia="zh-TW"/>
        </w:rPr>
        <w:t>-14 UE can receive both Rel-14 UE and</w:t>
      </w:r>
      <w:r w:rsidRPr="00455485">
        <w:rPr>
          <w:rFonts w:ascii="Arial" w:hAnsi="Arial" w:cs="Arial"/>
          <w:sz w:val="20"/>
          <w:szCs w:val="20"/>
          <w:lang w:eastAsia="zh-TW"/>
        </w:rPr>
        <w:t xml:space="preserve"> Rel-15 UE </w:t>
      </w:r>
      <w:r w:rsidR="00B51CA5">
        <w:rPr>
          <w:rFonts w:ascii="Arial" w:hAnsi="Arial" w:cs="Arial"/>
          <w:sz w:val="20"/>
          <w:szCs w:val="20"/>
          <w:lang w:eastAsia="zh-TW"/>
        </w:rPr>
        <w:t xml:space="preserve">transmission in the first slot </w:t>
      </w:r>
      <w:r w:rsidR="00B51CA5">
        <w:rPr>
          <w:rFonts w:ascii="Arial" w:hAnsi="Arial" w:cs="Arial" w:hint="eastAsia"/>
          <w:sz w:val="20"/>
          <w:szCs w:val="20"/>
          <w:lang w:eastAsia="zh-TW"/>
        </w:rPr>
        <w:t xml:space="preserve">short </w:t>
      </w:r>
      <w:r w:rsidRPr="00455485">
        <w:rPr>
          <w:rFonts w:ascii="Arial" w:hAnsi="Arial" w:cs="Arial"/>
          <w:sz w:val="20"/>
          <w:szCs w:val="20"/>
          <w:lang w:eastAsia="zh-TW"/>
        </w:rPr>
        <w:t xml:space="preserve">TTI, the AGC dynamic range may be settled based on the sum of the receiving power (not exceeding the upper bound of dynamic range) from the </w:t>
      </w:r>
      <w:r w:rsidR="00AD3B36">
        <w:rPr>
          <w:rFonts w:ascii="Arial" w:hAnsi="Arial" w:cs="Arial"/>
          <w:sz w:val="20"/>
          <w:szCs w:val="20"/>
          <w:lang w:eastAsia="zh-TW"/>
        </w:rPr>
        <w:t>transmitt</w:t>
      </w:r>
      <w:r w:rsidR="00AD3B36">
        <w:rPr>
          <w:rFonts w:ascii="Arial" w:hAnsi="Arial" w:cs="Arial" w:hint="eastAsia"/>
          <w:sz w:val="20"/>
          <w:szCs w:val="20"/>
          <w:lang w:eastAsia="zh-TW"/>
        </w:rPr>
        <w:t>ed</w:t>
      </w:r>
      <w:r w:rsidRPr="00455485">
        <w:rPr>
          <w:rFonts w:ascii="Arial" w:hAnsi="Arial" w:cs="Arial"/>
          <w:sz w:val="20"/>
          <w:szCs w:val="20"/>
          <w:lang w:eastAsia="zh-TW"/>
        </w:rPr>
        <w:t xml:space="preserve"> Rel-14 UE and Rel-15 UE. </w:t>
      </w:r>
      <w:r>
        <w:rPr>
          <w:rFonts w:ascii="Arial" w:hAnsi="Arial" w:cs="Arial" w:hint="eastAsia"/>
          <w:sz w:val="20"/>
          <w:szCs w:val="20"/>
          <w:lang w:eastAsia="zh-TW"/>
        </w:rPr>
        <w:t>Hence, t</w:t>
      </w:r>
      <w:r w:rsidRPr="00455485">
        <w:rPr>
          <w:rFonts w:ascii="Arial" w:hAnsi="Arial" w:cs="Arial" w:hint="eastAsia"/>
          <w:sz w:val="20"/>
          <w:szCs w:val="20"/>
          <w:lang w:eastAsia="zh-TW"/>
        </w:rPr>
        <w:t>he receivi</w:t>
      </w:r>
      <w:r>
        <w:rPr>
          <w:rFonts w:ascii="Arial" w:hAnsi="Arial" w:cs="Arial" w:hint="eastAsia"/>
          <w:sz w:val="20"/>
          <w:szCs w:val="20"/>
          <w:lang w:eastAsia="zh-TW"/>
        </w:rPr>
        <w:t>ng power for settling AGC is</w:t>
      </w:r>
      <w:r w:rsidRPr="00455485">
        <w:rPr>
          <w:rFonts w:ascii="Arial" w:hAnsi="Arial" w:cs="Arial" w:hint="eastAsia"/>
          <w:sz w:val="20"/>
          <w:szCs w:val="20"/>
          <w:lang w:eastAsia="zh-TW"/>
        </w:rPr>
        <w:t xml:space="preserve"> large</w:t>
      </w:r>
      <w:r>
        <w:rPr>
          <w:rFonts w:ascii="Arial" w:hAnsi="Arial" w:cs="Arial" w:hint="eastAsia"/>
          <w:sz w:val="20"/>
          <w:szCs w:val="20"/>
          <w:lang w:eastAsia="zh-TW"/>
        </w:rPr>
        <w:t>r.</w:t>
      </w:r>
      <w:r w:rsidRPr="00455485">
        <w:rPr>
          <w:rFonts w:ascii="Arial" w:hAnsi="Arial" w:cs="Arial" w:hint="eastAsia"/>
          <w:sz w:val="20"/>
          <w:szCs w:val="20"/>
          <w:lang w:eastAsia="zh-TW"/>
        </w:rPr>
        <w:t xml:space="preserve"> </w:t>
      </w:r>
      <w:r>
        <w:rPr>
          <w:rFonts w:ascii="Arial" w:hAnsi="Arial" w:cs="Arial" w:hint="eastAsia"/>
          <w:sz w:val="20"/>
          <w:szCs w:val="20"/>
          <w:lang w:eastAsia="zh-TW"/>
        </w:rPr>
        <w:t>I</w:t>
      </w:r>
      <w:r w:rsidR="00AD3B36">
        <w:rPr>
          <w:rFonts w:ascii="Arial" w:hAnsi="Arial" w:cs="Arial"/>
          <w:sz w:val="20"/>
          <w:szCs w:val="20"/>
          <w:lang w:eastAsia="zh-TW"/>
        </w:rPr>
        <w:t>f the</w:t>
      </w:r>
      <w:r w:rsidRPr="00455485">
        <w:rPr>
          <w:rFonts w:ascii="Arial" w:hAnsi="Arial" w:cs="Arial"/>
          <w:sz w:val="20"/>
          <w:szCs w:val="20"/>
          <w:lang w:eastAsia="zh-TW"/>
        </w:rPr>
        <w:t xml:space="preserve"> Rel-14 UE </w:t>
      </w:r>
      <w:r>
        <w:rPr>
          <w:rFonts w:ascii="Arial" w:hAnsi="Arial" w:cs="Arial" w:hint="eastAsia"/>
          <w:sz w:val="20"/>
          <w:szCs w:val="20"/>
          <w:lang w:eastAsia="zh-TW"/>
        </w:rPr>
        <w:t xml:space="preserve">then </w:t>
      </w:r>
      <w:r w:rsidRPr="00455485">
        <w:rPr>
          <w:rFonts w:ascii="Arial" w:hAnsi="Arial" w:cs="Arial"/>
          <w:sz w:val="20"/>
          <w:szCs w:val="20"/>
          <w:lang w:eastAsia="zh-TW"/>
        </w:rPr>
        <w:t>want</w:t>
      </w:r>
      <w:r>
        <w:rPr>
          <w:rFonts w:ascii="Arial" w:hAnsi="Arial" w:cs="Arial" w:hint="eastAsia"/>
          <w:sz w:val="20"/>
          <w:szCs w:val="20"/>
          <w:lang w:eastAsia="zh-TW"/>
        </w:rPr>
        <w:t>s</w:t>
      </w:r>
      <w:r w:rsidRPr="00455485">
        <w:rPr>
          <w:rFonts w:ascii="Arial" w:hAnsi="Arial" w:cs="Arial"/>
          <w:sz w:val="20"/>
          <w:szCs w:val="20"/>
          <w:lang w:eastAsia="zh-TW"/>
        </w:rPr>
        <w:t xml:space="preserve"> to receive Rel-14 UE </w:t>
      </w:r>
      <w:r w:rsidR="00AD3B36">
        <w:rPr>
          <w:rFonts w:ascii="Arial" w:hAnsi="Arial" w:cs="Arial" w:hint="eastAsia"/>
          <w:sz w:val="20"/>
          <w:szCs w:val="20"/>
          <w:lang w:eastAsia="zh-TW"/>
        </w:rPr>
        <w:t xml:space="preserve">only </w:t>
      </w:r>
      <w:r w:rsidRPr="00455485">
        <w:rPr>
          <w:rFonts w:ascii="Arial" w:hAnsi="Arial" w:cs="Arial"/>
          <w:sz w:val="20"/>
          <w:szCs w:val="20"/>
          <w:lang w:eastAsia="zh-TW"/>
        </w:rPr>
        <w:t>in the second slot</w:t>
      </w:r>
      <w:r>
        <w:rPr>
          <w:rFonts w:ascii="Arial" w:hAnsi="Arial" w:cs="Arial" w:hint="eastAsia"/>
          <w:sz w:val="20"/>
          <w:szCs w:val="20"/>
          <w:lang w:eastAsia="zh-TW"/>
        </w:rPr>
        <w:t>, which the signal of Rel-15 UE is not included in the second slot</w:t>
      </w:r>
      <w:r w:rsidRPr="00455485">
        <w:rPr>
          <w:rFonts w:ascii="Arial" w:hAnsi="Arial" w:cs="Arial"/>
          <w:sz w:val="20"/>
          <w:szCs w:val="20"/>
          <w:lang w:eastAsia="zh-TW"/>
        </w:rPr>
        <w:t>,</w:t>
      </w:r>
      <w:r w:rsidRPr="00455485">
        <w:rPr>
          <w:rFonts w:ascii="Arial" w:hAnsi="Arial" w:cs="Arial" w:hint="eastAsia"/>
          <w:sz w:val="20"/>
          <w:szCs w:val="20"/>
          <w:lang w:eastAsia="zh-TW"/>
        </w:rPr>
        <w:t xml:space="preserve"> </w:t>
      </w:r>
      <w:r w:rsidR="00B51CA5">
        <w:rPr>
          <w:rFonts w:ascii="Arial" w:hAnsi="Arial" w:cs="Arial"/>
          <w:sz w:val="20"/>
          <w:szCs w:val="20"/>
          <w:lang w:eastAsia="zh-TW"/>
        </w:rPr>
        <w:t xml:space="preserve">AGC settling in the first slot </w:t>
      </w:r>
      <w:r w:rsidR="00B51CA5">
        <w:rPr>
          <w:rFonts w:ascii="Arial" w:hAnsi="Arial" w:cs="Arial" w:hint="eastAsia"/>
          <w:sz w:val="20"/>
          <w:szCs w:val="20"/>
          <w:lang w:eastAsia="zh-TW"/>
        </w:rPr>
        <w:t xml:space="preserve">short </w:t>
      </w:r>
      <w:r w:rsidRPr="00455485">
        <w:rPr>
          <w:rFonts w:ascii="Arial" w:hAnsi="Arial" w:cs="Arial"/>
          <w:sz w:val="20"/>
          <w:szCs w:val="20"/>
          <w:lang w:eastAsia="zh-TW"/>
        </w:rPr>
        <w:t>TTI may not be suitable for the second slot</w:t>
      </w:r>
      <w:r w:rsidRPr="00455485">
        <w:rPr>
          <w:rFonts w:ascii="Arial" w:hAnsi="Arial" w:cs="Arial" w:hint="eastAsia"/>
          <w:sz w:val="20"/>
          <w:szCs w:val="20"/>
          <w:lang w:eastAsia="zh-TW"/>
        </w:rPr>
        <w:t xml:space="preserve"> with the </w:t>
      </w:r>
      <w:r w:rsidRPr="00455485">
        <w:rPr>
          <w:rFonts w:ascii="Arial" w:hAnsi="Arial" w:cs="Arial"/>
          <w:sz w:val="20"/>
          <w:szCs w:val="20"/>
          <w:lang w:eastAsia="zh-TW"/>
        </w:rPr>
        <w:t xml:space="preserve">quantization error. </w:t>
      </w:r>
    </w:p>
    <w:p w:rsidR="00455485" w:rsidRPr="00455485" w:rsidRDefault="00A55C68" w:rsidP="00455485">
      <w:pPr>
        <w:spacing w:after="120"/>
        <w:jc w:val="both"/>
        <w:rPr>
          <w:rFonts w:ascii="Arial" w:hAnsi="Arial" w:cs="Arial"/>
          <w:sz w:val="20"/>
          <w:szCs w:val="20"/>
          <w:lang w:eastAsia="zh-TW"/>
        </w:rPr>
      </w:pPr>
      <w:r>
        <w:rPr>
          <w:rFonts w:ascii="Arial" w:hAnsi="Arial" w:cs="Arial"/>
          <w:sz w:val="20"/>
          <w:szCs w:val="20"/>
          <w:lang w:eastAsia="zh-TW"/>
        </w:rPr>
        <w:t xml:space="preserve">In another </w:t>
      </w:r>
      <w:r>
        <w:rPr>
          <w:rFonts w:ascii="Arial" w:hAnsi="Arial" w:cs="Arial" w:hint="eastAsia"/>
          <w:sz w:val="20"/>
          <w:szCs w:val="20"/>
          <w:lang w:eastAsia="zh-TW"/>
        </w:rPr>
        <w:t>case as shown in Fig. 2 (b)</w:t>
      </w:r>
      <w:r w:rsidR="00AD3B36">
        <w:rPr>
          <w:rFonts w:ascii="Arial" w:hAnsi="Arial" w:cs="Arial"/>
          <w:sz w:val="20"/>
          <w:szCs w:val="20"/>
          <w:lang w:eastAsia="zh-TW"/>
        </w:rPr>
        <w:t xml:space="preserve">, when the </w:t>
      </w:r>
      <w:r w:rsidR="00455485" w:rsidRPr="00455485">
        <w:rPr>
          <w:rFonts w:ascii="Arial" w:hAnsi="Arial" w:cs="Arial"/>
          <w:sz w:val="20"/>
          <w:szCs w:val="20"/>
          <w:lang w:eastAsia="zh-TW"/>
        </w:rPr>
        <w:t>Rel</w:t>
      </w:r>
      <w:r>
        <w:rPr>
          <w:rFonts w:ascii="Arial" w:hAnsi="Arial" w:cs="Arial"/>
          <w:sz w:val="20"/>
          <w:szCs w:val="20"/>
          <w:lang w:eastAsia="zh-TW"/>
        </w:rPr>
        <w:t xml:space="preserve">-14 UE can only receive </w:t>
      </w:r>
      <w:r w:rsidR="00455485" w:rsidRPr="00455485">
        <w:rPr>
          <w:rFonts w:ascii="Arial" w:hAnsi="Arial" w:cs="Arial"/>
          <w:sz w:val="20"/>
          <w:szCs w:val="20"/>
          <w:lang w:eastAsia="zh-TW"/>
        </w:rPr>
        <w:t>Rel-14</w:t>
      </w:r>
      <w:r w:rsidR="00B51CA5">
        <w:rPr>
          <w:rFonts w:ascii="Arial" w:hAnsi="Arial" w:cs="Arial"/>
          <w:sz w:val="20"/>
          <w:szCs w:val="20"/>
          <w:lang w:eastAsia="zh-TW"/>
        </w:rPr>
        <w:t xml:space="preserve"> UE transmission in first slot </w:t>
      </w:r>
      <w:r w:rsidR="00B51CA5">
        <w:rPr>
          <w:rFonts w:ascii="Arial" w:hAnsi="Arial" w:cs="Arial" w:hint="eastAsia"/>
          <w:sz w:val="20"/>
          <w:szCs w:val="20"/>
          <w:lang w:eastAsia="zh-TW"/>
        </w:rPr>
        <w:t xml:space="preserve">short </w:t>
      </w:r>
      <w:r w:rsidR="00455485" w:rsidRPr="00455485">
        <w:rPr>
          <w:rFonts w:ascii="Arial" w:hAnsi="Arial" w:cs="Arial"/>
          <w:sz w:val="20"/>
          <w:szCs w:val="20"/>
          <w:lang w:eastAsia="zh-TW"/>
        </w:rPr>
        <w:t>TTI, the AGC dynamic range may be settled with the r</w:t>
      </w:r>
      <w:r>
        <w:rPr>
          <w:rFonts w:ascii="Arial" w:hAnsi="Arial" w:cs="Arial"/>
          <w:sz w:val="20"/>
          <w:szCs w:val="20"/>
          <w:lang w:eastAsia="zh-TW"/>
        </w:rPr>
        <w:t xml:space="preserve">eceiving power from the </w:t>
      </w:r>
      <w:r w:rsidR="00455485" w:rsidRPr="00455485">
        <w:rPr>
          <w:rFonts w:ascii="Arial" w:hAnsi="Arial" w:cs="Arial"/>
          <w:sz w:val="20"/>
          <w:szCs w:val="20"/>
          <w:lang w:eastAsia="zh-TW"/>
        </w:rPr>
        <w:t>Rel-14 UE.</w:t>
      </w:r>
      <w:r>
        <w:rPr>
          <w:rFonts w:ascii="Arial" w:hAnsi="Arial" w:cs="Arial" w:hint="eastAsia"/>
          <w:sz w:val="20"/>
          <w:szCs w:val="20"/>
          <w:lang w:eastAsia="zh-TW"/>
        </w:rPr>
        <w:t xml:space="preserve"> Hence, t</w:t>
      </w:r>
      <w:r w:rsidRPr="00455485">
        <w:rPr>
          <w:rFonts w:ascii="Arial" w:hAnsi="Arial" w:cs="Arial" w:hint="eastAsia"/>
          <w:sz w:val="20"/>
          <w:szCs w:val="20"/>
          <w:lang w:eastAsia="zh-TW"/>
        </w:rPr>
        <w:t>he receivi</w:t>
      </w:r>
      <w:r>
        <w:rPr>
          <w:rFonts w:ascii="Arial" w:hAnsi="Arial" w:cs="Arial" w:hint="eastAsia"/>
          <w:sz w:val="20"/>
          <w:szCs w:val="20"/>
          <w:lang w:eastAsia="zh-TW"/>
        </w:rPr>
        <w:t xml:space="preserve">ng power for settling AGC is smaller. </w:t>
      </w:r>
      <w:r w:rsidR="00AD3B36">
        <w:rPr>
          <w:rFonts w:ascii="Arial" w:hAnsi="Arial" w:cs="Arial"/>
          <w:sz w:val="20"/>
          <w:szCs w:val="20"/>
          <w:lang w:eastAsia="zh-TW"/>
        </w:rPr>
        <w:t xml:space="preserve">If the </w:t>
      </w:r>
      <w:r w:rsidR="00455485" w:rsidRPr="00455485">
        <w:rPr>
          <w:rFonts w:ascii="Arial" w:hAnsi="Arial" w:cs="Arial"/>
          <w:sz w:val="20"/>
          <w:szCs w:val="20"/>
          <w:lang w:eastAsia="zh-TW"/>
        </w:rPr>
        <w:t xml:space="preserve">Rel-14 UE </w:t>
      </w:r>
      <w:r>
        <w:rPr>
          <w:rFonts w:ascii="Arial" w:hAnsi="Arial" w:cs="Arial" w:hint="eastAsia"/>
          <w:sz w:val="20"/>
          <w:szCs w:val="20"/>
          <w:lang w:eastAsia="zh-TW"/>
        </w:rPr>
        <w:t>then</w:t>
      </w:r>
      <w:r w:rsidR="00455485" w:rsidRPr="00455485">
        <w:rPr>
          <w:rFonts w:ascii="Arial" w:hAnsi="Arial" w:cs="Arial"/>
          <w:sz w:val="20"/>
          <w:szCs w:val="20"/>
          <w:lang w:eastAsia="zh-TW"/>
        </w:rPr>
        <w:t xml:space="preserve"> receive</w:t>
      </w:r>
      <w:r>
        <w:rPr>
          <w:rFonts w:ascii="Arial" w:hAnsi="Arial" w:cs="Arial" w:hint="eastAsia"/>
          <w:sz w:val="20"/>
          <w:szCs w:val="20"/>
          <w:lang w:eastAsia="zh-TW"/>
        </w:rPr>
        <w:t>s</w:t>
      </w:r>
      <w:r>
        <w:rPr>
          <w:rFonts w:ascii="Arial" w:hAnsi="Arial" w:cs="Arial"/>
          <w:sz w:val="20"/>
          <w:szCs w:val="20"/>
          <w:lang w:eastAsia="zh-TW"/>
        </w:rPr>
        <w:t xml:space="preserve"> both Rel-14 UE and </w:t>
      </w:r>
      <w:r w:rsidR="00B51CA5">
        <w:rPr>
          <w:rFonts w:ascii="Arial" w:hAnsi="Arial" w:cs="Arial"/>
          <w:sz w:val="20"/>
          <w:szCs w:val="20"/>
          <w:lang w:eastAsia="zh-TW"/>
        </w:rPr>
        <w:t xml:space="preserve">Rel-15 UE in the second slot </w:t>
      </w:r>
      <w:r w:rsidR="00B51CA5">
        <w:rPr>
          <w:rFonts w:ascii="Arial" w:hAnsi="Arial" w:cs="Arial" w:hint="eastAsia"/>
          <w:sz w:val="20"/>
          <w:szCs w:val="20"/>
          <w:lang w:eastAsia="zh-TW"/>
        </w:rPr>
        <w:t xml:space="preserve">short </w:t>
      </w:r>
      <w:r w:rsidR="00455485" w:rsidRPr="00455485">
        <w:rPr>
          <w:rFonts w:ascii="Arial" w:hAnsi="Arial" w:cs="Arial"/>
          <w:sz w:val="20"/>
          <w:szCs w:val="20"/>
          <w:lang w:eastAsia="zh-TW"/>
        </w:rPr>
        <w:t xml:space="preserve">TTI, </w:t>
      </w:r>
      <w:r w:rsidR="00B51CA5">
        <w:rPr>
          <w:rFonts w:ascii="Arial" w:hAnsi="Arial" w:cs="Arial"/>
          <w:sz w:val="20"/>
          <w:szCs w:val="20"/>
          <w:lang w:eastAsia="zh-TW"/>
        </w:rPr>
        <w:t xml:space="preserve">AGC settling in the first slot </w:t>
      </w:r>
      <w:r w:rsidR="00B51CA5">
        <w:rPr>
          <w:rFonts w:ascii="Arial" w:hAnsi="Arial" w:cs="Arial" w:hint="eastAsia"/>
          <w:sz w:val="20"/>
          <w:szCs w:val="20"/>
          <w:lang w:eastAsia="zh-TW"/>
        </w:rPr>
        <w:t xml:space="preserve">short </w:t>
      </w:r>
      <w:r w:rsidR="00455485" w:rsidRPr="00455485">
        <w:rPr>
          <w:rFonts w:ascii="Arial" w:hAnsi="Arial" w:cs="Arial"/>
          <w:sz w:val="20"/>
          <w:szCs w:val="20"/>
          <w:lang w:eastAsia="zh-TW"/>
        </w:rPr>
        <w:t>TTI may not b</w:t>
      </w:r>
      <w:r w:rsidR="00B51CA5">
        <w:rPr>
          <w:rFonts w:ascii="Arial" w:hAnsi="Arial" w:cs="Arial"/>
          <w:sz w:val="20"/>
          <w:szCs w:val="20"/>
          <w:lang w:eastAsia="zh-TW"/>
        </w:rPr>
        <w:t xml:space="preserve">e suitable for the second slot </w:t>
      </w:r>
      <w:r w:rsidR="00B51CA5">
        <w:rPr>
          <w:rFonts w:ascii="Arial" w:hAnsi="Arial" w:cs="Arial" w:hint="eastAsia"/>
          <w:sz w:val="20"/>
          <w:szCs w:val="20"/>
          <w:lang w:eastAsia="zh-TW"/>
        </w:rPr>
        <w:t xml:space="preserve">short </w:t>
      </w:r>
      <w:r w:rsidR="00455485" w:rsidRPr="00455485">
        <w:rPr>
          <w:rFonts w:ascii="Arial" w:hAnsi="Arial" w:cs="Arial"/>
          <w:sz w:val="20"/>
          <w:szCs w:val="20"/>
          <w:lang w:eastAsia="zh-TW"/>
        </w:rPr>
        <w:t>TTI b</w:t>
      </w:r>
      <w:r>
        <w:rPr>
          <w:rFonts w:ascii="Arial" w:hAnsi="Arial" w:cs="Arial"/>
          <w:sz w:val="20"/>
          <w:szCs w:val="20"/>
          <w:lang w:eastAsia="zh-TW"/>
        </w:rPr>
        <w:t>ecause of the clipping noise</w:t>
      </w:r>
      <w:r w:rsidR="00455485" w:rsidRPr="00455485">
        <w:rPr>
          <w:rFonts w:ascii="Arial" w:hAnsi="Arial" w:cs="Arial"/>
          <w:sz w:val="20"/>
          <w:szCs w:val="20"/>
          <w:lang w:eastAsia="zh-TW"/>
        </w:rPr>
        <w:t>.</w:t>
      </w:r>
    </w:p>
    <w:p w:rsidR="00805351" w:rsidRDefault="0038324A" w:rsidP="00805351">
      <w:pPr>
        <w:pStyle w:val="a0"/>
        <w:jc w:val="center"/>
        <w:rPr>
          <w:rFonts w:hint="eastAsia"/>
          <w:lang w:eastAsia="zh-TW"/>
        </w:rPr>
      </w:pPr>
      <w:r w:rsidRPr="00455485">
        <w:rPr>
          <w:noProof/>
          <w:lang w:eastAsia="zh-TW"/>
        </w:rPr>
        <w:drawing>
          <wp:inline distT="0" distB="0" distL="0" distR="0">
            <wp:extent cx="1623060" cy="21031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2103120"/>
                    </a:xfrm>
                    <a:prstGeom prst="rect">
                      <a:avLst/>
                    </a:prstGeom>
                    <a:noFill/>
                    <a:ln>
                      <a:noFill/>
                    </a:ln>
                  </pic:spPr>
                </pic:pic>
              </a:graphicData>
            </a:graphic>
          </wp:inline>
        </w:drawing>
      </w:r>
      <w:r w:rsidR="00455485">
        <w:rPr>
          <w:rFonts w:hint="eastAsia"/>
          <w:lang w:eastAsia="zh-TW"/>
        </w:rPr>
        <w:t xml:space="preserve">        </w:t>
      </w:r>
      <w:r w:rsidR="006336C9">
        <w:rPr>
          <w:rFonts w:hint="eastAsia"/>
          <w:lang w:eastAsia="zh-TW"/>
        </w:rPr>
        <w:t xml:space="preserve">            </w:t>
      </w:r>
      <w:r w:rsidR="00455485">
        <w:rPr>
          <w:rFonts w:hint="eastAsia"/>
          <w:lang w:eastAsia="zh-TW"/>
        </w:rPr>
        <w:t xml:space="preserve"> </w:t>
      </w:r>
      <w:r w:rsidRPr="00455485">
        <w:rPr>
          <w:rFonts w:hint="eastAsia"/>
          <w:noProof/>
          <w:lang w:eastAsia="zh-TW"/>
        </w:rPr>
        <w:drawing>
          <wp:inline distT="0" distB="0" distL="0" distR="0">
            <wp:extent cx="1645920" cy="210312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2103120"/>
                    </a:xfrm>
                    <a:prstGeom prst="rect">
                      <a:avLst/>
                    </a:prstGeom>
                    <a:noFill/>
                    <a:ln>
                      <a:noFill/>
                    </a:ln>
                  </pic:spPr>
                </pic:pic>
              </a:graphicData>
            </a:graphic>
          </wp:inline>
        </w:drawing>
      </w:r>
    </w:p>
    <w:p w:rsidR="00455485" w:rsidRDefault="006336C9" w:rsidP="00C273A3">
      <w:pPr>
        <w:pStyle w:val="a0"/>
        <w:spacing w:afterLines="50"/>
        <w:jc w:val="center"/>
        <w:rPr>
          <w:rFonts w:ascii="Arial" w:hAnsi="Arial" w:cs="Arial" w:hint="eastAsia"/>
          <w:sz w:val="20"/>
          <w:szCs w:val="20"/>
          <w:lang w:eastAsia="zh-TW"/>
        </w:rPr>
      </w:pPr>
      <w:r>
        <w:rPr>
          <w:rFonts w:ascii="Arial" w:hAnsi="Arial" w:cs="Arial" w:hint="eastAsia"/>
          <w:sz w:val="20"/>
          <w:szCs w:val="20"/>
          <w:lang w:eastAsia="zh-TW"/>
        </w:rPr>
        <w:t xml:space="preserve">  </w:t>
      </w:r>
      <w:r w:rsidR="00455485" w:rsidRPr="000D6A9F">
        <w:rPr>
          <w:rFonts w:ascii="Arial" w:hAnsi="Arial" w:cs="Arial" w:hint="eastAsia"/>
          <w:sz w:val="20"/>
          <w:szCs w:val="20"/>
          <w:lang w:eastAsia="zh-TW"/>
        </w:rPr>
        <w:t>(</w:t>
      </w:r>
      <w:r w:rsidR="00455485">
        <w:rPr>
          <w:rFonts w:ascii="Arial" w:hAnsi="Arial" w:cs="Arial" w:hint="eastAsia"/>
          <w:sz w:val="20"/>
          <w:szCs w:val="20"/>
          <w:lang w:eastAsia="zh-TW"/>
        </w:rPr>
        <w:t>a</w:t>
      </w:r>
      <w:r w:rsidR="00455485" w:rsidRPr="000D6A9F">
        <w:rPr>
          <w:rFonts w:ascii="Arial" w:hAnsi="Arial" w:cs="Arial" w:hint="eastAsia"/>
          <w:sz w:val="20"/>
          <w:szCs w:val="20"/>
          <w:lang w:eastAsia="zh-TW"/>
        </w:rPr>
        <w:t>)</w:t>
      </w:r>
      <w:r w:rsidR="00455485">
        <w:rPr>
          <w:rFonts w:ascii="Arial" w:hAnsi="Arial" w:cs="Arial" w:hint="eastAsia"/>
          <w:sz w:val="20"/>
          <w:szCs w:val="20"/>
          <w:lang w:eastAsia="zh-TW"/>
        </w:rPr>
        <w:t xml:space="preserve">                    </w:t>
      </w:r>
      <w:r>
        <w:rPr>
          <w:rFonts w:ascii="Arial" w:hAnsi="Arial" w:cs="Arial" w:hint="eastAsia"/>
          <w:sz w:val="20"/>
          <w:szCs w:val="20"/>
          <w:lang w:eastAsia="zh-TW"/>
        </w:rPr>
        <w:t xml:space="preserve">      </w:t>
      </w:r>
      <w:r w:rsidR="00455485">
        <w:rPr>
          <w:rFonts w:ascii="Arial" w:hAnsi="Arial" w:cs="Arial" w:hint="eastAsia"/>
          <w:sz w:val="20"/>
          <w:szCs w:val="20"/>
          <w:lang w:eastAsia="zh-TW"/>
        </w:rPr>
        <w:t xml:space="preserve">  </w:t>
      </w:r>
      <w:r>
        <w:rPr>
          <w:rFonts w:ascii="Arial" w:hAnsi="Arial" w:cs="Arial" w:hint="eastAsia"/>
          <w:sz w:val="20"/>
          <w:szCs w:val="20"/>
          <w:lang w:eastAsia="zh-TW"/>
        </w:rPr>
        <w:t xml:space="preserve">              </w:t>
      </w:r>
      <w:r w:rsidR="00455485">
        <w:rPr>
          <w:rFonts w:ascii="Arial" w:hAnsi="Arial" w:cs="Arial" w:hint="eastAsia"/>
          <w:sz w:val="20"/>
          <w:szCs w:val="20"/>
          <w:lang w:eastAsia="zh-TW"/>
        </w:rPr>
        <w:t xml:space="preserve">                          (b)</w:t>
      </w:r>
    </w:p>
    <w:p w:rsidR="00805351" w:rsidRPr="00455485" w:rsidRDefault="00805351" w:rsidP="00455485">
      <w:pPr>
        <w:pStyle w:val="a0"/>
        <w:jc w:val="center"/>
        <w:rPr>
          <w:rFonts w:ascii="Arial" w:hAnsi="Arial" w:cs="Arial" w:hint="eastAsia"/>
          <w:sz w:val="20"/>
          <w:szCs w:val="20"/>
          <w:lang w:eastAsia="zh-TW"/>
        </w:rPr>
      </w:pPr>
      <w:r w:rsidRPr="00F70422">
        <w:rPr>
          <w:rFonts w:ascii="Arial" w:hAnsi="Arial" w:cs="Arial"/>
          <w:sz w:val="20"/>
          <w:szCs w:val="20"/>
        </w:rPr>
        <w:t xml:space="preserve">Figure </w:t>
      </w:r>
      <w:r w:rsidR="00455485">
        <w:rPr>
          <w:rFonts w:ascii="Arial" w:hAnsi="Arial" w:cs="Arial" w:hint="eastAsia"/>
          <w:sz w:val="20"/>
          <w:szCs w:val="20"/>
          <w:lang w:eastAsia="zh-TW"/>
        </w:rPr>
        <w:t>2</w:t>
      </w:r>
      <w:r>
        <w:rPr>
          <w:rFonts w:ascii="Arial" w:hAnsi="Arial" w:cs="Arial"/>
          <w:sz w:val="20"/>
          <w:szCs w:val="20"/>
        </w:rPr>
        <w:t>:</w:t>
      </w:r>
      <w:r w:rsidRPr="00F70422">
        <w:rPr>
          <w:rFonts w:ascii="Arial" w:hAnsi="Arial" w:cs="Arial"/>
          <w:sz w:val="20"/>
          <w:szCs w:val="20"/>
        </w:rPr>
        <w:t xml:space="preserve"> </w:t>
      </w:r>
      <w:r w:rsidR="00A55C68">
        <w:rPr>
          <w:rFonts w:ascii="Arial" w:hAnsi="Arial" w:cs="Arial" w:hint="eastAsia"/>
          <w:sz w:val="20"/>
          <w:szCs w:val="20"/>
          <w:lang w:eastAsia="zh-TW"/>
        </w:rPr>
        <w:t>illustrations of AGC</w:t>
      </w:r>
      <w:r w:rsidR="00455485">
        <w:rPr>
          <w:rFonts w:ascii="Arial" w:hAnsi="Arial" w:cs="Arial" w:hint="eastAsia"/>
          <w:sz w:val="20"/>
          <w:szCs w:val="20"/>
          <w:lang w:eastAsia="zh-TW"/>
        </w:rPr>
        <w:t xml:space="preserve"> issue for case (a) and case (b)</w:t>
      </w:r>
    </w:p>
    <w:p w:rsidR="00805351" w:rsidRPr="00741A06" w:rsidRDefault="00255180" w:rsidP="00805351">
      <w:pPr>
        <w:pStyle w:val="2"/>
        <w:rPr>
          <w:rFonts w:ascii="Arial" w:hAnsi="Arial"/>
          <w:sz w:val="24"/>
          <w:szCs w:val="24"/>
        </w:rPr>
      </w:pPr>
      <w:r>
        <w:rPr>
          <w:rFonts w:ascii="Arial" w:eastAsia="新細明體" w:hAnsi="Arial" w:hint="eastAsia"/>
          <w:sz w:val="24"/>
          <w:szCs w:val="24"/>
          <w:lang w:eastAsia="zh-TW"/>
        </w:rPr>
        <w:lastRenderedPageBreak/>
        <w:t>Considerations of short TTI design for V2X phase 2</w:t>
      </w:r>
    </w:p>
    <w:p w:rsidR="009852ED" w:rsidRDefault="00B51CA5" w:rsidP="009852ED">
      <w:pPr>
        <w:spacing w:before="120" w:after="120"/>
        <w:jc w:val="both"/>
        <w:rPr>
          <w:rFonts w:ascii="Arial" w:hAnsi="Arial" w:cs="Arial" w:hint="eastAsia"/>
          <w:sz w:val="20"/>
          <w:szCs w:val="20"/>
          <w:lang w:eastAsia="zh-TW"/>
        </w:rPr>
      </w:pPr>
      <w:r>
        <w:rPr>
          <w:rFonts w:ascii="Arial" w:hAnsi="Arial" w:cs="Arial" w:hint="eastAsia"/>
          <w:sz w:val="20"/>
          <w:szCs w:val="20"/>
          <w:lang w:eastAsia="zh-TW"/>
        </w:rPr>
        <w:t>When the l</w:t>
      </w:r>
      <w:r w:rsidRPr="000C6707">
        <w:rPr>
          <w:rFonts w:ascii="Arial" w:hAnsi="Arial" w:cs="Arial" w:hint="eastAsia"/>
          <w:sz w:val="20"/>
          <w:szCs w:val="20"/>
          <w:lang w:eastAsia="zh-TW"/>
        </w:rPr>
        <w:t xml:space="preserve">egacy TTI for Rel-14 UEs and </w:t>
      </w:r>
      <w:r w:rsidRPr="000C6707">
        <w:rPr>
          <w:rFonts w:ascii="Arial" w:hAnsi="Arial" w:cs="Arial"/>
          <w:sz w:val="20"/>
          <w:szCs w:val="20"/>
          <w:lang w:eastAsia="zh-TW"/>
        </w:rPr>
        <w:t>short TTI</w:t>
      </w:r>
      <w:r w:rsidRPr="000C6707">
        <w:rPr>
          <w:rFonts w:ascii="Arial" w:hAnsi="Arial" w:cs="Arial" w:hint="eastAsia"/>
          <w:sz w:val="20"/>
          <w:szCs w:val="20"/>
          <w:lang w:eastAsia="zh-TW"/>
        </w:rPr>
        <w:t xml:space="preserve"> for Rel-15 UEs</w:t>
      </w:r>
      <w:r w:rsidRPr="000C6707">
        <w:rPr>
          <w:rFonts w:ascii="Arial" w:hAnsi="Arial" w:cs="Arial"/>
          <w:sz w:val="20"/>
          <w:szCs w:val="20"/>
          <w:lang w:eastAsia="zh-TW"/>
        </w:rPr>
        <w:t xml:space="preserve"> </w:t>
      </w:r>
      <w:r>
        <w:rPr>
          <w:rFonts w:ascii="Arial" w:hAnsi="Arial" w:cs="Arial" w:hint="eastAsia"/>
          <w:sz w:val="20"/>
          <w:szCs w:val="20"/>
          <w:lang w:eastAsia="zh-TW"/>
        </w:rPr>
        <w:t>use different</w:t>
      </w:r>
      <w:r w:rsidRPr="000C6707">
        <w:rPr>
          <w:rFonts w:ascii="Arial" w:hAnsi="Arial" w:cs="Arial"/>
          <w:sz w:val="20"/>
          <w:szCs w:val="20"/>
          <w:lang w:eastAsia="zh-TW"/>
        </w:rPr>
        <w:t xml:space="preserve"> </w:t>
      </w:r>
      <w:r w:rsidRPr="000C6707">
        <w:rPr>
          <w:rFonts w:ascii="Arial" w:hAnsi="Arial" w:cs="Arial" w:hint="eastAsia"/>
          <w:sz w:val="20"/>
          <w:szCs w:val="20"/>
          <w:lang w:eastAsia="zh-TW"/>
        </w:rPr>
        <w:t xml:space="preserve">resource </w:t>
      </w:r>
      <w:r w:rsidRPr="000C6707">
        <w:rPr>
          <w:rFonts w:ascii="Arial" w:hAnsi="Arial" w:cs="Arial"/>
          <w:sz w:val="20"/>
          <w:szCs w:val="20"/>
          <w:lang w:eastAsia="zh-TW"/>
        </w:rPr>
        <w:t>pools</w:t>
      </w:r>
      <w:r>
        <w:rPr>
          <w:rFonts w:ascii="Arial" w:hAnsi="Arial" w:cs="Arial" w:hint="eastAsia"/>
          <w:sz w:val="20"/>
          <w:szCs w:val="20"/>
          <w:lang w:eastAsia="zh-TW"/>
        </w:rPr>
        <w:t xml:space="preserve">, overhead is an important issue. </w:t>
      </w:r>
      <w:r w:rsidRPr="00B51CA5">
        <w:rPr>
          <w:rFonts w:ascii="Arial" w:hAnsi="Arial" w:cs="Arial"/>
          <w:sz w:val="20"/>
          <w:szCs w:val="20"/>
          <w:lang w:eastAsia="zh-TW"/>
        </w:rPr>
        <w:t>R14 UEs assume one symbol for AGC settling time. If the same assumption is kept in case of</w:t>
      </w:r>
      <w:r>
        <w:rPr>
          <w:rFonts w:ascii="Arial" w:hAnsi="Arial" w:cs="Arial"/>
          <w:sz w:val="20"/>
          <w:szCs w:val="20"/>
          <w:lang w:eastAsia="zh-TW"/>
        </w:rPr>
        <w:t xml:space="preserve"> </w:t>
      </w:r>
      <w:r>
        <w:rPr>
          <w:rFonts w:ascii="Arial" w:hAnsi="Arial" w:cs="Arial" w:hint="eastAsia"/>
          <w:sz w:val="20"/>
          <w:szCs w:val="20"/>
          <w:lang w:eastAsia="zh-TW"/>
        </w:rPr>
        <w:t xml:space="preserve">short </w:t>
      </w:r>
      <w:r w:rsidRPr="00B51CA5">
        <w:rPr>
          <w:rFonts w:ascii="Arial" w:hAnsi="Arial" w:cs="Arial"/>
          <w:sz w:val="20"/>
          <w:szCs w:val="20"/>
          <w:lang w:eastAsia="zh-TW"/>
        </w:rPr>
        <w:t xml:space="preserve">TTI then depending on the </w:t>
      </w:r>
      <w:r>
        <w:rPr>
          <w:rFonts w:ascii="Arial" w:hAnsi="Arial" w:cs="Arial"/>
          <w:sz w:val="20"/>
          <w:szCs w:val="20"/>
          <w:lang w:eastAsia="zh-TW"/>
        </w:rPr>
        <w:t xml:space="preserve">number of short </w:t>
      </w:r>
      <w:r w:rsidRPr="00B51CA5">
        <w:rPr>
          <w:rFonts w:ascii="Arial" w:hAnsi="Arial" w:cs="Arial"/>
          <w:sz w:val="20"/>
          <w:szCs w:val="20"/>
          <w:lang w:eastAsia="zh-TW"/>
        </w:rPr>
        <w:t xml:space="preserve">TTIs within subframes, the overhead may grow substantially. </w:t>
      </w:r>
      <w:r w:rsidR="009852ED">
        <w:rPr>
          <w:rFonts w:ascii="Arial" w:hAnsi="Arial" w:cs="Arial"/>
          <w:sz w:val="20"/>
          <w:szCs w:val="20"/>
          <w:lang w:eastAsia="zh-TW"/>
        </w:rPr>
        <w:t xml:space="preserve">In order to keep </w:t>
      </w:r>
      <w:r w:rsidR="009852ED">
        <w:rPr>
          <w:rFonts w:ascii="Arial" w:hAnsi="Arial" w:cs="Arial" w:hint="eastAsia"/>
          <w:sz w:val="20"/>
          <w:szCs w:val="20"/>
          <w:lang w:eastAsia="zh-TW"/>
        </w:rPr>
        <w:t>the overhead</w:t>
      </w:r>
      <w:r w:rsidRPr="00B51CA5">
        <w:rPr>
          <w:rFonts w:ascii="Arial" w:hAnsi="Arial" w:cs="Arial"/>
          <w:sz w:val="20"/>
          <w:szCs w:val="20"/>
          <w:lang w:eastAsia="zh-TW"/>
        </w:rPr>
        <w:t xml:space="preserve"> reasonable, </w:t>
      </w:r>
      <w:r w:rsidR="009852ED">
        <w:rPr>
          <w:rFonts w:ascii="Arial" w:hAnsi="Arial" w:cs="Arial" w:hint="eastAsia"/>
          <w:sz w:val="20"/>
          <w:szCs w:val="20"/>
          <w:lang w:eastAsia="zh-TW"/>
        </w:rPr>
        <w:t xml:space="preserve">the </w:t>
      </w:r>
      <w:r w:rsidR="00463224">
        <w:rPr>
          <w:rFonts w:ascii="Arial" w:hAnsi="Arial" w:cs="Arial" w:hint="eastAsia"/>
          <w:sz w:val="20"/>
          <w:szCs w:val="20"/>
          <w:lang w:eastAsia="zh-TW"/>
        </w:rPr>
        <w:t xml:space="preserve">shorter pre-configured </w:t>
      </w:r>
      <w:r w:rsidR="009852ED">
        <w:rPr>
          <w:rFonts w:ascii="Arial" w:hAnsi="Arial" w:cs="Arial" w:hint="eastAsia"/>
          <w:sz w:val="20"/>
          <w:szCs w:val="20"/>
          <w:lang w:eastAsia="zh-TW"/>
        </w:rPr>
        <w:t>AGC preamble</w:t>
      </w:r>
      <w:r w:rsidR="00463224">
        <w:rPr>
          <w:rFonts w:ascii="Arial" w:hAnsi="Arial" w:cs="Arial" w:hint="eastAsia"/>
          <w:sz w:val="20"/>
          <w:szCs w:val="20"/>
          <w:lang w:eastAsia="zh-TW"/>
        </w:rPr>
        <w:t xml:space="preserve"> for fast AGC convergence</w:t>
      </w:r>
      <w:r w:rsidR="009852ED">
        <w:rPr>
          <w:rFonts w:ascii="Arial" w:hAnsi="Arial" w:cs="Arial" w:hint="eastAsia"/>
          <w:sz w:val="20"/>
          <w:szCs w:val="20"/>
          <w:lang w:eastAsia="zh-TW"/>
        </w:rPr>
        <w:t xml:space="preserve"> should be considered to reduce</w:t>
      </w:r>
      <w:r w:rsidR="00463224">
        <w:rPr>
          <w:rFonts w:ascii="Arial" w:hAnsi="Arial" w:cs="Arial"/>
          <w:sz w:val="20"/>
          <w:szCs w:val="20"/>
          <w:lang w:eastAsia="zh-TW"/>
        </w:rPr>
        <w:t xml:space="preserve"> </w:t>
      </w:r>
      <w:r w:rsidR="00463224">
        <w:rPr>
          <w:rFonts w:ascii="Arial" w:hAnsi="Arial" w:cs="Arial" w:hint="eastAsia"/>
          <w:sz w:val="20"/>
          <w:szCs w:val="20"/>
          <w:lang w:eastAsia="zh-TW"/>
        </w:rPr>
        <w:t>overhead</w:t>
      </w:r>
      <w:r w:rsidR="009852ED">
        <w:rPr>
          <w:rFonts w:ascii="Arial" w:hAnsi="Arial" w:cs="Arial"/>
          <w:sz w:val="20"/>
          <w:szCs w:val="20"/>
          <w:lang w:eastAsia="zh-TW"/>
        </w:rPr>
        <w:t xml:space="preserve"> at least for R15 UEs</w:t>
      </w:r>
      <w:r w:rsidR="009852ED">
        <w:rPr>
          <w:rFonts w:ascii="Arial" w:hAnsi="Arial" w:cs="Arial" w:hint="eastAsia"/>
          <w:sz w:val="20"/>
          <w:szCs w:val="20"/>
          <w:lang w:eastAsia="zh-TW"/>
        </w:rPr>
        <w:t xml:space="preserve">, as shown in the Fig. 3. </w:t>
      </w:r>
    </w:p>
    <w:p w:rsidR="009852ED" w:rsidRDefault="009852ED" w:rsidP="009852ED">
      <w:pPr>
        <w:pStyle w:val="a0"/>
        <w:jc w:val="both"/>
        <w:rPr>
          <w:rFonts w:ascii="Arial" w:hAnsi="Arial" w:cs="Arial" w:hint="eastAsia"/>
          <w:b/>
          <w:bCs/>
          <w:i/>
          <w:sz w:val="20"/>
          <w:szCs w:val="20"/>
          <w:lang w:eastAsia="zh-TW"/>
        </w:rPr>
      </w:pPr>
      <w:r w:rsidRPr="00146A92">
        <w:rPr>
          <w:rFonts w:ascii="Arial" w:hAnsi="Arial" w:cs="Arial"/>
          <w:b/>
          <w:bCs/>
          <w:i/>
          <w:sz w:val="20"/>
          <w:szCs w:val="20"/>
          <w:lang w:eastAsia="zh-TW"/>
        </w:rPr>
        <w:t xml:space="preserve">Proposal 1: </w:t>
      </w:r>
      <w:r w:rsidR="00B331CD">
        <w:rPr>
          <w:rFonts w:ascii="Arial" w:hAnsi="Arial" w:cs="Arial" w:hint="eastAsia"/>
          <w:b/>
          <w:bCs/>
          <w:i/>
          <w:sz w:val="20"/>
          <w:szCs w:val="20"/>
          <w:lang w:eastAsia="zh-TW"/>
        </w:rPr>
        <w:t xml:space="preserve">For short TTI design, </w:t>
      </w:r>
      <w:r>
        <w:rPr>
          <w:rFonts w:ascii="Arial" w:hAnsi="Arial" w:cs="Arial" w:hint="eastAsia"/>
          <w:b/>
          <w:bCs/>
          <w:i/>
          <w:sz w:val="20"/>
          <w:szCs w:val="20"/>
          <w:lang w:eastAsia="zh-TW"/>
        </w:rPr>
        <w:t xml:space="preserve">AGC preamble should be considered to </w:t>
      </w:r>
      <w:r w:rsidR="00B331CD">
        <w:rPr>
          <w:rFonts w:ascii="Arial" w:hAnsi="Arial" w:cs="Arial" w:hint="eastAsia"/>
          <w:b/>
          <w:bCs/>
          <w:i/>
          <w:sz w:val="20"/>
          <w:szCs w:val="20"/>
          <w:lang w:eastAsia="zh-TW"/>
        </w:rPr>
        <w:t>speed up</w:t>
      </w:r>
      <w:r>
        <w:rPr>
          <w:rFonts w:ascii="Arial" w:hAnsi="Arial" w:cs="Arial" w:hint="eastAsia"/>
          <w:b/>
          <w:bCs/>
          <w:i/>
          <w:sz w:val="20"/>
          <w:szCs w:val="20"/>
          <w:lang w:eastAsia="zh-TW"/>
        </w:rPr>
        <w:t xml:space="preserve"> </w:t>
      </w:r>
      <w:r w:rsidR="00B331CD">
        <w:rPr>
          <w:rFonts w:ascii="Arial" w:hAnsi="Arial" w:cs="Arial" w:hint="eastAsia"/>
          <w:b/>
          <w:bCs/>
          <w:i/>
          <w:sz w:val="20"/>
          <w:szCs w:val="20"/>
          <w:lang w:eastAsia="zh-TW"/>
        </w:rPr>
        <w:t>AGC convergence and reduce overhead</w:t>
      </w:r>
      <w:r w:rsidR="00E16E5B">
        <w:rPr>
          <w:rFonts w:ascii="Arial" w:hAnsi="Arial" w:cs="Arial" w:hint="eastAsia"/>
          <w:b/>
          <w:bCs/>
          <w:i/>
          <w:sz w:val="20"/>
          <w:szCs w:val="20"/>
          <w:lang w:eastAsia="zh-TW"/>
        </w:rPr>
        <w:t xml:space="preserve"> when </w:t>
      </w:r>
      <w:r w:rsidR="00E16E5B" w:rsidRPr="00E16E5B">
        <w:rPr>
          <w:rFonts w:ascii="Arial" w:hAnsi="Arial" w:cs="Arial" w:hint="eastAsia"/>
          <w:b/>
          <w:bCs/>
          <w:i/>
          <w:sz w:val="20"/>
          <w:szCs w:val="20"/>
          <w:lang w:eastAsia="zh-TW"/>
        </w:rPr>
        <w:t xml:space="preserve">legacy TTI for Rel-14 UEs and </w:t>
      </w:r>
      <w:r w:rsidR="00E16E5B" w:rsidRPr="00E16E5B">
        <w:rPr>
          <w:rFonts w:ascii="Arial" w:hAnsi="Arial" w:cs="Arial"/>
          <w:b/>
          <w:bCs/>
          <w:i/>
          <w:sz w:val="20"/>
          <w:szCs w:val="20"/>
          <w:lang w:eastAsia="zh-TW"/>
        </w:rPr>
        <w:t>short TTI</w:t>
      </w:r>
      <w:r w:rsidR="00E16E5B" w:rsidRPr="00E16E5B">
        <w:rPr>
          <w:rFonts w:ascii="Arial" w:hAnsi="Arial" w:cs="Arial" w:hint="eastAsia"/>
          <w:b/>
          <w:bCs/>
          <w:i/>
          <w:sz w:val="20"/>
          <w:szCs w:val="20"/>
          <w:lang w:eastAsia="zh-TW"/>
        </w:rPr>
        <w:t xml:space="preserve"> for Rel-15 UEs</w:t>
      </w:r>
      <w:r w:rsidR="00E16E5B" w:rsidRPr="00E16E5B">
        <w:rPr>
          <w:rFonts w:ascii="Arial" w:hAnsi="Arial" w:cs="Arial"/>
          <w:b/>
          <w:bCs/>
          <w:i/>
          <w:sz w:val="20"/>
          <w:szCs w:val="20"/>
          <w:lang w:eastAsia="zh-TW"/>
        </w:rPr>
        <w:t xml:space="preserve"> </w:t>
      </w:r>
      <w:r w:rsidR="00E16E5B" w:rsidRPr="00E16E5B">
        <w:rPr>
          <w:rFonts w:ascii="Arial" w:hAnsi="Arial" w:cs="Arial" w:hint="eastAsia"/>
          <w:b/>
          <w:bCs/>
          <w:i/>
          <w:sz w:val="20"/>
          <w:szCs w:val="20"/>
          <w:lang w:eastAsia="zh-TW"/>
        </w:rPr>
        <w:t>use different</w:t>
      </w:r>
      <w:r w:rsidR="00E16E5B" w:rsidRPr="00E16E5B">
        <w:rPr>
          <w:rFonts w:ascii="Arial" w:hAnsi="Arial" w:cs="Arial"/>
          <w:b/>
          <w:bCs/>
          <w:i/>
          <w:sz w:val="20"/>
          <w:szCs w:val="20"/>
          <w:lang w:eastAsia="zh-TW"/>
        </w:rPr>
        <w:t xml:space="preserve"> </w:t>
      </w:r>
      <w:r w:rsidR="00E16E5B" w:rsidRPr="00E16E5B">
        <w:rPr>
          <w:rFonts w:ascii="Arial" w:hAnsi="Arial" w:cs="Arial" w:hint="eastAsia"/>
          <w:b/>
          <w:bCs/>
          <w:i/>
          <w:sz w:val="20"/>
          <w:szCs w:val="20"/>
          <w:lang w:eastAsia="zh-TW"/>
        </w:rPr>
        <w:t xml:space="preserve">resource </w:t>
      </w:r>
      <w:r w:rsidR="00E16E5B" w:rsidRPr="00E16E5B">
        <w:rPr>
          <w:rFonts w:ascii="Arial" w:hAnsi="Arial" w:cs="Arial"/>
          <w:b/>
          <w:bCs/>
          <w:i/>
          <w:sz w:val="20"/>
          <w:szCs w:val="20"/>
          <w:lang w:eastAsia="zh-TW"/>
        </w:rPr>
        <w:t>pools</w:t>
      </w:r>
      <w:r>
        <w:rPr>
          <w:rFonts w:ascii="Arial" w:hAnsi="Arial" w:cs="Arial" w:hint="eastAsia"/>
          <w:b/>
          <w:bCs/>
          <w:i/>
          <w:sz w:val="20"/>
          <w:szCs w:val="20"/>
          <w:lang w:eastAsia="zh-TW"/>
        </w:rPr>
        <w:t xml:space="preserve">. </w:t>
      </w:r>
      <w:r w:rsidR="00E554EA">
        <w:rPr>
          <w:rFonts w:ascii="Arial" w:hAnsi="Arial" w:cs="Arial" w:hint="eastAsia"/>
          <w:b/>
          <w:bCs/>
          <w:i/>
          <w:sz w:val="20"/>
          <w:szCs w:val="20"/>
          <w:lang w:eastAsia="zh-TW"/>
        </w:rPr>
        <w:t>The details are FFS.</w:t>
      </w:r>
    </w:p>
    <w:p w:rsidR="00B51CA5" w:rsidRDefault="0038324A" w:rsidP="00B51CA5">
      <w:pPr>
        <w:spacing w:after="120"/>
        <w:jc w:val="center"/>
        <w:rPr>
          <w:rFonts w:ascii="Arial" w:hAnsi="Arial" w:cs="Arial" w:hint="eastAsia"/>
          <w:sz w:val="20"/>
          <w:szCs w:val="20"/>
          <w:lang w:eastAsia="zh-TW"/>
        </w:rPr>
      </w:pPr>
      <w:r w:rsidRPr="00B51CA5">
        <w:rPr>
          <w:rFonts w:hint="eastAsia"/>
          <w:noProof/>
          <w:lang w:eastAsia="zh-TW"/>
        </w:rPr>
        <w:drawing>
          <wp:inline distT="0" distB="0" distL="0" distR="0">
            <wp:extent cx="2057400" cy="12954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1295400"/>
                    </a:xfrm>
                    <a:prstGeom prst="rect">
                      <a:avLst/>
                    </a:prstGeom>
                    <a:noFill/>
                    <a:ln>
                      <a:noFill/>
                    </a:ln>
                  </pic:spPr>
                </pic:pic>
              </a:graphicData>
            </a:graphic>
          </wp:inline>
        </w:drawing>
      </w:r>
    </w:p>
    <w:p w:rsidR="00CD0CA5" w:rsidRDefault="009852ED" w:rsidP="005B2EFE">
      <w:pPr>
        <w:pStyle w:val="a0"/>
        <w:jc w:val="center"/>
        <w:rPr>
          <w:rFonts w:ascii="Arial" w:hAnsi="Arial" w:cs="Arial" w:hint="eastAsia"/>
          <w:sz w:val="20"/>
          <w:szCs w:val="20"/>
          <w:lang w:eastAsia="zh-TW"/>
        </w:rPr>
      </w:pPr>
      <w:r w:rsidRPr="00F70422">
        <w:rPr>
          <w:rFonts w:ascii="Arial" w:hAnsi="Arial" w:cs="Arial"/>
          <w:sz w:val="20"/>
          <w:szCs w:val="20"/>
        </w:rPr>
        <w:t xml:space="preserve">Figure </w:t>
      </w:r>
      <w:r w:rsidR="00A70B54">
        <w:rPr>
          <w:rFonts w:ascii="Arial" w:hAnsi="Arial" w:cs="Arial" w:hint="eastAsia"/>
          <w:sz w:val="20"/>
          <w:szCs w:val="20"/>
          <w:lang w:eastAsia="zh-TW"/>
        </w:rPr>
        <w:t>3</w:t>
      </w:r>
      <w:r>
        <w:rPr>
          <w:rFonts w:ascii="Arial" w:hAnsi="Arial" w:cs="Arial"/>
          <w:sz w:val="20"/>
          <w:szCs w:val="20"/>
        </w:rPr>
        <w:t>:</w:t>
      </w:r>
      <w:r w:rsidRPr="00F70422">
        <w:rPr>
          <w:rFonts w:ascii="Arial" w:hAnsi="Arial" w:cs="Arial"/>
          <w:sz w:val="20"/>
          <w:szCs w:val="20"/>
        </w:rPr>
        <w:t xml:space="preserve"> </w:t>
      </w:r>
      <w:r>
        <w:rPr>
          <w:rFonts w:ascii="Arial" w:hAnsi="Arial" w:cs="Arial" w:hint="eastAsia"/>
          <w:sz w:val="20"/>
          <w:szCs w:val="20"/>
          <w:lang w:eastAsia="zh-TW"/>
        </w:rPr>
        <w:t>Considerations of AGC preamble in short TTI for Rel-15 UEs</w:t>
      </w:r>
    </w:p>
    <w:p w:rsidR="00CD0CA5" w:rsidRDefault="005B2EFE" w:rsidP="00E16E5B">
      <w:pPr>
        <w:spacing w:after="120"/>
        <w:jc w:val="both"/>
        <w:rPr>
          <w:rFonts w:ascii="Arial" w:hAnsi="Arial" w:cs="Arial" w:hint="eastAsia"/>
          <w:sz w:val="20"/>
          <w:szCs w:val="20"/>
          <w:lang w:eastAsia="zh-TW"/>
        </w:rPr>
      </w:pPr>
      <w:r>
        <w:rPr>
          <w:rFonts w:ascii="Arial" w:hAnsi="Arial" w:cs="Arial" w:hint="eastAsia"/>
          <w:sz w:val="20"/>
          <w:szCs w:val="20"/>
          <w:lang w:eastAsia="zh-TW"/>
        </w:rPr>
        <w:t>When the l</w:t>
      </w:r>
      <w:r w:rsidRPr="000C6707">
        <w:rPr>
          <w:rFonts w:ascii="Arial" w:hAnsi="Arial" w:cs="Arial" w:hint="eastAsia"/>
          <w:sz w:val="20"/>
          <w:szCs w:val="20"/>
          <w:lang w:eastAsia="zh-TW"/>
        </w:rPr>
        <w:t xml:space="preserve">egacy TTI for Rel-14 UEs and </w:t>
      </w:r>
      <w:r w:rsidRPr="000C6707">
        <w:rPr>
          <w:rFonts w:ascii="Arial" w:hAnsi="Arial" w:cs="Arial"/>
          <w:sz w:val="20"/>
          <w:szCs w:val="20"/>
          <w:lang w:eastAsia="zh-TW"/>
        </w:rPr>
        <w:t>short TTI</w:t>
      </w:r>
      <w:r w:rsidRPr="000C6707">
        <w:rPr>
          <w:rFonts w:ascii="Arial" w:hAnsi="Arial" w:cs="Arial" w:hint="eastAsia"/>
          <w:sz w:val="20"/>
          <w:szCs w:val="20"/>
          <w:lang w:eastAsia="zh-TW"/>
        </w:rPr>
        <w:t xml:space="preserve"> for Rel-15 UEs</w:t>
      </w:r>
      <w:r w:rsidRPr="000C6707">
        <w:rPr>
          <w:rFonts w:ascii="Arial" w:hAnsi="Arial" w:cs="Arial"/>
          <w:sz w:val="20"/>
          <w:szCs w:val="20"/>
          <w:lang w:eastAsia="zh-TW"/>
        </w:rPr>
        <w:t xml:space="preserve"> </w:t>
      </w:r>
      <w:r>
        <w:rPr>
          <w:rFonts w:ascii="Arial" w:hAnsi="Arial" w:cs="Arial" w:hint="eastAsia"/>
          <w:sz w:val="20"/>
          <w:szCs w:val="20"/>
          <w:lang w:eastAsia="zh-TW"/>
        </w:rPr>
        <w:t>share the same</w:t>
      </w:r>
      <w:r w:rsidRPr="000C6707">
        <w:rPr>
          <w:rFonts w:ascii="Arial" w:hAnsi="Arial" w:cs="Arial"/>
          <w:sz w:val="20"/>
          <w:szCs w:val="20"/>
          <w:lang w:eastAsia="zh-TW"/>
        </w:rPr>
        <w:t xml:space="preserve"> </w:t>
      </w:r>
      <w:r w:rsidRPr="000C6707">
        <w:rPr>
          <w:rFonts w:ascii="Arial" w:hAnsi="Arial" w:cs="Arial" w:hint="eastAsia"/>
          <w:sz w:val="20"/>
          <w:szCs w:val="20"/>
          <w:lang w:eastAsia="zh-TW"/>
        </w:rPr>
        <w:t xml:space="preserve">resource </w:t>
      </w:r>
      <w:r w:rsidRPr="000C6707">
        <w:rPr>
          <w:rFonts w:ascii="Arial" w:hAnsi="Arial" w:cs="Arial"/>
          <w:sz w:val="20"/>
          <w:szCs w:val="20"/>
          <w:lang w:eastAsia="zh-TW"/>
        </w:rPr>
        <w:t>pools</w:t>
      </w:r>
      <w:r>
        <w:rPr>
          <w:rFonts w:ascii="Arial" w:hAnsi="Arial" w:cs="Arial" w:hint="eastAsia"/>
          <w:sz w:val="20"/>
          <w:szCs w:val="20"/>
          <w:lang w:eastAsia="zh-TW"/>
        </w:rPr>
        <w:t>, the AGC issue is more complicated.</w:t>
      </w:r>
      <w:r w:rsidR="00EC3968">
        <w:rPr>
          <w:rFonts w:ascii="Arial" w:hAnsi="Arial" w:cs="Arial" w:hint="eastAsia"/>
          <w:sz w:val="20"/>
          <w:szCs w:val="20"/>
          <w:lang w:eastAsia="zh-TW"/>
        </w:rPr>
        <w:t xml:space="preserve"> Besides AGC preamble, some mechanisms for Rel-14 UEs and Rel-15 UEs need to be studied to</w:t>
      </w:r>
      <w:r w:rsidR="00EC3968" w:rsidRPr="00EC3968">
        <w:rPr>
          <w:rFonts w:ascii="Arial" w:hAnsi="Arial" w:cs="Arial" w:hint="eastAsia"/>
          <w:sz w:val="20"/>
          <w:szCs w:val="20"/>
          <w:lang w:eastAsia="zh-TW"/>
        </w:rPr>
        <w:t xml:space="preserve"> speed up AGC convergence and reduce overhead.</w:t>
      </w:r>
      <w:r w:rsidR="00EC3968">
        <w:rPr>
          <w:rFonts w:ascii="Arial" w:hAnsi="Arial" w:cs="Arial" w:hint="eastAsia"/>
          <w:sz w:val="20"/>
          <w:szCs w:val="20"/>
          <w:lang w:eastAsia="zh-TW"/>
        </w:rPr>
        <w:t xml:space="preserve"> </w:t>
      </w:r>
    </w:p>
    <w:p w:rsidR="00E16E5B" w:rsidRDefault="00066D31" w:rsidP="00E16E5B">
      <w:pPr>
        <w:pStyle w:val="a0"/>
        <w:jc w:val="both"/>
        <w:rPr>
          <w:rFonts w:ascii="Arial" w:hAnsi="Arial" w:cs="Arial" w:hint="eastAsia"/>
          <w:b/>
          <w:bCs/>
          <w:i/>
          <w:sz w:val="20"/>
          <w:szCs w:val="20"/>
          <w:lang w:eastAsia="zh-TW"/>
        </w:rPr>
      </w:pPr>
      <w:r>
        <w:rPr>
          <w:rFonts w:ascii="Arial" w:hAnsi="Arial" w:cs="Arial"/>
          <w:b/>
          <w:bCs/>
          <w:i/>
          <w:sz w:val="20"/>
          <w:szCs w:val="20"/>
          <w:lang w:eastAsia="zh-TW"/>
        </w:rPr>
        <w:t xml:space="preserve">Proposal </w:t>
      </w:r>
      <w:r w:rsidR="0050235A">
        <w:rPr>
          <w:rFonts w:ascii="Arial" w:hAnsi="Arial" w:cs="Arial" w:hint="eastAsia"/>
          <w:b/>
          <w:bCs/>
          <w:i/>
          <w:sz w:val="20"/>
          <w:szCs w:val="20"/>
          <w:lang w:eastAsia="zh-TW"/>
        </w:rPr>
        <w:t>2</w:t>
      </w:r>
      <w:r w:rsidR="00E16E5B" w:rsidRPr="00146A92">
        <w:rPr>
          <w:rFonts w:ascii="Arial" w:hAnsi="Arial" w:cs="Arial"/>
          <w:b/>
          <w:bCs/>
          <w:i/>
          <w:sz w:val="20"/>
          <w:szCs w:val="20"/>
          <w:lang w:eastAsia="zh-TW"/>
        </w:rPr>
        <w:t xml:space="preserve">: </w:t>
      </w:r>
      <w:r>
        <w:rPr>
          <w:rFonts w:ascii="Arial" w:hAnsi="Arial" w:cs="Arial" w:hint="eastAsia"/>
          <w:b/>
          <w:bCs/>
          <w:i/>
          <w:sz w:val="20"/>
          <w:szCs w:val="20"/>
          <w:lang w:eastAsia="zh-TW"/>
        </w:rPr>
        <w:t xml:space="preserve">When </w:t>
      </w:r>
      <w:r w:rsidR="00E16E5B" w:rsidRPr="00E16E5B">
        <w:rPr>
          <w:rFonts w:ascii="Arial" w:hAnsi="Arial" w:cs="Arial" w:hint="eastAsia"/>
          <w:b/>
          <w:bCs/>
          <w:i/>
          <w:sz w:val="20"/>
          <w:szCs w:val="20"/>
          <w:lang w:eastAsia="zh-TW"/>
        </w:rPr>
        <w:t xml:space="preserve">legacy TTI for Rel-14 UEs and </w:t>
      </w:r>
      <w:r w:rsidR="00E16E5B" w:rsidRPr="00E16E5B">
        <w:rPr>
          <w:rFonts w:ascii="Arial" w:hAnsi="Arial" w:cs="Arial"/>
          <w:b/>
          <w:bCs/>
          <w:i/>
          <w:sz w:val="20"/>
          <w:szCs w:val="20"/>
          <w:lang w:eastAsia="zh-TW"/>
        </w:rPr>
        <w:t>short TTI</w:t>
      </w:r>
      <w:r w:rsidR="00E16E5B" w:rsidRPr="00E16E5B">
        <w:rPr>
          <w:rFonts w:ascii="Arial" w:hAnsi="Arial" w:cs="Arial" w:hint="eastAsia"/>
          <w:b/>
          <w:bCs/>
          <w:i/>
          <w:sz w:val="20"/>
          <w:szCs w:val="20"/>
          <w:lang w:eastAsia="zh-TW"/>
        </w:rPr>
        <w:t xml:space="preserve"> for Rel-15 UEs</w:t>
      </w:r>
      <w:r w:rsidR="00E16E5B" w:rsidRPr="00E16E5B">
        <w:rPr>
          <w:rFonts w:ascii="Arial" w:hAnsi="Arial" w:cs="Arial"/>
          <w:b/>
          <w:bCs/>
          <w:i/>
          <w:sz w:val="20"/>
          <w:szCs w:val="20"/>
          <w:lang w:eastAsia="zh-TW"/>
        </w:rPr>
        <w:t xml:space="preserve"> </w:t>
      </w:r>
      <w:r w:rsidR="00E16E5B" w:rsidRPr="00E16E5B">
        <w:rPr>
          <w:rFonts w:ascii="Arial" w:hAnsi="Arial" w:cs="Arial" w:hint="eastAsia"/>
          <w:b/>
          <w:bCs/>
          <w:i/>
          <w:sz w:val="20"/>
          <w:szCs w:val="20"/>
          <w:lang w:eastAsia="zh-TW"/>
        </w:rPr>
        <w:t xml:space="preserve">use </w:t>
      </w:r>
      <w:r w:rsidR="004A0BEE">
        <w:rPr>
          <w:rFonts w:ascii="Arial" w:hAnsi="Arial" w:cs="Arial" w:hint="eastAsia"/>
          <w:b/>
          <w:bCs/>
          <w:i/>
          <w:sz w:val="20"/>
          <w:szCs w:val="20"/>
          <w:lang w:eastAsia="zh-TW"/>
        </w:rPr>
        <w:t xml:space="preserve">the same </w:t>
      </w:r>
      <w:r w:rsidR="00E16E5B" w:rsidRPr="00E16E5B">
        <w:rPr>
          <w:rFonts w:ascii="Arial" w:hAnsi="Arial" w:cs="Arial" w:hint="eastAsia"/>
          <w:b/>
          <w:bCs/>
          <w:i/>
          <w:sz w:val="20"/>
          <w:szCs w:val="20"/>
          <w:lang w:eastAsia="zh-TW"/>
        </w:rPr>
        <w:t xml:space="preserve">resource </w:t>
      </w:r>
      <w:r w:rsidR="00E16E5B" w:rsidRPr="00E16E5B">
        <w:rPr>
          <w:rFonts w:ascii="Arial" w:hAnsi="Arial" w:cs="Arial"/>
          <w:b/>
          <w:bCs/>
          <w:i/>
          <w:sz w:val="20"/>
          <w:szCs w:val="20"/>
          <w:lang w:eastAsia="zh-TW"/>
        </w:rPr>
        <w:t>pools</w:t>
      </w:r>
      <w:r>
        <w:rPr>
          <w:rFonts w:ascii="Arial" w:hAnsi="Arial" w:cs="Arial" w:hint="eastAsia"/>
          <w:b/>
          <w:bCs/>
          <w:i/>
          <w:sz w:val="20"/>
          <w:szCs w:val="20"/>
          <w:lang w:eastAsia="zh-TW"/>
        </w:rPr>
        <w:t>, besides AGC preamble,</w:t>
      </w:r>
      <w:r w:rsidRPr="00066D31">
        <w:rPr>
          <w:rFonts w:ascii="Arial" w:hAnsi="Arial" w:cs="Arial" w:hint="eastAsia"/>
          <w:b/>
          <w:bCs/>
          <w:i/>
          <w:sz w:val="20"/>
          <w:szCs w:val="20"/>
          <w:lang w:eastAsia="zh-TW"/>
        </w:rPr>
        <w:t xml:space="preserve"> some mechanisms </w:t>
      </w:r>
      <w:r w:rsidR="00FA470A">
        <w:rPr>
          <w:rFonts w:ascii="Arial" w:hAnsi="Arial" w:cs="Arial" w:hint="eastAsia"/>
          <w:b/>
          <w:bCs/>
          <w:i/>
          <w:sz w:val="20"/>
          <w:szCs w:val="20"/>
          <w:lang w:eastAsia="zh-TW"/>
        </w:rPr>
        <w:t>should be</w:t>
      </w:r>
      <w:r>
        <w:rPr>
          <w:rFonts w:ascii="Arial" w:hAnsi="Arial" w:cs="Arial" w:hint="eastAsia"/>
          <w:b/>
          <w:bCs/>
          <w:i/>
          <w:sz w:val="20"/>
          <w:szCs w:val="20"/>
          <w:lang w:eastAsia="zh-TW"/>
        </w:rPr>
        <w:t xml:space="preserve"> </w:t>
      </w:r>
      <w:r w:rsidR="00D84FF0">
        <w:rPr>
          <w:rFonts w:ascii="Arial" w:hAnsi="Arial" w:cs="Arial" w:hint="eastAsia"/>
          <w:b/>
          <w:bCs/>
          <w:i/>
          <w:sz w:val="20"/>
          <w:szCs w:val="20"/>
          <w:lang w:eastAsia="zh-TW"/>
        </w:rPr>
        <w:t>considered</w:t>
      </w:r>
      <w:r w:rsidRPr="00066D31">
        <w:rPr>
          <w:rFonts w:ascii="Arial" w:hAnsi="Arial" w:cs="Arial" w:hint="eastAsia"/>
          <w:b/>
          <w:bCs/>
          <w:i/>
          <w:sz w:val="20"/>
          <w:szCs w:val="20"/>
          <w:lang w:eastAsia="zh-TW"/>
        </w:rPr>
        <w:t xml:space="preserve"> to speed up AGC convergence and reduce overhead.</w:t>
      </w:r>
      <w:r w:rsidR="00E16E5B">
        <w:rPr>
          <w:rFonts w:ascii="Arial" w:hAnsi="Arial" w:cs="Arial" w:hint="eastAsia"/>
          <w:b/>
          <w:bCs/>
          <w:i/>
          <w:sz w:val="20"/>
          <w:szCs w:val="20"/>
          <w:lang w:eastAsia="zh-TW"/>
        </w:rPr>
        <w:t xml:space="preserve"> </w:t>
      </w:r>
      <w:r w:rsidR="00FA470A">
        <w:rPr>
          <w:rFonts w:ascii="Arial" w:hAnsi="Arial" w:cs="Arial" w:hint="eastAsia"/>
          <w:b/>
          <w:bCs/>
          <w:i/>
          <w:sz w:val="20"/>
          <w:szCs w:val="20"/>
          <w:lang w:eastAsia="zh-TW"/>
        </w:rPr>
        <w:t xml:space="preserve">The </w:t>
      </w:r>
      <w:r w:rsidR="00E554EA">
        <w:rPr>
          <w:rFonts w:ascii="Arial" w:hAnsi="Arial" w:cs="Arial" w:hint="eastAsia"/>
          <w:b/>
          <w:bCs/>
          <w:i/>
          <w:sz w:val="20"/>
          <w:szCs w:val="20"/>
          <w:lang w:eastAsia="zh-TW"/>
        </w:rPr>
        <w:t>details</w:t>
      </w:r>
      <w:r w:rsidR="00FA470A">
        <w:rPr>
          <w:rFonts w:ascii="Arial" w:hAnsi="Arial" w:cs="Arial" w:hint="eastAsia"/>
          <w:b/>
          <w:bCs/>
          <w:i/>
          <w:sz w:val="20"/>
          <w:szCs w:val="20"/>
          <w:lang w:eastAsia="zh-TW"/>
        </w:rPr>
        <w:t xml:space="preserve"> are FFS.</w:t>
      </w:r>
    </w:p>
    <w:p w:rsidR="00A9579D" w:rsidRPr="00A9579D" w:rsidRDefault="00A9579D" w:rsidP="00A9579D">
      <w:pPr>
        <w:pStyle w:val="2"/>
        <w:rPr>
          <w:rFonts w:ascii="Arial" w:eastAsia="新細明體" w:hAnsi="Arial" w:hint="eastAsia"/>
          <w:sz w:val="24"/>
          <w:szCs w:val="24"/>
          <w:lang w:eastAsia="zh-TW"/>
        </w:rPr>
      </w:pPr>
      <w:r w:rsidRPr="00A9579D">
        <w:rPr>
          <w:rFonts w:ascii="Arial" w:eastAsia="新細明體" w:hAnsi="Arial" w:hint="eastAsia"/>
          <w:sz w:val="24"/>
          <w:szCs w:val="24"/>
          <w:lang w:eastAsia="zh-TW"/>
        </w:rPr>
        <w:t>Benefits for short TTI</w:t>
      </w:r>
    </w:p>
    <w:p w:rsidR="00D23250" w:rsidRDefault="0082105A" w:rsidP="00A9579D">
      <w:pPr>
        <w:spacing w:after="120"/>
        <w:jc w:val="both"/>
        <w:rPr>
          <w:rFonts w:ascii="Arial" w:hAnsi="Arial" w:cs="Arial" w:hint="eastAsia"/>
          <w:sz w:val="20"/>
          <w:szCs w:val="20"/>
          <w:lang w:eastAsia="zh-TW"/>
        </w:rPr>
      </w:pPr>
      <w:r>
        <w:rPr>
          <w:rFonts w:ascii="Arial" w:hAnsi="Arial" w:cs="Arial" w:hint="eastAsia"/>
          <w:sz w:val="20"/>
          <w:szCs w:val="20"/>
          <w:lang w:eastAsia="zh-TW"/>
        </w:rPr>
        <w:t xml:space="preserve">The main challenge of the short TTI is that the high overhead caused by AGC convergence will increase code rate and hence significantly degrade the system performance. Moreover, the part that channel estimation of PSSCH by extrapolating with DMRS symbol in short TTI will increase in the receiver, and hence the system performance will be degraded due to interference caused by time-selectivity channel. For these issues, firstly, overhead caused by AGC convergence in short TTI can be effectively reduced with the considerations of our proposed fast AGC preamble, </w:t>
      </w:r>
      <w:r>
        <w:rPr>
          <w:rFonts w:ascii="Arial" w:hAnsi="Arial" w:cs="Arial"/>
          <w:sz w:val="20"/>
          <w:szCs w:val="20"/>
          <w:lang w:eastAsia="zh-TW"/>
        </w:rPr>
        <w:t>and</w:t>
      </w:r>
      <w:r>
        <w:rPr>
          <w:rFonts w:ascii="Arial" w:hAnsi="Arial" w:cs="Arial" w:hint="eastAsia"/>
          <w:sz w:val="20"/>
          <w:szCs w:val="20"/>
          <w:lang w:eastAsia="zh-TW"/>
        </w:rPr>
        <w:t xml:space="preserve"> hence code rate and system performance will not be significantly influenced in short TTI. </w:t>
      </w:r>
      <w:r>
        <w:rPr>
          <w:rFonts w:ascii="Arial" w:hAnsi="Arial" w:cs="Arial"/>
          <w:sz w:val="20"/>
          <w:szCs w:val="20"/>
          <w:lang w:eastAsia="zh-TW"/>
        </w:rPr>
        <w:t>M</w:t>
      </w:r>
      <w:r>
        <w:rPr>
          <w:rFonts w:ascii="Arial" w:hAnsi="Arial" w:cs="Arial" w:hint="eastAsia"/>
          <w:sz w:val="20"/>
          <w:szCs w:val="20"/>
          <w:lang w:eastAsia="zh-TW"/>
        </w:rPr>
        <w:t xml:space="preserve">oreover, interference due to time-selectivity channel in short TTI can be effectively alleviated by using advanced channel </w:t>
      </w:r>
      <w:r>
        <w:rPr>
          <w:rFonts w:ascii="Arial" w:hAnsi="Arial" w:cs="Arial"/>
          <w:sz w:val="20"/>
          <w:szCs w:val="20"/>
          <w:lang w:eastAsia="zh-TW"/>
        </w:rPr>
        <w:t>estimation</w:t>
      </w:r>
      <w:r>
        <w:rPr>
          <w:rFonts w:ascii="Arial" w:hAnsi="Arial" w:cs="Arial" w:hint="eastAsia"/>
          <w:sz w:val="20"/>
          <w:szCs w:val="20"/>
          <w:lang w:eastAsia="zh-TW"/>
        </w:rPr>
        <w:t xml:space="preserve"> in the receiver. Therefore, </w:t>
      </w:r>
      <w:r w:rsidR="00D23250" w:rsidRPr="00D23250">
        <w:rPr>
          <w:rFonts w:ascii="Arial" w:hAnsi="Arial" w:cs="Arial" w:hint="eastAsia"/>
          <w:sz w:val="20"/>
          <w:szCs w:val="20"/>
          <w:lang w:eastAsia="zh-TW"/>
        </w:rPr>
        <w:t>issues of overhead, AGC convergence, and channel estimation caused by short TTI can be effectively mitigated.</w:t>
      </w:r>
    </w:p>
    <w:p w:rsidR="00A9579D" w:rsidRDefault="00D23250" w:rsidP="00A9579D">
      <w:pPr>
        <w:spacing w:after="120"/>
        <w:jc w:val="both"/>
        <w:rPr>
          <w:rFonts w:ascii="Arial" w:hAnsi="Arial" w:cs="Arial" w:hint="eastAsia"/>
          <w:sz w:val="20"/>
          <w:szCs w:val="20"/>
          <w:lang w:eastAsia="zh-TW"/>
        </w:rPr>
      </w:pPr>
      <w:r>
        <w:rPr>
          <w:rFonts w:ascii="Arial" w:hAnsi="Arial" w:cs="Arial" w:hint="eastAsia"/>
          <w:sz w:val="20"/>
          <w:szCs w:val="20"/>
          <w:lang w:eastAsia="zh-TW"/>
        </w:rPr>
        <w:t>Because short TTI with small duration for each subfrme,</w:t>
      </w:r>
      <w:r w:rsidR="0082105A">
        <w:rPr>
          <w:rFonts w:ascii="Arial" w:hAnsi="Arial" w:cs="Arial" w:hint="eastAsia"/>
          <w:sz w:val="20"/>
          <w:szCs w:val="20"/>
          <w:lang w:eastAsia="zh-TW"/>
        </w:rPr>
        <w:t xml:space="preserve"> </w:t>
      </w:r>
      <w:r>
        <w:rPr>
          <w:rFonts w:ascii="Arial" w:hAnsi="Arial" w:cs="Arial" w:hint="eastAsia"/>
          <w:sz w:val="20"/>
          <w:szCs w:val="20"/>
          <w:lang w:eastAsia="zh-TW"/>
        </w:rPr>
        <w:t xml:space="preserve">it </w:t>
      </w:r>
      <w:r w:rsidR="0082105A">
        <w:rPr>
          <w:rFonts w:ascii="Arial" w:hAnsi="Arial" w:cs="Arial" w:hint="eastAsia"/>
          <w:sz w:val="20"/>
          <w:szCs w:val="20"/>
          <w:lang w:eastAsia="zh-TW"/>
        </w:rPr>
        <w:t xml:space="preserve">can be used to support </w:t>
      </w:r>
      <w:r w:rsidR="0082105A" w:rsidRPr="00650D08">
        <w:rPr>
          <w:rFonts w:ascii="Arial" w:hAnsi="Arial" w:cs="Arial"/>
          <w:sz w:val="20"/>
          <w:szCs w:val="20"/>
          <w:lang w:eastAsia="zh-TW"/>
        </w:rPr>
        <w:t>advanced V2X services</w:t>
      </w:r>
      <w:r w:rsidR="0082105A">
        <w:rPr>
          <w:rFonts w:ascii="Arial" w:hAnsi="Arial" w:cs="Arial" w:hint="eastAsia"/>
          <w:sz w:val="20"/>
          <w:szCs w:val="20"/>
          <w:lang w:eastAsia="zh-TW"/>
        </w:rPr>
        <w:t>, and then resource allocation controlled by eNB can be more flexible.</w:t>
      </w:r>
      <w:r>
        <w:rPr>
          <w:rFonts w:ascii="Arial" w:hAnsi="Arial" w:cs="Arial" w:hint="eastAsia"/>
          <w:sz w:val="20"/>
          <w:szCs w:val="20"/>
          <w:lang w:eastAsia="zh-TW"/>
        </w:rPr>
        <w:t xml:space="preserve"> </w:t>
      </w:r>
      <w:r w:rsidR="0082105A">
        <w:rPr>
          <w:rFonts w:ascii="Arial" w:hAnsi="Arial" w:cs="Arial" w:hint="eastAsia"/>
          <w:sz w:val="20"/>
          <w:szCs w:val="20"/>
          <w:lang w:eastAsia="zh-TW"/>
        </w:rPr>
        <w:t>Besides, t</w:t>
      </w:r>
      <w:r w:rsidR="00A9579D">
        <w:rPr>
          <w:rFonts w:ascii="Arial" w:hAnsi="Arial" w:cs="Arial" w:hint="eastAsia"/>
          <w:sz w:val="20"/>
          <w:szCs w:val="20"/>
          <w:lang w:eastAsia="zh-TW"/>
        </w:rPr>
        <w:t xml:space="preserve">he possible benefits for short TTI are that the half duplex </w:t>
      </w:r>
      <w:r w:rsidR="00A9579D">
        <w:rPr>
          <w:rFonts w:ascii="Arial" w:hAnsi="Arial" w:cs="Arial"/>
          <w:sz w:val="20"/>
          <w:szCs w:val="20"/>
          <w:lang w:eastAsia="zh-TW"/>
        </w:rPr>
        <w:t>constraint</w:t>
      </w:r>
      <w:r w:rsidR="00A9579D">
        <w:rPr>
          <w:rFonts w:ascii="Arial" w:hAnsi="Arial" w:cs="Arial" w:hint="eastAsia"/>
          <w:sz w:val="20"/>
          <w:szCs w:val="20"/>
          <w:lang w:eastAsia="zh-TW"/>
        </w:rPr>
        <w:t xml:space="preserve"> and the in-band emission issue can be reduced.</w:t>
      </w:r>
      <w:r>
        <w:rPr>
          <w:rFonts w:ascii="Arial" w:hAnsi="Arial" w:cs="Arial" w:hint="eastAsia"/>
          <w:sz w:val="20"/>
          <w:szCs w:val="20"/>
          <w:lang w:eastAsia="zh-TW"/>
        </w:rPr>
        <w:t xml:space="preserve"> </w:t>
      </w:r>
    </w:p>
    <w:p w:rsidR="00A9579D" w:rsidRPr="00A9579D" w:rsidRDefault="00B57FA0" w:rsidP="00E16E5B">
      <w:pPr>
        <w:pStyle w:val="a0"/>
        <w:jc w:val="both"/>
        <w:rPr>
          <w:rFonts w:ascii="Arial" w:hAnsi="Arial" w:cs="Arial" w:hint="eastAsia"/>
          <w:b/>
          <w:bCs/>
          <w:i/>
          <w:sz w:val="20"/>
          <w:szCs w:val="20"/>
          <w:lang w:eastAsia="zh-TW"/>
        </w:rPr>
      </w:pPr>
      <w:r>
        <w:rPr>
          <w:rFonts w:ascii="Arial" w:hAnsi="Arial" w:cs="Arial"/>
          <w:b/>
          <w:bCs/>
          <w:i/>
          <w:sz w:val="20"/>
          <w:szCs w:val="20"/>
          <w:lang w:eastAsia="zh-TW"/>
        </w:rPr>
        <w:t xml:space="preserve">Proposal </w:t>
      </w:r>
      <w:r>
        <w:rPr>
          <w:rFonts w:ascii="Arial" w:hAnsi="Arial" w:cs="Arial" w:hint="eastAsia"/>
          <w:b/>
          <w:bCs/>
          <w:i/>
          <w:sz w:val="20"/>
          <w:szCs w:val="20"/>
          <w:lang w:eastAsia="zh-TW"/>
        </w:rPr>
        <w:t>3</w:t>
      </w:r>
      <w:r w:rsidRPr="00146A92">
        <w:rPr>
          <w:rFonts w:ascii="Arial" w:hAnsi="Arial" w:cs="Arial"/>
          <w:b/>
          <w:bCs/>
          <w:i/>
          <w:sz w:val="20"/>
          <w:szCs w:val="20"/>
          <w:lang w:eastAsia="zh-TW"/>
        </w:rPr>
        <w:t xml:space="preserve">: </w:t>
      </w:r>
      <w:r w:rsidR="009F1D28">
        <w:rPr>
          <w:rFonts w:ascii="Arial" w:hAnsi="Arial" w:cs="Arial" w:hint="eastAsia"/>
          <w:b/>
          <w:bCs/>
          <w:i/>
          <w:sz w:val="20"/>
          <w:szCs w:val="20"/>
          <w:lang w:eastAsia="zh-TW"/>
        </w:rPr>
        <w:t xml:space="preserve">Short TTI can be </w:t>
      </w:r>
      <w:r w:rsidR="0082105A">
        <w:rPr>
          <w:rFonts w:ascii="Arial" w:hAnsi="Arial" w:cs="Arial" w:hint="eastAsia"/>
          <w:b/>
          <w:bCs/>
          <w:i/>
          <w:sz w:val="20"/>
          <w:szCs w:val="20"/>
          <w:lang w:eastAsia="zh-TW"/>
        </w:rPr>
        <w:t>supported</w:t>
      </w:r>
      <w:r w:rsidR="009F1D28">
        <w:rPr>
          <w:rFonts w:ascii="Arial" w:hAnsi="Arial" w:cs="Arial" w:hint="eastAsia"/>
          <w:b/>
          <w:bCs/>
          <w:i/>
          <w:sz w:val="20"/>
          <w:szCs w:val="20"/>
          <w:lang w:eastAsia="zh-TW"/>
        </w:rPr>
        <w:t xml:space="preserve"> to make r</w:t>
      </w:r>
      <w:r w:rsidR="009F1D28" w:rsidRPr="009F1D28">
        <w:rPr>
          <w:rFonts w:ascii="Arial" w:hAnsi="Arial" w:cs="Arial" w:hint="eastAsia"/>
          <w:b/>
          <w:bCs/>
          <w:i/>
          <w:sz w:val="20"/>
          <w:szCs w:val="20"/>
          <w:lang w:eastAsia="zh-TW"/>
        </w:rPr>
        <w:t>esource allocatio</w:t>
      </w:r>
      <w:r w:rsidR="009F1D28">
        <w:rPr>
          <w:rFonts w:ascii="Arial" w:hAnsi="Arial" w:cs="Arial" w:hint="eastAsia"/>
          <w:b/>
          <w:bCs/>
          <w:i/>
          <w:sz w:val="20"/>
          <w:szCs w:val="20"/>
          <w:lang w:eastAsia="zh-TW"/>
        </w:rPr>
        <w:t xml:space="preserve">n controlled by eNB more </w:t>
      </w:r>
      <w:r w:rsidR="009F1D28" w:rsidRPr="009F1D28">
        <w:rPr>
          <w:rFonts w:ascii="Arial" w:hAnsi="Arial" w:cs="Arial" w:hint="eastAsia"/>
          <w:b/>
          <w:bCs/>
          <w:i/>
          <w:sz w:val="20"/>
          <w:szCs w:val="20"/>
          <w:lang w:eastAsia="zh-TW"/>
        </w:rPr>
        <w:t>flexible</w:t>
      </w:r>
      <w:r w:rsidR="009F1D28">
        <w:rPr>
          <w:rFonts w:ascii="Arial" w:hAnsi="Arial" w:cs="Arial" w:hint="eastAsia"/>
          <w:b/>
          <w:bCs/>
          <w:i/>
          <w:sz w:val="20"/>
          <w:szCs w:val="20"/>
          <w:lang w:eastAsia="zh-TW"/>
        </w:rPr>
        <w:t xml:space="preserve"> </w:t>
      </w:r>
      <w:r w:rsidR="00F9313A">
        <w:rPr>
          <w:rFonts w:ascii="Arial" w:hAnsi="Arial" w:cs="Arial" w:hint="eastAsia"/>
          <w:b/>
          <w:bCs/>
          <w:i/>
          <w:sz w:val="20"/>
          <w:szCs w:val="20"/>
          <w:lang w:eastAsia="zh-TW"/>
        </w:rPr>
        <w:t>since i</w:t>
      </w:r>
      <w:r w:rsidR="009F1D28">
        <w:rPr>
          <w:rFonts w:ascii="Arial" w:hAnsi="Arial" w:cs="Arial" w:hint="eastAsia"/>
          <w:b/>
          <w:bCs/>
          <w:i/>
          <w:sz w:val="20"/>
          <w:szCs w:val="20"/>
          <w:lang w:eastAsia="zh-TW"/>
        </w:rPr>
        <w:t>ssues of overhead, AGC convergence, and channel estimation caused by short TTI can be ef</w:t>
      </w:r>
      <w:r w:rsidR="00F9313A">
        <w:rPr>
          <w:rFonts w:ascii="Arial" w:hAnsi="Arial" w:cs="Arial" w:hint="eastAsia"/>
          <w:b/>
          <w:bCs/>
          <w:i/>
          <w:sz w:val="20"/>
          <w:szCs w:val="20"/>
          <w:lang w:eastAsia="zh-TW"/>
        </w:rPr>
        <w:t>fectively mitigated</w:t>
      </w:r>
      <w:r w:rsidR="009F1D28">
        <w:rPr>
          <w:rFonts w:ascii="Arial" w:hAnsi="Arial" w:cs="Arial" w:hint="eastAsia"/>
          <w:b/>
          <w:bCs/>
          <w:i/>
          <w:sz w:val="20"/>
          <w:szCs w:val="20"/>
          <w:lang w:eastAsia="zh-TW"/>
        </w:rPr>
        <w:t>.</w:t>
      </w:r>
      <w:r w:rsidR="0082105A">
        <w:rPr>
          <w:rFonts w:ascii="Arial" w:hAnsi="Arial" w:cs="Arial" w:hint="eastAsia"/>
          <w:b/>
          <w:bCs/>
          <w:i/>
          <w:sz w:val="20"/>
          <w:szCs w:val="20"/>
          <w:lang w:eastAsia="zh-TW"/>
        </w:rPr>
        <w:t xml:space="preserve"> Besides, </w:t>
      </w:r>
      <w:r w:rsidR="0082105A" w:rsidRPr="0082105A">
        <w:rPr>
          <w:rFonts w:ascii="Arial" w:hAnsi="Arial" w:cs="Arial" w:hint="eastAsia"/>
          <w:b/>
          <w:bCs/>
          <w:i/>
          <w:sz w:val="20"/>
          <w:szCs w:val="20"/>
          <w:lang w:eastAsia="zh-TW"/>
        </w:rPr>
        <w:t xml:space="preserve">half duplex </w:t>
      </w:r>
      <w:r w:rsidR="0082105A" w:rsidRPr="0082105A">
        <w:rPr>
          <w:rFonts w:ascii="Arial" w:hAnsi="Arial" w:cs="Arial"/>
          <w:b/>
          <w:bCs/>
          <w:i/>
          <w:sz w:val="20"/>
          <w:szCs w:val="20"/>
          <w:lang w:eastAsia="zh-TW"/>
        </w:rPr>
        <w:t>constraint</w:t>
      </w:r>
      <w:r w:rsidR="0082105A" w:rsidRPr="0082105A">
        <w:rPr>
          <w:rFonts w:ascii="Arial" w:hAnsi="Arial" w:cs="Arial" w:hint="eastAsia"/>
          <w:b/>
          <w:bCs/>
          <w:i/>
          <w:sz w:val="20"/>
          <w:szCs w:val="20"/>
          <w:lang w:eastAsia="zh-TW"/>
        </w:rPr>
        <w:t xml:space="preserve"> and the in-band emission issue can be reduced for short TTI</w:t>
      </w:r>
      <w:r w:rsidR="006A2A13">
        <w:rPr>
          <w:rFonts w:ascii="Arial" w:hAnsi="Arial" w:cs="Arial" w:hint="eastAsia"/>
          <w:b/>
          <w:bCs/>
          <w:i/>
          <w:sz w:val="20"/>
          <w:szCs w:val="20"/>
          <w:lang w:eastAsia="zh-TW"/>
        </w:rPr>
        <w:t>.</w:t>
      </w:r>
    </w:p>
    <w:p w:rsidR="00805351" w:rsidRPr="00741A06" w:rsidRDefault="00805351" w:rsidP="00805351">
      <w:pPr>
        <w:pStyle w:val="1"/>
        <w:rPr>
          <w:rFonts w:ascii="Arial" w:hAnsi="Arial"/>
          <w:szCs w:val="28"/>
          <w:lang w:eastAsia="ja-JP"/>
        </w:rPr>
      </w:pPr>
      <w:r w:rsidRPr="00741A06">
        <w:rPr>
          <w:rFonts w:ascii="Arial" w:hAnsi="Arial"/>
          <w:szCs w:val="28"/>
          <w:lang w:eastAsia="ja-JP"/>
        </w:rPr>
        <w:t>Conclusions</w:t>
      </w:r>
    </w:p>
    <w:p w:rsidR="00805351" w:rsidRPr="00066D31" w:rsidRDefault="00066D31" w:rsidP="00066D31">
      <w:pPr>
        <w:spacing w:after="120"/>
        <w:jc w:val="both"/>
        <w:rPr>
          <w:rFonts w:ascii="Arial" w:hAnsi="Arial" w:cs="Arial" w:hint="eastAsia"/>
          <w:sz w:val="20"/>
          <w:szCs w:val="20"/>
          <w:lang w:eastAsia="zh-TW"/>
        </w:rPr>
      </w:pPr>
      <w:r>
        <w:rPr>
          <w:rFonts w:ascii="Arial" w:hAnsi="Arial" w:cs="Arial" w:hint="eastAsia"/>
          <w:sz w:val="20"/>
          <w:szCs w:val="20"/>
          <w:lang w:eastAsia="zh-TW"/>
        </w:rPr>
        <w:t>In this paper, we discuss the co</w:t>
      </w:r>
      <w:r w:rsidR="006A2A13">
        <w:rPr>
          <w:rFonts w:ascii="Arial" w:hAnsi="Arial" w:cs="Arial" w:hint="eastAsia"/>
          <w:sz w:val="20"/>
          <w:szCs w:val="20"/>
          <w:lang w:eastAsia="zh-TW"/>
        </w:rPr>
        <w:t>nsiderations of short TTI</w:t>
      </w:r>
      <w:r>
        <w:rPr>
          <w:rFonts w:ascii="Arial" w:hAnsi="Arial" w:cs="Arial" w:hint="eastAsia"/>
          <w:sz w:val="20"/>
          <w:szCs w:val="20"/>
          <w:lang w:eastAsia="zh-TW"/>
        </w:rPr>
        <w:t xml:space="preserve"> for V2X phase 2.</w:t>
      </w:r>
      <w:r w:rsidRPr="00066D31">
        <w:rPr>
          <w:rFonts w:ascii="Arial" w:hAnsi="Arial" w:cs="Arial" w:hint="eastAsia"/>
          <w:sz w:val="20"/>
          <w:szCs w:val="20"/>
          <w:lang w:eastAsia="zh-TW"/>
        </w:rPr>
        <w:t xml:space="preserve"> </w:t>
      </w:r>
      <w:r>
        <w:rPr>
          <w:rFonts w:ascii="Arial" w:hAnsi="Arial" w:cs="Arial" w:hint="eastAsia"/>
          <w:sz w:val="20"/>
          <w:szCs w:val="20"/>
          <w:lang w:eastAsia="zh-TW"/>
        </w:rPr>
        <w:t>W</w:t>
      </w:r>
      <w:r w:rsidRPr="00D84B4A">
        <w:rPr>
          <w:rFonts w:ascii="Arial" w:hAnsi="Arial" w:cs="Arial" w:hint="eastAsia"/>
          <w:sz w:val="20"/>
          <w:szCs w:val="20"/>
          <w:lang w:eastAsia="zh-TW"/>
        </w:rPr>
        <w:t xml:space="preserve">e have </w:t>
      </w:r>
      <w:r w:rsidRPr="00D84B4A">
        <w:rPr>
          <w:rFonts w:ascii="Arial" w:hAnsi="Arial" w:cs="Arial"/>
          <w:sz w:val="20"/>
          <w:szCs w:val="20"/>
          <w:lang w:eastAsia="zh-TW"/>
        </w:rPr>
        <w:t xml:space="preserve">below </w:t>
      </w:r>
      <w:r>
        <w:rPr>
          <w:rFonts w:ascii="Arial" w:hAnsi="Arial" w:cs="Arial" w:hint="eastAsia"/>
          <w:sz w:val="20"/>
          <w:szCs w:val="20"/>
          <w:lang w:eastAsia="zh-TW"/>
        </w:rPr>
        <w:t>proposals,</w:t>
      </w:r>
    </w:p>
    <w:p w:rsidR="006A2A13" w:rsidRDefault="006A2A13" w:rsidP="006A2A13">
      <w:pPr>
        <w:pStyle w:val="a0"/>
        <w:jc w:val="both"/>
        <w:rPr>
          <w:rFonts w:ascii="Arial" w:hAnsi="Arial" w:cs="Arial" w:hint="eastAsia"/>
          <w:b/>
          <w:bCs/>
          <w:i/>
          <w:sz w:val="20"/>
          <w:szCs w:val="20"/>
          <w:lang w:eastAsia="zh-TW"/>
        </w:rPr>
      </w:pPr>
      <w:r w:rsidRPr="00146A92">
        <w:rPr>
          <w:rFonts w:ascii="Arial" w:hAnsi="Arial" w:cs="Arial"/>
          <w:b/>
          <w:bCs/>
          <w:i/>
          <w:sz w:val="20"/>
          <w:szCs w:val="20"/>
          <w:lang w:eastAsia="zh-TW"/>
        </w:rPr>
        <w:t xml:space="preserve">Proposal 1: </w:t>
      </w:r>
      <w:r>
        <w:rPr>
          <w:rFonts w:ascii="Arial" w:hAnsi="Arial" w:cs="Arial" w:hint="eastAsia"/>
          <w:b/>
          <w:bCs/>
          <w:i/>
          <w:sz w:val="20"/>
          <w:szCs w:val="20"/>
          <w:lang w:eastAsia="zh-TW"/>
        </w:rPr>
        <w:t xml:space="preserve">For short TTI design, AGC preamble should be considered to speed up AGC convergence and reduce overhead when </w:t>
      </w:r>
      <w:r w:rsidRPr="00E16E5B">
        <w:rPr>
          <w:rFonts w:ascii="Arial" w:hAnsi="Arial" w:cs="Arial" w:hint="eastAsia"/>
          <w:b/>
          <w:bCs/>
          <w:i/>
          <w:sz w:val="20"/>
          <w:szCs w:val="20"/>
          <w:lang w:eastAsia="zh-TW"/>
        </w:rPr>
        <w:t xml:space="preserve">legacy TTI for Rel-14 UEs and </w:t>
      </w:r>
      <w:r w:rsidRPr="00E16E5B">
        <w:rPr>
          <w:rFonts w:ascii="Arial" w:hAnsi="Arial" w:cs="Arial"/>
          <w:b/>
          <w:bCs/>
          <w:i/>
          <w:sz w:val="20"/>
          <w:szCs w:val="20"/>
          <w:lang w:eastAsia="zh-TW"/>
        </w:rPr>
        <w:t>short TTI</w:t>
      </w:r>
      <w:r w:rsidRPr="00E16E5B">
        <w:rPr>
          <w:rFonts w:ascii="Arial" w:hAnsi="Arial" w:cs="Arial" w:hint="eastAsia"/>
          <w:b/>
          <w:bCs/>
          <w:i/>
          <w:sz w:val="20"/>
          <w:szCs w:val="20"/>
          <w:lang w:eastAsia="zh-TW"/>
        </w:rPr>
        <w:t xml:space="preserve"> for Rel-15 UEs</w:t>
      </w:r>
      <w:r w:rsidRPr="00E16E5B">
        <w:rPr>
          <w:rFonts w:ascii="Arial" w:hAnsi="Arial" w:cs="Arial"/>
          <w:b/>
          <w:bCs/>
          <w:i/>
          <w:sz w:val="20"/>
          <w:szCs w:val="20"/>
          <w:lang w:eastAsia="zh-TW"/>
        </w:rPr>
        <w:t xml:space="preserve"> </w:t>
      </w:r>
      <w:r w:rsidRPr="00E16E5B">
        <w:rPr>
          <w:rFonts w:ascii="Arial" w:hAnsi="Arial" w:cs="Arial" w:hint="eastAsia"/>
          <w:b/>
          <w:bCs/>
          <w:i/>
          <w:sz w:val="20"/>
          <w:szCs w:val="20"/>
          <w:lang w:eastAsia="zh-TW"/>
        </w:rPr>
        <w:t>use different</w:t>
      </w:r>
      <w:r w:rsidRPr="00E16E5B">
        <w:rPr>
          <w:rFonts w:ascii="Arial" w:hAnsi="Arial" w:cs="Arial"/>
          <w:b/>
          <w:bCs/>
          <w:i/>
          <w:sz w:val="20"/>
          <w:szCs w:val="20"/>
          <w:lang w:eastAsia="zh-TW"/>
        </w:rPr>
        <w:t xml:space="preserve"> </w:t>
      </w:r>
      <w:r w:rsidRPr="00E16E5B">
        <w:rPr>
          <w:rFonts w:ascii="Arial" w:hAnsi="Arial" w:cs="Arial" w:hint="eastAsia"/>
          <w:b/>
          <w:bCs/>
          <w:i/>
          <w:sz w:val="20"/>
          <w:szCs w:val="20"/>
          <w:lang w:eastAsia="zh-TW"/>
        </w:rPr>
        <w:t xml:space="preserve">resource </w:t>
      </w:r>
      <w:r w:rsidRPr="00E16E5B">
        <w:rPr>
          <w:rFonts w:ascii="Arial" w:hAnsi="Arial" w:cs="Arial"/>
          <w:b/>
          <w:bCs/>
          <w:i/>
          <w:sz w:val="20"/>
          <w:szCs w:val="20"/>
          <w:lang w:eastAsia="zh-TW"/>
        </w:rPr>
        <w:t>pools</w:t>
      </w:r>
      <w:r>
        <w:rPr>
          <w:rFonts w:ascii="Arial" w:hAnsi="Arial" w:cs="Arial" w:hint="eastAsia"/>
          <w:b/>
          <w:bCs/>
          <w:i/>
          <w:sz w:val="20"/>
          <w:szCs w:val="20"/>
          <w:lang w:eastAsia="zh-TW"/>
        </w:rPr>
        <w:t>. The details are FFS.</w:t>
      </w:r>
    </w:p>
    <w:p w:rsidR="006A2A13" w:rsidRDefault="006A2A13" w:rsidP="00E554EA">
      <w:pPr>
        <w:pStyle w:val="a0"/>
        <w:jc w:val="both"/>
        <w:rPr>
          <w:rFonts w:ascii="Arial" w:hAnsi="Arial" w:cs="Arial" w:hint="eastAsia"/>
          <w:b/>
          <w:bCs/>
          <w:i/>
          <w:sz w:val="20"/>
          <w:szCs w:val="20"/>
          <w:lang w:eastAsia="zh-TW"/>
        </w:rPr>
      </w:pPr>
    </w:p>
    <w:p w:rsidR="006A2A13" w:rsidRDefault="006A2A13" w:rsidP="006A2A13">
      <w:pPr>
        <w:pStyle w:val="a0"/>
        <w:jc w:val="both"/>
        <w:rPr>
          <w:rFonts w:ascii="Arial" w:hAnsi="Arial" w:cs="Arial" w:hint="eastAsia"/>
          <w:b/>
          <w:bCs/>
          <w:i/>
          <w:sz w:val="20"/>
          <w:szCs w:val="20"/>
          <w:lang w:eastAsia="zh-TW"/>
        </w:rPr>
      </w:pPr>
      <w:r>
        <w:rPr>
          <w:rFonts w:ascii="Arial" w:hAnsi="Arial" w:cs="Arial"/>
          <w:b/>
          <w:bCs/>
          <w:i/>
          <w:sz w:val="20"/>
          <w:szCs w:val="20"/>
          <w:lang w:eastAsia="zh-TW"/>
        </w:rPr>
        <w:lastRenderedPageBreak/>
        <w:t xml:space="preserve">Proposal </w:t>
      </w:r>
      <w:r>
        <w:rPr>
          <w:rFonts w:ascii="Arial" w:hAnsi="Arial" w:cs="Arial" w:hint="eastAsia"/>
          <w:b/>
          <w:bCs/>
          <w:i/>
          <w:sz w:val="20"/>
          <w:szCs w:val="20"/>
          <w:lang w:eastAsia="zh-TW"/>
        </w:rPr>
        <w:t>2</w:t>
      </w:r>
      <w:r w:rsidRPr="00146A92">
        <w:rPr>
          <w:rFonts w:ascii="Arial" w:hAnsi="Arial" w:cs="Arial"/>
          <w:b/>
          <w:bCs/>
          <w:i/>
          <w:sz w:val="20"/>
          <w:szCs w:val="20"/>
          <w:lang w:eastAsia="zh-TW"/>
        </w:rPr>
        <w:t xml:space="preserve">: </w:t>
      </w:r>
      <w:r>
        <w:rPr>
          <w:rFonts w:ascii="Arial" w:hAnsi="Arial" w:cs="Arial" w:hint="eastAsia"/>
          <w:b/>
          <w:bCs/>
          <w:i/>
          <w:sz w:val="20"/>
          <w:szCs w:val="20"/>
          <w:lang w:eastAsia="zh-TW"/>
        </w:rPr>
        <w:t xml:space="preserve">When </w:t>
      </w:r>
      <w:r w:rsidRPr="00E16E5B">
        <w:rPr>
          <w:rFonts w:ascii="Arial" w:hAnsi="Arial" w:cs="Arial" w:hint="eastAsia"/>
          <w:b/>
          <w:bCs/>
          <w:i/>
          <w:sz w:val="20"/>
          <w:szCs w:val="20"/>
          <w:lang w:eastAsia="zh-TW"/>
        </w:rPr>
        <w:t xml:space="preserve">legacy TTI for Rel-14 UEs and </w:t>
      </w:r>
      <w:r w:rsidRPr="00E16E5B">
        <w:rPr>
          <w:rFonts w:ascii="Arial" w:hAnsi="Arial" w:cs="Arial"/>
          <w:b/>
          <w:bCs/>
          <w:i/>
          <w:sz w:val="20"/>
          <w:szCs w:val="20"/>
          <w:lang w:eastAsia="zh-TW"/>
        </w:rPr>
        <w:t>short TTI</w:t>
      </w:r>
      <w:r w:rsidRPr="00E16E5B">
        <w:rPr>
          <w:rFonts w:ascii="Arial" w:hAnsi="Arial" w:cs="Arial" w:hint="eastAsia"/>
          <w:b/>
          <w:bCs/>
          <w:i/>
          <w:sz w:val="20"/>
          <w:szCs w:val="20"/>
          <w:lang w:eastAsia="zh-TW"/>
        </w:rPr>
        <w:t xml:space="preserve"> for Rel-15 UEs</w:t>
      </w:r>
      <w:r w:rsidRPr="00E16E5B">
        <w:rPr>
          <w:rFonts w:ascii="Arial" w:hAnsi="Arial" w:cs="Arial"/>
          <w:b/>
          <w:bCs/>
          <w:i/>
          <w:sz w:val="20"/>
          <w:szCs w:val="20"/>
          <w:lang w:eastAsia="zh-TW"/>
        </w:rPr>
        <w:t xml:space="preserve"> </w:t>
      </w:r>
      <w:r w:rsidRPr="00E16E5B">
        <w:rPr>
          <w:rFonts w:ascii="Arial" w:hAnsi="Arial" w:cs="Arial" w:hint="eastAsia"/>
          <w:b/>
          <w:bCs/>
          <w:i/>
          <w:sz w:val="20"/>
          <w:szCs w:val="20"/>
          <w:lang w:eastAsia="zh-TW"/>
        </w:rPr>
        <w:t xml:space="preserve">use </w:t>
      </w:r>
      <w:r>
        <w:rPr>
          <w:rFonts w:ascii="Arial" w:hAnsi="Arial" w:cs="Arial" w:hint="eastAsia"/>
          <w:b/>
          <w:bCs/>
          <w:i/>
          <w:sz w:val="20"/>
          <w:szCs w:val="20"/>
          <w:lang w:eastAsia="zh-TW"/>
        </w:rPr>
        <w:t xml:space="preserve">the same </w:t>
      </w:r>
      <w:r w:rsidRPr="00E16E5B">
        <w:rPr>
          <w:rFonts w:ascii="Arial" w:hAnsi="Arial" w:cs="Arial" w:hint="eastAsia"/>
          <w:b/>
          <w:bCs/>
          <w:i/>
          <w:sz w:val="20"/>
          <w:szCs w:val="20"/>
          <w:lang w:eastAsia="zh-TW"/>
        </w:rPr>
        <w:t xml:space="preserve">resource </w:t>
      </w:r>
      <w:r w:rsidRPr="00E16E5B">
        <w:rPr>
          <w:rFonts w:ascii="Arial" w:hAnsi="Arial" w:cs="Arial"/>
          <w:b/>
          <w:bCs/>
          <w:i/>
          <w:sz w:val="20"/>
          <w:szCs w:val="20"/>
          <w:lang w:eastAsia="zh-TW"/>
        </w:rPr>
        <w:t>pools</w:t>
      </w:r>
      <w:r>
        <w:rPr>
          <w:rFonts w:ascii="Arial" w:hAnsi="Arial" w:cs="Arial" w:hint="eastAsia"/>
          <w:b/>
          <w:bCs/>
          <w:i/>
          <w:sz w:val="20"/>
          <w:szCs w:val="20"/>
          <w:lang w:eastAsia="zh-TW"/>
        </w:rPr>
        <w:t>, besides AGC preamble,</w:t>
      </w:r>
      <w:r w:rsidRPr="00066D31">
        <w:rPr>
          <w:rFonts w:ascii="Arial" w:hAnsi="Arial" w:cs="Arial" w:hint="eastAsia"/>
          <w:b/>
          <w:bCs/>
          <w:i/>
          <w:sz w:val="20"/>
          <w:szCs w:val="20"/>
          <w:lang w:eastAsia="zh-TW"/>
        </w:rPr>
        <w:t xml:space="preserve"> some mechanisms </w:t>
      </w:r>
      <w:r>
        <w:rPr>
          <w:rFonts w:ascii="Arial" w:hAnsi="Arial" w:cs="Arial" w:hint="eastAsia"/>
          <w:b/>
          <w:bCs/>
          <w:i/>
          <w:sz w:val="20"/>
          <w:szCs w:val="20"/>
          <w:lang w:eastAsia="zh-TW"/>
        </w:rPr>
        <w:t>should be considered</w:t>
      </w:r>
      <w:r w:rsidRPr="00066D31">
        <w:rPr>
          <w:rFonts w:ascii="Arial" w:hAnsi="Arial" w:cs="Arial" w:hint="eastAsia"/>
          <w:b/>
          <w:bCs/>
          <w:i/>
          <w:sz w:val="20"/>
          <w:szCs w:val="20"/>
          <w:lang w:eastAsia="zh-TW"/>
        </w:rPr>
        <w:t xml:space="preserve"> to speed up AGC convergence and reduce overhead.</w:t>
      </w:r>
      <w:r>
        <w:rPr>
          <w:rFonts w:ascii="Arial" w:hAnsi="Arial" w:cs="Arial" w:hint="eastAsia"/>
          <w:b/>
          <w:bCs/>
          <w:i/>
          <w:sz w:val="20"/>
          <w:szCs w:val="20"/>
          <w:lang w:eastAsia="zh-TW"/>
        </w:rPr>
        <w:t xml:space="preserve"> The details are FFS.</w:t>
      </w:r>
    </w:p>
    <w:p w:rsidR="006A2A13" w:rsidRPr="00A9579D" w:rsidRDefault="006A2A13" w:rsidP="006A2A13">
      <w:pPr>
        <w:pStyle w:val="a0"/>
        <w:jc w:val="both"/>
        <w:rPr>
          <w:rFonts w:ascii="Arial" w:hAnsi="Arial" w:cs="Arial" w:hint="eastAsia"/>
          <w:b/>
          <w:bCs/>
          <w:i/>
          <w:sz w:val="20"/>
          <w:szCs w:val="20"/>
          <w:lang w:eastAsia="zh-TW"/>
        </w:rPr>
      </w:pPr>
      <w:r>
        <w:rPr>
          <w:rFonts w:ascii="Arial" w:hAnsi="Arial" w:cs="Arial"/>
          <w:b/>
          <w:bCs/>
          <w:i/>
          <w:sz w:val="20"/>
          <w:szCs w:val="20"/>
          <w:lang w:eastAsia="zh-TW"/>
        </w:rPr>
        <w:t xml:space="preserve">Proposal </w:t>
      </w:r>
      <w:r>
        <w:rPr>
          <w:rFonts w:ascii="Arial" w:hAnsi="Arial" w:cs="Arial" w:hint="eastAsia"/>
          <w:b/>
          <w:bCs/>
          <w:i/>
          <w:sz w:val="20"/>
          <w:szCs w:val="20"/>
          <w:lang w:eastAsia="zh-TW"/>
        </w:rPr>
        <w:t>3</w:t>
      </w:r>
      <w:r w:rsidRPr="00146A92">
        <w:rPr>
          <w:rFonts w:ascii="Arial" w:hAnsi="Arial" w:cs="Arial"/>
          <w:b/>
          <w:bCs/>
          <w:i/>
          <w:sz w:val="20"/>
          <w:szCs w:val="20"/>
          <w:lang w:eastAsia="zh-TW"/>
        </w:rPr>
        <w:t xml:space="preserve">: </w:t>
      </w:r>
      <w:r>
        <w:rPr>
          <w:rFonts w:ascii="Arial" w:hAnsi="Arial" w:cs="Arial" w:hint="eastAsia"/>
          <w:b/>
          <w:bCs/>
          <w:i/>
          <w:sz w:val="20"/>
          <w:szCs w:val="20"/>
          <w:lang w:eastAsia="zh-TW"/>
        </w:rPr>
        <w:t>Short TTI can be supported to make r</w:t>
      </w:r>
      <w:r w:rsidRPr="009F1D28">
        <w:rPr>
          <w:rFonts w:ascii="Arial" w:hAnsi="Arial" w:cs="Arial" w:hint="eastAsia"/>
          <w:b/>
          <w:bCs/>
          <w:i/>
          <w:sz w:val="20"/>
          <w:szCs w:val="20"/>
          <w:lang w:eastAsia="zh-TW"/>
        </w:rPr>
        <w:t>esource allocatio</w:t>
      </w:r>
      <w:r>
        <w:rPr>
          <w:rFonts w:ascii="Arial" w:hAnsi="Arial" w:cs="Arial" w:hint="eastAsia"/>
          <w:b/>
          <w:bCs/>
          <w:i/>
          <w:sz w:val="20"/>
          <w:szCs w:val="20"/>
          <w:lang w:eastAsia="zh-TW"/>
        </w:rPr>
        <w:t xml:space="preserve">n controlled by eNB more </w:t>
      </w:r>
      <w:r w:rsidRPr="009F1D28">
        <w:rPr>
          <w:rFonts w:ascii="Arial" w:hAnsi="Arial" w:cs="Arial" w:hint="eastAsia"/>
          <w:b/>
          <w:bCs/>
          <w:i/>
          <w:sz w:val="20"/>
          <w:szCs w:val="20"/>
          <w:lang w:eastAsia="zh-TW"/>
        </w:rPr>
        <w:t>flexible</w:t>
      </w:r>
      <w:r>
        <w:rPr>
          <w:rFonts w:ascii="Arial" w:hAnsi="Arial" w:cs="Arial" w:hint="eastAsia"/>
          <w:b/>
          <w:bCs/>
          <w:i/>
          <w:sz w:val="20"/>
          <w:szCs w:val="20"/>
          <w:lang w:eastAsia="zh-TW"/>
        </w:rPr>
        <w:t xml:space="preserve"> since issues of overhead, AGC convergence, and channel estimation caused by short TTI can be effectively mitigated. Besides, </w:t>
      </w:r>
      <w:r w:rsidRPr="0082105A">
        <w:rPr>
          <w:rFonts w:ascii="Arial" w:hAnsi="Arial" w:cs="Arial" w:hint="eastAsia"/>
          <w:b/>
          <w:bCs/>
          <w:i/>
          <w:sz w:val="20"/>
          <w:szCs w:val="20"/>
          <w:lang w:eastAsia="zh-TW"/>
        </w:rPr>
        <w:t xml:space="preserve">half duplex </w:t>
      </w:r>
      <w:r w:rsidRPr="0082105A">
        <w:rPr>
          <w:rFonts w:ascii="Arial" w:hAnsi="Arial" w:cs="Arial"/>
          <w:b/>
          <w:bCs/>
          <w:i/>
          <w:sz w:val="20"/>
          <w:szCs w:val="20"/>
          <w:lang w:eastAsia="zh-TW"/>
        </w:rPr>
        <w:t>constraint</w:t>
      </w:r>
      <w:r w:rsidRPr="0082105A">
        <w:rPr>
          <w:rFonts w:ascii="Arial" w:hAnsi="Arial" w:cs="Arial" w:hint="eastAsia"/>
          <w:b/>
          <w:bCs/>
          <w:i/>
          <w:sz w:val="20"/>
          <w:szCs w:val="20"/>
          <w:lang w:eastAsia="zh-TW"/>
        </w:rPr>
        <w:t xml:space="preserve"> and the in-band emission issue can be reduced for short TTI</w:t>
      </w:r>
      <w:r>
        <w:rPr>
          <w:rFonts w:ascii="Arial" w:hAnsi="Arial" w:cs="Arial" w:hint="eastAsia"/>
          <w:b/>
          <w:bCs/>
          <w:i/>
          <w:sz w:val="20"/>
          <w:szCs w:val="20"/>
          <w:lang w:eastAsia="zh-TW"/>
        </w:rPr>
        <w:t>.</w:t>
      </w:r>
    </w:p>
    <w:p w:rsidR="0035259B" w:rsidRPr="00741A06" w:rsidRDefault="0035259B" w:rsidP="0035259B">
      <w:pPr>
        <w:pStyle w:val="1"/>
        <w:rPr>
          <w:rFonts w:ascii="Arial" w:hAnsi="Arial"/>
          <w:szCs w:val="28"/>
          <w:lang w:eastAsia="ja-JP"/>
        </w:rPr>
      </w:pPr>
      <w:r w:rsidRPr="00741A06">
        <w:rPr>
          <w:rFonts w:ascii="Arial" w:hAnsi="Arial"/>
          <w:szCs w:val="28"/>
          <w:lang w:eastAsia="ja-JP"/>
        </w:rPr>
        <w:t>References</w:t>
      </w:r>
    </w:p>
    <w:p w:rsidR="00805351" w:rsidRPr="00805351" w:rsidRDefault="00C40CAD" w:rsidP="00805351">
      <w:pPr>
        <w:pStyle w:val="references0"/>
        <w:numPr>
          <w:ilvl w:val="0"/>
          <w:numId w:val="0"/>
        </w:numPr>
        <w:ind w:left="360" w:hanging="360"/>
        <w:rPr>
          <w:rFonts w:ascii="Arial" w:eastAsia="新細明體" w:hAnsi="Arial" w:cs="Arial" w:hint="eastAsia"/>
          <w:noProof w:val="0"/>
          <w:szCs w:val="20"/>
          <w:lang w:eastAsia="zh-TW"/>
        </w:rPr>
      </w:pPr>
      <w:r>
        <w:rPr>
          <w:rFonts w:ascii="Arial" w:eastAsia="新細明體" w:hAnsi="Arial" w:cs="Arial" w:hint="eastAsia"/>
          <w:noProof w:val="0"/>
          <w:szCs w:val="20"/>
          <w:lang w:eastAsia="zh-TW"/>
        </w:rPr>
        <w:t xml:space="preserve">[1] </w:t>
      </w:r>
      <w:bookmarkStart w:id="5" w:name="_Ref477334356"/>
      <w:r w:rsidR="00805351" w:rsidRPr="00805351">
        <w:rPr>
          <w:rFonts w:ascii="Arial" w:eastAsia="新細明體" w:hAnsi="Arial" w:cs="Arial"/>
          <w:szCs w:val="20"/>
        </w:rPr>
        <w:t>RP-170798</w:t>
      </w:r>
      <w:r w:rsidR="00805351">
        <w:rPr>
          <w:rFonts w:ascii="Arial" w:eastAsia="新細明體" w:hAnsi="Arial" w:cs="Arial" w:hint="eastAsia"/>
          <w:szCs w:val="20"/>
          <w:lang w:eastAsia="zh-TW"/>
        </w:rPr>
        <w:t>,</w:t>
      </w:r>
      <w:r w:rsidR="00805351" w:rsidRPr="00805351">
        <w:rPr>
          <w:rFonts w:ascii="Arial" w:eastAsia="新細明體" w:hAnsi="Arial" w:cs="Arial"/>
          <w:szCs w:val="20"/>
        </w:rPr>
        <w:tab/>
      </w:r>
      <w:r w:rsidR="00805351">
        <w:rPr>
          <w:rFonts w:ascii="Arial" w:eastAsia="新細明體" w:hAnsi="Arial" w:cs="Arial"/>
          <w:szCs w:val="20"/>
          <w:lang w:eastAsia="zh-TW"/>
        </w:rPr>
        <w:t>“</w:t>
      </w:r>
      <w:r w:rsidR="00805351" w:rsidRPr="00805351">
        <w:rPr>
          <w:rFonts w:ascii="Arial" w:eastAsia="新細明體" w:hAnsi="Arial" w:cs="Arial"/>
          <w:szCs w:val="20"/>
        </w:rPr>
        <w:t>New WID on 3GPP V2X Phase 2</w:t>
      </w:r>
      <w:bookmarkEnd w:id="5"/>
      <w:r w:rsidR="00805351">
        <w:rPr>
          <w:rFonts w:ascii="Arial" w:eastAsia="新細明體" w:hAnsi="Arial" w:cs="Arial"/>
          <w:szCs w:val="20"/>
          <w:lang w:eastAsia="zh-TW"/>
        </w:rPr>
        <w:t>”</w:t>
      </w:r>
      <w:r w:rsidR="00805351">
        <w:rPr>
          <w:rFonts w:ascii="Arial" w:eastAsia="新細明體" w:hAnsi="Arial" w:cs="Arial" w:hint="eastAsia"/>
          <w:szCs w:val="20"/>
          <w:lang w:eastAsia="zh-TW"/>
        </w:rPr>
        <w:t xml:space="preserve">, </w:t>
      </w:r>
      <w:r w:rsidR="00805351" w:rsidRPr="00805351">
        <w:rPr>
          <w:rFonts w:ascii="Arial" w:eastAsia="新細明體" w:hAnsi="Arial" w:cs="Arial" w:hint="eastAsia"/>
          <w:noProof w:val="0"/>
          <w:szCs w:val="20"/>
        </w:rPr>
        <w:t>Huawei</w:t>
      </w:r>
      <w:r w:rsidR="00805351" w:rsidRPr="00805351">
        <w:rPr>
          <w:rFonts w:ascii="Arial" w:eastAsia="新細明體" w:hAnsi="Arial" w:cs="Arial"/>
          <w:noProof w:val="0"/>
          <w:szCs w:val="20"/>
        </w:rPr>
        <w:t>,</w:t>
      </w:r>
      <w:r w:rsidR="00805351" w:rsidRPr="00805351">
        <w:rPr>
          <w:rFonts w:ascii="Arial" w:eastAsia="新細明體" w:hAnsi="Arial" w:cs="Arial" w:hint="eastAsia"/>
          <w:noProof w:val="0"/>
          <w:szCs w:val="20"/>
        </w:rPr>
        <w:t xml:space="preserve"> CATT, </w:t>
      </w:r>
      <w:r w:rsidR="00805351" w:rsidRPr="00805351">
        <w:rPr>
          <w:rFonts w:ascii="Arial" w:eastAsia="新細明體" w:hAnsi="Arial" w:cs="Arial"/>
          <w:noProof w:val="0"/>
          <w:szCs w:val="20"/>
        </w:rPr>
        <w:t>LG Electronics</w:t>
      </w:r>
      <w:r w:rsidR="00805351" w:rsidRPr="00805351">
        <w:rPr>
          <w:rFonts w:ascii="Arial" w:eastAsia="新細明體" w:hAnsi="Arial" w:cs="Arial" w:hint="eastAsia"/>
          <w:noProof w:val="0"/>
          <w:szCs w:val="20"/>
        </w:rPr>
        <w:t xml:space="preserve">, HiSilicon, </w:t>
      </w:r>
      <w:r w:rsidR="00805351" w:rsidRPr="00805351">
        <w:rPr>
          <w:rFonts w:ascii="Arial" w:eastAsia="新細明體" w:hAnsi="Arial" w:cs="Arial"/>
          <w:noProof w:val="0"/>
          <w:szCs w:val="20"/>
        </w:rPr>
        <w:t>China Unicom</w:t>
      </w:r>
      <w:r w:rsidR="00805351">
        <w:rPr>
          <w:rFonts w:ascii="Arial" w:eastAsia="新細明體" w:hAnsi="Arial" w:cs="Arial" w:hint="eastAsia"/>
          <w:noProof w:val="0"/>
          <w:szCs w:val="20"/>
          <w:lang w:eastAsia="zh-TW"/>
        </w:rPr>
        <w:t>, Mar. 2017</w:t>
      </w:r>
    </w:p>
    <w:p w:rsidR="00631680" w:rsidRDefault="00631680" w:rsidP="00631680">
      <w:pPr>
        <w:pStyle w:val="references0"/>
        <w:numPr>
          <w:ilvl w:val="0"/>
          <w:numId w:val="0"/>
        </w:numPr>
        <w:spacing w:line="240" w:lineRule="exact"/>
        <w:ind w:left="360" w:hanging="360"/>
        <w:rPr>
          <w:rFonts w:ascii="Arial" w:eastAsia="新細明體" w:hAnsi="Arial" w:cs="Arial" w:hint="eastAsia"/>
          <w:noProof w:val="0"/>
          <w:szCs w:val="20"/>
          <w:lang w:eastAsia="zh-TW"/>
        </w:rPr>
      </w:pPr>
      <w:r>
        <w:rPr>
          <w:rFonts w:ascii="Arial" w:eastAsia="新細明體" w:hAnsi="Arial" w:cs="Arial" w:hint="eastAsia"/>
          <w:noProof w:val="0"/>
          <w:szCs w:val="20"/>
          <w:lang w:eastAsia="zh-TW"/>
        </w:rPr>
        <w:t xml:space="preserve">[2] </w:t>
      </w:r>
      <w:r w:rsidRPr="00687A90">
        <w:rPr>
          <w:rFonts w:ascii="Arial" w:eastAsia="新細明體" w:hAnsi="Arial" w:cs="Arial"/>
          <w:noProof w:val="0"/>
          <w:szCs w:val="20"/>
        </w:rPr>
        <w:t>RAN1 Chairman’s Notes</w:t>
      </w:r>
      <w:r w:rsidRPr="00687A90">
        <w:rPr>
          <w:rFonts w:ascii="Arial" w:eastAsia="新細明體" w:hAnsi="Arial" w:cs="Arial" w:hint="eastAsia"/>
          <w:noProof w:val="0"/>
          <w:szCs w:val="20"/>
        </w:rPr>
        <w:t xml:space="preserve"> (final version) for </w:t>
      </w:r>
      <w:r w:rsidRPr="00687A90">
        <w:rPr>
          <w:rFonts w:ascii="Arial" w:eastAsia="新細明體" w:hAnsi="Arial" w:cs="Arial"/>
          <w:noProof w:val="0"/>
          <w:szCs w:val="20"/>
        </w:rPr>
        <w:t>3GPP TSG RAN WG1 Meeting #</w:t>
      </w:r>
      <w:r>
        <w:rPr>
          <w:rFonts w:ascii="Arial" w:eastAsia="新細明體" w:hAnsi="Arial" w:cs="Arial" w:hint="eastAsia"/>
          <w:noProof w:val="0"/>
          <w:szCs w:val="20"/>
          <w:lang w:eastAsia="zh-TW"/>
        </w:rPr>
        <w:t>90</w:t>
      </w:r>
      <w:r w:rsidRPr="00687A90">
        <w:rPr>
          <w:rFonts w:ascii="Arial" w:eastAsia="新細明體" w:hAnsi="Arial" w:cs="Arial" w:hint="eastAsia"/>
          <w:noProof w:val="0"/>
          <w:szCs w:val="20"/>
        </w:rPr>
        <w:t>.</w:t>
      </w:r>
    </w:p>
    <w:p w:rsidR="00631680" w:rsidRDefault="00631680" w:rsidP="00631680">
      <w:pPr>
        <w:pStyle w:val="references0"/>
        <w:numPr>
          <w:ilvl w:val="0"/>
          <w:numId w:val="0"/>
        </w:numPr>
        <w:ind w:left="360" w:hanging="360"/>
        <w:rPr>
          <w:rFonts w:ascii="Arial" w:eastAsia="新細明體" w:hAnsi="Arial" w:cs="Arial" w:hint="eastAsia"/>
          <w:noProof w:val="0"/>
          <w:szCs w:val="20"/>
          <w:lang w:eastAsia="zh-TW"/>
        </w:rPr>
      </w:pPr>
      <w:r>
        <w:rPr>
          <w:rFonts w:ascii="Arial" w:eastAsia="新細明體" w:hAnsi="Arial" w:cs="Arial" w:hint="eastAsia"/>
          <w:noProof w:val="0"/>
          <w:szCs w:val="20"/>
          <w:lang w:eastAsia="zh-TW"/>
        </w:rPr>
        <w:t xml:space="preserve">[3] </w:t>
      </w:r>
      <w:r w:rsidRPr="00631680">
        <w:rPr>
          <w:rFonts w:ascii="Arial" w:eastAsia="新細明體" w:hAnsi="Arial" w:cs="Arial" w:hint="eastAsia"/>
          <w:noProof w:val="0"/>
          <w:szCs w:val="20"/>
        </w:rPr>
        <w:t xml:space="preserve">RP-171552, </w:t>
      </w:r>
      <w:r>
        <w:rPr>
          <w:rFonts w:ascii="Arial" w:eastAsia="新細明體" w:hAnsi="Arial" w:cs="Arial"/>
          <w:szCs w:val="20"/>
          <w:lang w:eastAsia="zh-TW"/>
        </w:rPr>
        <w:t>“</w:t>
      </w:r>
      <w:r w:rsidRPr="00631680">
        <w:rPr>
          <w:rFonts w:ascii="Arial" w:eastAsia="新細明體" w:hAnsi="Arial" w:cs="Arial" w:hint="eastAsia"/>
          <w:noProof w:val="0"/>
          <w:szCs w:val="20"/>
        </w:rPr>
        <w:t xml:space="preserve">LS </w:t>
      </w:r>
      <w:r w:rsidRPr="00631680">
        <w:rPr>
          <w:rFonts w:ascii="Arial" w:eastAsia="新細明體" w:hAnsi="Arial" w:cs="Arial"/>
          <w:noProof w:val="0"/>
          <w:szCs w:val="20"/>
        </w:rPr>
        <w:t>to RAN on PC5 operation with short TTI for V2X phase 2 based RAN1</w:t>
      </w:r>
      <w:r w:rsidRPr="00631680">
        <w:rPr>
          <w:rFonts w:ascii="Arial" w:eastAsia="新細明體" w:hAnsi="Arial" w:cs="Arial" w:hint="eastAsia"/>
          <w:noProof w:val="0"/>
          <w:szCs w:val="20"/>
        </w:rPr>
        <w:t xml:space="preserve"> </w:t>
      </w:r>
      <w:r w:rsidRPr="00631680">
        <w:rPr>
          <w:rFonts w:ascii="Arial" w:eastAsia="新細明體" w:hAnsi="Arial" w:cs="Arial"/>
          <w:noProof w:val="0"/>
          <w:szCs w:val="20"/>
        </w:rPr>
        <w:t>on LTE</w:t>
      </w:r>
      <w:r>
        <w:rPr>
          <w:rFonts w:ascii="Arial" w:eastAsia="新細明體" w:hAnsi="Arial" w:cs="Arial"/>
          <w:szCs w:val="20"/>
          <w:lang w:eastAsia="zh-TW"/>
        </w:rPr>
        <w:t>”</w:t>
      </w:r>
      <w:r>
        <w:rPr>
          <w:rFonts w:ascii="Arial" w:eastAsia="新細明體" w:hAnsi="Arial" w:cs="Arial" w:hint="eastAsia"/>
          <w:szCs w:val="20"/>
          <w:lang w:eastAsia="zh-TW"/>
        </w:rPr>
        <w:t>, Mar. 2017</w:t>
      </w:r>
    </w:p>
    <w:p w:rsidR="00631680" w:rsidRPr="00631680" w:rsidRDefault="00631680" w:rsidP="00FE613B">
      <w:pPr>
        <w:pStyle w:val="references0"/>
        <w:numPr>
          <w:ilvl w:val="0"/>
          <w:numId w:val="0"/>
        </w:numPr>
        <w:ind w:left="360" w:hanging="360"/>
        <w:rPr>
          <w:rFonts w:ascii="Arial" w:eastAsia="新細明體" w:hAnsi="Arial" w:cs="Arial" w:hint="eastAsia"/>
          <w:noProof w:val="0"/>
          <w:szCs w:val="20"/>
          <w:lang w:eastAsia="zh-TW"/>
        </w:rPr>
      </w:pPr>
    </w:p>
    <w:p w:rsidR="0044461F" w:rsidRPr="00BF594C" w:rsidRDefault="0044461F" w:rsidP="006060CE">
      <w:pPr>
        <w:pStyle w:val="references0"/>
        <w:numPr>
          <w:ilvl w:val="0"/>
          <w:numId w:val="0"/>
        </w:numPr>
        <w:spacing w:line="240" w:lineRule="exact"/>
        <w:rPr>
          <w:rFonts w:ascii="Arial" w:eastAsia="新細明體" w:hAnsi="Arial" w:cs="Arial" w:hint="eastAsia"/>
          <w:noProof w:val="0"/>
          <w:szCs w:val="20"/>
          <w:lang w:eastAsia="zh-TW"/>
        </w:rPr>
      </w:pPr>
    </w:p>
    <w:sectPr w:rsidR="0044461F" w:rsidRPr="00BF594C"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A3B" w:rsidRDefault="00F03A3B" w:rsidP="007A1A40">
      <w:r>
        <w:separator/>
      </w:r>
    </w:p>
  </w:endnote>
  <w:endnote w:type="continuationSeparator" w:id="0">
    <w:p w:rsidR="00F03A3B" w:rsidRDefault="00F03A3B" w:rsidP="007A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A3B" w:rsidRDefault="00F03A3B" w:rsidP="007A1A40">
      <w:r>
        <w:separator/>
      </w:r>
    </w:p>
  </w:footnote>
  <w:footnote w:type="continuationSeparator" w:id="0">
    <w:p w:rsidR="00F03A3B" w:rsidRDefault="00F03A3B" w:rsidP="007A1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31EF3"/>
    <w:multiLevelType w:val="hybridMultilevel"/>
    <w:tmpl w:val="F4866094"/>
    <w:lvl w:ilvl="0" w:tplc="292CFAF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int="eastAsia"/>
      </w:rPr>
    </w:lvl>
    <w:lvl w:ilvl="8" w:tplc="0409001B" w:tentative="1">
      <w:start w:val="1"/>
      <w:numFmt w:val="lowerRoman"/>
      <w:lvlText w:val="%9."/>
      <w:lvlJc w:val="right"/>
      <w:pPr>
        <w:ind w:left="4320" w:hanging="480"/>
      </w:pPr>
    </w:lvl>
  </w:abstractNum>
  <w:abstractNum w:abstractNumId="1"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40B1784"/>
    <w:multiLevelType w:val="hybridMultilevel"/>
    <w:tmpl w:val="3190ACAE"/>
    <w:lvl w:ilvl="0" w:tplc="2FA2A7E0">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4C982975"/>
    <w:multiLevelType w:val="hybridMultilevel"/>
    <w:tmpl w:val="4D1CC3C2"/>
    <w:lvl w:ilvl="0" w:tplc="92E62A78">
      <w:start w:val="1"/>
      <w:numFmt w:val="bullet"/>
      <w:lvlText w:val="•"/>
      <w:lvlJc w:val="left"/>
      <w:pPr>
        <w:tabs>
          <w:tab w:val="num" w:pos="720"/>
        </w:tabs>
        <w:ind w:left="720" w:hanging="360"/>
      </w:pPr>
      <w:rPr>
        <w:rFonts w:ascii="Arial" w:hAnsi="Arial" w:hint="default"/>
      </w:rPr>
    </w:lvl>
    <w:lvl w:ilvl="1" w:tplc="C916010C" w:tentative="1">
      <w:start w:val="1"/>
      <w:numFmt w:val="bullet"/>
      <w:lvlText w:val="•"/>
      <w:lvlJc w:val="left"/>
      <w:pPr>
        <w:tabs>
          <w:tab w:val="num" w:pos="1440"/>
        </w:tabs>
        <w:ind w:left="1440" w:hanging="360"/>
      </w:pPr>
      <w:rPr>
        <w:rFonts w:ascii="Arial" w:hAnsi="Arial" w:hint="default"/>
      </w:rPr>
    </w:lvl>
    <w:lvl w:ilvl="2" w:tplc="AB74034E">
      <w:start w:val="1"/>
      <w:numFmt w:val="bullet"/>
      <w:lvlText w:val="•"/>
      <w:lvlJc w:val="left"/>
      <w:pPr>
        <w:tabs>
          <w:tab w:val="num" w:pos="2160"/>
        </w:tabs>
        <w:ind w:left="2160" w:hanging="360"/>
      </w:pPr>
      <w:rPr>
        <w:rFonts w:ascii="Arial" w:hAnsi="Arial" w:hint="default"/>
      </w:rPr>
    </w:lvl>
    <w:lvl w:ilvl="3" w:tplc="0896D178" w:tentative="1">
      <w:start w:val="1"/>
      <w:numFmt w:val="bullet"/>
      <w:lvlText w:val="•"/>
      <w:lvlJc w:val="left"/>
      <w:pPr>
        <w:tabs>
          <w:tab w:val="num" w:pos="2880"/>
        </w:tabs>
        <w:ind w:left="2880" w:hanging="360"/>
      </w:pPr>
      <w:rPr>
        <w:rFonts w:ascii="Arial" w:hAnsi="Arial" w:hint="default"/>
      </w:rPr>
    </w:lvl>
    <w:lvl w:ilvl="4" w:tplc="68945236" w:tentative="1">
      <w:start w:val="1"/>
      <w:numFmt w:val="bullet"/>
      <w:lvlText w:val="•"/>
      <w:lvlJc w:val="left"/>
      <w:pPr>
        <w:tabs>
          <w:tab w:val="num" w:pos="3600"/>
        </w:tabs>
        <w:ind w:left="3600" w:hanging="360"/>
      </w:pPr>
      <w:rPr>
        <w:rFonts w:ascii="Arial" w:hAnsi="Arial" w:hint="default"/>
      </w:rPr>
    </w:lvl>
    <w:lvl w:ilvl="5" w:tplc="4D6E089E" w:tentative="1">
      <w:start w:val="1"/>
      <w:numFmt w:val="bullet"/>
      <w:lvlText w:val="•"/>
      <w:lvlJc w:val="left"/>
      <w:pPr>
        <w:tabs>
          <w:tab w:val="num" w:pos="4320"/>
        </w:tabs>
        <w:ind w:left="4320" w:hanging="360"/>
      </w:pPr>
      <w:rPr>
        <w:rFonts w:ascii="Arial" w:hAnsi="Arial" w:hint="default"/>
      </w:rPr>
    </w:lvl>
    <w:lvl w:ilvl="6" w:tplc="11BA8E8C" w:tentative="1">
      <w:start w:val="1"/>
      <w:numFmt w:val="bullet"/>
      <w:lvlText w:val="•"/>
      <w:lvlJc w:val="left"/>
      <w:pPr>
        <w:tabs>
          <w:tab w:val="num" w:pos="5040"/>
        </w:tabs>
        <w:ind w:left="5040" w:hanging="360"/>
      </w:pPr>
      <w:rPr>
        <w:rFonts w:ascii="Arial" w:hAnsi="Arial" w:hint="default"/>
      </w:rPr>
    </w:lvl>
    <w:lvl w:ilvl="7" w:tplc="2B62D070" w:tentative="1">
      <w:start w:val="1"/>
      <w:numFmt w:val="bullet"/>
      <w:lvlText w:val="•"/>
      <w:lvlJc w:val="left"/>
      <w:pPr>
        <w:tabs>
          <w:tab w:val="num" w:pos="5760"/>
        </w:tabs>
        <w:ind w:left="5760" w:hanging="360"/>
      </w:pPr>
      <w:rPr>
        <w:rFonts w:ascii="Arial" w:hAnsi="Arial" w:hint="default"/>
      </w:rPr>
    </w:lvl>
    <w:lvl w:ilvl="8" w:tplc="E26E26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12F5010"/>
    <w:multiLevelType w:val="hybridMultilevel"/>
    <w:tmpl w:val="70AA8AD4"/>
    <w:lvl w:ilvl="0" w:tplc="6EC8623E">
      <w:start w:val="1"/>
      <w:numFmt w:val="bullet"/>
      <w:lvlText w:val="–"/>
      <w:lvlJc w:val="left"/>
      <w:pPr>
        <w:tabs>
          <w:tab w:val="num" w:pos="720"/>
        </w:tabs>
        <w:ind w:left="720" w:hanging="360"/>
      </w:pPr>
      <w:rPr>
        <w:rFonts w:ascii="Arial" w:hAnsi="Arial" w:hint="default"/>
      </w:rPr>
    </w:lvl>
    <w:lvl w:ilvl="1" w:tplc="694E58E6">
      <w:start w:val="1"/>
      <w:numFmt w:val="bullet"/>
      <w:lvlText w:val="–"/>
      <w:lvlJc w:val="left"/>
      <w:pPr>
        <w:tabs>
          <w:tab w:val="num" w:pos="1440"/>
        </w:tabs>
        <w:ind w:left="1440" w:hanging="360"/>
      </w:pPr>
      <w:rPr>
        <w:rFonts w:ascii="Arial" w:hAnsi="Arial" w:hint="default"/>
      </w:rPr>
    </w:lvl>
    <w:lvl w:ilvl="2" w:tplc="DEEA6668" w:tentative="1">
      <w:start w:val="1"/>
      <w:numFmt w:val="bullet"/>
      <w:lvlText w:val="–"/>
      <w:lvlJc w:val="left"/>
      <w:pPr>
        <w:tabs>
          <w:tab w:val="num" w:pos="2160"/>
        </w:tabs>
        <w:ind w:left="2160" w:hanging="360"/>
      </w:pPr>
      <w:rPr>
        <w:rFonts w:ascii="Arial" w:hAnsi="Arial" w:hint="default"/>
      </w:rPr>
    </w:lvl>
    <w:lvl w:ilvl="3" w:tplc="3522DCB6" w:tentative="1">
      <w:start w:val="1"/>
      <w:numFmt w:val="bullet"/>
      <w:lvlText w:val="–"/>
      <w:lvlJc w:val="left"/>
      <w:pPr>
        <w:tabs>
          <w:tab w:val="num" w:pos="2880"/>
        </w:tabs>
        <w:ind w:left="2880" w:hanging="360"/>
      </w:pPr>
      <w:rPr>
        <w:rFonts w:ascii="Arial" w:hAnsi="Arial" w:hint="default"/>
      </w:rPr>
    </w:lvl>
    <w:lvl w:ilvl="4" w:tplc="B4E65654" w:tentative="1">
      <w:start w:val="1"/>
      <w:numFmt w:val="bullet"/>
      <w:lvlText w:val="–"/>
      <w:lvlJc w:val="left"/>
      <w:pPr>
        <w:tabs>
          <w:tab w:val="num" w:pos="3600"/>
        </w:tabs>
        <w:ind w:left="3600" w:hanging="360"/>
      </w:pPr>
      <w:rPr>
        <w:rFonts w:ascii="Arial" w:hAnsi="Arial" w:hint="default"/>
      </w:rPr>
    </w:lvl>
    <w:lvl w:ilvl="5" w:tplc="5186DF96" w:tentative="1">
      <w:start w:val="1"/>
      <w:numFmt w:val="bullet"/>
      <w:lvlText w:val="–"/>
      <w:lvlJc w:val="left"/>
      <w:pPr>
        <w:tabs>
          <w:tab w:val="num" w:pos="4320"/>
        </w:tabs>
        <w:ind w:left="4320" w:hanging="360"/>
      </w:pPr>
      <w:rPr>
        <w:rFonts w:ascii="Arial" w:hAnsi="Arial" w:hint="default"/>
      </w:rPr>
    </w:lvl>
    <w:lvl w:ilvl="6" w:tplc="105602B2" w:tentative="1">
      <w:start w:val="1"/>
      <w:numFmt w:val="bullet"/>
      <w:lvlText w:val="–"/>
      <w:lvlJc w:val="left"/>
      <w:pPr>
        <w:tabs>
          <w:tab w:val="num" w:pos="5040"/>
        </w:tabs>
        <w:ind w:left="5040" w:hanging="360"/>
      </w:pPr>
      <w:rPr>
        <w:rFonts w:ascii="Arial" w:hAnsi="Arial" w:hint="default"/>
      </w:rPr>
    </w:lvl>
    <w:lvl w:ilvl="7" w:tplc="A6849BBC" w:tentative="1">
      <w:start w:val="1"/>
      <w:numFmt w:val="bullet"/>
      <w:lvlText w:val="–"/>
      <w:lvlJc w:val="left"/>
      <w:pPr>
        <w:tabs>
          <w:tab w:val="num" w:pos="5760"/>
        </w:tabs>
        <w:ind w:left="5760" w:hanging="360"/>
      </w:pPr>
      <w:rPr>
        <w:rFonts w:ascii="Arial" w:hAnsi="Arial" w:hint="default"/>
      </w:rPr>
    </w:lvl>
    <w:lvl w:ilvl="8" w:tplc="F6AE3A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CA544A"/>
    <w:multiLevelType w:val="singleLevel"/>
    <w:tmpl w:val="5F2EDEFC"/>
    <w:lvl w:ilvl="0">
      <w:start w:val="1"/>
      <w:numFmt w:val="decimal"/>
      <w:pStyle w:val="references0"/>
      <w:lvlText w:val="[%1]"/>
      <w:lvlJc w:val="left"/>
      <w:pPr>
        <w:tabs>
          <w:tab w:val="num" w:pos="502"/>
        </w:tabs>
        <w:ind w:left="502"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88A6859"/>
    <w:multiLevelType w:val="hybridMultilevel"/>
    <w:tmpl w:val="FC563082"/>
    <w:lvl w:ilvl="0" w:tplc="558C6AD6">
      <w:start w:val="1"/>
      <w:numFmt w:val="bullet"/>
      <w:lvlText w:val="•"/>
      <w:lvlJc w:val="left"/>
      <w:pPr>
        <w:tabs>
          <w:tab w:val="num" w:pos="720"/>
        </w:tabs>
        <w:ind w:left="720" w:hanging="360"/>
      </w:pPr>
      <w:rPr>
        <w:rFonts w:ascii="Arial" w:hAnsi="Arial" w:hint="default"/>
      </w:rPr>
    </w:lvl>
    <w:lvl w:ilvl="1" w:tplc="1B3ADB52" w:tentative="1">
      <w:start w:val="1"/>
      <w:numFmt w:val="bullet"/>
      <w:lvlText w:val="•"/>
      <w:lvlJc w:val="left"/>
      <w:pPr>
        <w:tabs>
          <w:tab w:val="num" w:pos="1440"/>
        </w:tabs>
        <w:ind w:left="1440" w:hanging="360"/>
      </w:pPr>
      <w:rPr>
        <w:rFonts w:ascii="Arial" w:hAnsi="Arial" w:hint="default"/>
      </w:rPr>
    </w:lvl>
    <w:lvl w:ilvl="2" w:tplc="9B94E9BC">
      <w:start w:val="1"/>
      <w:numFmt w:val="bullet"/>
      <w:lvlText w:val="•"/>
      <w:lvlJc w:val="left"/>
      <w:pPr>
        <w:tabs>
          <w:tab w:val="num" w:pos="2160"/>
        </w:tabs>
        <w:ind w:left="2160" w:hanging="360"/>
      </w:pPr>
      <w:rPr>
        <w:rFonts w:ascii="Arial" w:hAnsi="Arial" w:hint="default"/>
      </w:rPr>
    </w:lvl>
    <w:lvl w:ilvl="3" w:tplc="6004F8C0" w:tentative="1">
      <w:start w:val="1"/>
      <w:numFmt w:val="bullet"/>
      <w:lvlText w:val="•"/>
      <w:lvlJc w:val="left"/>
      <w:pPr>
        <w:tabs>
          <w:tab w:val="num" w:pos="2880"/>
        </w:tabs>
        <w:ind w:left="2880" w:hanging="360"/>
      </w:pPr>
      <w:rPr>
        <w:rFonts w:ascii="Arial" w:hAnsi="Arial" w:hint="default"/>
      </w:rPr>
    </w:lvl>
    <w:lvl w:ilvl="4" w:tplc="909E69AA" w:tentative="1">
      <w:start w:val="1"/>
      <w:numFmt w:val="bullet"/>
      <w:lvlText w:val="•"/>
      <w:lvlJc w:val="left"/>
      <w:pPr>
        <w:tabs>
          <w:tab w:val="num" w:pos="3600"/>
        </w:tabs>
        <w:ind w:left="3600" w:hanging="360"/>
      </w:pPr>
      <w:rPr>
        <w:rFonts w:ascii="Arial" w:hAnsi="Arial" w:hint="default"/>
      </w:rPr>
    </w:lvl>
    <w:lvl w:ilvl="5" w:tplc="04BE599A" w:tentative="1">
      <w:start w:val="1"/>
      <w:numFmt w:val="bullet"/>
      <w:lvlText w:val="•"/>
      <w:lvlJc w:val="left"/>
      <w:pPr>
        <w:tabs>
          <w:tab w:val="num" w:pos="4320"/>
        </w:tabs>
        <w:ind w:left="4320" w:hanging="360"/>
      </w:pPr>
      <w:rPr>
        <w:rFonts w:ascii="Arial" w:hAnsi="Arial" w:hint="default"/>
      </w:rPr>
    </w:lvl>
    <w:lvl w:ilvl="6" w:tplc="E3188FFA" w:tentative="1">
      <w:start w:val="1"/>
      <w:numFmt w:val="bullet"/>
      <w:lvlText w:val="•"/>
      <w:lvlJc w:val="left"/>
      <w:pPr>
        <w:tabs>
          <w:tab w:val="num" w:pos="5040"/>
        </w:tabs>
        <w:ind w:left="5040" w:hanging="360"/>
      </w:pPr>
      <w:rPr>
        <w:rFonts w:ascii="Arial" w:hAnsi="Arial" w:hint="default"/>
      </w:rPr>
    </w:lvl>
    <w:lvl w:ilvl="7" w:tplc="12407F1E" w:tentative="1">
      <w:start w:val="1"/>
      <w:numFmt w:val="bullet"/>
      <w:lvlText w:val="•"/>
      <w:lvlJc w:val="left"/>
      <w:pPr>
        <w:tabs>
          <w:tab w:val="num" w:pos="5760"/>
        </w:tabs>
        <w:ind w:left="5760" w:hanging="360"/>
      </w:pPr>
      <w:rPr>
        <w:rFonts w:ascii="Arial" w:hAnsi="Arial" w:hint="default"/>
      </w:rPr>
    </w:lvl>
    <w:lvl w:ilvl="8" w:tplc="381CE7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516CEC"/>
    <w:multiLevelType w:val="hybridMultilevel"/>
    <w:tmpl w:val="B7EC6122"/>
    <w:lvl w:ilvl="0" w:tplc="A89024C0">
      <w:start w:val="1"/>
      <w:numFmt w:val="bullet"/>
      <w:lvlText w:val="•"/>
      <w:lvlJc w:val="left"/>
      <w:pPr>
        <w:tabs>
          <w:tab w:val="num" w:pos="720"/>
        </w:tabs>
        <w:ind w:left="720" w:hanging="360"/>
      </w:pPr>
      <w:rPr>
        <w:rFonts w:ascii="Arial" w:hAnsi="Arial" w:hint="default"/>
      </w:rPr>
    </w:lvl>
    <w:lvl w:ilvl="1" w:tplc="627A6454" w:tentative="1">
      <w:start w:val="1"/>
      <w:numFmt w:val="bullet"/>
      <w:lvlText w:val="•"/>
      <w:lvlJc w:val="left"/>
      <w:pPr>
        <w:tabs>
          <w:tab w:val="num" w:pos="1440"/>
        </w:tabs>
        <w:ind w:left="1440" w:hanging="360"/>
      </w:pPr>
      <w:rPr>
        <w:rFonts w:ascii="Arial" w:hAnsi="Arial" w:hint="default"/>
      </w:rPr>
    </w:lvl>
    <w:lvl w:ilvl="2" w:tplc="65F4A098">
      <w:start w:val="1"/>
      <w:numFmt w:val="bullet"/>
      <w:lvlText w:val="•"/>
      <w:lvlJc w:val="left"/>
      <w:pPr>
        <w:tabs>
          <w:tab w:val="num" w:pos="2160"/>
        </w:tabs>
        <w:ind w:left="2160" w:hanging="360"/>
      </w:pPr>
      <w:rPr>
        <w:rFonts w:ascii="Arial" w:hAnsi="Arial" w:hint="default"/>
      </w:rPr>
    </w:lvl>
    <w:lvl w:ilvl="3" w:tplc="85AEE9C2" w:tentative="1">
      <w:start w:val="1"/>
      <w:numFmt w:val="bullet"/>
      <w:lvlText w:val="•"/>
      <w:lvlJc w:val="left"/>
      <w:pPr>
        <w:tabs>
          <w:tab w:val="num" w:pos="2880"/>
        </w:tabs>
        <w:ind w:left="2880" w:hanging="360"/>
      </w:pPr>
      <w:rPr>
        <w:rFonts w:ascii="Arial" w:hAnsi="Arial" w:hint="default"/>
      </w:rPr>
    </w:lvl>
    <w:lvl w:ilvl="4" w:tplc="68B8D98A" w:tentative="1">
      <w:start w:val="1"/>
      <w:numFmt w:val="bullet"/>
      <w:lvlText w:val="•"/>
      <w:lvlJc w:val="left"/>
      <w:pPr>
        <w:tabs>
          <w:tab w:val="num" w:pos="3600"/>
        </w:tabs>
        <w:ind w:left="3600" w:hanging="360"/>
      </w:pPr>
      <w:rPr>
        <w:rFonts w:ascii="Arial" w:hAnsi="Arial" w:hint="default"/>
      </w:rPr>
    </w:lvl>
    <w:lvl w:ilvl="5" w:tplc="16901A1C" w:tentative="1">
      <w:start w:val="1"/>
      <w:numFmt w:val="bullet"/>
      <w:lvlText w:val="•"/>
      <w:lvlJc w:val="left"/>
      <w:pPr>
        <w:tabs>
          <w:tab w:val="num" w:pos="4320"/>
        </w:tabs>
        <w:ind w:left="4320" w:hanging="360"/>
      </w:pPr>
      <w:rPr>
        <w:rFonts w:ascii="Arial" w:hAnsi="Arial" w:hint="default"/>
      </w:rPr>
    </w:lvl>
    <w:lvl w:ilvl="6" w:tplc="E68A0074" w:tentative="1">
      <w:start w:val="1"/>
      <w:numFmt w:val="bullet"/>
      <w:lvlText w:val="•"/>
      <w:lvlJc w:val="left"/>
      <w:pPr>
        <w:tabs>
          <w:tab w:val="num" w:pos="5040"/>
        </w:tabs>
        <w:ind w:left="5040" w:hanging="360"/>
      </w:pPr>
      <w:rPr>
        <w:rFonts w:ascii="Arial" w:hAnsi="Arial" w:hint="default"/>
      </w:rPr>
    </w:lvl>
    <w:lvl w:ilvl="7" w:tplc="BCC08328" w:tentative="1">
      <w:start w:val="1"/>
      <w:numFmt w:val="bullet"/>
      <w:lvlText w:val="•"/>
      <w:lvlJc w:val="left"/>
      <w:pPr>
        <w:tabs>
          <w:tab w:val="num" w:pos="5760"/>
        </w:tabs>
        <w:ind w:left="5760" w:hanging="360"/>
      </w:pPr>
      <w:rPr>
        <w:rFonts w:ascii="Arial" w:hAnsi="Arial" w:hint="default"/>
      </w:rPr>
    </w:lvl>
    <w:lvl w:ilvl="8" w:tplc="27E4C0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342683"/>
    <w:multiLevelType w:val="hybridMultilevel"/>
    <w:tmpl w:val="4AC267E8"/>
    <w:lvl w:ilvl="0" w:tplc="B59007C2">
      <w:start w:val="1"/>
      <w:numFmt w:val="bullet"/>
      <w:lvlText w:val="•"/>
      <w:lvlJc w:val="left"/>
      <w:pPr>
        <w:tabs>
          <w:tab w:val="num" w:pos="720"/>
        </w:tabs>
        <w:ind w:left="720" w:hanging="360"/>
      </w:pPr>
      <w:rPr>
        <w:rFonts w:ascii="Arial" w:hAnsi="Arial" w:hint="default"/>
      </w:rPr>
    </w:lvl>
    <w:lvl w:ilvl="1" w:tplc="1A98A4EE" w:tentative="1">
      <w:start w:val="1"/>
      <w:numFmt w:val="bullet"/>
      <w:lvlText w:val="•"/>
      <w:lvlJc w:val="left"/>
      <w:pPr>
        <w:tabs>
          <w:tab w:val="num" w:pos="1440"/>
        </w:tabs>
        <w:ind w:left="1440" w:hanging="360"/>
      </w:pPr>
      <w:rPr>
        <w:rFonts w:ascii="Arial" w:hAnsi="Arial" w:hint="default"/>
      </w:rPr>
    </w:lvl>
    <w:lvl w:ilvl="2" w:tplc="B67E6D7A">
      <w:start w:val="1"/>
      <w:numFmt w:val="bullet"/>
      <w:lvlText w:val="•"/>
      <w:lvlJc w:val="left"/>
      <w:pPr>
        <w:tabs>
          <w:tab w:val="num" w:pos="2160"/>
        </w:tabs>
        <w:ind w:left="2160" w:hanging="360"/>
      </w:pPr>
      <w:rPr>
        <w:rFonts w:ascii="Arial" w:hAnsi="Arial" w:hint="default"/>
      </w:rPr>
    </w:lvl>
    <w:lvl w:ilvl="3" w:tplc="7286F098" w:tentative="1">
      <w:start w:val="1"/>
      <w:numFmt w:val="bullet"/>
      <w:lvlText w:val="•"/>
      <w:lvlJc w:val="left"/>
      <w:pPr>
        <w:tabs>
          <w:tab w:val="num" w:pos="2880"/>
        </w:tabs>
        <w:ind w:left="2880" w:hanging="360"/>
      </w:pPr>
      <w:rPr>
        <w:rFonts w:ascii="Arial" w:hAnsi="Arial" w:hint="default"/>
      </w:rPr>
    </w:lvl>
    <w:lvl w:ilvl="4" w:tplc="AEA6B49C" w:tentative="1">
      <w:start w:val="1"/>
      <w:numFmt w:val="bullet"/>
      <w:lvlText w:val="•"/>
      <w:lvlJc w:val="left"/>
      <w:pPr>
        <w:tabs>
          <w:tab w:val="num" w:pos="3600"/>
        </w:tabs>
        <w:ind w:left="3600" w:hanging="360"/>
      </w:pPr>
      <w:rPr>
        <w:rFonts w:ascii="Arial" w:hAnsi="Arial" w:hint="default"/>
      </w:rPr>
    </w:lvl>
    <w:lvl w:ilvl="5" w:tplc="526C6DE6" w:tentative="1">
      <w:start w:val="1"/>
      <w:numFmt w:val="bullet"/>
      <w:lvlText w:val="•"/>
      <w:lvlJc w:val="left"/>
      <w:pPr>
        <w:tabs>
          <w:tab w:val="num" w:pos="4320"/>
        </w:tabs>
        <w:ind w:left="4320" w:hanging="360"/>
      </w:pPr>
      <w:rPr>
        <w:rFonts w:ascii="Arial" w:hAnsi="Arial" w:hint="default"/>
      </w:rPr>
    </w:lvl>
    <w:lvl w:ilvl="6" w:tplc="B136D00E" w:tentative="1">
      <w:start w:val="1"/>
      <w:numFmt w:val="bullet"/>
      <w:lvlText w:val="•"/>
      <w:lvlJc w:val="left"/>
      <w:pPr>
        <w:tabs>
          <w:tab w:val="num" w:pos="5040"/>
        </w:tabs>
        <w:ind w:left="5040" w:hanging="360"/>
      </w:pPr>
      <w:rPr>
        <w:rFonts w:ascii="Arial" w:hAnsi="Arial" w:hint="default"/>
      </w:rPr>
    </w:lvl>
    <w:lvl w:ilvl="7" w:tplc="4D7E4B4A" w:tentative="1">
      <w:start w:val="1"/>
      <w:numFmt w:val="bullet"/>
      <w:lvlText w:val="•"/>
      <w:lvlJc w:val="left"/>
      <w:pPr>
        <w:tabs>
          <w:tab w:val="num" w:pos="5760"/>
        </w:tabs>
        <w:ind w:left="5760" w:hanging="360"/>
      </w:pPr>
      <w:rPr>
        <w:rFonts w:ascii="Arial" w:hAnsi="Arial" w:hint="default"/>
      </w:rPr>
    </w:lvl>
    <w:lvl w:ilvl="8" w:tplc="B9B269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D13C51"/>
    <w:multiLevelType w:val="hybridMultilevel"/>
    <w:tmpl w:val="B2064358"/>
    <w:lvl w:ilvl="0" w:tplc="B450F3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415B45"/>
    <w:multiLevelType w:val="hybridMultilevel"/>
    <w:tmpl w:val="642C7580"/>
    <w:lvl w:ilvl="0" w:tplc="2B5828E4">
      <w:start w:val="1"/>
      <w:numFmt w:val="bullet"/>
      <w:lvlText w:val="•"/>
      <w:lvlJc w:val="left"/>
      <w:pPr>
        <w:tabs>
          <w:tab w:val="num" w:pos="720"/>
        </w:tabs>
        <w:ind w:left="720" w:hanging="360"/>
      </w:pPr>
      <w:rPr>
        <w:rFonts w:ascii="Arial" w:hAnsi="Arial" w:hint="default"/>
      </w:rPr>
    </w:lvl>
    <w:lvl w:ilvl="1" w:tplc="29E49964" w:tentative="1">
      <w:start w:val="1"/>
      <w:numFmt w:val="bullet"/>
      <w:lvlText w:val="•"/>
      <w:lvlJc w:val="left"/>
      <w:pPr>
        <w:tabs>
          <w:tab w:val="num" w:pos="1440"/>
        </w:tabs>
        <w:ind w:left="1440" w:hanging="360"/>
      </w:pPr>
      <w:rPr>
        <w:rFonts w:ascii="Arial" w:hAnsi="Arial" w:hint="default"/>
      </w:rPr>
    </w:lvl>
    <w:lvl w:ilvl="2" w:tplc="076E75D8">
      <w:start w:val="1"/>
      <w:numFmt w:val="bullet"/>
      <w:lvlText w:val="•"/>
      <w:lvlJc w:val="left"/>
      <w:pPr>
        <w:tabs>
          <w:tab w:val="num" w:pos="2160"/>
        </w:tabs>
        <w:ind w:left="2160" w:hanging="360"/>
      </w:pPr>
      <w:rPr>
        <w:rFonts w:ascii="Arial" w:hAnsi="Arial" w:hint="default"/>
      </w:rPr>
    </w:lvl>
    <w:lvl w:ilvl="3" w:tplc="3A8A12CA" w:tentative="1">
      <w:start w:val="1"/>
      <w:numFmt w:val="bullet"/>
      <w:lvlText w:val="•"/>
      <w:lvlJc w:val="left"/>
      <w:pPr>
        <w:tabs>
          <w:tab w:val="num" w:pos="2880"/>
        </w:tabs>
        <w:ind w:left="2880" w:hanging="360"/>
      </w:pPr>
      <w:rPr>
        <w:rFonts w:ascii="Arial" w:hAnsi="Arial" w:hint="default"/>
      </w:rPr>
    </w:lvl>
    <w:lvl w:ilvl="4" w:tplc="43AC7FC6" w:tentative="1">
      <w:start w:val="1"/>
      <w:numFmt w:val="bullet"/>
      <w:lvlText w:val="•"/>
      <w:lvlJc w:val="left"/>
      <w:pPr>
        <w:tabs>
          <w:tab w:val="num" w:pos="3600"/>
        </w:tabs>
        <w:ind w:left="3600" w:hanging="360"/>
      </w:pPr>
      <w:rPr>
        <w:rFonts w:ascii="Arial" w:hAnsi="Arial" w:hint="default"/>
      </w:rPr>
    </w:lvl>
    <w:lvl w:ilvl="5" w:tplc="3A6E01FA" w:tentative="1">
      <w:start w:val="1"/>
      <w:numFmt w:val="bullet"/>
      <w:lvlText w:val="•"/>
      <w:lvlJc w:val="left"/>
      <w:pPr>
        <w:tabs>
          <w:tab w:val="num" w:pos="4320"/>
        </w:tabs>
        <w:ind w:left="4320" w:hanging="360"/>
      </w:pPr>
      <w:rPr>
        <w:rFonts w:ascii="Arial" w:hAnsi="Arial" w:hint="default"/>
      </w:rPr>
    </w:lvl>
    <w:lvl w:ilvl="6" w:tplc="46AE0C54" w:tentative="1">
      <w:start w:val="1"/>
      <w:numFmt w:val="bullet"/>
      <w:lvlText w:val="•"/>
      <w:lvlJc w:val="left"/>
      <w:pPr>
        <w:tabs>
          <w:tab w:val="num" w:pos="5040"/>
        </w:tabs>
        <w:ind w:left="5040" w:hanging="360"/>
      </w:pPr>
      <w:rPr>
        <w:rFonts w:ascii="Arial" w:hAnsi="Arial" w:hint="default"/>
      </w:rPr>
    </w:lvl>
    <w:lvl w:ilvl="7" w:tplc="32F6521C" w:tentative="1">
      <w:start w:val="1"/>
      <w:numFmt w:val="bullet"/>
      <w:lvlText w:val="•"/>
      <w:lvlJc w:val="left"/>
      <w:pPr>
        <w:tabs>
          <w:tab w:val="num" w:pos="5760"/>
        </w:tabs>
        <w:ind w:left="5760" w:hanging="360"/>
      </w:pPr>
      <w:rPr>
        <w:rFonts w:ascii="Arial" w:hAnsi="Arial" w:hint="default"/>
      </w:rPr>
    </w:lvl>
    <w:lvl w:ilvl="8" w:tplc="581C8F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ED18BC"/>
    <w:multiLevelType w:val="multilevel"/>
    <w:tmpl w:val="F62E0A7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0"/>
  </w:num>
  <w:num w:numId="4">
    <w:abstractNumId w:val="9"/>
  </w:num>
  <w:num w:numId="5">
    <w:abstractNumId w:val="12"/>
  </w:num>
  <w:num w:numId="6">
    <w:abstractNumId w:val="7"/>
  </w:num>
  <w:num w:numId="7">
    <w:abstractNumId w:val="2"/>
  </w:num>
  <w:num w:numId="8">
    <w:abstractNumId w:val="11"/>
  </w:num>
  <w:num w:numId="9">
    <w:abstractNumId w:val="4"/>
  </w:num>
  <w:num w:numId="10">
    <w:abstractNumId w:val="13"/>
  </w:num>
  <w:num w:numId="11">
    <w:abstractNumId w:val="10"/>
  </w:num>
  <w:num w:numId="12">
    <w:abstractNumId w:val="8"/>
  </w:num>
  <w:num w:numId="13">
    <w:abstractNumId w:val="5"/>
  </w:num>
  <w:num w:numId="14">
    <w:abstractNumId w:val="1"/>
  </w:num>
  <w:num w:numId="15">
    <w:abstractNumId w:val="15"/>
  </w:num>
  <w:num w:numId="1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7CB"/>
    <w:rsid w:val="00007F8F"/>
    <w:rsid w:val="00013815"/>
    <w:rsid w:val="00014BB9"/>
    <w:rsid w:val="00016AD3"/>
    <w:rsid w:val="000172B0"/>
    <w:rsid w:val="00020D36"/>
    <w:rsid w:val="0002238F"/>
    <w:rsid w:val="000259ED"/>
    <w:rsid w:val="00025EE0"/>
    <w:rsid w:val="00031C71"/>
    <w:rsid w:val="00035BF7"/>
    <w:rsid w:val="00043A6F"/>
    <w:rsid w:val="00045914"/>
    <w:rsid w:val="00045AD9"/>
    <w:rsid w:val="00054C8D"/>
    <w:rsid w:val="00062BCA"/>
    <w:rsid w:val="000664D2"/>
    <w:rsid w:val="00066D31"/>
    <w:rsid w:val="000742D2"/>
    <w:rsid w:val="000743CC"/>
    <w:rsid w:val="000755F4"/>
    <w:rsid w:val="000767D1"/>
    <w:rsid w:val="00081D4E"/>
    <w:rsid w:val="000955C7"/>
    <w:rsid w:val="000B0EB2"/>
    <w:rsid w:val="000B2F29"/>
    <w:rsid w:val="000B795D"/>
    <w:rsid w:val="000C135D"/>
    <w:rsid w:val="000C1B96"/>
    <w:rsid w:val="000C6707"/>
    <w:rsid w:val="000D0528"/>
    <w:rsid w:val="000D12E8"/>
    <w:rsid w:val="000D2E2E"/>
    <w:rsid w:val="000D4B98"/>
    <w:rsid w:val="000D5A0B"/>
    <w:rsid w:val="000D6A9F"/>
    <w:rsid w:val="000D704A"/>
    <w:rsid w:val="000D7B65"/>
    <w:rsid w:val="000F1011"/>
    <w:rsid w:val="000F272D"/>
    <w:rsid w:val="000F527A"/>
    <w:rsid w:val="000F610B"/>
    <w:rsid w:val="000F7C4B"/>
    <w:rsid w:val="00101FE6"/>
    <w:rsid w:val="00104531"/>
    <w:rsid w:val="00107B01"/>
    <w:rsid w:val="00114B65"/>
    <w:rsid w:val="001223A2"/>
    <w:rsid w:val="00123AE8"/>
    <w:rsid w:val="001305D0"/>
    <w:rsid w:val="00130965"/>
    <w:rsid w:val="0013348F"/>
    <w:rsid w:val="00133AFA"/>
    <w:rsid w:val="00134652"/>
    <w:rsid w:val="001376E5"/>
    <w:rsid w:val="00141B33"/>
    <w:rsid w:val="001429F0"/>
    <w:rsid w:val="001442C4"/>
    <w:rsid w:val="001443C0"/>
    <w:rsid w:val="00146A92"/>
    <w:rsid w:val="00147858"/>
    <w:rsid w:val="00151210"/>
    <w:rsid w:val="0015152D"/>
    <w:rsid w:val="001536BE"/>
    <w:rsid w:val="00154722"/>
    <w:rsid w:val="00180175"/>
    <w:rsid w:val="00181D83"/>
    <w:rsid w:val="0018454E"/>
    <w:rsid w:val="00187E9C"/>
    <w:rsid w:val="001914A1"/>
    <w:rsid w:val="001936FF"/>
    <w:rsid w:val="00193A24"/>
    <w:rsid w:val="0019464F"/>
    <w:rsid w:val="001B0976"/>
    <w:rsid w:val="001B14D9"/>
    <w:rsid w:val="001B1729"/>
    <w:rsid w:val="001B187A"/>
    <w:rsid w:val="001B1F29"/>
    <w:rsid w:val="001B4042"/>
    <w:rsid w:val="001B568A"/>
    <w:rsid w:val="001B5FB5"/>
    <w:rsid w:val="001C0B63"/>
    <w:rsid w:val="001C3271"/>
    <w:rsid w:val="001C3D46"/>
    <w:rsid w:val="001C5685"/>
    <w:rsid w:val="001C5831"/>
    <w:rsid w:val="001C5ED3"/>
    <w:rsid w:val="001E2C0C"/>
    <w:rsid w:val="001E2F83"/>
    <w:rsid w:val="001E56B9"/>
    <w:rsid w:val="001E6BA0"/>
    <w:rsid w:val="001F3DD1"/>
    <w:rsid w:val="00201558"/>
    <w:rsid w:val="00202B9F"/>
    <w:rsid w:val="00203B34"/>
    <w:rsid w:val="002102DB"/>
    <w:rsid w:val="00210759"/>
    <w:rsid w:val="0021181B"/>
    <w:rsid w:val="00214F9A"/>
    <w:rsid w:val="00215E74"/>
    <w:rsid w:val="00217250"/>
    <w:rsid w:val="002216F9"/>
    <w:rsid w:val="00222F2F"/>
    <w:rsid w:val="00223A68"/>
    <w:rsid w:val="0023115F"/>
    <w:rsid w:val="0023288C"/>
    <w:rsid w:val="00234E6F"/>
    <w:rsid w:val="0023773C"/>
    <w:rsid w:val="00241F75"/>
    <w:rsid w:val="00245FF6"/>
    <w:rsid w:val="00255180"/>
    <w:rsid w:val="00256371"/>
    <w:rsid w:val="00257033"/>
    <w:rsid w:val="002614B4"/>
    <w:rsid w:val="002727D2"/>
    <w:rsid w:val="0027300C"/>
    <w:rsid w:val="002747B6"/>
    <w:rsid w:val="002754CA"/>
    <w:rsid w:val="00277432"/>
    <w:rsid w:val="00277B09"/>
    <w:rsid w:val="00281BD9"/>
    <w:rsid w:val="00286D1A"/>
    <w:rsid w:val="002958B8"/>
    <w:rsid w:val="00295FF5"/>
    <w:rsid w:val="002A381B"/>
    <w:rsid w:val="002B3867"/>
    <w:rsid w:val="002C0822"/>
    <w:rsid w:val="002D2C8D"/>
    <w:rsid w:val="002D3A36"/>
    <w:rsid w:val="002F0D2C"/>
    <w:rsid w:val="002F0F47"/>
    <w:rsid w:val="002F5E00"/>
    <w:rsid w:val="0030018C"/>
    <w:rsid w:val="00301EF0"/>
    <w:rsid w:val="003032A2"/>
    <w:rsid w:val="0030480B"/>
    <w:rsid w:val="00304D09"/>
    <w:rsid w:val="00305D2F"/>
    <w:rsid w:val="003073D7"/>
    <w:rsid w:val="003114B1"/>
    <w:rsid w:val="00311B6F"/>
    <w:rsid w:val="00312C47"/>
    <w:rsid w:val="003152F5"/>
    <w:rsid w:val="00321779"/>
    <w:rsid w:val="0032513D"/>
    <w:rsid w:val="0033029D"/>
    <w:rsid w:val="003316DB"/>
    <w:rsid w:val="00341DB4"/>
    <w:rsid w:val="00344D9F"/>
    <w:rsid w:val="00346D8B"/>
    <w:rsid w:val="0035259B"/>
    <w:rsid w:val="00357026"/>
    <w:rsid w:val="00360886"/>
    <w:rsid w:val="0036438E"/>
    <w:rsid w:val="003643E6"/>
    <w:rsid w:val="003654A9"/>
    <w:rsid w:val="00373AC4"/>
    <w:rsid w:val="00373E84"/>
    <w:rsid w:val="0038324A"/>
    <w:rsid w:val="00385A1E"/>
    <w:rsid w:val="00386AC2"/>
    <w:rsid w:val="00386BCB"/>
    <w:rsid w:val="00386FC3"/>
    <w:rsid w:val="00387726"/>
    <w:rsid w:val="0039102B"/>
    <w:rsid w:val="0039190C"/>
    <w:rsid w:val="00393AAF"/>
    <w:rsid w:val="003A0169"/>
    <w:rsid w:val="003A2FF3"/>
    <w:rsid w:val="003A33EB"/>
    <w:rsid w:val="003A7060"/>
    <w:rsid w:val="003B031E"/>
    <w:rsid w:val="003B339D"/>
    <w:rsid w:val="003B6F16"/>
    <w:rsid w:val="003C0EA5"/>
    <w:rsid w:val="003C273A"/>
    <w:rsid w:val="003C2B56"/>
    <w:rsid w:val="003C5C62"/>
    <w:rsid w:val="003D338A"/>
    <w:rsid w:val="003D4C18"/>
    <w:rsid w:val="003E656F"/>
    <w:rsid w:val="003F1BDA"/>
    <w:rsid w:val="003F3B28"/>
    <w:rsid w:val="003F413A"/>
    <w:rsid w:val="003F43A3"/>
    <w:rsid w:val="003F59A4"/>
    <w:rsid w:val="003F79F9"/>
    <w:rsid w:val="00400E9F"/>
    <w:rsid w:val="004017A6"/>
    <w:rsid w:val="004038A3"/>
    <w:rsid w:val="004040D7"/>
    <w:rsid w:val="00404374"/>
    <w:rsid w:val="00405807"/>
    <w:rsid w:val="004139A1"/>
    <w:rsid w:val="0041571D"/>
    <w:rsid w:val="00417792"/>
    <w:rsid w:val="00421777"/>
    <w:rsid w:val="00423DC5"/>
    <w:rsid w:val="004309D3"/>
    <w:rsid w:val="00430B26"/>
    <w:rsid w:val="00441C83"/>
    <w:rsid w:val="00443271"/>
    <w:rsid w:val="0044461F"/>
    <w:rsid w:val="0044470E"/>
    <w:rsid w:val="00446815"/>
    <w:rsid w:val="0045075A"/>
    <w:rsid w:val="00455485"/>
    <w:rsid w:val="00456016"/>
    <w:rsid w:val="00460352"/>
    <w:rsid w:val="00461D21"/>
    <w:rsid w:val="00463224"/>
    <w:rsid w:val="00463922"/>
    <w:rsid w:val="00465355"/>
    <w:rsid w:val="00470EF6"/>
    <w:rsid w:val="00471916"/>
    <w:rsid w:val="00471AFD"/>
    <w:rsid w:val="0047233E"/>
    <w:rsid w:val="00472417"/>
    <w:rsid w:val="004733C8"/>
    <w:rsid w:val="004753DD"/>
    <w:rsid w:val="004757B4"/>
    <w:rsid w:val="0048468B"/>
    <w:rsid w:val="00496652"/>
    <w:rsid w:val="004970F9"/>
    <w:rsid w:val="004A0BEE"/>
    <w:rsid w:val="004B08A2"/>
    <w:rsid w:val="004B43E5"/>
    <w:rsid w:val="004B4973"/>
    <w:rsid w:val="004B66EC"/>
    <w:rsid w:val="004B721C"/>
    <w:rsid w:val="004C6B9B"/>
    <w:rsid w:val="004C7A76"/>
    <w:rsid w:val="004D0A58"/>
    <w:rsid w:val="004D0ADC"/>
    <w:rsid w:val="004D1351"/>
    <w:rsid w:val="004E0C7A"/>
    <w:rsid w:val="004E24E2"/>
    <w:rsid w:val="004E2752"/>
    <w:rsid w:val="004E2E4C"/>
    <w:rsid w:val="004E43C6"/>
    <w:rsid w:val="004E50D1"/>
    <w:rsid w:val="004E6817"/>
    <w:rsid w:val="004E6CF1"/>
    <w:rsid w:val="004F02B7"/>
    <w:rsid w:val="004F15CD"/>
    <w:rsid w:val="004F1F97"/>
    <w:rsid w:val="004F20C2"/>
    <w:rsid w:val="004F71E4"/>
    <w:rsid w:val="004F7454"/>
    <w:rsid w:val="00501B32"/>
    <w:rsid w:val="00501C35"/>
    <w:rsid w:val="0050235A"/>
    <w:rsid w:val="00504420"/>
    <w:rsid w:val="0050559C"/>
    <w:rsid w:val="00506232"/>
    <w:rsid w:val="005068F2"/>
    <w:rsid w:val="00510C21"/>
    <w:rsid w:val="00512ADF"/>
    <w:rsid w:val="005166F1"/>
    <w:rsid w:val="00517097"/>
    <w:rsid w:val="0052038B"/>
    <w:rsid w:val="00521B92"/>
    <w:rsid w:val="00523D61"/>
    <w:rsid w:val="005265B9"/>
    <w:rsid w:val="00530A41"/>
    <w:rsid w:val="0053281C"/>
    <w:rsid w:val="00537972"/>
    <w:rsid w:val="00540FE0"/>
    <w:rsid w:val="00546AB1"/>
    <w:rsid w:val="00550F62"/>
    <w:rsid w:val="005558DD"/>
    <w:rsid w:val="00556E8E"/>
    <w:rsid w:val="00563DDC"/>
    <w:rsid w:val="00564946"/>
    <w:rsid w:val="00565782"/>
    <w:rsid w:val="00573C44"/>
    <w:rsid w:val="00574697"/>
    <w:rsid w:val="00574B35"/>
    <w:rsid w:val="00583753"/>
    <w:rsid w:val="00584B6C"/>
    <w:rsid w:val="005867B8"/>
    <w:rsid w:val="00587CF9"/>
    <w:rsid w:val="00590669"/>
    <w:rsid w:val="00591CCE"/>
    <w:rsid w:val="00594A1E"/>
    <w:rsid w:val="00595FBA"/>
    <w:rsid w:val="00596A1D"/>
    <w:rsid w:val="005A1584"/>
    <w:rsid w:val="005A399F"/>
    <w:rsid w:val="005A5904"/>
    <w:rsid w:val="005B069B"/>
    <w:rsid w:val="005B2EFE"/>
    <w:rsid w:val="005B7651"/>
    <w:rsid w:val="005C2D79"/>
    <w:rsid w:val="005D280E"/>
    <w:rsid w:val="005D67B2"/>
    <w:rsid w:val="005D76FD"/>
    <w:rsid w:val="005E27AD"/>
    <w:rsid w:val="005E40F7"/>
    <w:rsid w:val="005E594A"/>
    <w:rsid w:val="005E73ED"/>
    <w:rsid w:val="005E7FBF"/>
    <w:rsid w:val="005F2842"/>
    <w:rsid w:val="005F4E00"/>
    <w:rsid w:val="005F5923"/>
    <w:rsid w:val="0060183A"/>
    <w:rsid w:val="00602FE6"/>
    <w:rsid w:val="006060CE"/>
    <w:rsid w:val="006064EF"/>
    <w:rsid w:val="0061350C"/>
    <w:rsid w:val="00626D98"/>
    <w:rsid w:val="00626F49"/>
    <w:rsid w:val="00631680"/>
    <w:rsid w:val="006317EE"/>
    <w:rsid w:val="006336C9"/>
    <w:rsid w:val="00634397"/>
    <w:rsid w:val="006346CF"/>
    <w:rsid w:val="0064371C"/>
    <w:rsid w:val="00643967"/>
    <w:rsid w:val="00646DDD"/>
    <w:rsid w:val="00650D08"/>
    <w:rsid w:val="00655F0E"/>
    <w:rsid w:val="00656D2F"/>
    <w:rsid w:val="00657FA4"/>
    <w:rsid w:val="00660326"/>
    <w:rsid w:val="006612BD"/>
    <w:rsid w:val="00662FBB"/>
    <w:rsid w:val="0066394B"/>
    <w:rsid w:val="00664494"/>
    <w:rsid w:val="00664AA7"/>
    <w:rsid w:val="00664E2F"/>
    <w:rsid w:val="006657A1"/>
    <w:rsid w:val="0066742C"/>
    <w:rsid w:val="006702D7"/>
    <w:rsid w:val="006726ED"/>
    <w:rsid w:val="00672CBA"/>
    <w:rsid w:val="006743D1"/>
    <w:rsid w:val="00674C5A"/>
    <w:rsid w:val="00675317"/>
    <w:rsid w:val="006756C2"/>
    <w:rsid w:val="006762AC"/>
    <w:rsid w:val="006815A6"/>
    <w:rsid w:val="006850F2"/>
    <w:rsid w:val="00685BA3"/>
    <w:rsid w:val="00687A90"/>
    <w:rsid w:val="006911E2"/>
    <w:rsid w:val="0069684B"/>
    <w:rsid w:val="006A1411"/>
    <w:rsid w:val="006A2514"/>
    <w:rsid w:val="006A2795"/>
    <w:rsid w:val="006A2A13"/>
    <w:rsid w:val="006A580E"/>
    <w:rsid w:val="006A5A0C"/>
    <w:rsid w:val="006B106F"/>
    <w:rsid w:val="006B43C8"/>
    <w:rsid w:val="006B44A6"/>
    <w:rsid w:val="006C44EA"/>
    <w:rsid w:val="006C5979"/>
    <w:rsid w:val="006D1CF4"/>
    <w:rsid w:val="006D6785"/>
    <w:rsid w:val="006E0802"/>
    <w:rsid w:val="006E225B"/>
    <w:rsid w:val="006E2A87"/>
    <w:rsid w:val="006F22E1"/>
    <w:rsid w:val="006F610B"/>
    <w:rsid w:val="006F7436"/>
    <w:rsid w:val="006F7E65"/>
    <w:rsid w:val="007011CD"/>
    <w:rsid w:val="00702C2B"/>
    <w:rsid w:val="00703A17"/>
    <w:rsid w:val="00704B06"/>
    <w:rsid w:val="00705DF3"/>
    <w:rsid w:val="00710E82"/>
    <w:rsid w:val="0071235D"/>
    <w:rsid w:val="00712B1E"/>
    <w:rsid w:val="0071642D"/>
    <w:rsid w:val="00717B46"/>
    <w:rsid w:val="00721D2F"/>
    <w:rsid w:val="00722DE2"/>
    <w:rsid w:val="00723700"/>
    <w:rsid w:val="0072793D"/>
    <w:rsid w:val="0073432B"/>
    <w:rsid w:val="00734B9C"/>
    <w:rsid w:val="007374C8"/>
    <w:rsid w:val="00741A06"/>
    <w:rsid w:val="00743DD8"/>
    <w:rsid w:val="007456A3"/>
    <w:rsid w:val="00752A81"/>
    <w:rsid w:val="00753DB2"/>
    <w:rsid w:val="00755296"/>
    <w:rsid w:val="00761510"/>
    <w:rsid w:val="007633B3"/>
    <w:rsid w:val="0076375A"/>
    <w:rsid w:val="0076525C"/>
    <w:rsid w:val="00766853"/>
    <w:rsid w:val="00767BFA"/>
    <w:rsid w:val="00774F48"/>
    <w:rsid w:val="00780854"/>
    <w:rsid w:val="00783792"/>
    <w:rsid w:val="007858D5"/>
    <w:rsid w:val="007933E9"/>
    <w:rsid w:val="0079419E"/>
    <w:rsid w:val="00797B9C"/>
    <w:rsid w:val="007A1A40"/>
    <w:rsid w:val="007A2015"/>
    <w:rsid w:val="007A25FF"/>
    <w:rsid w:val="007A26F7"/>
    <w:rsid w:val="007A368E"/>
    <w:rsid w:val="007A7E3D"/>
    <w:rsid w:val="007B5113"/>
    <w:rsid w:val="007C0720"/>
    <w:rsid w:val="007C4387"/>
    <w:rsid w:val="007D0E49"/>
    <w:rsid w:val="007D3282"/>
    <w:rsid w:val="007D46A3"/>
    <w:rsid w:val="007D5108"/>
    <w:rsid w:val="007D5B1D"/>
    <w:rsid w:val="007D5FE4"/>
    <w:rsid w:val="007D611A"/>
    <w:rsid w:val="007E1765"/>
    <w:rsid w:val="0080166B"/>
    <w:rsid w:val="008026FC"/>
    <w:rsid w:val="00805351"/>
    <w:rsid w:val="008071C4"/>
    <w:rsid w:val="0080791F"/>
    <w:rsid w:val="00812461"/>
    <w:rsid w:val="00816A5F"/>
    <w:rsid w:val="00820C65"/>
    <w:rsid w:val="0082105A"/>
    <w:rsid w:val="008231B3"/>
    <w:rsid w:val="00824349"/>
    <w:rsid w:val="00824464"/>
    <w:rsid w:val="008247F5"/>
    <w:rsid w:val="008262FA"/>
    <w:rsid w:val="00832265"/>
    <w:rsid w:val="008333BE"/>
    <w:rsid w:val="00835B35"/>
    <w:rsid w:val="00836DE6"/>
    <w:rsid w:val="00845A03"/>
    <w:rsid w:val="00846AB0"/>
    <w:rsid w:val="00846DC9"/>
    <w:rsid w:val="008546D4"/>
    <w:rsid w:val="00856150"/>
    <w:rsid w:val="0085689F"/>
    <w:rsid w:val="008573D1"/>
    <w:rsid w:val="00857ED4"/>
    <w:rsid w:val="00861280"/>
    <w:rsid w:val="00865318"/>
    <w:rsid w:val="00880F48"/>
    <w:rsid w:val="00882762"/>
    <w:rsid w:val="008828EE"/>
    <w:rsid w:val="00885808"/>
    <w:rsid w:val="00891011"/>
    <w:rsid w:val="00891044"/>
    <w:rsid w:val="00895ED7"/>
    <w:rsid w:val="008A3DEC"/>
    <w:rsid w:val="008A5A6B"/>
    <w:rsid w:val="008A6D04"/>
    <w:rsid w:val="008B155A"/>
    <w:rsid w:val="008B1EC7"/>
    <w:rsid w:val="008B6455"/>
    <w:rsid w:val="008B6D55"/>
    <w:rsid w:val="008B7AD3"/>
    <w:rsid w:val="008B7E06"/>
    <w:rsid w:val="008C47A5"/>
    <w:rsid w:val="008C63BA"/>
    <w:rsid w:val="008C678B"/>
    <w:rsid w:val="008D064F"/>
    <w:rsid w:val="008D20C3"/>
    <w:rsid w:val="008E313C"/>
    <w:rsid w:val="008F1D99"/>
    <w:rsid w:val="008F440D"/>
    <w:rsid w:val="008F6157"/>
    <w:rsid w:val="009022F8"/>
    <w:rsid w:val="00913B2D"/>
    <w:rsid w:val="00921729"/>
    <w:rsid w:val="0092349A"/>
    <w:rsid w:val="00924F55"/>
    <w:rsid w:val="00931B88"/>
    <w:rsid w:val="00932B6F"/>
    <w:rsid w:val="009351DF"/>
    <w:rsid w:val="00945951"/>
    <w:rsid w:val="00947386"/>
    <w:rsid w:val="00954A41"/>
    <w:rsid w:val="00961610"/>
    <w:rsid w:val="0096173C"/>
    <w:rsid w:val="00966F47"/>
    <w:rsid w:val="00971BD6"/>
    <w:rsid w:val="00976509"/>
    <w:rsid w:val="009766F0"/>
    <w:rsid w:val="00981FAD"/>
    <w:rsid w:val="009852ED"/>
    <w:rsid w:val="00985B76"/>
    <w:rsid w:val="009862FD"/>
    <w:rsid w:val="00986DD5"/>
    <w:rsid w:val="0099696E"/>
    <w:rsid w:val="009A1124"/>
    <w:rsid w:val="009A3A26"/>
    <w:rsid w:val="009B0121"/>
    <w:rsid w:val="009B47CB"/>
    <w:rsid w:val="009B6E11"/>
    <w:rsid w:val="009C32BF"/>
    <w:rsid w:val="009C5065"/>
    <w:rsid w:val="009D4439"/>
    <w:rsid w:val="009D45F3"/>
    <w:rsid w:val="009E5D9F"/>
    <w:rsid w:val="009E7BCF"/>
    <w:rsid w:val="009F1D28"/>
    <w:rsid w:val="009F5AE0"/>
    <w:rsid w:val="009F6FC5"/>
    <w:rsid w:val="00A04DF8"/>
    <w:rsid w:val="00A1095F"/>
    <w:rsid w:val="00A13342"/>
    <w:rsid w:val="00A2505F"/>
    <w:rsid w:val="00A33663"/>
    <w:rsid w:val="00A35509"/>
    <w:rsid w:val="00A4420C"/>
    <w:rsid w:val="00A45FC5"/>
    <w:rsid w:val="00A4626A"/>
    <w:rsid w:val="00A471C5"/>
    <w:rsid w:val="00A5111F"/>
    <w:rsid w:val="00A52949"/>
    <w:rsid w:val="00A52E03"/>
    <w:rsid w:val="00A5306C"/>
    <w:rsid w:val="00A54F58"/>
    <w:rsid w:val="00A55C68"/>
    <w:rsid w:val="00A6107D"/>
    <w:rsid w:val="00A70B54"/>
    <w:rsid w:val="00A71CD6"/>
    <w:rsid w:val="00A768A2"/>
    <w:rsid w:val="00A8247A"/>
    <w:rsid w:val="00A86705"/>
    <w:rsid w:val="00A914C3"/>
    <w:rsid w:val="00A93275"/>
    <w:rsid w:val="00A9579D"/>
    <w:rsid w:val="00A95DF6"/>
    <w:rsid w:val="00A96ED5"/>
    <w:rsid w:val="00AA2BE1"/>
    <w:rsid w:val="00AA321C"/>
    <w:rsid w:val="00AA3D61"/>
    <w:rsid w:val="00AA5DF4"/>
    <w:rsid w:val="00AA7BF7"/>
    <w:rsid w:val="00AB0D68"/>
    <w:rsid w:val="00AB1B38"/>
    <w:rsid w:val="00AB1CC8"/>
    <w:rsid w:val="00AB67D4"/>
    <w:rsid w:val="00AC0AE8"/>
    <w:rsid w:val="00AC39D0"/>
    <w:rsid w:val="00AC4FA0"/>
    <w:rsid w:val="00AC5303"/>
    <w:rsid w:val="00AC7329"/>
    <w:rsid w:val="00AD1200"/>
    <w:rsid w:val="00AD1A6A"/>
    <w:rsid w:val="00AD3B36"/>
    <w:rsid w:val="00AE068C"/>
    <w:rsid w:val="00AE263F"/>
    <w:rsid w:val="00AF0396"/>
    <w:rsid w:val="00AF2E6F"/>
    <w:rsid w:val="00AF36D6"/>
    <w:rsid w:val="00AF5BE0"/>
    <w:rsid w:val="00B10E5D"/>
    <w:rsid w:val="00B1161A"/>
    <w:rsid w:val="00B15014"/>
    <w:rsid w:val="00B174A1"/>
    <w:rsid w:val="00B22C99"/>
    <w:rsid w:val="00B237D6"/>
    <w:rsid w:val="00B27ADC"/>
    <w:rsid w:val="00B30FBD"/>
    <w:rsid w:val="00B331CD"/>
    <w:rsid w:val="00B366BF"/>
    <w:rsid w:val="00B376E3"/>
    <w:rsid w:val="00B378F7"/>
    <w:rsid w:val="00B37C0A"/>
    <w:rsid w:val="00B4078C"/>
    <w:rsid w:val="00B43A7F"/>
    <w:rsid w:val="00B4536D"/>
    <w:rsid w:val="00B45640"/>
    <w:rsid w:val="00B46ECD"/>
    <w:rsid w:val="00B50E89"/>
    <w:rsid w:val="00B51CA5"/>
    <w:rsid w:val="00B51D2C"/>
    <w:rsid w:val="00B52CF0"/>
    <w:rsid w:val="00B56DFC"/>
    <w:rsid w:val="00B57BEF"/>
    <w:rsid w:val="00B57FA0"/>
    <w:rsid w:val="00B618BB"/>
    <w:rsid w:val="00B63C67"/>
    <w:rsid w:val="00B63F93"/>
    <w:rsid w:val="00B775C3"/>
    <w:rsid w:val="00B80EE5"/>
    <w:rsid w:val="00B81F3F"/>
    <w:rsid w:val="00B82ABB"/>
    <w:rsid w:val="00B82FE8"/>
    <w:rsid w:val="00B86EBC"/>
    <w:rsid w:val="00B959B0"/>
    <w:rsid w:val="00BA0C21"/>
    <w:rsid w:val="00BA27B5"/>
    <w:rsid w:val="00BA3978"/>
    <w:rsid w:val="00BA4D43"/>
    <w:rsid w:val="00BA7C43"/>
    <w:rsid w:val="00BB07A6"/>
    <w:rsid w:val="00BB1C63"/>
    <w:rsid w:val="00BB3A28"/>
    <w:rsid w:val="00BB3A94"/>
    <w:rsid w:val="00BB51B9"/>
    <w:rsid w:val="00BC0729"/>
    <w:rsid w:val="00BD2555"/>
    <w:rsid w:val="00BE0857"/>
    <w:rsid w:val="00BE26C5"/>
    <w:rsid w:val="00BF3305"/>
    <w:rsid w:val="00BF5945"/>
    <w:rsid w:val="00BF594C"/>
    <w:rsid w:val="00C00900"/>
    <w:rsid w:val="00C02616"/>
    <w:rsid w:val="00C03F38"/>
    <w:rsid w:val="00C0797D"/>
    <w:rsid w:val="00C10081"/>
    <w:rsid w:val="00C16262"/>
    <w:rsid w:val="00C22437"/>
    <w:rsid w:val="00C254D9"/>
    <w:rsid w:val="00C256A9"/>
    <w:rsid w:val="00C273A3"/>
    <w:rsid w:val="00C31685"/>
    <w:rsid w:val="00C339D9"/>
    <w:rsid w:val="00C35759"/>
    <w:rsid w:val="00C35DAF"/>
    <w:rsid w:val="00C40CAD"/>
    <w:rsid w:val="00C41D6D"/>
    <w:rsid w:val="00C460B7"/>
    <w:rsid w:val="00C4640C"/>
    <w:rsid w:val="00C5745D"/>
    <w:rsid w:val="00C61EC5"/>
    <w:rsid w:val="00C623F5"/>
    <w:rsid w:val="00C63501"/>
    <w:rsid w:val="00C65B61"/>
    <w:rsid w:val="00C706AE"/>
    <w:rsid w:val="00C721C2"/>
    <w:rsid w:val="00C732BE"/>
    <w:rsid w:val="00C74B60"/>
    <w:rsid w:val="00C77C5F"/>
    <w:rsid w:val="00C83EC1"/>
    <w:rsid w:val="00C8512E"/>
    <w:rsid w:val="00C86479"/>
    <w:rsid w:val="00C90508"/>
    <w:rsid w:val="00C917E4"/>
    <w:rsid w:val="00C9209D"/>
    <w:rsid w:val="00C92B99"/>
    <w:rsid w:val="00C94769"/>
    <w:rsid w:val="00C951B0"/>
    <w:rsid w:val="00C9773A"/>
    <w:rsid w:val="00CA0188"/>
    <w:rsid w:val="00CA0F17"/>
    <w:rsid w:val="00CA25C7"/>
    <w:rsid w:val="00CA7612"/>
    <w:rsid w:val="00CB6106"/>
    <w:rsid w:val="00CC1810"/>
    <w:rsid w:val="00CC1C99"/>
    <w:rsid w:val="00CC3111"/>
    <w:rsid w:val="00CC79B4"/>
    <w:rsid w:val="00CC7D53"/>
    <w:rsid w:val="00CD0718"/>
    <w:rsid w:val="00CD087F"/>
    <w:rsid w:val="00CD0913"/>
    <w:rsid w:val="00CD0CA5"/>
    <w:rsid w:val="00CD100D"/>
    <w:rsid w:val="00CD131F"/>
    <w:rsid w:val="00CD4AA2"/>
    <w:rsid w:val="00CE3597"/>
    <w:rsid w:val="00CE504F"/>
    <w:rsid w:val="00CE7CBB"/>
    <w:rsid w:val="00CE7CBE"/>
    <w:rsid w:val="00CF263E"/>
    <w:rsid w:val="00D01C04"/>
    <w:rsid w:val="00D0273F"/>
    <w:rsid w:val="00D02EFF"/>
    <w:rsid w:val="00D03D1E"/>
    <w:rsid w:val="00D06351"/>
    <w:rsid w:val="00D10569"/>
    <w:rsid w:val="00D13992"/>
    <w:rsid w:val="00D17904"/>
    <w:rsid w:val="00D2070C"/>
    <w:rsid w:val="00D23250"/>
    <w:rsid w:val="00D279C9"/>
    <w:rsid w:val="00D31823"/>
    <w:rsid w:val="00D34046"/>
    <w:rsid w:val="00D3418F"/>
    <w:rsid w:val="00D36455"/>
    <w:rsid w:val="00D37232"/>
    <w:rsid w:val="00D41571"/>
    <w:rsid w:val="00D43435"/>
    <w:rsid w:val="00D43F2E"/>
    <w:rsid w:val="00D46809"/>
    <w:rsid w:val="00D5188E"/>
    <w:rsid w:val="00D5398C"/>
    <w:rsid w:val="00D559B0"/>
    <w:rsid w:val="00D63D18"/>
    <w:rsid w:val="00D67921"/>
    <w:rsid w:val="00D72AEA"/>
    <w:rsid w:val="00D744FC"/>
    <w:rsid w:val="00D74529"/>
    <w:rsid w:val="00D81D2D"/>
    <w:rsid w:val="00D83103"/>
    <w:rsid w:val="00D84B4A"/>
    <w:rsid w:val="00D84EEE"/>
    <w:rsid w:val="00D84FF0"/>
    <w:rsid w:val="00D973B2"/>
    <w:rsid w:val="00DA4C5B"/>
    <w:rsid w:val="00DB203C"/>
    <w:rsid w:val="00DB2561"/>
    <w:rsid w:val="00DB4B1A"/>
    <w:rsid w:val="00DB51CF"/>
    <w:rsid w:val="00DC13FF"/>
    <w:rsid w:val="00DD0CCE"/>
    <w:rsid w:val="00DD371E"/>
    <w:rsid w:val="00DE27D6"/>
    <w:rsid w:val="00DF0B98"/>
    <w:rsid w:val="00DF1004"/>
    <w:rsid w:val="00DF1AFE"/>
    <w:rsid w:val="00DF3F23"/>
    <w:rsid w:val="00DF46A9"/>
    <w:rsid w:val="00E02D55"/>
    <w:rsid w:val="00E06038"/>
    <w:rsid w:val="00E0707A"/>
    <w:rsid w:val="00E12758"/>
    <w:rsid w:val="00E147E1"/>
    <w:rsid w:val="00E160B3"/>
    <w:rsid w:val="00E16E5B"/>
    <w:rsid w:val="00E17A6F"/>
    <w:rsid w:val="00E2421D"/>
    <w:rsid w:val="00E24C7F"/>
    <w:rsid w:val="00E2779F"/>
    <w:rsid w:val="00E35D59"/>
    <w:rsid w:val="00E40256"/>
    <w:rsid w:val="00E41EA5"/>
    <w:rsid w:val="00E43879"/>
    <w:rsid w:val="00E45986"/>
    <w:rsid w:val="00E46D57"/>
    <w:rsid w:val="00E507BE"/>
    <w:rsid w:val="00E50A5F"/>
    <w:rsid w:val="00E524C6"/>
    <w:rsid w:val="00E554EA"/>
    <w:rsid w:val="00E667E5"/>
    <w:rsid w:val="00E6741E"/>
    <w:rsid w:val="00E700AB"/>
    <w:rsid w:val="00E723DB"/>
    <w:rsid w:val="00E77495"/>
    <w:rsid w:val="00E84AB3"/>
    <w:rsid w:val="00E86D16"/>
    <w:rsid w:val="00E9131E"/>
    <w:rsid w:val="00E9509B"/>
    <w:rsid w:val="00EB0B24"/>
    <w:rsid w:val="00EB23BC"/>
    <w:rsid w:val="00EB56B7"/>
    <w:rsid w:val="00EB6175"/>
    <w:rsid w:val="00EB7B04"/>
    <w:rsid w:val="00EB7C8A"/>
    <w:rsid w:val="00EC05EB"/>
    <w:rsid w:val="00EC1F30"/>
    <w:rsid w:val="00EC3968"/>
    <w:rsid w:val="00EC41B2"/>
    <w:rsid w:val="00ED02B4"/>
    <w:rsid w:val="00ED7E6F"/>
    <w:rsid w:val="00EE4C38"/>
    <w:rsid w:val="00EE6418"/>
    <w:rsid w:val="00EF0662"/>
    <w:rsid w:val="00EF546A"/>
    <w:rsid w:val="00F03A3B"/>
    <w:rsid w:val="00F04BCC"/>
    <w:rsid w:val="00F05E65"/>
    <w:rsid w:val="00F118B5"/>
    <w:rsid w:val="00F11EE1"/>
    <w:rsid w:val="00F127E1"/>
    <w:rsid w:val="00F13D90"/>
    <w:rsid w:val="00F149A5"/>
    <w:rsid w:val="00F15472"/>
    <w:rsid w:val="00F221D6"/>
    <w:rsid w:val="00F23C83"/>
    <w:rsid w:val="00F2412D"/>
    <w:rsid w:val="00F27F13"/>
    <w:rsid w:val="00F31F26"/>
    <w:rsid w:val="00F44F11"/>
    <w:rsid w:val="00F45A29"/>
    <w:rsid w:val="00F53F3A"/>
    <w:rsid w:val="00F54AA6"/>
    <w:rsid w:val="00F60523"/>
    <w:rsid w:val="00F60FAD"/>
    <w:rsid w:val="00F63F81"/>
    <w:rsid w:val="00F70422"/>
    <w:rsid w:val="00F7292F"/>
    <w:rsid w:val="00F7303E"/>
    <w:rsid w:val="00F73F6D"/>
    <w:rsid w:val="00F75472"/>
    <w:rsid w:val="00F75555"/>
    <w:rsid w:val="00F85ECB"/>
    <w:rsid w:val="00F92790"/>
    <w:rsid w:val="00F9313A"/>
    <w:rsid w:val="00F9475B"/>
    <w:rsid w:val="00F94C42"/>
    <w:rsid w:val="00F9560C"/>
    <w:rsid w:val="00FA470A"/>
    <w:rsid w:val="00FA61A2"/>
    <w:rsid w:val="00FB19B2"/>
    <w:rsid w:val="00FB2181"/>
    <w:rsid w:val="00FB3C42"/>
    <w:rsid w:val="00FB4512"/>
    <w:rsid w:val="00FB670A"/>
    <w:rsid w:val="00FB7E8B"/>
    <w:rsid w:val="00FC0559"/>
    <w:rsid w:val="00FC3935"/>
    <w:rsid w:val="00FC3994"/>
    <w:rsid w:val="00FC4CE9"/>
    <w:rsid w:val="00FD23A5"/>
    <w:rsid w:val="00FD6E70"/>
    <w:rsid w:val="00FE0E82"/>
    <w:rsid w:val="00FE1AB8"/>
    <w:rsid w:val="00FE2E14"/>
    <w:rsid w:val="00FE613B"/>
    <w:rsid w:val="00FE6232"/>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chartTrackingRefBased/>
  <w15:docId w15:val="{A8949D18-F380-4001-ACA6-A37CC3CF3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新細明體" w:hAnsi="Cambria"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0">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styleId="-3">
    <w:name w:val="Colorful Shading Accent 3"/>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customStyle="1" w:styleId="References">
    <w:name w:val="References"/>
    <w:basedOn w:val="a"/>
    <w:rsid w:val="0044461F"/>
    <w:pPr>
      <w:numPr>
        <w:numId w:val="7"/>
      </w:numPr>
      <w:autoSpaceDE w:val="0"/>
      <w:autoSpaceDN w:val="0"/>
      <w:jc w:val="both"/>
    </w:pPr>
    <w:rPr>
      <w:rFonts w:ascii="Times New Roman" w:eastAsia="SimSun" w:hAnsi="Times New Roman"/>
      <w:sz w:val="16"/>
      <w:szCs w:val="16"/>
      <w:lang w:val="en-GB"/>
    </w:rPr>
  </w:style>
  <w:style w:type="character" w:styleId="af0">
    <w:name w:val="annotation reference"/>
    <w:uiPriority w:val="99"/>
    <w:semiHidden/>
    <w:unhideWhenUsed/>
    <w:rsid w:val="00510C21"/>
    <w:rPr>
      <w:sz w:val="16"/>
      <w:szCs w:val="16"/>
    </w:rPr>
  </w:style>
  <w:style w:type="paragraph" w:styleId="af1">
    <w:name w:val="annotation text"/>
    <w:basedOn w:val="a"/>
    <w:link w:val="af2"/>
    <w:uiPriority w:val="99"/>
    <w:semiHidden/>
    <w:unhideWhenUsed/>
    <w:rsid w:val="00510C21"/>
    <w:rPr>
      <w:sz w:val="20"/>
      <w:szCs w:val="20"/>
    </w:rPr>
  </w:style>
  <w:style w:type="character" w:customStyle="1" w:styleId="af2">
    <w:name w:val="註解文字 字元"/>
    <w:link w:val="af1"/>
    <w:uiPriority w:val="99"/>
    <w:semiHidden/>
    <w:rsid w:val="00510C21"/>
    <w:rPr>
      <w:lang w:eastAsia="en-US"/>
    </w:rPr>
  </w:style>
  <w:style w:type="paragraph" w:styleId="af3">
    <w:name w:val="annotation subject"/>
    <w:basedOn w:val="af1"/>
    <w:next w:val="af1"/>
    <w:link w:val="af4"/>
    <w:uiPriority w:val="99"/>
    <w:semiHidden/>
    <w:unhideWhenUsed/>
    <w:rsid w:val="00510C21"/>
    <w:rPr>
      <w:b/>
      <w:bCs/>
    </w:rPr>
  </w:style>
  <w:style w:type="character" w:customStyle="1" w:styleId="af4">
    <w:name w:val="註解主旨 字元"/>
    <w:link w:val="af3"/>
    <w:uiPriority w:val="99"/>
    <w:semiHidden/>
    <w:rsid w:val="00510C21"/>
    <w:rPr>
      <w:b/>
      <w:bCs/>
      <w:lang w:eastAsia="en-US"/>
    </w:rPr>
  </w:style>
  <w:style w:type="paragraph" w:styleId="af5">
    <w:name w:val="List Paragraph"/>
    <w:basedOn w:val="a"/>
    <w:uiPriority w:val="34"/>
    <w:qFormat/>
    <w:rsid w:val="00805351"/>
    <w:pPr>
      <w:ind w:left="72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8492">
      <w:bodyDiv w:val="1"/>
      <w:marLeft w:val="0"/>
      <w:marRight w:val="0"/>
      <w:marTop w:val="0"/>
      <w:marBottom w:val="0"/>
      <w:divBdr>
        <w:top w:val="none" w:sz="0" w:space="0" w:color="auto"/>
        <w:left w:val="none" w:sz="0" w:space="0" w:color="auto"/>
        <w:bottom w:val="none" w:sz="0" w:space="0" w:color="auto"/>
        <w:right w:val="none" w:sz="0" w:space="0" w:color="auto"/>
      </w:divBdr>
      <w:divsChild>
        <w:div w:id="225577841">
          <w:marLeft w:val="1166"/>
          <w:marRight w:val="0"/>
          <w:marTop w:val="67"/>
          <w:marBottom w:val="0"/>
          <w:divBdr>
            <w:top w:val="none" w:sz="0" w:space="0" w:color="auto"/>
            <w:left w:val="none" w:sz="0" w:space="0" w:color="auto"/>
            <w:bottom w:val="none" w:sz="0" w:space="0" w:color="auto"/>
            <w:right w:val="none" w:sz="0" w:space="0" w:color="auto"/>
          </w:divBdr>
        </w:div>
        <w:div w:id="595093091">
          <w:marLeft w:val="2520"/>
          <w:marRight w:val="0"/>
          <w:marTop w:val="67"/>
          <w:marBottom w:val="0"/>
          <w:divBdr>
            <w:top w:val="none" w:sz="0" w:space="0" w:color="auto"/>
            <w:left w:val="none" w:sz="0" w:space="0" w:color="auto"/>
            <w:bottom w:val="none" w:sz="0" w:space="0" w:color="auto"/>
            <w:right w:val="none" w:sz="0" w:space="0" w:color="auto"/>
          </w:divBdr>
        </w:div>
        <w:div w:id="746341763">
          <w:marLeft w:val="1800"/>
          <w:marRight w:val="0"/>
          <w:marTop w:val="67"/>
          <w:marBottom w:val="0"/>
          <w:divBdr>
            <w:top w:val="none" w:sz="0" w:space="0" w:color="auto"/>
            <w:left w:val="none" w:sz="0" w:space="0" w:color="auto"/>
            <w:bottom w:val="none" w:sz="0" w:space="0" w:color="auto"/>
            <w:right w:val="none" w:sz="0" w:space="0" w:color="auto"/>
          </w:divBdr>
        </w:div>
        <w:div w:id="1046417653">
          <w:marLeft w:val="2520"/>
          <w:marRight w:val="0"/>
          <w:marTop w:val="67"/>
          <w:marBottom w:val="0"/>
          <w:divBdr>
            <w:top w:val="none" w:sz="0" w:space="0" w:color="auto"/>
            <w:left w:val="none" w:sz="0" w:space="0" w:color="auto"/>
            <w:bottom w:val="none" w:sz="0" w:space="0" w:color="auto"/>
            <w:right w:val="none" w:sz="0" w:space="0" w:color="auto"/>
          </w:divBdr>
        </w:div>
        <w:div w:id="1267690665">
          <w:marLeft w:val="1800"/>
          <w:marRight w:val="0"/>
          <w:marTop w:val="67"/>
          <w:marBottom w:val="0"/>
          <w:divBdr>
            <w:top w:val="none" w:sz="0" w:space="0" w:color="auto"/>
            <w:left w:val="none" w:sz="0" w:space="0" w:color="auto"/>
            <w:bottom w:val="none" w:sz="0" w:space="0" w:color="auto"/>
            <w:right w:val="none" w:sz="0" w:space="0" w:color="auto"/>
          </w:divBdr>
        </w:div>
      </w:divsChild>
    </w:div>
    <w:div w:id="191069133">
      <w:bodyDiv w:val="1"/>
      <w:marLeft w:val="0"/>
      <w:marRight w:val="0"/>
      <w:marTop w:val="0"/>
      <w:marBottom w:val="0"/>
      <w:divBdr>
        <w:top w:val="none" w:sz="0" w:space="0" w:color="auto"/>
        <w:left w:val="none" w:sz="0" w:space="0" w:color="auto"/>
        <w:bottom w:val="none" w:sz="0" w:space="0" w:color="auto"/>
        <w:right w:val="none" w:sz="0" w:space="0" w:color="auto"/>
      </w:divBdr>
      <w:divsChild>
        <w:div w:id="20475102">
          <w:marLeft w:val="1800"/>
          <w:marRight w:val="0"/>
          <w:marTop w:val="67"/>
          <w:marBottom w:val="0"/>
          <w:divBdr>
            <w:top w:val="none" w:sz="0" w:space="0" w:color="auto"/>
            <w:left w:val="none" w:sz="0" w:space="0" w:color="auto"/>
            <w:bottom w:val="none" w:sz="0" w:space="0" w:color="auto"/>
            <w:right w:val="none" w:sz="0" w:space="0" w:color="auto"/>
          </w:divBdr>
        </w:div>
        <w:div w:id="845247741">
          <w:marLeft w:val="2520"/>
          <w:marRight w:val="0"/>
          <w:marTop w:val="67"/>
          <w:marBottom w:val="0"/>
          <w:divBdr>
            <w:top w:val="none" w:sz="0" w:space="0" w:color="auto"/>
            <w:left w:val="none" w:sz="0" w:space="0" w:color="auto"/>
            <w:bottom w:val="none" w:sz="0" w:space="0" w:color="auto"/>
            <w:right w:val="none" w:sz="0" w:space="0" w:color="auto"/>
          </w:divBdr>
        </w:div>
        <w:div w:id="1345287165">
          <w:marLeft w:val="2520"/>
          <w:marRight w:val="0"/>
          <w:marTop w:val="67"/>
          <w:marBottom w:val="0"/>
          <w:divBdr>
            <w:top w:val="none" w:sz="0" w:space="0" w:color="auto"/>
            <w:left w:val="none" w:sz="0" w:space="0" w:color="auto"/>
            <w:bottom w:val="none" w:sz="0" w:space="0" w:color="auto"/>
            <w:right w:val="none" w:sz="0" w:space="0" w:color="auto"/>
          </w:divBdr>
        </w:div>
        <w:div w:id="1608004839">
          <w:marLeft w:val="2520"/>
          <w:marRight w:val="0"/>
          <w:marTop w:val="67"/>
          <w:marBottom w:val="0"/>
          <w:divBdr>
            <w:top w:val="none" w:sz="0" w:space="0" w:color="auto"/>
            <w:left w:val="none" w:sz="0" w:space="0" w:color="auto"/>
            <w:bottom w:val="none" w:sz="0" w:space="0" w:color="auto"/>
            <w:right w:val="none" w:sz="0" w:space="0" w:color="auto"/>
          </w:divBdr>
        </w:div>
        <w:div w:id="1661035815">
          <w:marLeft w:val="1800"/>
          <w:marRight w:val="0"/>
          <w:marTop w:val="67"/>
          <w:marBottom w:val="0"/>
          <w:divBdr>
            <w:top w:val="none" w:sz="0" w:space="0" w:color="auto"/>
            <w:left w:val="none" w:sz="0" w:space="0" w:color="auto"/>
            <w:bottom w:val="none" w:sz="0" w:space="0" w:color="auto"/>
            <w:right w:val="none" w:sz="0" w:space="0" w:color="auto"/>
          </w:divBdr>
        </w:div>
        <w:div w:id="1915235289">
          <w:marLeft w:val="2520"/>
          <w:marRight w:val="0"/>
          <w:marTop w:val="67"/>
          <w:marBottom w:val="0"/>
          <w:divBdr>
            <w:top w:val="none" w:sz="0" w:space="0" w:color="auto"/>
            <w:left w:val="none" w:sz="0" w:space="0" w:color="auto"/>
            <w:bottom w:val="none" w:sz="0" w:space="0" w:color="auto"/>
            <w:right w:val="none" w:sz="0" w:space="0" w:color="auto"/>
          </w:divBdr>
        </w:div>
      </w:divsChild>
    </w:div>
    <w:div w:id="193621076">
      <w:bodyDiv w:val="1"/>
      <w:marLeft w:val="0"/>
      <w:marRight w:val="0"/>
      <w:marTop w:val="0"/>
      <w:marBottom w:val="0"/>
      <w:divBdr>
        <w:top w:val="none" w:sz="0" w:space="0" w:color="auto"/>
        <w:left w:val="none" w:sz="0" w:space="0" w:color="auto"/>
        <w:bottom w:val="none" w:sz="0" w:space="0" w:color="auto"/>
        <w:right w:val="none" w:sz="0" w:space="0" w:color="auto"/>
      </w:divBdr>
      <w:divsChild>
        <w:div w:id="9530202">
          <w:marLeft w:val="547"/>
          <w:marRight w:val="0"/>
          <w:marTop w:val="86"/>
          <w:marBottom w:val="0"/>
          <w:divBdr>
            <w:top w:val="none" w:sz="0" w:space="0" w:color="auto"/>
            <w:left w:val="none" w:sz="0" w:space="0" w:color="auto"/>
            <w:bottom w:val="none" w:sz="0" w:space="0" w:color="auto"/>
            <w:right w:val="none" w:sz="0" w:space="0" w:color="auto"/>
          </w:divBdr>
        </w:div>
      </w:divsChild>
    </w:div>
    <w:div w:id="302126574">
      <w:bodyDiv w:val="1"/>
      <w:marLeft w:val="0"/>
      <w:marRight w:val="0"/>
      <w:marTop w:val="0"/>
      <w:marBottom w:val="0"/>
      <w:divBdr>
        <w:top w:val="none" w:sz="0" w:space="0" w:color="auto"/>
        <w:left w:val="none" w:sz="0" w:space="0" w:color="auto"/>
        <w:bottom w:val="none" w:sz="0" w:space="0" w:color="auto"/>
        <w:right w:val="none" w:sz="0" w:space="0" w:color="auto"/>
      </w:divBdr>
      <w:divsChild>
        <w:div w:id="455803758">
          <w:marLeft w:val="1166"/>
          <w:marRight w:val="0"/>
          <w:marTop w:val="77"/>
          <w:marBottom w:val="0"/>
          <w:divBdr>
            <w:top w:val="none" w:sz="0" w:space="0" w:color="auto"/>
            <w:left w:val="none" w:sz="0" w:space="0" w:color="auto"/>
            <w:bottom w:val="none" w:sz="0" w:space="0" w:color="auto"/>
            <w:right w:val="none" w:sz="0" w:space="0" w:color="auto"/>
          </w:divBdr>
        </w:div>
      </w:divsChild>
    </w:div>
    <w:div w:id="309602220">
      <w:bodyDiv w:val="1"/>
      <w:marLeft w:val="0"/>
      <w:marRight w:val="0"/>
      <w:marTop w:val="0"/>
      <w:marBottom w:val="0"/>
      <w:divBdr>
        <w:top w:val="none" w:sz="0" w:space="0" w:color="auto"/>
        <w:left w:val="none" w:sz="0" w:space="0" w:color="auto"/>
        <w:bottom w:val="none" w:sz="0" w:space="0" w:color="auto"/>
        <w:right w:val="none" w:sz="0" w:space="0" w:color="auto"/>
      </w:divBdr>
      <w:divsChild>
        <w:div w:id="138697654">
          <w:marLeft w:val="1800"/>
          <w:marRight w:val="0"/>
          <w:marTop w:val="67"/>
          <w:marBottom w:val="0"/>
          <w:divBdr>
            <w:top w:val="none" w:sz="0" w:space="0" w:color="auto"/>
            <w:left w:val="none" w:sz="0" w:space="0" w:color="auto"/>
            <w:bottom w:val="none" w:sz="0" w:space="0" w:color="auto"/>
            <w:right w:val="none" w:sz="0" w:space="0" w:color="auto"/>
          </w:divBdr>
        </w:div>
        <w:div w:id="334459256">
          <w:marLeft w:val="2520"/>
          <w:marRight w:val="0"/>
          <w:marTop w:val="67"/>
          <w:marBottom w:val="0"/>
          <w:divBdr>
            <w:top w:val="none" w:sz="0" w:space="0" w:color="auto"/>
            <w:left w:val="none" w:sz="0" w:space="0" w:color="auto"/>
            <w:bottom w:val="none" w:sz="0" w:space="0" w:color="auto"/>
            <w:right w:val="none" w:sz="0" w:space="0" w:color="auto"/>
          </w:divBdr>
        </w:div>
        <w:div w:id="1121531504">
          <w:marLeft w:val="2520"/>
          <w:marRight w:val="0"/>
          <w:marTop w:val="67"/>
          <w:marBottom w:val="0"/>
          <w:divBdr>
            <w:top w:val="none" w:sz="0" w:space="0" w:color="auto"/>
            <w:left w:val="none" w:sz="0" w:space="0" w:color="auto"/>
            <w:bottom w:val="none" w:sz="0" w:space="0" w:color="auto"/>
            <w:right w:val="none" w:sz="0" w:space="0" w:color="auto"/>
          </w:divBdr>
        </w:div>
        <w:div w:id="1383291140">
          <w:marLeft w:val="2520"/>
          <w:marRight w:val="0"/>
          <w:marTop w:val="67"/>
          <w:marBottom w:val="0"/>
          <w:divBdr>
            <w:top w:val="none" w:sz="0" w:space="0" w:color="auto"/>
            <w:left w:val="none" w:sz="0" w:space="0" w:color="auto"/>
            <w:bottom w:val="none" w:sz="0" w:space="0" w:color="auto"/>
            <w:right w:val="none" w:sz="0" w:space="0" w:color="auto"/>
          </w:divBdr>
        </w:div>
        <w:div w:id="1701127955">
          <w:marLeft w:val="2520"/>
          <w:marRight w:val="0"/>
          <w:marTop w:val="67"/>
          <w:marBottom w:val="0"/>
          <w:divBdr>
            <w:top w:val="none" w:sz="0" w:space="0" w:color="auto"/>
            <w:left w:val="none" w:sz="0" w:space="0" w:color="auto"/>
            <w:bottom w:val="none" w:sz="0" w:space="0" w:color="auto"/>
            <w:right w:val="none" w:sz="0" w:space="0" w:color="auto"/>
          </w:divBdr>
        </w:div>
        <w:div w:id="1787918741">
          <w:marLeft w:val="1800"/>
          <w:marRight w:val="0"/>
          <w:marTop w:val="67"/>
          <w:marBottom w:val="0"/>
          <w:divBdr>
            <w:top w:val="none" w:sz="0" w:space="0" w:color="auto"/>
            <w:left w:val="none" w:sz="0" w:space="0" w:color="auto"/>
            <w:bottom w:val="none" w:sz="0" w:space="0" w:color="auto"/>
            <w:right w:val="none" w:sz="0" w:space="0" w:color="auto"/>
          </w:divBdr>
        </w:div>
      </w:divsChild>
    </w:div>
    <w:div w:id="388189557">
      <w:bodyDiv w:val="1"/>
      <w:marLeft w:val="0"/>
      <w:marRight w:val="0"/>
      <w:marTop w:val="0"/>
      <w:marBottom w:val="0"/>
      <w:divBdr>
        <w:top w:val="none" w:sz="0" w:space="0" w:color="auto"/>
        <w:left w:val="none" w:sz="0" w:space="0" w:color="auto"/>
        <w:bottom w:val="none" w:sz="0" w:space="0" w:color="auto"/>
        <w:right w:val="none" w:sz="0" w:space="0" w:color="auto"/>
      </w:divBdr>
      <w:divsChild>
        <w:div w:id="385837211">
          <w:marLeft w:val="547"/>
          <w:marRight w:val="0"/>
          <w:marTop w:val="86"/>
          <w:marBottom w:val="0"/>
          <w:divBdr>
            <w:top w:val="none" w:sz="0" w:space="0" w:color="auto"/>
            <w:left w:val="none" w:sz="0" w:space="0" w:color="auto"/>
            <w:bottom w:val="none" w:sz="0" w:space="0" w:color="auto"/>
            <w:right w:val="none" w:sz="0" w:space="0" w:color="auto"/>
          </w:divBdr>
        </w:div>
      </w:divsChild>
    </w:div>
    <w:div w:id="433133027">
      <w:bodyDiv w:val="1"/>
      <w:marLeft w:val="0"/>
      <w:marRight w:val="0"/>
      <w:marTop w:val="0"/>
      <w:marBottom w:val="0"/>
      <w:divBdr>
        <w:top w:val="none" w:sz="0" w:space="0" w:color="auto"/>
        <w:left w:val="none" w:sz="0" w:space="0" w:color="auto"/>
        <w:bottom w:val="none" w:sz="0" w:space="0" w:color="auto"/>
        <w:right w:val="none" w:sz="0" w:space="0" w:color="auto"/>
      </w:divBdr>
      <w:divsChild>
        <w:div w:id="944383536">
          <w:marLeft w:val="547"/>
          <w:marRight w:val="0"/>
          <w:marTop w:val="86"/>
          <w:marBottom w:val="0"/>
          <w:divBdr>
            <w:top w:val="none" w:sz="0" w:space="0" w:color="auto"/>
            <w:left w:val="none" w:sz="0" w:space="0" w:color="auto"/>
            <w:bottom w:val="none" w:sz="0" w:space="0" w:color="auto"/>
            <w:right w:val="none" w:sz="0" w:space="0" w:color="auto"/>
          </w:divBdr>
        </w:div>
      </w:divsChild>
    </w:div>
    <w:div w:id="623968823">
      <w:bodyDiv w:val="1"/>
      <w:marLeft w:val="0"/>
      <w:marRight w:val="0"/>
      <w:marTop w:val="0"/>
      <w:marBottom w:val="0"/>
      <w:divBdr>
        <w:top w:val="none" w:sz="0" w:space="0" w:color="auto"/>
        <w:left w:val="none" w:sz="0" w:space="0" w:color="auto"/>
        <w:bottom w:val="none" w:sz="0" w:space="0" w:color="auto"/>
        <w:right w:val="none" w:sz="0" w:space="0" w:color="auto"/>
      </w:divBdr>
      <w:divsChild>
        <w:div w:id="296105448">
          <w:marLeft w:val="547"/>
          <w:marRight w:val="0"/>
          <w:marTop w:val="86"/>
          <w:marBottom w:val="0"/>
          <w:divBdr>
            <w:top w:val="none" w:sz="0" w:space="0" w:color="auto"/>
            <w:left w:val="none" w:sz="0" w:space="0" w:color="auto"/>
            <w:bottom w:val="none" w:sz="0" w:space="0" w:color="auto"/>
            <w:right w:val="none" w:sz="0" w:space="0" w:color="auto"/>
          </w:divBdr>
        </w:div>
      </w:divsChild>
    </w:div>
    <w:div w:id="742799842">
      <w:bodyDiv w:val="1"/>
      <w:marLeft w:val="0"/>
      <w:marRight w:val="0"/>
      <w:marTop w:val="0"/>
      <w:marBottom w:val="0"/>
      <w:divBdr>
        <w:top w:val="none" w:sz="0" w:space="0" w:color="auto"/>
        <w:left w:val="none" w:sz="0" w:space="0" w:color="auto"/>
        <w:bottom w:val="none" w:sz="0" w:space="0" w:color="auto"/>
        <w:right w:val="none" w:sz="0" w:space="0" w:color="auto"/>
      </w:divBdr>
      <w:divsChild>
        <w:div w:id="1234658983">
          <w:marLeft w:val="547"/>
          <w:marRight w:val="0"/>
          <w:marTop w:val="86"/>
          <w:marBottom w:val="0"/>
          <w:divBdr>
            <w:top w:val="none" w:sz="0" w:space="0" w:color="auto"/>
            <w:left w:val="none" w:sz="0" w:space="0" w:color="auto"/>
            <w:bottom w:val="none" w:sz="0" w:space="0" w:color="auto"/>
            <w:right w:val="none" w:sz="0" w:space="0" w:color="auto"/>
          </w:divBdr>
        </w:div>
      </w:divsChild>
    </w:div>
    <w:div w:id="1101796179">
      <w:bodyDiv w:val="1"/>
      <w:marLeft w:val="0"/>
      <w:marRight w:val="0"/>
      <w:marTop w:val="0"/>
      <w:marBottom w:val="0"/>
      <w:divBdr>
        <w:top w:val="none" w:sz="0" w:space="0" w:color="auto"/>
        <w:left w:val="none" w:sz="0" w:space="0" w:color="auto"/>
        <w:bottom w:val="none" w:sz="0" w:space="0" w:color="auto"/>
        <w:right w:val="none" w:sz="0" w:space="0" w:color="auto"/>
      </w:divBdr>
      <w:divsChild>
        <w:div w:id="289290479">
          <w:marLeft w:val="2520"/>
          <w:marRight w:val="0"/>
          <w:marTop w:val="67"/>
          <w:marBottom w:val="0"/>
          <w:divBdr>
            <w:top w:val="none" w:sz="0" w:space="0" w:color="auto"/>
            <w:left w:val="none" w:sz="0" w:space="0" w:color="auto"/>
            <w:bottom w:val="none" w:sz="0" w:space="0" w:color="auto"/>
            <w:right w:val="none" w:sz="0" w:space="0" w:color="auto"/>
          </w:divBdr>
        </w:div>
        <w:div w:id="301471170">
          <w:marLeft w:val="2520"/>
          <w:marRight w:val="0"/>
          <w:marTop w:val="67"/>
          <w:marBottom w:val="0"/>
          <w:divBdr>
            <w:top w:val="none" w:sz="0" w:space="0" w:color="auto"/>
            <w:left w:val="none" w:sz="0" w:space="0" w:color="auto"/>
            <w:bottom w:val="none" w:sz="0" w:space="0" w:color="auto"/>
            <w:right w:val="none" w:sz="0" w:space="0" w:color="auto"/>
          </w:divBdr>
        </w:div>
        <w:div w:id="600530116">
          <w:marLeft w:val="2520"/>
          <w:marRight w:val="0"/>
          <w:marTop w:val="67"/>
          <w:marBottom w:val="0"/>
          <w:divBdr>
            <w:top w:val="none" w:sz="0" w:space="0" w:color="auto"/>
            <w:left w:val="none" w:sz="0" w:space="0" w:color="auto"/>
            <w:bottom w:val="none" w:sz="0" w:space="0" w:color="auto"/>
            <w:right w:val="none" w:sz="0" w:space="0" w:color="auto"/>
          </w:divBdr>
        </w:div>
        <w:div w:id="667101243">
          <w:marLeft w:val="2520"/>
          <w:marRight w:val="0"/>
          <w:marTop w:val="67"/>
          <w:marBottom w:val="0"/>
          <w:divBdr>
            <w:top w:val="none" w:sz="0" w:space="0" w:color="auto"/>
            <w:left w:val="none" w:sz="0" w:space="0" w:color="auto"/>
            <w:bottom w:val="none" w:sz="0" w:space="0" w:color="auto"/>
            <w:right w:val="none" w:sz="0" w:space="0" w:color="auto"/>
          </w:divBdr>
        </w:div>
        <w:div w:id="983192730">
          <w:marLeft w:val="1800"/>
          <w:marRight w:val="0"/>
          <w:marTop w:val="67"/>
          <w:marBottom w:val="0"/>
          <w:divBdr>
            <w:top w:val="none" w:sz="0" w:space="0" w:color="auto"/>
            <w:left w:val="none" w:sz="0" w:space="0" w:color="auto"/>
            <w:bottom w:val="none" w:sz="0" w:space="0" w:color="auto"/>
            <w:right w:val="none" w:sz="0" w:space="0" w:color="auto"/>
          </w:divBdr>
        </w:div>
        <w:div w:id="1097555812">
          <w:marLeft w:val="1800"/>
          <w:marRight w:val="0"/>
          <w:marTop w:val="67"/>
          <w:marBottom w:val="0"/>
          <w:divBdr>
            <w:top w:val="none" w:sz="0" w:space="0" w:color="auto"/>
            <w:left w:val="none" w:sz="0" w:space="0" w:color="auto"/>
            <w:bottom w:val="none" w:sz="0" w:space="0" w:color="auto"/>
            <w:right w:val="none" w:sz="0" w:space="0" w:color="auto"/>
          </w:divBdr>
        </w:div>
        <w:div w:id="1279407437">
          <w:marLeft w:val="2520"/>
          <w:marRight w:val="0"/>
          <w:marTop w:val="67"/>
          <w:marBottom w:val="0"/>
          <w:divBdr>
            <w:top w:val="none" w:sz="0" w:space="0" w:color="auto"/>
            <w:left w:val="none" w:sz="0" w:space="0" w:color="auto"/>
            <w:bottom w:val="none" w:sz="0" w:space="0" w:color="auto"/>
            <w:right w:val="none" w:sz="0" w:space="0" w:color="auto"/>
          </w:divBdr>
        </w:div>
        <w:div w:id="1873763197">
          <w:marLeft w:val="2520"/>
          <w:marRight w:val="0"/>
          <w:marTop w:val="67"/>
          <w:marBottom w:val="0"/>
          <w:divBdr>
            <w:top w:val="none" w:sz="0" w:space="0" w:color="auto"/>
            <w:left w:val="none" w:sz="0" w:space="0" w:color="auto"/>
            <w:bottom w:val="none" w:sz="0" w:space="0" w:color="auto"/>
            <w:right w:val="none" w:sz="0" w:space="0" w:color="auto"/>
          </w:divBdr>
        </w:div>
      </w:divsChild>
    </w:div>
    <w:div w:id="1170831678">
      <w:bodyDiv w:val="1"/>
      <w:marLeft w:val="0"/>
      <w:marRight w:val="0"/>
      <w:marTop w:val="0"/>
      <w:marBottom w:val="0"/>
      <w:divBdr>
        <w:top w:val="none" w:sz="0" w:space="0" w:color="auto"/>
        <w:left w:val="none" w:sz="0" w:space="0" w:color="auto"/>
        <w:bottom w:val="none" w:sz="0" w:space="0" w:color="auto"/>
        <w:right w:val="none" w:sz="0" w:space="0" w:color="auto"/>
      </w:divBdr>
      <w:divsChild>
        <w:div w:id="1386220290">
          <w:marLeft w:val="547"/>
          <w:marRight w:val="0"/>
          <w:marTop w:val="154"/>
          <w:marBottom w:val="0"/>
          <w:divBdr>
            <w:top w:val="none" w:sz="0" w:space="0" w:color="auto"/>
            <w:left w:val="none" w:sz="0" w:space="0" w:color="auto"/>
            <w:bottom w:val="none" w:sz="0" w:space="0" w:color="auto"/>
            <w:right w:val="none" w:sz="0" w:space="0" w:color="auto"/>
          </w:divBdr>
        </w:div>
      </w:divsChild>
    </w:div>
    <w:div w:id="1450393583">
      <w:bodyDiv w:val="1"/>
      <w:marLeft w:val="0"/>
      <w:marRight w:val="0"/>
      <w:marTop w:val="0"/>
      <w:marBottom w:val="0"/>
      <w:divBdr>
        <w:top w:val="none" w:sz="0" w:space="0" w:color="auto"/>
        <w:left w:val="none" w:sz="0" w:space="0" w:color="auto"/>
        <w:bottom w:val="none" w:sz="0" w:space="0" w:color="auto"/>
        <w:right w:val="none" w:sz="0" w:space="0" w:color="auto"/>
      </w:divBdr>
      <w:divsChild>
        <w:div w:id="621498456">
          <w:marLeft w:val="547"/>
          <w:marRight w:val="0"/>
          <w:marTop w:val="86"/>
          <w:marBottom w:val="0"/>
          <w:divBdr>
            <w:top w:val="none" w:sz="0" w:space="0" w:color="auto"/>
            <w:left w:val="none" w:sz="0" w:space="0" w:color="auto"/>
            <w:bottom w:val="none" w:sz="0" w:space="0" w:color="auto"/>
            <w:right w:val="none" w:sz="0" w:space="0" w:color="auto"/>
          </w:divBdr>
        </w:div>
      </w:divsChild>
    </w:div>
    <w:div w:id="1593321420">
      <w:bodyDiv w:val="1"/>
      <w:marLeft w:val="0"/>
      <w:marRight w:val="0"/>
      <w:marTop w:val="0"/>
      <w:marBottom w:val="0"/>
      <w:divBdr>
        <w:top w:val="none" w:sz="0" w:space="0" w:color="auto"/>
        <w:left w:val="none" w:sz="0" w:space="0" w:color="auto"/>
        <w:bottom w:val="none" w:sz="0" w:space="0" w:color="auto"/>
        <w:right w:val="none" w:sz="0" w:space="0" w:color="auto"/>
      </w:divBdr>
    </w:div>
    <w:div w:id="1638098373">
      <w:bodyDiv w:val="1"/>
      <w:marLeft w:val="0"/>
      <w:marRight w:val="0"/>
      <w:marTop w:val="0"/>
      <w:marBottom w:val="0"/>
      <w:divBdr>
        <w:top w:val="none" w:sz="0" w:space="0" w:color="auto"/>
        <w:left w:val="none" w:sz="0" w:space="0" w:color="auto"/>
        <w:bottom w:val="none" w:sz="0" w:space="0" w:color="auto"/>
        <w:right w:val="none" w:sz="0" w:space="0" w:color="auto"/>
      </w:divBdr>
    </w:div>
    <w:div w:id="1703481306">
      <w:bodyDiv w:val="1"/>
      <w:marLeft w:val="0"/>
      <w:marRight w:val="0"/>
      <w:marTop w:val="0"/>
      <w:marBottom w:val="0"/>
      <w:divBdr>
        <w:top w:val="none" w:sz="0" w:space="0" w:color="auto"/>
        <w:left w:val="none" w:sz="0" w:space="0" w:color="auto"/>
        <w:bottom w:val="none" w:sz="0" w:space="0" w:color="auto"/>
        <w:right w:val="none" w:sz="0" w:space="0" w:color="auto"/>
      </w:divBdr>
      <w:divsChild>
        <w:div w:id="261493668">
          <w:marLeft w:val="547"/>
          <w:marRight w:val="0"/>
          <w:marTop w:val="86"/>
          <w:marBottom w:val="0"/>
          <w:divBdr>
            <w:top w:val="none" w:sz="0" w:space="0" w:color="auto"/>
            <w:left w:val="none" w:sz="0" w:space="0" w:color="auto"/>
            <w:bottom w:val="none" w:sz="0" w:space="0" w:color="auto"/>
            <w:right w:val="none" w:sz="0" w:space="0" w:color="auto"/>
          </w:divBdr>
        </w:div>
        <w:div w:id="405954606">
          <w:marLeft w:val="547"/>
          <w:marRight w:val="0"/>
          <w:marTop w:val="86"/>
          <w:marBottom w:val="0"/>
          <w:divBdr>
            <w:top w:val="none" w:sz="0" w:space="0" w:color="auto"/>
            <w:left w:val="none" w:sz="0" w:space="0" w:color="auto"/>
            <w:bottom w:val="none" w:sz="0" w:space="0" w:color="auto"/>
            <w:right w:val="none" w:sz="0" w:space="0" w:color="auto"/>
          </w:divBdr>
        </w:div>
      </w:divsChild>
    </w:div>
    <w:div w:id="1719620267">
      <w:bodyDiv w:val="1"/>
      <w:marLeft w:val="0"/>
      <w:marRight w:val="0"/>
      <w:marTop w:val="0"/>
      <w:marBottom w:val="0"/>
      <w:divBdr>
        <w:top w:val="none" w:sz="0" w:space="0" w:color="auto"/>
        <w:left w:val="none" w:sz="0" w:space="0" w:color="auto"/>
        <w:bottom w:val="none" w:sz="0" w:space="0" w:color="auto"/>
        <w:right w:val="none" w:sz="0" w:space="0" w:color="auto"/>
      </w:divBdr>
      <w:divsChild>
        <w:div w:id="379525196">
          <w:marLeft w:val="2520"/>
          <w:marRight w:val="0"/>
          <w:marTop w:val="67"/>
          <w:marBottom w:val="0"/>
          <w:divBdr>
            <w:top w:val="none" w:sz="0" w:space="0" w:color="auto"/>
            <w:left w:val="none" w:sz="0" w:space="0" w:color="auto"/>
            <w:bottom w:val="none" w:sz="0" w:space="0" w:color="auto"/>
            <w:right w:val="none" w:sz="0" w:space="0" w:color="auto"/>
          </w:divBdr>
        </w:div>
        <w:div w:id="834539497">
          <w:marLeft w:val="2520"/>
          <w:marRight w:val="0"/>
          <w:marTop w:val="67"/>
          <w:marBottom w:val="0"/>
          <w:divBdr>
            <w:top w:val="none" w:sz="0" w:space="0" w:color="auto"/>
            <w:left w:val="none" w:sz="0" w:space="0" w:color="auto"/>
            <w:bottom w:val="none" w:sz="0" w:space="0" w:color="auto"/>
            <w:right w:val="none" w:sz="0" w:space="0" w:color="auto"/>
          </w:divBdr>
        </w:div>
        <w:div w:id="896205570">
          <w:marLeft w:val="1800"/>
          <w:marRight w:val="0"/>
          <w:marTop w:val="67"/>
          <w:marBottom w:val="0"/>
          <w:divBdr>
            <w:top w:val="none" w:sz="0" w:space="0" w:color="auto"/>
            <w:left w:val="none" w:sz="0" w:space="0" w:color="auto"/>
            <w:bottom w:val="none" w:sz="0" w:space="0" w:color="auto"/>
            <w:right w:val="none" w:sz="0" w:space="0" w:color="auto"/>
          </w:divBdr>
        </w:div>
        <w:div w:id="1051460603">
          <w:marLeft w:val="2520"/>
          <w:marRight w:val="0"/>
          <w:marTop w:val="67"/>
          <w:marBottom w:val="0"/>
          <w:divBdr>
            <w:top w:val="none" w:sz="0" w:space="0" w:color="auto"/>
            <w:left w:val="none" w:sz="0" w:space="0" w:color="auto"/>
            <w:bottom w:val="none" w:sz="0" w:space="0" w:color="auto"/>
            <w:right w:val="none" w:sz="0" w:space="0" w:color="auto"/>
          </w:divBdr>
        </w:div>
        <w:div w:id="1220357494">
          <w:marLeft w:val="1800"/>
          <w:marRight w:val="0"/>
          <w:marTop w:val="67"/>
          <w:marBottom w:val="0"/>
          <w:divBdr>
            <w:top w:val="none" w:sz="0" w:space="0" w:color="auto"/>
            <w:left w:val="none" w:sz="0" w:space="0" w:color="auto"/>
            <w:bottom w:val="none" w:sz="0" w:space="0" w:color="auto"/>
            <w:right w:val="none" w:sz="0" w:space="0" w:color="auto"/>
          </w:divBdr>
        </w:div>
        <w:div w:id="2100439400">
          <w:marLeft w:val="2520"/>
          <w:marRight w:val="0"/>
          <w:marTop w:val="67"/>
          <w:marBottom w:val="0"/>
          <w:divBdr>
            <w:top w:val="none" w:sz="0" w:space="0" w:color="auto"/>
            <w:left w:val="none" w:sz="0" w:space="0" w:color="auto"/>
            <w:bottom w:val="none" w:sz="0" w:space="0" w:color="auto"/>
            <w:right w:val="none" w:sz="0" w:space="0" w:color="auto"/>
          </w:divBdr>
        </w:div>
      </w:divsChild>
    </w:div>
    <w:div w:id="1761750779">
      <w:bodyDiv w:val="1"/>
      <w:marLeft w:val="0"/>
      <w:marRight w:val="0"/>
      <w:marTop w:val="0"/>
      <w:marBottom w:val="0"/>
      <w:divBdr>
        <w:top w:val="none" w:sz="0" w:space="0" w:color="auto"/>
        <w:left w:val="none" w:sz="0" w:space="0" w:color="auto"/>
        <w:bottom w:val="none" w:sz="0" w:space="0" w:color="auto"/>
        <w:right w:val="none" w:sz="0" w:space="0" w:color="auto"/>
      </w:divBdr>
      <w:divsChild>
        <w:div w:id="1251503885">
          <w:marLeft w:val="547"/>
          <w:marRight w:val="0"/>
          <w:marTop w:val="86"/>
          <w:marBottom w:val="0"/>
          <w:divBdr>
            <w:top w:val="none" w:sz="0" w:space="0" w:color="auto"/>
            <w:left w:val="none" w:sz="0" w:space="0" w:color="auto"/>
            <w:bottom w:val="none" w:sz="0" w:space="0" w:color="auto"/>
            <w:right w:val="none" w:sz="0" w:space="0" w:color="auto"/>
          </w:divBdr>
        </w:div>
      </w:divsChild>
    </w:div>
    <w:div w:id="1793985427">
      <w:bodyDiv w:val="1"/>
      <w:marLeft w:val="0"/>
      <w:marRight w:val="0"/>
      <w:marTop w:val="0"/>
      <w:marBottom w:val="0"/>
      <w:divBdr>
        <w:top w:val="none" w:sz="0" w:space="0" w:color="auto"/>
        <w:left w:val="none" w:sz="0" w:space="0" w:color="auto"/>
        <w:bottom w:val="none" w:sz="0" w:space="0" w:color="auto"/>
        <w:right w:val="none" w:sz="0" w:space="0" w:color="auto"/>
      </w:divBdr>
      <w:divsChild>
        <w:div w:id="17780037">
          <w:marLeft w:val="547"/>
          <w:marRight w:val="0"/>
          <w:marTop w:val="86"/>
          <w:marBottom w:val="0"/>
          <w:divBdr>
            <w:top w:val="none" w:sz="0" w:space="0" w:color="auto"/>
            <w:left w:val="none" w:sz="0" w:space="0" w:color="auto"/>
            <w:bottom w:val="none" w:sz="0" w:space="0" w:color="auto"/>
            <w:right w:val="none" w:sz="0" w:space="0" w:color="auto"/>
          </w:divBdr>
        </w:div>
      </w:divsChild>
    </w:div>
    <w:div w:id="1831020753">
      <w:bodyDiv w:val="1"/>
      <w:marLeft w:val="0"/>
      <w:marRight w:val="0"/>
      <w:marTop w:val="0"/>
      <w:marBottom w:val="0"/>
      <w:divBdr>
        <w:top w:val="none" w:sz="0" w:space="0" w:color="auto"/>
        <w:left w:val="none" w:sz="0" w:space="0" w:color="auto"/>
        <w:bottom w:val="none" w:sz="0" w:space="0" w:color="auto"/>
        <w:right w:val="none" w:sz="0" w:space="0" w:color="auto"/>
      </w:divBdr>
      <w:divsChild>
        <w:div w:id="2034303105">
          <w:marLeft w:val="547"/>
          <w:marRight w:val="0"/>
          <w:marTop w:val="154"/>
          <w:marBottom w:val="0"/>
          <w:divBdr>
            <w:top w:val="none" w:sz="0" w:space="0" w:color="auto"/>
            <w:left w:val="none" w:sz="0" w:space="0" w:color="auto"/>
            <w:bottom w:val="none" w:sz="0" w:space="0" w:color="auto"/>
            <w:right w:val="none" w:sz="0" w:space="0" w:color="auto"/>
          </w:divBdr>
        </w:div>
      </w:divsChild>
    </w:div>
    <w:div w:id="1855801042">
      <w:bodyDiv w:val="1"/>
      <w:marLeft w:val="0"/>
      <w:marRight w:val="0"/>
      <w:marTop w:val="0"/>
      <w:marBottom w:val="0"/>
      <w:divBdr>
        <w:top w:val="none" w:sz="0" w:space="0" w:color="auto"/>
        <w:left w:val="none" w:sz="0" w:space="0" w:color="auto"/>
        <w:bottom w:val="none" w:sz="0" w:space="0" w:color="auto"/>
        <w:right w:val="none" w:sz="0" w:space="0" w:color="auto"/>
      </w:divBdr>
      <w:divsChild>
        <w:div w:id="1089349230">
          <w:marLeft w:val="1166"/>
          <w:marRight w:val="0"/>
          <w:marTop w:val="77"/>
          <w:marBottom w:val="0"/>
          <w:divBdr>
            <w:top w:val="none" w:sz="0" w:space="0" w:color="auto"/>
            <w:left w:val="none" w:sz="0" w:space="0" w:color="auto"/>
            <w:bottom w:val="none" w:sz="0" w:space="0" w:color="auto"/>
            <w:right w:val="none" w:sz="0" w:space="0" w:color="auto"/>
          </w:divBdr>
        </w:div>
      </w:divsChild>
    </w:div>
    <w:div w:id="2099136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561A8-8293-43CD-AB73-A78D2B0F8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1522</Words>
  <Characters>8681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Chun-Yi WEI</dc:creator>
  <cp:keywords/>
  <cp:lastModifiedBy>蔡華龍</cp:lastModifiedBy>
  <cp:revision>2</cp:revision>
  <cp:lastPrinted>2017-03-22T01:43:00Z</cp:lastPrinted>
  <dcterms:created xsi:type="dcterms:W3CDTF">2017-11-17T08:36:00Z</dcterms:created>
  <dcterms:modified xsi:type="dcterms:W3CDTF">2017-11-17T08:36:00Z</dcterms:modified>
</cp:coreProperties>
</file>