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#9</w:t>
      </w:r>
      <w:r w:rsidR="0019434C">
        <w:rPr>
          <w:rFonts w:ascii="Arial" w:hAnsi="Arial" w:cs="Arial"/>
          <w:b/>
          <w:bCs/>
          <w:sz w:val="22"/>
        </w:rPr>
        <w:t>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17</w:t>
      </w:r>
      <w:r w:rsidR="00691650">
        <w:rPr>
          <w:rFonts w:ascii="Arial" w:hAnsi="Arial" w:cs="Arial"/>
          <w:b/>
          <w:bCs/>
          <w:sz w:val="22"/>
        </w:rPr>
        <w:t>1</w:t>
      </w:r>
      <w:r w:rsidR="0019434C">
        <w:rPr>
          <w:rFonts w:ascii="Arial" w:hAnsi="Arial" w:cs="Arial"/>
          <w:b/>
          <w:bCs/>
          <w:sz w:val="22"/>
        </w:rPr>
        <w:t>9568</w:t>
      </w:r>
    </w:p>
    <w:p w:rsidR="004607C3" w:rsidRDefault="0019434C">
      <w:pPr>
        <w:pStyle w:val="Header"/>
        <w:tabs>
          <w:tab w:val="clear" w:pos="8306"/>
          <w:tab w:val="right" w:pos="9639"/>
        </w:tabs>
        <w:rPr>
          <w:rFonts w:ascii="Arial" w:hAnsi="Arial" w:cs="Arial"/>
          <w:b/>
          <w:bCs/>
          <w:sz w:val="22"/>
        </w:rPr>
      </w:pPr>
      <w:r>
        <w:rPr>
          <w:rFonts w:ascii="Arial" w:hAnsi="Arial" w:cs="Arial"/>
          <w:b/>
          <w:bCs/>
          <w:sz w:val="22"/>
        </w:rPr>
        <w:t>Reno</w:t>
      </w:r>
      <w:r w:rsidR="005D20F1">
        <w:rPr>
          <w:rFonts w:ascii="Arial" w:hAnsi="Arial" w:cs="Arial"/>
          <w:b/>
          <w:bCs/>
          <w:sz w:val="22"/>
        </w:rPr>
        <w:t xml:space="preserve">, </w:t>
      </w:r>
      <w:r>
        <w:rPr>
          <w:rFonts w:ascii="Arial" w:hAnsi="Arial" w:cs="Arial"/>
          <w:b/>
          <w:bCs/>
          <w:sz w:val="22"/>
          <w:lang w:val="en-GB"/>
        </w:rPr>
        <w:t>USA</w:t>
      </w:r>
      <w:r w:rsidR="005D20F1">
        <w:rPr>
          <w:rFonts w:ascii="Arial" w:hAnsi="Arial" w:cs="Arial"/>
          <w:b/>
          <w:bCs/>
          <w:sz w:val="22"/>
        </w:rPr>
        <w:t xml:space="preserve">, </w:t>
      </w:r>
      <w:r>
        <w:rPr>
          <w:rFonts w:ascii="Arial" w:hAnsi="Arial" w:cs="Arial"/>
          <w:b/>
          <w:bCs/>
          <w:sz w:val="22"/>
        </w:rPr>
        <w:t>November 27th</w:t>
      </w:r>
      <w:r w:rsidR="00450D8B" w:rsidRPr="00450D8B">
        <w:rPr>
          <w:rFonts w:ascii="Arial" w:hAnsi="Arial" w:cs="Arial"/>
          <w:b/>
          <w:bCs/>
          <w:sz w:val="22"/>
        </w:rPr>
        <w:t xml:space="preserve"> </w:t>
      </w:r>
      <w:r w:rsidR="00450D8B">
        <w:rPr>
          <w:rFonts w:ascii="Arial" w:hAnsi="Arial" w:cs="Arial"/>
          <w:b/>
          <w:bCs/>
          <w:sz w:val="22"/>
        </w:rPr>
        <w:t>–</w:t>
      </w:r>
      <w:r w:rsidR="00BF5A89">
        <w:rPr>
          <w:rFonts w:ascii="Arial" w:hAnsi="Arial" w:cs="Arial"/>
          <w:b/>
          <w:bCs/>
          <w:sz w:val="22"/>
        </w:rPr>
        <w:t xml:space="preserve"> </w:t>
      </w:r>
      <w:r>
        <w:rPr>
          <w:rFonts w:ascii="Arial" w:hAnsi="Arial" w:cs="Arial"/>
          <w:b/>
          <w:bCs/>
          <w:sz w:val="22"/>
        </w:rPr>
        <w:t>December 1st</w:t>
      </w:r>
      <w:r w:rsidR="00450D8B">
        <w:rPr>
          <w:rFonts w:ascii="Arial" w:hAnsi="Arial" w:cs="Arial"/>
          <w:b/>
          <w:bCs/>
          <w:sz w:val="22"/>
        </w:rPr>
        <w:t>,</w:t>
      </w:r>
      <w:r w:rsidR="00137F31">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19434C">
        <w:rPr>
          <w:rFonts w:ascii="Arial" w:hAnsi="Arial" w:cs="Arial"/>
        </w:rPr>
        <w:t>7.8</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01322">
        <w:rPr>
          <w:rFonts w:ascii="Arial" w:hAnsi="Arial" w:cs="Arial"/>
        </w:rPr>
        <w:t>Considerations on NR UL NOMA Operation</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584C38" w:rsidRDefault="00E8646A" w:rsidP="0040584F">
      <w:r>
        <w:t>In RAN1</w:t>
      </w:r>
      <w:r w:rsidR="008E04EE">
        <w:t>#86</w:t>
      </w:r>
      <w:r>
        <w:t xml:space="preserve">, </w:t>
      </w:r>
      <w:r w:rsidR="008E04EE">
        <w:t xml:space="preserve">it </w:t>
      </w:r>
      <w:r w:rsidR="00ED3CB5">
        <w:t>was</w:t>
      </w:r>
      <w:r w:rsidR="008E04EE">
        <w:t xml:space="preserve"> agreed that </w:t>
      </w:r>
      <w:r w:rsidR="008E04EE" w:rsidRPr="00BD0BA1">
        <w:t xml:space="preserve">NR should target to support non-orthogonal multiple access </w:t>
      </w:r>
      <w:r w:rsidR="008E04EE">
        <w:t xml:space="preserve">(NOMA) </w:t>
      </w:r>
      <w:r w:rsidR="008E04EE" w:rsidRPr="00BD0BA1">
        <w:t>in UL</w:t>
      </w:r>
      <w:r w:rsidR="00ED3CB5">
        <w:t>,</w:t>
      </w:r>
      <w:r w:rsidR="008E04EE" w:rsidRPr="00BD0BA1">
        <w:t xml:space="preserve"> at least for mMTC</w:t>
      </w:r>
      <w:r w:rsidR="008E04EE">
        <w:t xml:space="preserve"> </w:t>
      </w:r>
      <w:r w:rsidR="008E04EE" w:rsidRPr="008E04EE">
        <w:fldChar w:fldCharType="begin"/>
      </w:r>
      <w:r w:rsidR="008E04EE" w:rsidRPr="008E04EE">
        <w:instrText xml:space="preserve"> REF _Ref481595957 \n \h </w:instrText>
      </w:r>
      <w:r w:rsidR="008E04EE" w:rsidRPr="008E04EE">
        <w:fldChar w:fldCharType="separate"/>
      </w:r>
      <w:r w:rsidR="008E04EE" w:rsidRPr="008E04EE">
        <w:t>[1]</w:t>
      </w:r>
      <w:r w:rsidR="008E04EE" w:rsidRPr="008E04EE">
        <w:fldChar w:fldCharType="end"/>
      </w:r>
      <w:r w:rsidR="008E04EE">
        <w:t xml:space="preserve">. In the same meeting, 15 different NOMA schemes have been reported, and </w:t>
      </w:r>
      <w:r w:rsidR="00ED3CB5">
        <w:t xml:space="preserve">were </w:t>
      </w:r>
      <w:r w:rsidR="008E04EE">
        <w:t xml:space="preserve">eventually captured in TR38.802 </w:t>
      </w:r>
      <w:r w:rsidR="008E04EE">
        <w:fldChar w:fldCharType="begin"/>
      </w:r>
      <w:r w:rsidR="008E04EE">
        <w:instrText xml:space="preserve"> REF _Ref484791042 \r \h </w:instrText>
      </w:r>
      <w:r w:rsidR="008E04EE">
        <w:fldChar w:fldCharType="separate"/>
      </w:r>
      <w:r w:rsidR="008E04EE">
        <w:t>[2]</w:t>
      </w:r>
      <w:r w:rsidR="008E04EE">
        <w:fldChar w:fldCharType="end"/>
      </w:r>
      <w:r w:rsidR="008E04EE">
        <w:t xml:space="preserve">. </w:t>
      </w:r>
      <w:r w:rsidR="00ED3CB5">
        <w:t xml:space="preserve">Some evaluation assumptions for link level simulation (LLS) are also given in </w:t>
      </w:r>
      <w:r w:rsidR="00ED3CB5">
        <w:fldChar w:fldCharType="begin"/>
      </w:r>
      <w:r w:rsidR="00ED3CB5">
        <w:instrText xml:space="preserve"> REF _Ref484791042 \r \h </w:instrText>
      </w:r>
      <w:r w:rsidR="00ED3CB5">
        <w:fldChar w:fldCharType="separate"/>
      </w:r>
      <w:r w:rsidR="00ED3CB5">
        <w:t>[2]</w:t>
      </w:r>
      <w:r w:rsidR="00ED3CB5">
        <w:fldChar w:fldCharType="end"/>
      </w:r>
      <w:r w:rsidR="00ED3CB5">
        <w:t xml:space="preserve">, together with evaluation results corresponding to </w:t>
      </w:r>
      <w:r w:rsidR="00932D2F">
        <w:t>some</w:t>
      </w:r>
      <w:r w:rsidR="00ED3CB5">
        <w:t xml:space="preserve"> of the proposed UL NOMA scheme</w:t>
      </w:r>
      <w:r w:rsidR="00932D2F">
        <w:t>s</w:t>
      </w:r>
      <w:r w:rsidR="00ED3CB5">
        <w:t>.</w:t>
      </w:r>
      <w:r w:rsidR="003B4F82">
        <w:t xml:space="preserve"> </w:t>
      </w:r>
    </w:p>
    <w:p w:rsidR="003B4F82" w:rsidRDefault="005C716C" w:rsidP="0040584F">
      <w:r>
        <w:t xml:space="preserve">From Table 9.1.2-4 in </w:t>
      </w:r>
      <w:r>
        <w:fldChar w:fldCharType="begin"/>
      </w:r>
      <w:r>
        <w:instrText xml:space="preserve"> REF _Ref484791042 \r \h </w:instrText>
      </w:r>
      <w:r>
        <w:fldChar w:fldCharType="separate"/>
      </w:r>
      <w:r>
        <w:t>[2]</w:t>
      </w:r>
      <w:r>
        <w:fldChar w:fldCharType="end"/>
      </w:r>
      <w:r>
        <w:t xml:space="preserve">, it is apparent that </w:t>
      </w:r>
      <w:r w:rsidR="005F59B8">
        <w:t>the reported gain of NOMA (over OMA) various dramatically between different NOMA schemes.</w:t>
      </w:r>
      <w:r w:rsidR="00652874">
        <w:t xml:space="preserve"> In fact, </w:t>
      </w:r>
      <w:r w:rsidR="006C64EE">
        <w:t>even for</w:t>
      </w:r>
      <w:r w:rsidR="00652874">
        <w:t xml:space="preserve"> a specific NOMA scheme, the performance gain over OMA various </w:t>
      </w:r>
      <w:r w:rsidR="006C64EE">
        <w:t xml:space="preserve">when different RX algorithms are used. This suggests that in order to achieve meaningful comparison between various NOMA schemes, </w:t>
      </w:r>
      <w:r w:rsidR="003A4AEC">
        <w:t xml:space="preserve">on top of the already agreed evaluation assumptions, </w:t>
      </w:r>
      <w:r w:rsidR="006C64EE">
        <w:t>we need to consider at least the following:</w:t>
      </w:r>
    </w:p>
    <w:p w:rsidR="006C64EE" w:rsidRPr="003A4AEC" w:rsidRDefault="003A4AEC" w:rsidP="003A4AEC">
      <w:pPr>
        <w:pStyle w:val="ListParagraph"/>
        <w:numPr>
          <w:ilvl w:val="0"/>
          <w:numId w:val="45"/>
        </w:numPr>
        <w:rPr>
          <w:rFonts w:eastAsia="PMingLiU"/>
        </w:rPr>
      </w:pPr>
      <w:r>
        <w:rPr>
          <w:rFonts w:eastAsia="PMingLiU"/>
          <w:sz w:val="20"/>
          <w:szCs w:val="20"/>
        </w:rPr>
        <w:t>Evaluate NOMA schemes based on a common RX architecture.</w:t>
      </w:r>
    </w:p>
    <w:p w:rsidR="003A4AEC" w:rsidRPr="003A4AEC" w:rsidRDefault="003A4AEC" w:rsidP="003A4AEC">
      <w:pPr>
        <w:pStyle w:val="ListParagraph"/>
        <w:numPr>
          <w:ilvl w:val="0"/>
          <w:numId w:val="45"/>
        </w:numPr>
        <w:rPr>
          <w:rFonts w:eastAsia="PMingLiU"/>
        </w:rPr>
      </w:pPr>
      <w:r>
        <w:rPr>
          <w:rFonts w:eastAsia="PMingLiU"/>
          <w:sz w:val="20"/>
          <w:szCs w:val="20"/>
        </w:rPr>
        <w:t>Establish a common performance bench mark that could be used to calibrate and verify the performance of individual NOMA schemes.</w:t>
      </w:r>
    </w:p>
    <w:p w:rsidR="00D00D87" w:rsidRDefault="00802092" w:rsidP="003914B8">
      <w:r>
        <w:t>Regarding the second point above, it is well known that the UL channel is an example of Multiple Access Channel (MAC). The channel capacity of the MAC channel can be achieved using Gaussian Superposition Codes (a NOMA scheme) with MMSE Successive Interference Cancellation (MMSE-SIC) receiver. It is therefore a natural choice to use this setting to establish the desired performance benchmark.</w:t>
      </w:r>
      <w:r w:rsidR="00D00D87">
        <w:t xml:space="preserve"> The resulting benchmark could provide the following </w:t>
      </w:r>
      <w:r w:rsidR="004C7577">
        <w:t>information</w:t>
      </w:r>
      <w:r w:rsidR="00D00D87">
        <w:t xml:space="preserve"> in NOMA scheme evaluation:</w:t>
      </w:r>
    </w:p>
    <w:p w:rsidR="00E8646A" w:rsidRDefault="00D00D87" w:rsidP="00D00D87">
      <w:pPr>
        <w:pStyle w:val="ListParagraph"/>
        <w:numPr>
          <w:ilvl w:val="0"/>
          <w:numId w:val="46"/>
        </w:numPr>
        <w:rPr>
          <w:sz w:val="20"/>
          <w:szCs w:val="20"/>
        </w:rPr>
      </w:pPr>
      <w:r>
        <w:rPr>
          <w:sz w:val="20"/>
          <w:szCs w:val="20"/>
        </w:rPr>
        <w:t>C</w:t>
      </w:r>
      <w:r w:rsidRPr="00D00D87">
        <w:rPr>
          <w:sz w:val="20"/>
          <w:szCs w:val="20"/>
        </w:rPr>
        <w:t>haracterize</w:t>
      </w:r>
      <w:r w:rsidR="004C7577">
        <w:rPr>
          <w:sz w:val="20"/>
          <w:szCs w:val="20"/>
        </w:rPr>
        <w:t>s</w:t>
      </w:r>
      <w:r w:rsidRPr="00D00D87">
        <w:rPr>
          <w:sz w:val="20"/>
          <w:szCs w:val="20"/>
        </w:rPr>
        <w:t xml:space="preserve"> the exp</w:t>
      </w:r>
      <w:r>
        <w:rPr>
          <w:sz w:val="20"/>
          <w:szCs w:val="20"/>
        </w:rPr>
        <w:t xml:space="preserve">ected performance gain of NOMA over </w:t>
      </w:r>
      <w:r w:rsidR="00F34F10">
        <w:rPr>
          <w:sz w:val="20"/>
          <w:szCs w:val="20"/>
        </w:rPr>
        <w:t>orthogonal multiple access (</w:t>
      </w:r>
      <w:r>
        <w:rPr>
          <w:sz w:val="20"/>
          <w:szCs w:val="20"/>
        </w:rPr>
        <w:t>OMA</w:t>
      </w:r>
      <w:r w:rsidR="00F34F10">
        <w:rPr>
          <w:sz w:val="20"/>
          <w:szCs w:val="20"/>
        </w:rPr>
        <w:t>)</w:t>
      </w:r>
      <w:r>
        <w:rPr>
          <w:sz w:val="20"/>
          <w:szCs w:val="20"/>
        </w:rPr>
        <w:t>.</w:t>
      </w:r>
      <w:r w:rsidRPr="00D00D87">
        <w:rPr>
          <w:sz w:val="20"/>
          <w:szCs w:val="20"/>
        </w:rPr>
        <w:t xml:space="preserve"> </w:t>
      </w:r>
    </w:p>
    <w:p w:rsidR="00902819" w:rsidRDefault="004C7577" w:rsidP="00902819">
      <w:pPr>
        <w:pStyle w:val="ListParagraph"/>
        <w:numPr>
          <w:ilvl w:val="0"/>
          <w:numId w:val="46"/>
        </w:numPr>
        <w:rPr>
          <w:sz w:val="20"/>
          <w:szCs w:val="20"/>
        </w:rPr>
      </w:pPr>
      <w:r>
        <w:rPr>
          <w:sz w:val="20"/>
          <w:szCs w:val="20"/>
        </w:rPr>
        <w:t>Provides a performance upper bound for various NOMA schemes.</w:t>
      </w:r>
    </w:p>
    <w:p w:rsidR="00902819" w:rsidRPr="00902819" w:rsidRDefault="00902819" w:rsidP="00902819">
      <w:r>
        <w:t xml:space="preserve">In this contribution, we will establish the aforementioned </w:t>
      </w:r>
      <w:r w:rsidR="005A525C">
        <w:t>bench</w:t>
      </w:r>
      <w:r>
        <w:t xml:space="preserve">mark based on the evaluation assumptions given in </w:t>
      </w:r>
      <w:r>
        <w:fldChar w:fldCharType="begin"/>
      </w:r>
      <w:r>
        <w:instrText xml:space="preserve"> REF _Ref484791042 \r \h </w:instrText>
      </w:r>
      <w:r>
        <w:fldChar w:fldCharType="separate"/>
      </w:r>
      <w:r>
        <w:t>[2]</w:t>
      </w:r>
      <w:r>
        <w:fldChar w:fldCharType="end"/>
      </w:r>
      <w:r>
        <w:t>.</w:t>
      </w:r>
    </w:p>
    <w:p w:rsidR="00355D12" w:rsidRPr="000142BB" w:rsidRDefault="001A1BD9" w:rsidP="00355D12">
      <w:pPr>
        <w:pStyle w:val="Heading2"/>
        <w:numPr>
          <w:ilvl w:val="0"/>
          <w:numId w:val="26"/>
        </w:numPr>
        <w:ind w:right="288"/>
        <w:rPr>
          <w:sz w:val="24"/>
          <w:szCs w:val="24"/>
        </w:rPr>
      </w:pPr>
      <w:r>
        <w:rPr>
          <w:sz w:val="24"/>
          <w:szCs w:val="24"/>
        </w:rPr>
        <w:t>Performance Benchm</w:t>
      </w:r>
      <w:r w:rsidR="00902819">
        <w:rPr>
          <w:sz w:val="24"/>
          <w:szCs w:val="24"/>
        </w:rPr>
        <w:t>arks for OMA and NOMA Systems</w:t>
      </w:r>
    </w:p>
    <w:p w:rsidR="00AE7715" w:rsidRDefault="00355D12" w:rsidP="00355D12">
      <w:r>
        <w:t xml:space="preserve">In this section, we </w:t>
      </w:r>
      <w:r w:rsidR="00902819">
        <w:t>derive</w:t>
      </w:r>
      <w:r w:rsidR="005A525C">
        <w:t xml:space="preserve"> the performance bench</w:t>
      </w:r>
      <w:r w:rsidR="00902819">
        <w:t xml:space="preserve">mark of OMA and NOMA systems using the well-established capacity analysis for MAC channel. Some </w:t>
      </w:r>
      <w:r w:rsidR="00AE7715">
        <w:t>relevant</w:t>
      </w:r>
      <w:r w:rsidR="001E605C">
        <w:t xml:space="preserve"> parameters corresponding to the OMA &amp; NOMA systems under considerati</w:t>
      </w:r>
      <w:r w:rsidR="00B12019">
        <w:t xml:space="preserve">on are listed in </w:t>
      </w:r>
      <w:r w:rsidR="00B12019">
        <w:fldChar w:fldCharType="begin"/>
      </w:r>
      <w:r w:rsidR="00B12019">
        <w:instrText xml:space="preserve"> REF _Ref498629944 \h </w:instrText>
      </w:r>
      <w:r w:rsidR="00B12019">
        <w:fldChar w:fldCharType="separate"/>
      </w:r>
      <w:r w:rsidR="00B12019">
        <w:t xml:space="preserve">Table </w:t>
      </w:r>
      <w:r w:rsidR="00B12019">
        <w:rPr>
          <w:noProof/>
        </w:rPr>
        <w:t>1</w:t>
      </w:r>
      <w:r w:rsidR="00B12019">
        <w:fldChar w:fldCharType="end"/>
      </w:r>
      <w:r w:rsidR="00941514">
        <w:t xml:space="preserve"> below.</w:t>
      </w:r>
    </w:p>
    <w:p w:rsidR="00941514" w:rsidRPr="000142BB" w:rsidRDefault="005A525C" w:rsidP="005A525C">
      <w:pPr>
        <w:pStyle w:val="Caption"/>
        <w:jc w:val="center"/>
      </w:pPr>
      <w:bookmarkStart w:id="0" w:name="_Ref498629944"/>
      <w:r>
        <w:t xml:space="preserve">Table </w:t>
      </w:r>
      <w:fldSimple w:instr=" SEQ Table \* ARABIC ">
        <w:r>
          <w:rPr>
            <w:noProof/>
          </w:rPr>
          <w:t>1</w:t>
        </w:r>
      </w:fldSimple>
      <w:bookmarkEnd w:id="0"/>
      <w:r>
        <w:t>: Relevant parameters for OMA &amp; NOMA performance benchmark analysis</w:t>
      </w:r>
    </w:p>
    <w:tbl>
      <w:tblPr>
        <w:tblW w:w="9204" w:type="dxa"/>
        <w:tblCellMar>
          <w:left w:w="0" w:type="dxa"/>
          <w:right w:w="0" w:type="dxa"/>
        </w:tblCellMar>
        <w:tblLook w:val="0600" w:firstRow="0" w:lastRow="0" w:firstColumn="0" w:lastColumn="0" w:noHBand="1" w:noVBand="1"/>
      </w:tblPr>
      <w:tblGrid>
        <w:gridCol w:w="3680"/>
        <w:gridCol w:w="5524"/>
      </w:tblGrid>
      <w:tr w:rsidR="00AE7715" w:rsidRPr="009B4C33" w:rsidTr="00C97D3A">
        <w:trPr>
          <w:trHeight w:val="209"/>
        </w:trPr>
        <w:tc>
          <w:tcPr>
            <w:tcW w:w="3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
                <w:bCs/>
                <w:sz w:val="16"/>
                <w:szCs w:val="16"/>
                <w:lang w:val="en-GB" w:eastAsia="ja-JP"/>
              </w:rPr>
            </w:pPr>
            <w:r w:rsidRPr="009B4C33">
              <w:rPr>
                <w:rFonts w:ascii="Arial" w:eastAsia="MS Mincho" w:hAnsi="Arial" w:cs="Arial"/>
                <w:b/>
                <w:bCs/>
                <w:sz w:val="16"/>
                <w:szCs w:val="16"/>
                <w:lang w:val="en-GB" w:eastAsia="ja-JP"/>
              </w:rPr>
              <w:t>Parameters</w:t>
            </w:r>
          </w:p>
        </w:tc>
        <w:tc>
          <w:tcPr>
            <w:tcW w:w="5524" w:type="dxa"/>
            <w:tcBorders>
              <w:top w:val="single" w:sz="8" w:space="0" w:color="000000"/>
              <w:left w:val="single" w:sz="8" w:space="0" w:color="000000"/>
              <w:bottom w:val="single" w:sz="8" w:space="0" w:color="000000"/>
              <w:right w:val="single" w:sz="8" w:space="0" w:color="000000"/>
            </w:tcBorders>
            <w:shd w:val="clear" w:color="auto" w:fill="D9D9D9"/>
          </w:tcPr>
          <w:p w:rsidR="00AE7715" w:rsidRPr="009B4C33" w:rsidRDefault="00AE7715" w:rsidP="00353D31">
            <w:pPr>
              <w:spacing w:after="0"/>
              <w:rPr>
                <w:rFonts w:ascii="Arial" w:hAnsi="Arial" w:cs="Arial"/>
                <w:b/>
                <w:bCs/>
                <w:sz w:val="16"/>
                <w:szCs w:val="16"/>
                <w:lang w:val="en-GB"/>
              </w:rPr>
            </w:pPr>
            <w:r>
              <w:rPr>
                <w:rFonts w:ascii="Arial" w:hAnsi="Arial" w:cs="Arial"/>
                <w:b/>
                <w:bCs/>
                <w:sz w:val="16"/>
                <w:szCs w:val="16"/>
                <w:lang w:val="en-GB"/>
              </w:rPr>
              <w:t>Values</w:t>
            </w:r>
          </w:p>
        </w:tc>
      </w:tr>
      <w:tr w:rsidR="00AE7715" w:rsidRPr="009B4C33" w:rsidTr="00C97D3A">
        <w:trPr>
          <w:trHeight w:val="18"/>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 xml:space="preserve">Waveform </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353D31">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CP-OFDM</w:t>
            </w:r>
          </w:p>
        </w:tc>
      </w:tr>
      <w:tr w:rsidR="00AE7715" w:rsidRPr="009B4C33" w:rsidTr="00C97D3A">
        <w:trPr>
          <w:trHeight w:val="33"/>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 xml:space="preserve">Numerology </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3B3011">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S</w:t>
            </w:r>
            <w:r w:rsidR="003B3011">
              <w:rPr>
                <w:rFonts w:ascii="Arial" w:eastAsia="MS Mincho" w:hAnsi="Arial" w:cs="Arial"/>
                <w:bCs/>
                <w:sz w:val="16"/>
                <w:szCs w:val="16"/>
                <w:lang w:val="en-GB" w:eastAsia="ja-JP"/>
              </w:rPr>
              <w:t>ub-carrier Spacing</w:t>
            </w:r>
            <w:r w:rsidRPr="00AE7715">
              <w:rPr>
                <w:rFonts w:ascii="Arial" w:eastAsia="MS Mincho" w:hAnsi="Arial" w:cs="Arial"/>
                <w:bCs/>
                <w:sz w:val="16"/>
                <w:szCs w:val="16"/>
                <w:lang w:val="en-GB" w:eastAsia="ja-JP"/>
              </w:rPr>
              <w:t xml:space="preserve"> = 15 kHz, </w:t>
            </w:r>
            <w:r w:rsidR="003B3011">
              <w:rPr>
                <w:rFonts w:ascii="Arial" w:eastAsia="MS Mincho" w:hAnsi="Arial" w:cs="Arial"/>
                <w:bCs/>
                <w:sz w:val="16"/>
                <w:szCs w:val="16"/>
                <w:lang w:val="en-GB" w:eastAsia="ja-JP"/>
              </w:rPr>
              <w:t>Number of Symbols</w:t>
            </w:r>
            <w:r w:rsidRPr="00AE7715">
              <w:rPr>
                <w:rFonts w:ascii="Arial" w:eastAsia="MS Mincho" w:hAnsi="Arial" w:cs="Arial"/>
                <w:bCs/>
                <w:sz w:val="16"/>
                <w:szCs w:val="16"/>
                <w:lang w:val="en-GB" w:eastAsia="ja-JP"/>
              </w:rPr>
              <w:t xml:space="preserve"> = 14</w:t>
            </w:r>
          </w:p>
        </w:tc>
      </w:tr>
      <w:tr w:rsidR="00AE7715"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353D31"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Total a</w:t>
            </w:r>
            <w:r w:rsidR="00AE7715" w:rsidRPr="009B4C33">
              <w:rPr>
                <w:rFonts w:ascii="Arial" w:eastAsia="MS Mincho" w:hAnsi="Arial" w:cs="Arial"/>
                <w:bCs/>
                <w:sz w:val="16"/>
                <w:szCs w:val="16"/>
                <w:lang w:val="en-GB" w:eastAsia="ja-JP"/>
              </w:rPr>
              <w:t>llocated bandwidth</w:t>
            </w:r>
            <w:r w:rsidR="00C97D3A">
              <w:rPr>
                <w:rFonts w:ascii="Arial" w:eastAsia="MS Mincho" w:hAnsi="Arial" w:cs="Arial"/>
                <w:bCs/>
                <w:sz w:val="16"/>
                <w:szCs w:val="16"/>
                <w:lang w:val="en-GB" w:eastAsia="ja-JP"/>
              </w:rPr>
              <w:t xml:space="preserve"> (</w:t>
            </w:r>
            <w:r>
              <w:rPr>
                <w:rFonts w:ascii="Arial" w:eastAsia="MS Mincho" w:hAnsi="Arial" w:cs="Arial"/>
                <w:b/>
                <w:bCs/>
                <w:sz w:val="16"/>
                <w:szCs w:val="16"/>
                <w:lang w:val="en-GB" w:eastAsia="ja-JP"/>
              </w:rPr>
              <w:t>W</w:t>
            </w:r>
            <w:r w:rsidR="00C97D3A">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AE7715">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 xml:space="preserve">[4, 6] </w:t>
            </w:r>
            <w:r w:rsidR="00C97D3A">
              <w:rPr>
                <w:rFonts w:ascii="Arial" w:eastAsia="MS Mincho" w:hAnsi="Arial" w:cs="Arial"/>
                <w:bCs/>
                <w:sz w:val="16"/>
                <w:szCs w:val="16"/>
                <w:lang w:val="en-GB" w:eastAsia="ja-JP"/>
              </w:rPr>
              <w:t>(</w:t>
            </w:r>
            <w:r w:rsidRPr="00AE7715">
              <w:rPr>
                <w:rFonts w:ascii="Arial" w:eastAsia="MS Mincho" w:hAnsi="Arial" w:cs="Arial"/>
                <w:bCs/>
                <w:sz w:val="16"/>
                <w:szCs w:val="16"/>
                <w:lang w:val="en-GB" w:eastAsia="ja-JP"/>
              </w:rPr>
              <w:t>RB</w:t>
            </w:r>
            <w:r w:rsidR="00C97D3A">
              <w:rPr>
                <w:rFonts w:ascii="Arial" w:eastAsia="MS Mincho" w:hAnsi="Arial" w:cs="Arial"/>
                <w:bCs/>
                <w:sz w:val="16"/>
                <w:szCs w:val="16"/>
                <w:lang w:val="en-GB" w:eastAsia="ja-JP"/>
              </w:rPr>
              <w:t>)</w:t>
            </w:r>
          </w:p>
        </w:tc>
      </w:tr>
      <w:tr w:rsidR="00AE7715" w:rsidRPr="009B4C33" w:rsidTr="00C97D3A">
        <w:trPr>
          <w:trHeight w:val="24"/>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Ta</w:t>
            </w:r>
            <w:r w:rsidR="00C97D3A">
              <w:rPr>
                <w:rFonts w:ascii="Arial" w:eastAsia="MS Mincho" w:hAnsi="Arial" w:cs="Arial"/>
                <w:bCs/>
                <w:sz w:val="16"/>
                <w:szCs w:val="16"/>
                <w:lang w:val="en-GB" w:eastAsia="ja-JP"/>
              </w:rPr>
              <w:t>rget per UE spectral efficiency</w:t>
            </w:r>
            <w:r w:rsidR="00F34F10">
              <w:rPr>
                <w:rFonts w:ascii="Arial" w:eastAsia="MS Mincho" w:hAnsi="Arial" w:cs="Arial"/>
                <w:bCs/>
                <w:sz w:val="16"/>
                <w:szCs w:val="16"/>
                <w:lang w:val="en-GB" w:eastAsia="ja-JP"/>
              </w:rPr>
              <w:t xml:space="preserve"> (</w:t>
            </w:r>
            <w:r w:rsidR="00F34F10" w:rsidRPr="00F34F10">
              <w:rPr>
                <w:rFonts w:ascii="Arial" w:eastAsia="MS Mincho" w:hAnsi="Arial" w:cs="Arial"/>
                <w:b/>
                <w:bCs/>
                <w:sz w:val="16"/>
                <w:szCs w:val="16"/>
                <w:lang w:val="en-GB" w:eastAsia="ja-JP"/>
              </w:rPr>
              <w:t>R</w:t>
            </w:r>
            <w:r w:rsidR="00F34F10">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C97D3A">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[0.1-0.5]</w:t>
            </w:r>
            <w:r w:rsidR="00B44904">
              <w:rPr>
                <w:rFonts w:ascii="Arial" w:eastAsia="MS Mincho" w:hAnsi="Arial" w:cs="Arial"/>
                <w:bCs/>
                <w:sz w:val="16"/>
                <w:szCs w:val="16"/>
                <w:lang w:val="en-GB" w:eastAsia="ja-JP"/>
              </w:rPr>
              <w:t xml:space="preserve"> (bit/s/Hz per UE)</w:t>
            </w:r>
            <w:r w:rsidR="00C97D3A">
              <w:rPr>
                <w:rFonts w:ascii="Arial" w:eastAsia="MS Mincho" w:hAnsi="Arial" w:cs="Arial"/>
                <w:bCs/>
                <w:sz w:val="16"/>
                <w:szCs w:val="16"/>
                <w:lang w:val="en-GB" w:eastAsia="ja-JP"/>
              </w:rPr>
              <w:t>. Equal spectral efficiency for all UEs.</w:t>
            </w:r>
          </w:p>
        </w:tc>
      </w:tr>
      <w:tr w:rsidR="00AE7715" w:rsidRPr="009B4C33" w:rsidTr="00C97D3A">
        <w:trPr>
          <w:trHeight w:val="60"/>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7715" w:rsidRPr="009B4C33" w:rsidRDefault="00AE7715" w:rsidP="00353D31">
            <w:pPr>
              <w:spacing w:after="0"/>
              <w:rPr>
                <w:rFonts w:ascii="Arial" w:hAnsi="Arial" w:cs="Arial"/>
                <w:bCs/>
                <w:sz w:val="16"/>
                <w:szCs w:val="16"/>
              </w:rPr>
            </w:pPr>
            <w:r w:rsidRPr="009B4C33">
              <w:rPr>
                <w:rFonts w:ascii="Arial" w:hAnsi="Arial" w:cs="Arial" w:hint="eastAsia"/>
                <w:bCs/>
                <w:sz w:val="16"/>
                <w:szCs w:val="16"/>
                <w:lang w:val="en-GB"/>
              </w:rPr>
              <w:t>T</w:t>
            </w:r>
            <w:r w:rsidRPr="009B4C33">
              <w:rPr>
                <w:rFonts w:ascii="Arial" w:hAnsi="Arial" w:cs="Arial"/>
                <w:bCs/>
                <w:sz w:val="16"/>
                <w:szCs w:val="16"/>
                <w:lang w:val="en-GB"/>
              </w:rPr>
              <w:t xml:space="preserve">arget </w:t>
            </w:r>
            <w:r w:rsidRPr="009B4C33">
              <w:rPr>
                <w:rFonts w:ascii="Arial" w:hAnsi="Arial" w:cs="Arial"/>
                <w:bCs/>
                <w:sz w:val="16"/>
                <w:szCs w:val="16"/>
              </w:rPr>
              <w:t>BLER for one transmission</w:t>
            </w:r>
          </w:p>
        </w:tc>
        <w:tc>
          <w:tcPr>
            <w:tcW w:w="5524" w:type="dxa"/>
            <w:tcBorders>
              <w:top w:val="single" w:sz="8" w:space="0" w:color="000000"/>
              <w:left w:val="single" w:sz="8" w:space="0" w:color="000000"/>
              <w:bottom w:val="single" w:sz="8" w:space="0" w:color="000000"/>
              <w:right w:val="single" w:sz="8" w:space="0" w:color="000000"/>
            </w:tcBorders>
            <w:vAlign w:val="center"/>
          </w:tcPr>
          <w:p w:rsidR="00AE7715" w:rsidRPr="00AE7715" w:rsidRDefault="00AE7715" w:rsidP="00AE7715">
            <w:pPr>
              <w:shd w:val="clear" w:color="auto" w:fill="FFFFFF"/>
              <w:spacing w:after="0"/>
              <w:rPr>
                <w:rFonts w:ascii="Arial" w:eastAsia="SimSun" w:hAnsi="Arial" w:cs="Arial"/>
                <w:sz w:val="16"/>
                <w:szCs w:val="16"/>
              </w:rPr>
            </w:pPr>
            <w:r>
              <w:rPr>
                <w:rFonts w:ascii="Arial" w:eastAsia="SimSun" w:hAnsi="Arial" w:cs="Arial"/>
                <w:sz w:val="16"/>
                <w:szCs w:val="16"/>
              </w:rPr>
              <w:t>10%</w:t>
            </w:r>
          </w:p>
        </w:tc>
      </w:tr>
      <w:tr w:rsidR="00AE7715" w:rsidRPr="009B4C33" w:rsidTr="00C97D3A">
        <w:trPr>
          <w:trHeight w:val="24"/>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Number of UEs multiplexed in the same allocated bandwidth</w:t>
            </w:r>
            <w:r w:rsidR="00C97D3A">
              <w:rPr>
                <w:rFonts w:ascii="Arial" w:eastAsia="MS Mincho" w:hAnsi="Arial" w:cs="Arial"/>
                <w:bCs/>
                <w:sz w:val="16"/>
                <w:szCs w:val="16"/>
                <w:lang w:val="en-GB" w:eastAsia="ja-JP"/>
              </w:rPr>
              <w:t xml:space="preserve"> (</w:t>
            </w:r>
            <w:r w:rsidR="00C97D3A" w:rsidRPr="00C97D3A">
              <w:rPr>
                <w:rFonts w:ascii="Arial" w:eastAsia="MS Mincho" w:hAnsi="Arial" w:cs="Arial"/>
                <w:b/>
                <w:bCs/>
                <w:sz w:val="16"/>
                <w:szCs w:val="16"/>
                <w:lang w:val="en-GB" w:eastAsia="ja-JP"/>
              </w:rPr>
              <w:t>K</w:t>
            </w:r>
            <w:r w:rsidR="00C97D3A">
              <w:rPr>
                <w:rFonts w:ascii="Arial" w:eastAsia="MS Mincho" w:hAnsi="Arial" w:cs="Arial"/>
                <w:bCs/>
                <w:sz w:val="16"/>
                <w:szCs w:val="16"/>
                <w:lang w:val="en-GB" w:eastAsia="ja-JP"/>
              </w:rPr>
              <w:t>)</w:t>
            </w:r>
          </w:p>
        </w:tc>
        <w:tc>
          <w:tcPr>
            <w:tcW w:w="5524" w:type="dxa"/>
            <w:tcBorders>
              <w:top w:val="single" w:sz="8" w:space="0" w:color="000000"/>
              <w:left w:val="single" w:sz="8" w:space="0" w:color="000000"/>
              <w:bottom w:val="single" w:sz="8" w:space="0" w:color="000000"/>
              <w:right w:val="single" w:sz="8" w:space="0" w:color="000000"/>
            </w:tcBorders>
          </w:tcPr>
          <w:p w:rsidR="00AE7715" w:rsidRDefault="00C83925" w:rsidP="00353D31">
            <w:pPr>
              <w:spacing w:after="0"/>
              <w:rPr>
                <w:rFonts w:ascii="Arial" w:eastAsia="MS Mincho" w:hAnsi="Arial" w:cs="Arial"/>
                <w:bCs/>
                <w:sz w:val="16"/>
                <w:szCs w:val="16"/>
                <w:lang w:val="en-GB" w:eastAsia="ja-JP"/>
              </w:rPr>
            </w:pPr>
            <w:r w:rsidRPr="003B3011">
              <w:rPr>
                <w:rFonts w:ascii="Arial" w:eastAsia="MS Mincho" w:hAnsi="Arial" w:cs="Arial"/>
                <w:b/>
                <w:bCs/>
                <w:sz w:val="16"/>
                <w:szCs w:val="16"/>
                <w:lang w:val="en-GB" w:eastAsia="ja-JP"/>
              </w:rPr>
              <w:t>NOMA</w:t>
            </w:r>
            <w:r>
              <w:rPr>
                <w:rFonts w:ascii="Arial" w:eastAsia="MS Mincho" w:hAnsi="Arial" w:cs="Arial"/>
                <w:bCs/>
                <w:sz w:val="16"/>
                <w:szCs w:val="16"/>
                <w:lang w:val="en-GB" w:eastAsia="ja-JP"/>
              </w:rPr>
              <w:t xml:space="preserve">: </w:t>
            </w:r>
            <w:r w:rsidR="00AE7715" w:rsidRPr="00AE7715">
              <w:rPr>
                <w:rFonts w:ascii="Arial" w:eastAsia="MS Mincho" w:hAnsi="Arial" w:cs="Arial"/>
                <w:bCs/>
                <w:sz w:val="16"/>
                <w:szCs w:val="16"/>
                <w:lang w:val="en-GB" w:eastAsia="ja-JP"/>
              </w:rPr>
              <w:t>[4, 6] UEs</w:t>
            </w:r>
            <w:r>
              <w:rPr>
                <w:rFonts w:ascii="Arial" w:eastAsia="MS Mincho" w:hAnsi="Arial" w:cs="Arial"/>
                <w:bCs/>
                <w:sz w:val="16"/>
                <w:szCs w:val="16"/>
                <w:lang w:val="en-GB" w:eastAsia="ja-JP"/>
              </w:rPr>
              <w:t>, each occupies the full allocated bandwidth</w:t>
            </w:r>
            <w:r w:rsidR="00B44904">
              <w:rPr>
                <w:rFonts w:ascii="Arial" w:eastAsia="MS Mincho" w:hAnsi="Arial" w:cs="Arial"/>
                <w:bCs/>
                <w:sz w:val="16"/>
                <w:szCs w:val="16"/>
                <w:lang w:val="en-GB" w:eastAsia="ja-JP"/>
              </w:rPr>
              <w:t>.</w:t>
            </w:r>
          </w:p>
          <w:p w:rsidR="00C83925" w:rsidRPr="00AE7715" w:rsidRDefault="00C83925" w:rsidP="00353D31">
            <w:pPr>
              <w:spacing w:after="0"/>
              <w:rPr>
                <w:rFonts w:ascii="Arial" w:eastAsia="MS Mincho" w:hAnsi="Arial" w:cs="Arial"/>
                <w:bCs/>
                <w:sz w:val="16"/>
                <w:szCs w:val="16"/>
                <w:lang w:val="en-GB" w:eastAsia="ja-JP"/>
              </w:rPr>
            </w:pPr>
            <w:r w:rsidRPr="003B3011">
              <w:rPr>
                <w:rFonts w:ascii="Arial" w:eastAsia="MS Mincho" w:hAnsi="Arial" w:cs="Arial"/>
                <w:b/>
                <w:bCs/>
                <w:sz w:val="16"/>
                <w:szCs w:val="16"/>
                <w:lang w:val="en-GB" w:eastAsia="ja-JP"/>
              </w:rPr>
              <w:t>OMA</w:t>
            </w:r>
            <w:r>
              <w:rPr>
                <w:rFonts w:ascii="Arial" w:eastAsia="MS Mincho" w:hAnsi="Arial" w:cs="Arial"/>
                <w:bCs/>
                <w:sz w:val="16"/>
                <w:szCs w:val="16"/>
                <w:lang w:val="en-GB" w:eastAsia="ja-JP"/>
              </w:rPr>
              <w:t xml:space="preserve">: </w:t>
            </w:r>
            <w:r w:rsidRPr="00AE7715">
              <w:rPr>
                <w:rFonts w:ascii="Arial" w:eastAsia="MS Mincho" w:hAnsi="Arial" w:cs="Arial"/>
                <w:bCs/>
                <w:sz w:val="16"/>
                <w:szCs w:val="16"/>
                <w:lang w:val="en-GB" w:eastAsia="ja-JP"/>
              </w:rPr>
              <w:t>[4, 6] UEs</w:t>
            </w:r>
            <w:r>
              <w:rPr>
                <w:rFonts w:ascii="Arial" w:eastAsia="MS Mincho" w:hAnsi="Arial" w:cs="Arial"/>
                <w:bCs/>
                <w:sz w:val="16"/>
                <w:szCs w:val="16"/>
                <w:lang w:val="en-GB" w:eastAsia="ja-JP"/>
              </w:rPr>
              <w:t xml:space="preserve">, each occupies </w:t>
            </w:r>
            <w:r w:rsidR="00353D31">
              <w:rPr>
                <w:rFonts w:ascii="Arial" w:eastAsia="MS Mincho" w:hAnsi="Arial" w:cs="Arial"/>
                <w:b/>
                <w:bCs/>
                <w:sz w:val="16"/>
                <w:szCs w:val="16"/>
                <w:lang w:val="en-GB" w:eastAsia="ja-JP"/>
              </w:rPr>
              <w:t>W</w:t>
            </w:r>
            <w:r w:rsidR="00C97D3A" w:rsidRPr="00C97D3A">
              <w:rPr>
                <w:rFonts w:ascii="Arial" w:eastAsia="MS Mincho" w:hAnsi="Arial" w:cs="Arial"/>
                <w:b/>
                <w:bCs/>
                <w:sz w:val="16"/>
                <w:szCs w:val="16"/>
                <w:lang w:val="en-GB" w:eastAsia="ja-JP"/>
              </w:rPr>
              <w:t>/K</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 xml:space="preserve">1 </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RB</w:t>
            </w:r>
            <w:r w:rsidR="00C97D3A">
              <w:rPr>
                <w:rFonts w:ascii="Arial" w:eastAsia="MS Mincho" w:hAnsi="Arial" w:cs="Arial"/>
                <w:bCs/>
                <w:sz w:val="16"/>
                <w:szCs w:val="16"/>
                <w:lang w:val="en-GB" w:eastAsia="ja-JP"/>
              </w:rPr>
              <w:t>)</w:t>
            </w:r>
            <w:r>
              <w:rPr>
                <w:rFonts w:ascii="Arial" w:eastAsia="MS Mincho" w:hAnsi="Arial" w:cs="Arial"/>
                <w:bCs/>
                <w:sz w:val="16"/>
                <w:szCs w:val="16"/>
                <w:lang w:val="en-GB" w:eastAsia="ja-JP"/>
              </w:rPr>
              <w:t>.</w:t>
            </w:r>
          </w:p>
        </w:tc>
      </w:tr>
      <w:tr w:rsidR="00AE7715"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7715" w:rsidRPr="009B4C33" w:rsidRDefault="00AE7715" w:rsidP="00353D31">
            <w:pPr>
              <w:spacing w:after="0"/>
              <w:rPr>
                <w:rFonts w:ascii="Arial" w:eastAsia="MS Mincho" w:hAnsi="Arial" w:cs="Arial"/>
                <w:bCs/>
                <w:sz w:val="16"/>
                <w:szCs w:val="16"/>
                <w:lang w:val="en-GB" w:eastAsia="ja-JP"/>
              </w:rPr>
            </w:pPr>
            <w:r w:rsidRPr="009B4C33">
              <w:rPr>
                <w:rFonts w:ascii="Arial" w:eastAsia="MS Mincho" w:hAnsi="Arial" w:cs="Arial"/>
                <w:bCs/>
                <w:sz w:val="16"/>
                <w:szCs w:val="16"/>
                <w:lang w:val="en-GB" w:eastAsia="ja-JP"/>
              </w:rPr>
              <w:t>BS antenna configuration</w:t>
            </w:r>
          </w:p>
        </w:tc>
        <w:tc>
          <w:tcPr>
            <w:tcW w:w="5524" w:type="dxa"/>
            <w:tcBorders>
              <w:top w:val="single" w:sz="8" w:space="0" w:color="000000"/>
              <w:left w:val="single" w:sz="8" w:space="0" w:color="000000"/>
              <w:bottom w:val="single" w:sz="8" w:space="0" w:color="000000"/>
              <w:right w:val="single" w:sz="8" w:space="0" w:color="000000"/>
            </w:tcBorders>
          </w:tcPr>
          <w:p w:rsidR="00AE7715" w:rsidRPr="00AE7715" w:rsidRDefault="00AE7715" w:rsidP="00AE7715">
            <w:pPr>
              <w:spacing w:after="0"/>
              <w:rPr>
                <w:rFonts w:ascii="Arial" w:eastAsia="MS Mincho" w:hAnsi="Arial" w:cs="Arial"/>
                <w:bCs/>
                <w:sz w:val="16"/>
                <w:szCs w:val="16"/>
                <w:lang w:val="en-GB" w:eastAsia="ja-JP"/>
              </w:rPr>
            </w:pPr>
            <w:r w:rsidRPr="00AE7715">
              <w:rPr>
                <w:rFonts w:ascii="Arial" w:eastAsia="MS Mincho" w:hAnsi="Arial" w:cs="Arial"/>
                <w:bCs/>
                <w:sz w:val="16"/>
                <w:szCs w:val="16"/>
                <w:lang w:val="en-GB" w:eastAsia="ja-JP"/>
              </w:rPr>
              <w:t>2</w:t>
            </w:r>
            <w:r w:rsidR="002E3296">
              <w:rPr>
                <w:rFonts w:ascii="Arial" w:eastAsia="MS Mincho" w:hAnsi="Arial" w:cs="Arial"/>
                <w:bCs/>
                <w:sz w:val="16"/>
                <w:szCs w:val="16"/>
                <w:lang w:val="en-GB" w:eastAsia="ja-JP"/>
              </w:rPr>
              <w:t xml:space="preserve"> </w:t>
            </w:r>
            <w:r w:rsidR="006A7658">
              <w:rPr>
                <w:rFonts w:ascii="Arial" w:eastAsia="MS Mincho" w:hAnsi="Arial" w:cs="Arial"/>
                <w:bCs/>
                <w:sz w:val="16"/>
                <w:szCs w:val="16"/>
                <w:lang w:val="en-GB" w:eastAsia="ja-JP"/>
              </w:rPr>
              <w:t>Rx</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Pr="009B4C33"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UE antenna configuration</w:t>
            </w:r>
          </w:p>
        </w:tc>
        <w:tc>
          <w:tcPr>
            <w:tcW w:w="5524" w:type="dxa"/>
            <w:tcBorders>
              <w:top w:val="single" w:sz="8" w:space="0" w:color="000000"/>
              <w:left w:val="single" w:sz="8" w:space="0" w:color="000000"/>
              <w:bottom w:val="single" w:sz="8" w:space="0" w:color="000000"/>
              <w:right w:val="single" w:sz="8" w:space="0" w:color="000000"/>
            </w:tcBorders>
          </w:tcPr>
          <w:p w:rsidR="002E3296" w:rsidRPr="00AE7715" w:rsidRDefault="002E3296" w:rsidP="00AE7715">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1 Tx</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Propagation Channel</w:t>
            </w:r>
          </w:p>
        </w:tc>
        <w:tc>
          <w:tcPr>
            <w:tcW w:w="5524" w:type="dxa"/>
            <w:tcBorders>
              <w:top w:val="single" w:sz="8" w:space="0" w:color="000000"/>
              <w:left w:val="single" w:sz="8" w:space="0" w:color="000000"/>
              <w:bottom w:val="single" w:sz="8" w:space="0" w:color="000000"/>
              <w:right w:val="single" w:sz="8" w:space="0" w:color="000000"/>
            </w:tcBorders>
          </w:tcPr>
          <w:p w:rsidR="002E3296" w:rsidRDefault="002E3296" w:rsidP="002E3296">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Flat Rayleigh Fading Channel</w:t>
            </w:r>
          </w:p>
        </w:tc>
      </w:tr>
      <w:tr w:rsidR="002E3296" w:rsidRPr="009B4C33" w:rsidTr="00C97D3A">
        <w:trPr>
          <w:trHeight w:val="69"/>
        </w:trPr>
        <w:tc>
          <w:tcPr>
            <w:tcW w:w="3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E3296" w:rsidRDefault="002E3296" w:rsidP="00353D31">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Average SNR distribution</w:t>
            </w:r>
          </w:p>
        </w:tc>
        <w:tc>
          <w:tcPr>
            <w:tcW w:w="5524" w:type="dxa"/>
            <w:tcBorders>
              <w:top w:val="single" w:sz="8" w:space="0" w:color="000000"/>
              <w:left w:val="single" w:sz="8" w:space="0" w:color="000000"/>
              <w:bottom w:val="single" w:sz="8" w:space="0" w:color="000000"/>
              <w:right w:val="single" w:sz="8" w:space="0" w:color="000000"/>
            </w:tcBorders>
          </w:tcPr>
          <w:p w:rsidR="002E3296" w:rsidRDefault="002E3296" w:rsidP="002E3296">
            <w:pPr>
              <w:spacing w:after="0"/>
              <w:rPr>
                <w:rFonts w:ascii="Arial" w:eastAsia="MS Mincho" w:hAnsi="Arial" w:cs="Arial"/>
                <w:bCs/>
                <w:sz w:val="16"/>
                <w:szCs w:val="16"/>
                <w:lang w:val="en-GB" w:eastAsia="ja-JP"/>
              </w:rPr>
            </w:pPr>
            <w:r>
              <w:rPr>
                <w:rFonts w:ascii="Arial" w:eastAsia="MS Mincho" w:hAnsi="Arial" w:cs="Arial"/>
                <w:bCs/>
                <w:sz w:val="16"/>
                <w:szCs w:val="16"/>
                <w:lang w:val="en-GB" w:eastAsia="ja-JP"/>
              </w:rPr>
              <w:t>Equal average SNR</w:t>
            </w:r>
          </w:p>
        </w:tc>
      </w:tr>
    </w:tbl>
    <w:p w:rsidR="00355D12" w:rsidRPr="00AE7715" w:rsidRDefault="00355D12" w:rsidP="00355D12">
      <w:pPr>
        <w:rPr>
          <w:lang w:val="en-GB"/>
        </w:rPr>
      </w:pPr>
    </w:p>
    <w:p w:rsidR="00355D12" w:rsidRDefault="001A1BD9" w:rsidP="00355D12">
      <w:pPr>
        <w:pStyle w:val="Heading2"/>
        <w:numPr>
          <w:ilvl w:val="1"/>
          <w:numId w:val="26"/>
        </w:numPr>
        <w:ind w:right="288"/>
      </w:pPr>
      <w:r>
        <w:t>OMA Performance Benchmark</w:t>
      </w:r>
    </w:p>
    <w:p w:rsidR="00BF5766" w:rsidRDefault="00F34F10" w:rsidP="00355D12">
      <w:r>
        <w:t xml:space="preserve">The OMA channel model over flat Rayleigh fading channel </w:t>
      </w:r>
      <w:r w:rsidR="007A57FE">
        <w:t xml:space="preserve">for each UE </w:t>
      </w:r>
      <m:oMath>
        <m:r>
          <w:rPr>
            <w:rFonts w:ascii="Cambria Math" w:hAnsi="Cambria Math"/>
          </w:rPr>
          <m:t>k</m:t>
        </m:r>
      </m:oMath>
      <w:r w:rsidR="007A57FE">
        <w:t xml:space="preserve"> </w:t>
      </w:r>
      <w:r w:rsidR="009A4445">
        <w:t>is given by:</w:t>
      </w:r>
    </w:p>
    <w:p w:rsidR="009A4445" w:rsidRDefault="00F34F10" w:rsidP="00B130AC">
      <w:pPr>
        <w:jc w:val="right"/>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r>
          <w:rPr>
            <w:rFonts w:ascii="Cambria Math" w:hAnsi="Cambria Math"/>
          </w:rPr>
          <m:t xml:space="preserve">       ∀k∈</m:t>
        </m:r>
        <m:d>
          <m:dPr>
            <m:begChr m:val="{"/>
            <m:endChr m:val="}"/>
            <m:ctrlPr>
              <w:rPr>
                <w:rFonts w:ascii="Cambria Math" w:hAnsi="Cambria Math"/>
                <w:i/>
              </w:rPr>
            </m:ctrlPr>
          </m:dPr>
          <m:e>
            <m:r>
              <w:rPr>
                <w:rFonts w:ascii="Cambria Math" w:hAnsi="Cambria Math"/>
              </w:rPr>
              <m:t>0,1,…,K-1</m:t>
            </m:r>
          </m:e>
        </m:d>
      </m:oMath>
      <w:r w:rsidR="00B130AC">
        <w:t xml:space="preserve">                                                               (1)</w:t>
      </w:r>
    </w:p>
    <w:p w:rsidR="0027414C" w:rsidRDefault="006A7658" w:rsidP="00355D12">
      <w:r>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k</m:t>
            </m:r>
          </m:sub>
        </m:sSub>
      </m:oMath>
      <w:r>
        <w:t xml:space="preserve"> is a </w:t>
      </w:r>
      <m:oMath>
        <m:r>
          <w:rPr>
            <w:rFonts w:ascii="Cambria Math" w:hAnsi="Cambria Math"/>
          </w:rPr>
          <m:t>2×1</m:t>
        </m:r>
      </m:oMath>
      <w:r>
        <w:t xml:space="preserve"> vector denoting the received signal at the 2 Rx antennas,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w:t>
      </w:r>
      <m:oMath>
        <m:r>
          <w:rPr>
            <w:rFonts w:ascii="Cambria Math" w:hAnsi="Cambria Math"/>
          </w:rPr>
          <m:t>2×1</m:t>
        </m:r>
      </m:oMath>
      <w:r>
        <w:t xml:space="preserve"> vector denoting the </w:t>
      </w:r>
      <m:oMath>
        <m:r>
          <w:rPr>
            <w:rFonts w:ascii="Cambria Math" w:hAnsi="Cambria Math"/>
          </w:rPr>
          <m:t>1</m:t>
        </m:r>
        <m:r>
          <m:rPr>
            <m:nor/>
          </m:rPr>
          <w:rPr>
            <w:rFonts w:ascii="Cambria Math" w:hAnsi="Cambria Math"/>
          </w:rPr>
          <m:t>Tx</m:t>
        </m:r>
        <m:r>
          <w:rPr>
            <w:rFonts w:ascii="Cambria Math" w:hAnsi="Cambria Math"/>
          </w:rPr>
          <m:t>×2</m:t>
        </m:r>
        <m:r>
          <m:rPr>
            <m:nor/>
          </m:rPr>
          <w:rPr>
            <w:rFonts w:ascii="Cambria Math" w:hAnsi="Cambria Math"/>
          </w:rPr>
          <m:t>Rx</m:t>
        </m:r>
      </m:oMath>
      <w:r>
        <w:t xml:space="preserve"> channel,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oMath>
      <w:r w:rsidR="0027414C">
        <w:t xml:space="preserve"> </w:t>
      </w:r>
      <w:r>
        <w:t xml:space="preserve">is a </w:t>
      </w:r>
      <m:oMath>
        <m:r>
          <w:rPr>
            <w:rFonts w:ascii="Cambria Math" w:hAnsi="Cambria Math"/>
          </w:rPr>
          <m:t>2×1</m:t>
        </m:r>
      </m:oMath>
      <w:r>
        <w:t xml:space="preserve"> vector corresponding to the AWGN noise at the 2 Rx antennas. </w:t>
      </w:r>
      <w:r w:rsidR="00353D31">
        <w:t xml:space="preserve">For flat Rayleigh fading </w:t>
      </w:r>
      <w:r w:rsidR="00353D31">
        <w:lastRenderedPageBreak/>
        <w:t xml:space="preserve">channel, each component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rsidR="00353D31">
        <w:t xml:space="preserve"> is a complex Gaussian random variable with zero mean and unit variance. </w:t>
      </w:r>
      <w:r w:rsidR="00CC1381">
        <w:t xml:space="preserve">The noise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k</m:t>
            </m:r>
          </m:sub>
        </m:sSub>
      </m:oMath>
      <w:r w:rsidR="00CC1381">
        <w:t xml:space="preserve"> has zero mean and covariance matrix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2×2</m:t>
            </m:r>
          </m:sub>
        </m:sSub>
      </m:oMath>
      <w:r w:rsidR="00CC1381">
        <w:t xml:space="preserve">. </w:t>
      </w:r>
      <w:r w:rsidR="00353D31">
        <w:t>Assume the signal power of each UE is given</w:t>
      </w:r>
      <w:r w:rsidR="00CC1381">
        <w:t xml:space="preserve"> by</w:t>
      </w:r>
      <w:r w:rsidR="00353D31">
        <w:t xml:space="preserve"> </w:t>
      </w:r>
      <m:oMath>
        <m:r>
          <w:rPr>
            <w:rFonts w:ascii="Cambria Math" w:hAnsi="Cambria Math"/>
          </w:rPr>
          <m:t>P</m:t>
        </m:r>
      </m:oMath>
      <w:r w:rsidR="00353D31">
        <w:t xml:space="preserve">. Since each UE has a bandwidth allocation of </w:t>
      </w:r>
      <m:oMath>
        <m:r>
          <w:rPr>
            <w:rFonts w:ascii="Cambria Math" w:hAnsi="Cambria Math"/>
          </w:rPr>
          <m:t>W/K</m:t>
        </m:r>
      </m:oMath>
      <w:r w:rsidR="00353D31">
        <w:t xml:space="preserve">, </w:t>
      </w:r>
      <w:r w:rsidR="00320906">
        <w:t xml:space="preserve">and there is no overlapping between allocations for different UEs, </w:t>
      </w:r>
      <w:r w:rsidR="00353D31">
        <w:t xml:space="preserve">the average SNR </w:t>
      </w:r>
      <w:r w:rsidR="00CC1381">
        <w:t xml:space="preserve">(per RE per Rx antenna as defined in </w:t>
      </w:r>
      <w:r w:rsidR="00CC1381">
        <w:fldChar w:fldCharType="begin"/>
      </w:r>
      <w:r w:rsidR="00CC1381">
        <w:instrText xml:space="preserve"> REF _Ref484791042 \r \h </w:instrText>
      </w:r>
      <w:r w:rsidR="00CC1381">
        <w:fldChar w:fldCharType="separate"/>
      </w:r>
      <w:r w:rsidR="00CC1381">
        <w:t>[2]</w:t>
      </w:r>
      <w:r w:rsidR="00CC1381">
        <w:fldChar w:fldCharType="end"/>
      </w:r>
      <w:r w:rsidR="00CC1381">
        <w:t xml:space="preserve">) </w:t>
      </w:r>
      <w:r w:rsidR="00353D31">
        <w:t>at the receiver is given by</w:t>
      </w:r>
    </w:p>
    <w:p w:rsidR="0027414C" w:rsidRDefault="00CC1381" w:rsidP="00B130AC">
      <w:pPr>
        <w:jc w:val="right"/>
      </w:pPr>
      <m:oMath>
        <m:sSub>
          <m:sSubPr>
            <m:ctrlPr>
              <w:rPr>
                <w:rFonts w:ascii="Cambria Math" w:hAnsi="Cambria Math"/>
                <w:i/>
              </w:rPr>
            </m:ctrlPr>
          </m:sSubPr>
          <m:e>
            <m:r>
              <w:rPr>
                <w:rFonts w:ascii="Cambria Math" w:hAnsi="Cambria Math"/>
              </w:rPr>
              <m:t>SNR</m:t>
            </m:r>
          </m:e>
          <m:sub>
            <m:r>
              <w:rPr>
                <w:rFonts w:ascii="Cambria Math" w:hAnsi="Cambria Math"/>
              </w:rPr>
              <m:t>OMA</m:t>
            </m:r>
          </m:sub>
        </m:sSub>
        <m:r>
          <w:rPr>
            <w:rFonts w:ascii="Cambria Math" w:hAnsi="Cambria Math"/>
          </w:rPr>
          <m:t>=</m:t>
        </m:r>
        <m:f>
          <m:fPr>
            <m:type m:val="lin"/>
            <m:ctrlPr>
              <w:rPr>
                <w:rFonts w:ascii="Cambria Math" w:hAnsi="Cambria Math"/>
                <w:i/>
              </w:rPr>
            </m:ctrlPr>
          </m:fPr>
          <m:num>
            <m:r>
              <w:rPr>
                <w:rFonts w:ascii="Cambria Math" w:hAnsi="Cambria Math"/>
              </w:rPr>
              <m:t>PK</m:t>
            </m:r>
          </m:num>
          <m:den>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W</m:t>
            </m:r>
          </m:den>
        </m:f>
      </m:oMath>
      <w:r w:rsidR="00B130AC">
        <w:t xml:space="preserve">        </w:t>
      </w:r>
      <w:r>
        <w:t xml:space="preserve">                  </w:t>
      </w:r>
      <w:r w:rsidR="00B130AC">
        <w:t xml:space="preserve">                                                     (2)</w:t>
      </w:r>
    </w:p>
    <w:p w:rsidR="0071148F" w:rsidRDefault="0071148F" w:rsidP="00355D12">
      <w:r>
        <w:t xml:space="preserve">The </w:t>
      </w:r>
      <w:r w:rsidR="00761124">
        <w:t xml:space="preserve">maximum </w:t>
      </w:r>
      <w:r>
        <w:t xml:space="preserve">spectral efficiency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rsidR="00761124">
        <w:t xml:space="preserve"> </w:t>
      </w:r>
      <w:r>
        <w:t xml:space="preserve">that could be supported by the OMA system for user </w:t>
      </w:r>
      <m:oMath>
        <m:r>
          <w:rPr>
            <w:rFonts w:ascii="Cambria Math" w:hAnsi="Cambria Math"/>
          </w:rPr>
          <m:t>k</m:t>
        </m:r>
      </m:oMath>
      <w:r>
        <w:t xml:space="preserve"> is then given by</w:t>
      </w:r>
    </w:p>
    <w:p w:rsidR="00761124" w:rsidRDefault="00761124" w:rsidP="00761124">
      <w:pPr>
        <w:jc w:val="right"/>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OMA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e>
                    </m:d>
                  </m:e>
                  <m:sup>
                    <m:r>
                      <w:rPr>
                        <w:rFonts w:ascii="Cambria Math" w:hAnsi="Cambria Math"/>
                      </w:rPr>
                      <m:t>2</m:t>
                    </m:r>
                  </m:sup>
                </m:sSup>
              </m:e>
            </m:d>
          </m:e>
        </m:func>
      </m:oMath>
      <w:r>
        <w:t xml:space="preserve">   </w:t>
      </w:r>
      <w:r>
        <w:t xml:space="preserve">                                                               (</w:t>
      </w:r>
      <w:r>
        <w:t>3</w:t>
      </w:r>
      <w:r>
        <w:t>)</w:t>
      </w:r>
    </w:p>
    <w:p w:rsidR="0071148F" w:rsidRDefault="00761124" w:rsidP="00355D12">
      <w:r>
        <w:t xml:space="preserve">Assume each UE is transmitting at a spectral efficiency of </w:t>
      </w:r>
      <m:oMath>
        <m:r>
          <w:rPr>
            <w:rFonts w:ascii="Cambria Math" w:hAnsi="Cambria Math"/>
          </w:rPr>
          <m:t>R</m:t>
        </m:r>
      </m:oMath>
      <w:r w:rsidR="00A67BBF">
        <w:t>. The error event of the OMA system can be defined as:</w:t>
      </w:r>
    </w:p>
    <w:p w:rsidR="00A67BBF" w:rsidRPr="00A67BBF" w:rsidRDefault="00A67BBF" w:rsidP="00A67BBF">
      <w:pPr>
        <w:jc w:val="right"/>
      </w:pPr>
      <m:oMath>
        <m:r>
          <w:rPr>
            <w:rFonts w:ascii="Cambria Math" w:hAnsi="Cambria Math"/>
          </w:rPr>
          <m:t>E=</m:t>
        </m:r>
        <m:d>
          <m:dPr>
            <m:begChr m:val="{"/>
            <m:endChr m:val="}"/>
            <m:ctrlPr>
              <w:rPr>
                <w:rFonts w:ascii="Cambria Math" w:hAnsi="Cambria Math"/>
                <w:i/>
              </w:rPr>
            </m:ctrlPr>
          </m:dPr>
          <m:e>
            <m:r>
              <w:rPr>
                <w:rFonts w:ascii="Cambria Math" w:hAnsi="Cambria Math"/>
              </w:rPr>
              <m:t>R&gt;</m:t>
            </m:r>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  </m:t>
            </m:r>
            <m:r>
              <m:rPr>
                <m:nor/>
              </m:rPr>
              <w:rPr>
                <w:rFonts w:ascii="Cambria Math" w:hAnsi="Cambria Math"/>
              </w:rPr>
              <m:t>for any</m:t>
            </m:r>
            <m:r>
              <w:rPr>
                <w:rFonts w:ascii="Cambria Math" w:hAnsi="Cambria Math"/>
              </w:rPr>
              <m:t xml:space="preserve"> k</m:t>
            </m:r>
            <m:r>
              <w:rPr>
                <w:rFonts w:ascii="Cambria Math" w:hAnsi="Cambria Math"/>
              </w:rPr>
              <m:t>∈</m:t>
            </m:r>
            <m:d>
              <m:dPr>
                <m:begChr m:val="{"/>
                <m:endChr m:val="}"/>
                <m:ctrlPr>
                  <w:rPr>
                    <w:rFonts w:ascii="Cambria Math" w:hAnsi="Cambria Math"/>
                    <w:i/>
                  </w:rPr>
                </m:ctrlPr>
              </m:dPr>
              <m:e>
                <m:r>
                  <w:rPr>
                    <w:rFonts w:ascii="Cambria Math" w:hAnsi="Cambria Math"/>
                  </w:rPr>
                  <m:t>0,1,…,K-1</m:t>
                </m:r>
              </m:e>
            </m:d>
          </m:e>
        </m:d>
      </m:oMath>
      <w:r>
        <w:t xml:space="preserve">                                                            (4)</w:t>
      </w:r>
    </w:p>
    <w:p w:rsidR="00773AA3" w:rsidRPr="00E60AF1" w:rsidRDefault="00A67BBF" w:rsidP="00C46206">
      <w:r>
        <w:t xml:space="preserve">Finally, the probability of the error event </w:t>
      </w:r>
      <m:oMath>
        <m:r>
          <w:rPr>
            <w:rFonts w:ascii="Cambria Math" w:hAnsi="Cambria Math"/>
          </w:rPr>
          <m:t>P(E)</m:t>
        </m:r>
      </m:oMath>
      <w:r w:rsidR="002E78BC">
        <w:t xml:space="preserve"> </w:t>
      </w:r>
      <w:r>
        <w:t xml:space="preserve">as a function of </w:t>
      </w:r>
      <m:oMath>
        <m:sSub>
          <m:sSubPr>
            <m:ctrlPr>
              <w:rPr>
                <w:rFonts w:ascii="Cambria Math" w:hAnsi="Cambria Math"/>
                <w:i/>
              </w:rPr>
            </m:ctrlPr>
          </m:sSubPr>
          <m:e>
            <m:r>
              <w:rPr>
                <w:rFonts w:ascii="Cambria Math" w:hAnsi="Cambria Math"/>
              </w:rPr>
              <m:t>SNR</m:t>
            </m:r>
          </m:e>
          <m:sub>
            <m:r>
              <w:rPr>
                <w:rFonts w:ascii="Cambria Math" w:hAnsi="Cambria Math"/>
              </w:rPr>
              <m:t>OMA</m:t>
            </m:r>
          </m:sub>
        </m:sSub>
      </m:oMath>
      <w:r>
        <w:t xml:space="preserve"> gives us the desired performance benchmark of the OMA system</w:t>
      </w:r>
      <w:r w:rsidR="00E60AF1">
        <w:t xml:space="preserve"> (see</w:t>
      </w:r>
      <w:r w:rsidR="00C05590">
        <w:t xml:space="preserve"> </w:t>
      </w:r>
      <w:r w:rsidR="00C05590">
        <w:fldChar w:fldCharType="begin"/>
      </w:r>
      <w:r w:rsidR="00C05590">
        <w:instrText xml:space="preserve"> REF _Ref498695014 \h </w:instrText>
      </w:r>
      <w:r w:rsidR="00C05590">
        <w:fldChar w:fldCharType="separate"/>
      </w:r>
      <w:r w:rsidR="00C05590">
        <w:t xml:space="preserve">Figure </w:t>
      </w:r>
      <w:r w:rsidR="00C05590">
        <w:rPr>
          <w:noProof/>
        </w:rPr>
        <w:t>1</w:t>
      </w:r>
      <w:r w:rsidR="00C05590">
        <w:fldChar w:fldCharType="end"/>
      </w:r>
      <w:r w:rsidR="00E60AF1">
        <w:t>)</w:t>
      </w:r>
      <w:r w:rsidR="006E26DD">
        <w:t>.</w:t>
      </w:r>
      <w:r w:rsidR="00E60AF1">
        <w:t xml:space="preserve"> </w:t>
      </w:r>
    </w:p>
    <w:p w:rsidR="007151BC" w:rsidRDefault="0007503D" w:rsidP="007151BC">
      <w:pPr>
        <w:pStyle w:val="Heading2"/>
        <w:numPr>
          <w:ilvl w:val="1"/>
          <w:numId w:val="26"/>
        </w:numPr>
        <w:ind w:right="288"/>
      </w:pPr>
      <w:r>
        <w:t>NOMA Performance Benchmark</w:t>
      </w:r>
    </w:p>
    <w:p w:rsidR="007A57FE" w:rsidRDefault="007A57FE" w:rsidP="007A57FE">
      <w:r>
        <w:t xml:space="preserve">The </w:t>
      </w:r>
      <w:r w:rsidR="00DF4983">
        <w:t>N</w:t>
      </w:r>
      <w:r>
        <w:t>OMA channel model over flat Rayleigh fading channel is given by:</w:t>
      </w:r>
    </w:p>
    <w:p w:rsidR="007A57FE" w:rsidRDefault="00320906" w:rsidP="007A57FE">
      <w:pPr>
        <w:jc w:val="right"/>
      </w:pPr>
      <m:oMath>
        <m:acc>
          <m:accPr>
            <m:chr m:val="̅"/>
            <m:ctrlPr>
              <w:rPr>
                <w:rFonts w:ascii="Cambria Math" w:hAnsi="Cambria Math"/>
                <w:i/>
              </w:rPr>
            </m:ctrlPr>
          </m:accPr>
          <m:e>
            <m:r>
              <w:rPr>
                <w:rFonts w:ascii="Cambria Math" w:hAnsi="Cambria Math"/>
              </w:rPr>
              <m:t>y</m:t>
            </m:r>
          </m:e>
        </m:acc>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e>
        </m:nary>
        <m:r>
          <w:rPr>
            <w:rFonts w:ascii="Cambria Math" w:hAnsi="Cambria Math"/>
          </w:rPr>
          <m:t>+</m:t>
        </m:r>
        <m:acc>
          <m:accPr>
            <m:chr m:val="̅"/>
            <m:ctrlPr>
              <w:rPr>
                <w:rFonts w:ascii="Cambria Math" w:hAnsi="Cambria Math"/>
                <w:i/>
              </w:rPr>
            </m:ctrlPr>
          </m:accPr>
          <m:e>
            <m:r>
              <w:rPr>
                <w:rFonts w:ascii="Cambria Math" w:hAnsi="Cambria Math"/>
              </w:rPr>
              <m:t>n</m:t>
            </m:r>
          </m:e>
        </m:acc>
      </m:oMath>
      <w:r w:rsidR="007A57FE">
        <w:t xml:space="preserve">                     </w:t>
      </w:r>
      <w:r>
        <w:t xml:space="preserve">                   </w:t>
      </w:r>
      <w:r w:rsidR="007A57FE">
        <w:t xml:space="preserve">                                          (</w:t>
      </w:r>
      <w:r>
        <w:t>5</w:t>
      </w:r>
      <w:r w:rsidR="007A57FE">
        <w:t>)</w:t>
      </w:r>
    </w:p>
    <w:p w:rsidR="007A57FE" w:rsidRDefault="007A57FE" w:rsidP="007A57FE">
      <w:r>
        <w:t xml:space="preserve">Here, </w:t>
      </w:r>
      <m:oMath>
        <m:acc>
          <m:accPr>
            <m:chr m:val="̅"/>
            <m:ctrlPr>
              <w:rPr>
                <w:rFonts w:ascii="Cambria Math" w:hAnsi="Cambria Math"/>
                <w:i/>
              </w:rPr>
            </m:ctrlPr>
          </m:accPr>
          <m:e>
            <m:r>
              <w:rPr>
                <w:rFonts w:ascii="Cambria Math" w:hAnsi="Cambria Math"/>
              </w:rPr>
              <m:t>y</m:t>
            </m:r>
          </m:e>
        </m:acc>
      </m:oMath>
      <w:r>
        <w:t xml:space="preserve"> is a </w:t>
      </w:r>
      <m:oMath>
        <m:r>
          <w:rPr>
            <w:rFonts w:ascii="Cambria Math" w:hAnsi="Cambria Math"/>
          </w:rPr>
          <m:t>2×1</m:t>
        </m:r>
      </m:oMath>
      <w:r>
        <w:t xml:space="preserve"> vector denoting the received signal at the 2 Rx antennas,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w:t>
      </w:r>
      <m:oMath>
        <m:r>
          <w:rPr>
            <w:rFonts w:ascii="Cambria Math" w:hAnsi="Cambria Math"/>
          </w:rPr>
          <m:t>2×1</m:t>
        </m:r>
      </m:oMath>
      <w:r>
        <w:t xml:space="preserve"> vector denoting the </w:t>
      </w:r>
      <m:oMath>
        <m:r>
          <w:rPr>
            <w:rFonts w:ascii="Cambria Math" w:hAnsi="Cambria Math"/>
          </w:rPr>
          <m:t>1</m:t>
        </m:r>
        <m:r>
          <m:rPr>
            <m:nor/>
          </m:rPr>
          <w:rPr>
            <w:rFonts w:ascii="Cambria Math" w:hAnsi="Cambria Math"/>
          </w:rPr>
          <m:t>Tx</m:t>
        </m:r>
        <m:r>
          <w:rPr>
            <w:rFonts w:ascii="Cambria Math" w:hAnsi="Cambria Math"/>
          </w:rPr>
          <m:t>×2</m:t>
        </m:r>
        <m:r>
          <m:rPr>
            <m:nor/>
          </m:rPr>
          <w:rPr>
            <w:rFonts w:ascii="Cambria Math" w:hAnsi="Cambria Math"/>
          </w:rPr>
          <m:t>Rx</m:t>
        </m:r>
      </m:oMath>
      <w:r>
        <w:t xml:space="preserve"> channel</w:t>
      </w:r>
      <w:r w:rsidR="00320906">
        <w:t xml:space="preserve"> for UE </w:t>
      </w:r>
      <m:oMath>
        <m:r>
          <w:rPr>
            <w:rFonts w:ascii="Cambria Math" w:hAnsi="Cambria Math"/>
          </w:rPr>
          <m:t>k</m:t>
        </m:r>
      </m:oMath>
      <w:r>
        <w:t xml:space="preserve">, and </w:t>
      </w:r>
      <m:oMath>
        <m:acc>
          <m:accPr>
            <m:chr m:val="̅"/>
            <m:ctrlPr>
              <w:rPr>
                <w:rFonts w:ascii="Cambria Math" w:hAnsi="Cambria Math"/>
                <w:i/>
              </w:rPr>
            </m:ctrlPr>
          </m:accPr>
          <m:e>
            <m:r>
              <w:rPr>
                <w:rFonts w:ascii="Cambria Math" w:hAnsi="Cambria Math"/>
              </w:rPr>
              <m:t>n</m:t>
            </m:r>
          </m:e>
        </m:acc>
      </m:oMath>
      <w:r>
        <w:t xml:space="preserve"> is a </w:t>
      </w:r>
      <m:oMath>
        <m:r>
          <w:rPr>
            <w:rFonts w:ascii="Cambria Math" w:hAnsi="Cambria Math"/>
          </w:rPr>
          <m:t>2×1</m:t>
        </m:r>
      </m:oMath>
      <w:r>
        <w:t xml:space="preserve"> vector corresponding to the AWGN noise at the 2 Rx antennas. </w:t>
      </w:r>
      <w:r w:rsidR="00320906">
        <w:t>Like in OMA, f</w:t>
      </w:r>
      <w:r>
        <w:t xml:space="preserve">or flat Rayleigh fading channel, each component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oMath>
      <w:r>
        <w:t xml:space="preserve"> is a complex Gaussian random variable with zero mean and unit variance. The noise vector </w:t>
      </w:r>
      <m:oMath>
        <m:acc>
          <m:accPr>
            <m:chr m:val="̅"/>
            <m:ctrlPr>
              <w:rPr>
                <w:rFonts w:ascii="Cambria Math" w:hAnsi="Cambria Math"/>
                <w:i/>
              </w:rPr>
            </m:ctrlPr>
          </m:accPr>
          <m:e>
            <m:r>
              <w:rPr>
                <w:rFonts w:ascii="Cambria Math" w:hAnsi="Cambria Math"/>
              </w:rPr>
              <m:t>n</m:t>
            </m:r>
          </m:e>
        </m:acc>
      </m:oMath>
      <w:r>
        <w:t xml:space="preserve"> has zero mean and covariance matrix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2×2</m:t>
            </m:r>
          </m:sub>
        </m:sSub>
      </m:oMath>
      <w:r>
        <w:t xml:space="preserve">. Assume the signal power of each UE is given by </w:t>
      </w:r>
      <m:oMath>
        <m:r>
          <w:rPr>
            <w:rFonts w:ascii="Cambria Math" w:hAnsi="Cambria Math"/>
          </w:rPr>
          <m:t>P</m:t>
        </m:r>
      </m:oMath>
      <w:r>
        <w:t xml:space="preserve">. Since each UE has a bandwidth allocation of </w:t>
      </w:r>
      <m:oMath>
        <m:r>
          <w:rPr>
            <w:rFonts w:ascii="Cambria Math" w:hAnsi="Cambria Math"/>
          </w:rPr>
          <m:t>W</m:t>
        </m:r>
      </m:oMath>
      <w:r>
        <w:t xml:space="preserve">, </w:t>
      </w:r>
      <w:r w:rsidR="00320906">
        <w:t xml:space="preserve">and all </w:t>
      </w:r>
      <m:oMath>
        <m:r>
          <w:rPr>
            <w:rFonts w:ascii="Cambria Math" w:hAnsi="Cambria Math"/>
          </w:rPr>
          <m:t>K</m:t>
        </m:r>
      </m:oMath>
      <w:r w:rsidR="00320906">
        <w:t xml:space="preserve"> UEs shares the same allocated bandwidth, </w:t>
      </w:r>
      <w:r>
        <w:t xml:space="preserve">the average SNR (per RE per Rx antenna as defined in </w:t>
      </w:r>
      <w:r>
        <w:fldChar w:fldCharType="begin"/>
      </w:r>
      <w:r>
        <w:instrText xml:space="preserve"> REF _Ref484791042 \r \h </w:instrText>
      </w:r>
      <w:r>
        <w:fldChar w:fldCharType="separate"/>
      </w:r>
      <w:r>
        <w:t>[2]</w:t>
      </w:r>
      <w:r>
        <w:fldChar w:fldCharType="end"/>
      </w:r>
      <w:r>
        <w:t>) at the receiver is given by</w:t>
      </w:r>
    </w:p>
    <w:p w:rsidR="007A57FE" w:rsidRDefault="007A57FE" w:rsidP="007A57FE">
      <w:pPr>
        <w:jc w:val="right"/>
      </w:pPr>
      <m:oMath>
        <m:sSub>
          <m:sSubPr>
            <m:ctrlPr>
              <w:rPr>
                <w:rFonts w:ascii="Cambria Math" w:hAnsi="Cambria Math"/>
                <w:i/>
              </w:rPr>
            </m:ctrlPr>
          </m:sSubPr>
          <m:e>
            <m:r>
              <w:rPr>
                <w:rFonts w:ascii="Cambria Math" w:hAnsi="Cambria Math"/>
              </w:rPr>
              <m:t>SNR</m:t>
            </m:r>
          </m:e>
          <m:sub>
            <m:r>
              <w:rPr>
                <w:rFonts w:ascii="Cambria Math" w:hAnsi="Cambria Math"/>
              </w:rPr>
              <m:t>N</m:t>
            </m:r>
            <m:r>
              <w:rPr>
                <w:rFonts w:ascii="Cambria Math" w:hAnsi="Cambria Math"/>
              </w:rPr>
              <m:t>OMA</m:t>
            </m:r>
          </m:sub>
        </m:sSub>
        <m:r>
          <w:rPr>
            <w:rFonts w:ascii="Cambria Math" w:hAnsi="Cambria Math"/>
          </w:rPr>
          <m:t>=</m:t>
        </m:r>
        <m:f>
          <m:fPr>
            <m:type m:val="lin"/>
            <m:ctrlPr>
              <w:rPr>
                <w:rFonts w:ascii="Cambria Math" w:hAnsi="Cambria Math"/>
                <w:i/>
              </w:rPr>
            </m:ctrlPr>
          </m:fPr>
          <m:num>
            <m:r>
              <w:rPr>
                <w:rFonts w:ascii="Cambria Math" w:hAnsi="Cambria Math"/>
              </w:rPr>
              <m:t>PK</m:t>
            </m:r>
          </m:num>
          <m:den>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W</m:t>
            </m:r>
          </m:den>
        </m:f>
      </m:oMath>
      <w:r>
        <w:t xml:space="preserve">                                                                               (</w:t>
      </w:r>
      <w:r w:rsidR="00320906">
        <w:t>6</w:t>
      </w:r>
      <w:r>
        <w:t>)</w:t>
      </w:r>
    </w:p>
    <w:p w:rsidR="007A57FE" w:rsidRDefault="00D40284" w:rsidP="007A57FE">
      <w:r>
        <w:t xml:space="preserve">Assume each UE is transmitting at a spectral efficiency of </w:t>
      </w:r>
      <m:oMath>
        <m:r>
          <w:rPr>
            <w:rFonts w:ascii="Cambria Math" w:hAnsi="Cambria Math"/>
          </w:rPr>
          <m:t>R</m:t>
        </m:r>
      </m:oMath>
      <w:r>
        <w:t>. Then by the well-known capacity region of the MAC SIMO channel</w:t>
      </w:r>
      <w:r w:rsidR="00856743">
        <w:t xml:space="preserve"> </w:t>
      </w:r>
      <w:r w:rsidR="00856743">
        <w:fldChar w:fldCharType="begin"/>
      </w:r>
      <w:r w:rsidR="00856743">
        <w:instrText xml:space="preserve"> REF _Ref498697548 \r \h </w:instrText>
      </w:r>
      <w:r w:rsidR="00856743">
        <w:fldChar w:fldCharType="separate"/>
      </w:r>
      <w:r w:rsidR="00856743">
        <w:t>[</w:t>
      </w:r>
      <w:r w:rsidR="00856743">
        <w:t>3</w:t>
      </w:r>
      <w:r w:rsidR="00856743">
        <w:t>]</w:t>
      </w:r>
      <w:r w:rsidR="00856743">
        <w:fldChar w:fldCharType="end"/>
      </w:r>
      <w:r>
        <w:t xml:space="preserve">, the rate </w:t>
      </w:r>
      <m:oMath>
        <m:r>
          <w:rPr>
            <w:rFonts w:ascii="Cambria Math" w:hAnsi="Cambria Math"/>
          </w:rPr>
          <m:t>R</m:t>
        </m:r>
      </m:oMath>
      <w:r>
        <w:t xml:space="preserve"> could be supported by the NOMA channel if </w:t>
      </w:r>
      <w:r w:rsidR="005D2721">
        <w:t>the following constraint</w:t>
      </w:r>
      <w:r>
        <w:t xml:space="preserve"> </w:t>
      </w:r>
      <w:r w:rsidR="005D2721">
        <w:t>is</w:t>
      </w:r>
      <w:r>
        <w:t xml:space="preserve"> satisfied:</w:t>
      </w:r>
    </w:p>
    <w:p w:rsidR="007A57FE" w:rsidRDefault="005D2721" w:rsidP="007A57FE">
      <w:pPr>
        <w:jc w:val="right"/>
      </w:pPr>
      <m:oMath>
        <m:r>
          <w:rPr>
            <w:rFonts w:ascii="Cambria Math" w:hAnsi="Cambria Math"/>
          </w:rPr>
          <m:t>R≤</m:t>
        </m:r>
        <m:f>
          <m:fPr>
            <m:ctrlPr>
              <w:rPr>
                <w:rFonts w:ascii="Cambria Math" w:hAnsi="Cambria Math"/>
                <w:i/>
              </w:rPr>
            </m:ctrlPr>
          </m:fPr>
          <m:num>
            <m:r>
              <w:rPr>
                <w:rFonts w:ascii="Cambria Math" w:hAnsi="Cambria Math"/>
              </w:rPr>
              <m:t>1</m:t>
            </m:r>
          </m:num>
          <m:den>
            <m:d>
              <m:dPr>
                <m:begChr m:val="‖"/>
                <m:endChr m:val="‖"/>
                <m:ctrlPr>
                  <w:rPr>
                    <w:rFonts w:ascii="Cambria Math" w:hAnsi="Cambria Math"/>
                    <w:i/>
                  </w:rPr>
                </m:ctrlPr>
              </m:dPr>
              <m:e>
                <m:r>
                  <w:rPr>
                    <w:rFonts w:ascii="Cambria Math" w:hAnsi="Cambria Math"/>
                  </w:rPr>
                  <m:t>S</m:t>
                </m:r>
              </m:e>
            </m:d>
          </m:den>
        </m:f>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m:rPr>
                <m:nor/>
              </m:rPr>
              <w:rPr>
                <w:rFonts w:ascii="Cambria Math" w:hAnsi="Cambria Math"/>
              </w:rPr>
              <m:t>det</m:t>
            </m:r>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2×2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SNR</m:t>
                        </m:r>
                      </m:e>
                      <m:sub>
                        <m:r>
                          <w:rPr>
                            <w:rFonts w:ascii="Cambria Math" w:hAnsi="Cambria Math"/>
                          </w:rPr>
                          <m:t>N</m:t>
                        </m:r>
                        <m:r>
                          <w:rPr>
                            <w:rFonts w:ascii="Cambria Math" w:hAnsi="Cambria Math"/>
                          </w:rPr>
                          <m:t>OMA</m:t>
                        </m:r>
                      </m:sub>
                    </m:sSub>
                  </m:num>
                  <m:den>
                    <m:r>
                      <w:rPr>
                        <w:rFonts w:ascii="Cambria Math" w:hAnsi="Cambria Math"/>
                      </w:rPr>
                      <m:t>K</m:t>
                    </m:r>
                  </m:den>
                </m:f>
                <m:r>
                  <w:rPr>
                    <w:rFonts w:ascii="Cambria Math" w:hAnsi="Cambria Math"/>
                  </w:rPr>
                  <m:t>×</m:t>
                </m:r>
                <m:nary>
                  <m:naryPr>
                    <m:chr m:val="∑"/>
                    <m:limLoc m:val="undOvr"/>
                    <m:supHide m:val="1"/>
                    <m:ctrlPr>
                      <w:rPr>
                        <w:rFonts w:ascii="Cambria Math" w:hAnsi="Cambria Math"/>
                        <w:i/>
                      </w:rPr>
                    </m:ctrlPr>
                  </m:naryPr>
                  <m:sub>
                    <m:r>
                      <w:rPr>
                        <w:rFonts w:ascii="Cambria Math" w:hAnsi="Cambria Math"/>
                      </w:rPr>
                      <m:t>k∈S</m:t>
                    </m:r>
                  </m:sub>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k</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h</m:t>
                            </m:r>
                          </m:e>
                        </m:acc>
                      </m:e>
                      <m:sub>
                        <m:r>
                          <w:rPr>
                            <w:rFonts w:ascii="Cambria Math" w:hAnsi="Cambria Math"/>
                          </w:rPr>
                          <m:t>k</m:t>
                        </m:r>
                      </m:sub>
                      <m:sup>
                        <m:r>
                          <w:rPr>
                            <w:rFonts w:ascii="Cambria Math" w:hAnsi="Cambria Math"/>
                          </w:rPr>
                          <m:t>*</m:t>
                        </m:r>
                      </m:sup>
                    </m:sSubSup>
                  </m:e>
                </m:nary>
              </m:e>
            </m:d>
          </m:e>
        </m:func>
        <m:r>
          <w:rPr>
            <w:rFonts w:ascii="Cambria Math" w:hAnsi="Cambria Math"/>
          </w:rPr>
          <m:t>≡</m:t>
        </m:r>
        <m:acc>
          <m:accPr>
            <m:chr m:val="̃"/>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S</m:t>
            </m:r>
          </m:e>
        </m:d>
        <m:r>
          <w:rPr>
            <w:rFonts w:ascii="Cambria Math" w:hAnsi="Cambria Math"/>
          </w:rPr>
          <m:t xml:space="preserve">      ∀S⊆</m:t>
        </m:r>
        <m:d>
          <m:dPr>
            <m:begChr m:val="{"/>
            <m:endChr m:val="}"/>
            <m:ctrlPr>
              <w:rPr>
                <w:rFonts w:ascii="Cambria Math" w:hAnsi="Cambria Math"/>
                <w:i/>
              </w:rPr>
            </m:ctrlPr>
          </m:dPr>
          <m:e>
            <m:r>
              <w:rPr>
                <w:rFonts w:ascii="Cambria Math" w:hAnsi="Cambria Math"/>
              </w:rPr>
              <m:t>0,1,…,K-1</m:t>
            </m:r>
          </m:e>
        </m:d>
      </m:oMath>
      <w:r w:rsidR="007A57FE">
        <w:t xml:space="preserve">   </w:t>
      </w:r>
      <w:r>
        <w:t xml:space="preserve">    </w:t>
      </w:r>
      <w:r w:rsidR="007A57FE">
        <w:t xml:space="preserve">                        (</w:t>
      </w:r>
      <w:r>
        <w:t>7</w:t>
      </w:r>
      <w:r w:rsidR="007A57FE">
        <w:t>)</w:t>
      </w:r>
    </w:p>
    <w:p w:rsidR="007A57FE" w:rsidRDefault="0059168A" w:rsidP="007A57FE">
      <w:r>
        <w:t xml:space="preserve">Here, </w:t>
      </w:r>
      <m:oMath>
        <m:d>
          <m:dPr>
            <m:begChr m:val="‖"/>
            <m:endChr m:val="‖"/>
            <m:ctrlPr>
              <w:rPr>
                <w:rFonts w:ascii="Cambria Math" w:hAnsi="Cambria Math"/>
                <w:i/>
              </w:rPr>
            </m:ctrlPr>
          </m:dPr>
          <m:e>
            <m:r>
              <w:rPr>
                <w:rFonts w:ascii="Cambria Math" w:hAnsi="Cambria Math"/>
              </w:rPr>
              <m:t>S</m:t>
            </m:r>
          </m:e>
        </m:d>
      </m:oMath>
      <w:r>
        <w:t xml:space="preserve"> denotes the number of elements in </w:t>
      </w:r>
      <m:oMath>
        <m:r>
          <w:rPr>
            <w:rFonts w:ascii="Cambria Math" w:hAnsi="Cambria Math"/>
          </w:rPr>
          <m:t>S</m:t>
        </m:r>
      </m:oMath>
      <w:r>
        <w:t xml:space="preserve">. </w:t>
      </w:r>
      <w:r w:rsidR="007A57FE">
        <w:t xml:space="preserve">The error event of the </w:t>
      </w:r>
      <w:r>
        <w:t>N</w:t>
      </w:r>
      <w:r w:rsidR="007A57FE">
        <w:t xml:space="preserve">OMA system can </w:t>
      </w:r>
      <w:r>
        <w:t xml:space="preserve">then </w:t>
      </w:r>
      <w:r w:rsidR="007A57FE">
        <w:t>be defined as:</w:t>
      </w:r>
    </w:p>
    <w:p w:rsidR="007A57FE" w:rsidRPr="00A67BBF" w:rsidRDefault="007A57FE" w:rsidP="007A57FE">
      <w:pPr>
        <w:jc w:val="right"/>
      </w:pPr>
      <m:oMath>
        <m:r>
          <w:rPr>
            <w:rFonts w:ascii="Cambria Math" w:hAnsi="Cambria Math"/>
          </w:rPr>
          <m:t>E=</m:t>
        </m:r>
        <m:d>
          <m:dPr>
            <m:begChr m:val="{"/>
            <m:endChr m:val="}"/>
            <m:ctrlPr>
              <w:rPr>
                <w:rFonts w:ascii="Cambria Math" w:hAnsi="Cambria Math"/>
                <w:i/>
              </w:rPr>
            </m:ctrlPr>
          </m:dPr>
          <m:e>
            <m:r>
              <w:rPr>
                <w:rFonts w:ascii="Cambria Math" w:hAnsi="Cambria Math"/>
              </w:rPr>
              <m:t>R&gt;</m:t>
            </m:r>
            <m:acc>
              <m:accPr>
                <m:chr m:val="̃"/>
                <m:ctrlPr>
                  <w:rPr>
                    <w:rFonts w:ascii="Cambria Math" w:hAnsi="Cambria Math"/>
                    <w:i/>
                  </w:rPr>
                </m:ctrlPr>
              </m:accPr>
              <m:e>
                <m:r>
                  <w:rPr>
                    <w:rFonts w:ascii="Cambria Math" w:hAnsi="Cambria Math"/>
                  </w:rPr>
                  <m:t>R</m:t>
                </m:r>
              </m:e>
            </m:acc>
            <m:r>
              <w:rPr>
                <w:rFonts w:ascii="Cambria Math" w:hAnsi="Cambria Math"/>
              </w:rPr>
              <m:t>(S)</m:t>
            </m:r>
            <m:r>
              <w:rPr>
                <w:rFonts w:ascii="Cambria Math" w:hAnsi="Cambria Math"/>
              </w:rPr>
              <m:t xml:space="preserve">  </m:t>
            </m:r>
            <m:r>
              <m:rPr>
                <m:nor/>
              </m:rPr>
              <w:rPr>
                <w:rFonts w:ascii="Cambria Math" w:hAnsi="Cambria Math"/>
              </w:rPr>
              <m:t>for any</m:t>
            </m:r>
            <m:r>
              <w:rPr>
                <w:rFonts w:ascii="Cambria Math" w:hAnsi="Cambria Math"/>
              </w:rPr>
              <m:t xml:space="preserve"> </m:t>
            </m:r>
            <m:r>
              <w:rPr>
                <w:rFonts w:ascii="Cambria Math" w:hAnsi="Cambria Math"/>
              </w:rPr>
              <m:t>S</m:t>
            </m:r>
            <m:r>
              <w:rPr>
                <w:rFonts w:ascii="Cambria Math" w:hAnsi="Cambria Math"/>
              </w:rPr>
              <m:t>⊆</m:t>
            </m:r>
            <m:d>
              <m:dPr>
                <m:begChr m:val="{"/>
                <m:endChr m:val="}"/>
                <m:ctrlPr>
                  <w:rPr>
                    <w:rFonts w:ascii="Cambria Math" w:hAnsi="Cambria Math"/>
                    <w:i/>
                  </w:rPr>
                </m:ctrlPr>
              </m:dPr>
              <m:e>
                <m:r>
                  <w:rPr>
                    <w:rFonts w:ascii="Cambria Math" w:hAnsi="Cambria Math"/>
                  </w:rPr>
                  <m:t>0,1,…,K-1</m:t>
                </m:r>
              </m:e>
            </m:d>
          </m:e>
        </m:d>
      </m:oMath>
      <w:r>
        <w:t xml:space="preserve">                                                            (</w:t>
      </w:r>
      <w:r w:rsidR="0059168A">
        <w:t>8</w:t>
      </w:r>
      <w:r>
        <w:t>)</w:t>
      </w:r>
    </w:p>
    <w:p w:rsidR="007A57FE" w:rsidRDefault="007A57FE" w:rsidP="007A57FE">
      <w:r>
        <w:t xml:space="preserve">Finally, the probability of the error event </w:t>
      </w:r>
      <m:oMath>
        <m:r>
          <w:rPr>
            <w:rFonts w:ascii="Cambria Math" w:hAnsi="Cambria Math"/>
          </w:rPr>
          <m:t>P(E)</m:t>
        </m:r>
      </m:oMath>
      <w:r>
        <w:t xml:space="preserve"> as a function of </w:t>
      </w:r>
      <m:oMath>
        <m:sSub>
          <m:sSubPr>
            <m:ctrlPr>
              <w:rPr>
                <w:rFonts w:ascii="Cambria Math" w:hAnsi="Cambria Math"/>
                <w:i/>
              </w:rPr>
            </m:ctrlPr>
          </m:sSubPr>
          <m:e>
            <m:r>
              <w:rPr>
                <w:rFonts w:ascii="Cambria Math" w:hAnsi="Cambria Math"/>
              </w:rPr>
              <m:t>SNR</m:t>
            </m:r>
          </m:e>
          <m:sub>
            <m:r>
              <w:rPr>
                <w:rFonts w:ascii="Cambria Math" w:hAnsi="Cambria Math"/>
              </w:rPr>
              <m:t>N</m:t>
            </m:r>
            <m:r>
              <w:rPr>
                <w:rFonts w:ascii="Cambria Math" w:hAnsi="Cambria Math"/>
              </w:rPr>
              <m:t>OMA</m:t>
            </m:r>
          </m:sub>
        </m:sSub>
      </m:oMath>
      <w:r>
        <w:t xml:space="preserve"> gives us the desired performance benchmark of the </w:t>
      </w:r>
      <w:r w:rsidR="000F71D9">
        <w:t>N</w:t>
      </w:r>
      <w:r>
        <w:t>OMA system</w:t>
      </w:r>
      <w:r w:rsidR="000F71D9">
        <w:t>.</w:t>
      </w:r>
    </w:p>
    <w:p w:rsidR="007151BC" w:rsidRDefault="00C05590" w:rsidP="007151BC">
      <w:r>
        <w:fldChar w:fldCharType="begin"/>
      </w:r>
      <w:r>
        <w:instrText xml:space="preserve"> REF _Ref498695014 \h </w:instrText>
      </w:r>
      <w:r>
        <w:fldChar w:fldCharType="separate"/>
      </w:r>
      <w:r>
        <w:t xml:space="preserve">Figure </w:t>
      </w:r>
      <w:r>
        <w:rPr>
          <w:noProof/>
        </w:rPr>
        <w:t>1</w:t>
      </w:r>
      <w:r>
        <w:fldChar w:fldCharType="end"/>
      </w:r>
      <w:r>
        <w:t xml:space="preserve"> shows the performance benchmark for both NOMA &amp; OMA systems with different target spectral efficiency and various number of UEs. From the figure, we can see that the performance gain of NOMA over OMA increases as the target spectral efficiency increases. Similarly, increasing the number of UEs also enhance the performance gain of NO</w:t>
      </w:r>
      <w:r w:rsidR="00627605">
        <w:t xml:space="preserve">MA over OMA. For example, for </w:t>
      </w:r>
      <w:r>
        <w:t xml:space="preserve">NOMA &amp; OMA system with 6 UEs, each operating at a target spectral efficiency of 0.5 bit/s/Hz, </w:t>
      </w:r>
      <w:r w:rsidR="00627605">
        <w:t>NOMA enjoys a</w:t>
      </w:r>
      <w:r>
        <w:t xml:space="preserve"> performance gain of roughly 4.5dB over OMA</w:t>
      </w:r>
      <w:r w:rsidR="002673B5">
        <w:t xml:space="preserve"> at target BLER of 10%</w:t>
      </w:r>
      <w:r>
        <w:t>.</w:t>
      </w:r>
      <w:r w:rsidR="003D2746">
        <w:t xml:space="preserve"> However, when the target spectral efficiency is low (e.g., 0.1 bit/s/Hz), the performance advantage of NOMA over OMA vanishes.</w:t>
      </w:r>
    </w:p>
    <w:p w:rsidR="007151BC" w:rsidRDefault="006246ED" w:rsidP="00C46206">
      <w:r w:rsidRPr="006246ED">
        <w:t xml:space="preserve"> </w:t>
      </w:r>
      <w:r w:rsidR="00442315" w:rsidRPr="00442315">
        <w:rPr>
          <w:noProof/>
          <w:lang w:eastAsia="zh-TW"/>
        </w:rPr>
        <w:drawing>
          <wp:inline distT="0" distB="0" distL="0" distR="0">
            <wp:extent cx="3054096" cy="20756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075688"/>
                    </a:xfrm>
                    <a:prstGeom prst="rect">
                      <a:avLst/>
                    </a:prstGeom>
                    <a:noFill/>
                    <a:ln>
                      <a:noFill/>
                    </a:ln>
                  </pic:spPr>
                </pic:pic>
              </a:graphicData>
            </a:graphic>
          </wp:inline>
        </w:drawing>
      </w:r>
      <w:r w:rsidR="00442315" w:rsidRPr="00442315">
        <w:rPr>
          <w:noProof/>
          <w:lang w:eastAsia="zh-TW"/>
        </w:rPr>
        <w:drawing>
          <wp:inline distT="0" distB="0" distL="0" distR="0">
            <wp:extent cx="3044952" cy="20756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4952" cy="2075688"/>
                    </a:xfrm>
                    <a:prstGeom prst="rect">
                      <a:avLst/>
                    </a:prstGeom>
                    <a:noFill/>
                    <a:ln>
                      <a:noFill/>
                    </a:ln>
                  </pic:spPr>
                </pic:pic>
              </a:graphicData>
            </a:graphic>
          </wp:inline>
        </w:drawing>
      </w:r>
      <w:bookmarkStart w:id="1" w:name="_GoBack"/>
      <w:bookmarkEnd w:id="1"/>
    </w:p>
    <w:p w:rsidR="00442315" w:rsidRDefault="00442315" w:rsidP="00442315">
      <w:pPr>
        <w:pStyle w:val="Caption"/>
        <w:jc w:val="center"/>
      </w:pPr>
      <w:bookmarkStart w:id="2" w:name="_Ref498695014"/>
      <w:r>
        <w:t xml:space="preserve">Figure </w:t>
      </w:r>
      <w:fldSimple w:instr=" SEQ Figure \* ARABIC ">
        <w:r>
          <w:rPr>
            <w:noProof/>
          </w:rPr>
          <w:t>1</w:t>
        </w:r>
      </w:fldSimple>
      <w:bookmarkEnd w:id="2"/>
      <w:r>
        <w:t>: Performance Benchmark for NOMA &amp;</w:t>
      </w:r>
      <w:r w:rsidR="006A5144">
        <w:t xml:space="preserve"> </w:t>
      </w:r>
      <w:r>
        <w:t>OMA Systems</w:t>
      </w:r>
    </w:p>
    <w:p w:rsidR="00047056" w:rsidRDefault="00047056" w:rsidP="00C46206"/>
    <w:p w:rsidR="00717340" w:rsidRDefault="008D6634" w:rsidP="00C46206">
      <w:pPr>
        <w:rPr>
          <w:i/>
        </w:rPr>
      </w:pPr>
      <w:r>
        <w:rPr>
          <w:i/>
          <w:u w:val="single"/>
        </w:rPr>
        <w:lastRenderedPageBreak/>
        <w:t>Observation 1</w:t>
      </w:r>
      <w:r w:rsidR="00052194" w:rsidRPr="003367E0">
        <w:rPr>
          <w:i/>
        </w:rPr>
        <w:t xml:space="preserve">: </w:t>
      </w:r>
      <w:r>
        <w:rPr>
          <w:i/>
        </w:rPr>
        <w:t xml:space="preserve">MAC channel capacity analysis enables us to establish performance benchmarks for OMA &amp; NOMA systems, which could be used </w:t>
      </w:r>
      <w:r w:rsidR="00153ED4">
        <w:rPr>
          <w:i/>
        </w:rPr>
        <w:t>as a reference for</w:t>
      </w:r>
      <w:r>
        <w:rPr>
          <w:i/>
        </w:rPr>
        <w:t xml:space="preserve"> </w:t>
      </w:r>
      <w:r w:rsidR="00153ED4">
        <w:rPr>
          <w:i/>
        </w:rPr>
        <w:t xml:space="preserve">NOMA scheme </w:t>
      </w:r>
      <w:r>
        <w:rPr>
          <w:i/>
        </w:rPr>
        <w:t>evalu</w:t>
      </w:r>
      <w:r w:rsidR="00153ED4">
        <w:rPr>
          <w:i/>
        </w:rPr>
        <w:t>ations.</w:t>
      </w:r>
    </w:p>
    <w:p w:rsidR="00674BBB" w:rsidRPr="00674BBB" w:rsidRDefault="00153ED4" w:rsidP="00C46206">
      <w:pPr>
        <w:rPr>
          <w:i/>
        </w:rPr>
      </w:pPr>
      <w:r>
        <w:rPr>
          <w:i/>
          <w:u w:val="single"/>
        </w:rPr>
        <w:t>Proposal 1</w:t>
      </w:r>
      <w:r w:rsidRPr="003367E0">
        <w:rPr>
          <w:i/>
        </w:rPr>
        <w:t xml:space="preserve">: </w:t>
      </w:r>
      <w:r>
        <w:rPr>
          <w:i/>
        </w:rPr>
        <w:t>The performance benchmark established via MAC channel capacity analysis should be used as a reference for NOMA scheme evaluations.</w:t>
      </w:r>
    </w:p>
    <w:p w:rsidR="00355D12" w:rsidRDefault="00355D12" w:rsidP="00355D12">
      <w:pPr>
        <w:pStyle w:val="Heading1"/>
        <w:numPr>
          <w:ilvl w:val="0"/>
          <w:numId w:val="26"/>
        </w:numPr>
        <w:spacing w:after="120"/>
        <w:ind w:right="288"/>
      </w:pPr>
      <w:r w:rsidRPr="00BA57C0">
        <w:t>Conclusion</w:t>
      </w:r>
    </w:p>
    <w:p w:rsidR="00F05BE6" w:rsidRDefault="006B44A8" w:rsidP="00F05BE6">
      <w:r>
        <w:t xml:space="preserve">In this contribution, </w:t>
      </w:r>
      <w:r w:rsidR="005B2A2E">
        <w:t xml:space="preserve">we </w:t>
      </w:r>
      <w:r w:rsidR="005B2A2E">
        <w:t xml:space="preserve">establish the </w:t>
      </w:r>
      <w:r w:rsidR="005B2A2E">
        <w:t xml:space="preserve">performance </w:t>
      </w:r>
      <w:r w:rsidR="005B2A2E">
        <w:t xml:space="preserve">benchmark </w:t>
      </w:r>
      <w:r w:rsidR="005B2A2E">
        <w:t xml:space="preserve">of both OMA and NOMA systems with </w:t>
      </w:r>
      <w:r w:rsidR="005B2A2E">
        <w:t xml:space="preserve">the evaluation assumptions given in </w:t>
      </w:r>
      <w:r w:rsidR="005B2A2E">
        <w:fldChar w:fldCharType="begin"/>
      </w:r>
      <w:r w:rsidR="005B2A2E">
        <w:instrText xml:space="preserve"> REF _Ref484791042 \r \h </w:instrText>
      </w:r>
      <w:r w:rsidR="005B2A2E">
        <w:fldChar w:fldCharType="separate"/>
      </w:r>
      <w:r w:rsidR="005B2A2E">
        <w:t>[2]</w:t>
      </w:r>
      <w:r w:rsidR="005B2A2E">
        <w:fldChar w:fldCharType="end"/>
      </w:r>
      <w:r w:rsidR="005B2A2E">
        <w:t xml:space="preserve">. </w:t>
      </w:r>
      <w:r w:rsidR="00F05BE6">
        <w:t>Based on our study, we</w:t>
      </w:r>
      <w:r w:rsidR="00896264">
        <w:t xml:space="preserve"> have the following observation</w:t>
      </w:r>
      <w:r w:rsidR="00437807">
        <w:t>s</w:t>
      </w:r>
      <w:r w:rsidR="00896264">
        <w:t xml:space="preserve"> and proposal</w:t>
      </w:r>
      <w:r w:rsidR="00437807">
        <w:t>s</w:t>
      </w:r>
      <w:r w:rsidR="00F05BE6">
        <w:t>:</w:t>
      </w:r>
    </w:p>
    <w:p w:rsidR="00153ED4" w:rsidRDefault="00153ED4" w:rsidP="00153ED4">
      <w:pPr>
        <w:rPr>
          <w:i/>
        </w:rPr>
      </w:pPr>
      <w:r>
        <w:rPr>
          <w:i/>
          <w:u w:val="single"/>
        </w:rPr>
        <w:t>Observation 1</w:t>
      </w:r>
      <w:r w:rsidRPr="003367E0">
        <w:rPr>
          <w:i/>
        </w:rPr>
        <w:t xml:space="preserve">: </w:t>
      </w:r>
      <w:r>
        <w:rPr>
          <w:i/>
        </w:rPr>
        <w:t>MAC channel capacity analysis enables us to establish performance benchmarks for OMA &amp; NOMA systems, which could be used as a reference for NOMA scheme evaluations.</w:t>
      </w:r>
    </w:p>
    <w:p w:rsidR="00896264" w:rsidRPr="004546B9" w:rsidRDefault="00153ED4" w:rsidP="004546B9">
      <w:pPr>
        <w:rPr>
          <w:i/>
          <w:u w:val="single"/>
        </w:rPr>
      </w:pPr>
      <w:r>
        <w:rPr>
          <w:i/>
          <w:u w:val="single"/>
        </w:rPr>
        <w:t>Proposal 1</w:t>
      </w:r>
      <w:r w:rsidRPr="003367E0">
        <w:rPr>
          <w:i/>
        </w:rPr>
        <w:t xml:space="preserve">: </w:t>
      </w:r>
      <w:r>
        <w:rPr>
          <w:i/>
        </w:rPr>
        <w:t>The performance benchmark established via MAC channel capacity analysis should be used as a reference for NOMA scheme evaluations.</w:t>
      </w:r>
    </w:p>
    <w:p w:rsidR="00355D12" w:rsidRPr="00BA57C0" w:rsidRDefault="00355D12" w:rsidP="00355D12">
      <w:pPr>
        <w:pStyle w:val="Heading1"/>
        <w:numPr>
          <w:ilvl w:val="0"/>
          <w:numId w:val="26"/>
        </w:numPr>
        <w:spacing w:after="120"/>
        <w:ind w:right="288"/>
      </w:pPr>
      <w:r>
        <w:t>References</w:t>
      </w:r>
    </w:p>
    <w:p w:rsidR="00355D12" w:rsidRPr="00795D06" w:rsidRDefault="00355D12" w:rsidP="00B005B6">
      <w:pPr>
        <w:pStyle w:val="ListParagraph"/>
        <w:numPr>
          <w:ilvl w:val="0"/>
          <w:numId w:val="7"/>
        </w:numPr>
        <w:rPr>
          <w:rFonts w:eastAsia="PMingLiU"/>
          <w:sz w:val="20"/>
          <w:szCs w:val="20"/>
          <w:lang w:eastAsia="en-US"/>
        </w:rPr>
      </w:pPr>
      <w:bookmarkStart w:id="3" w:name="_Ref481595957"/>
      <w:r>
        <w:rPr>
          <w:rFonts w:eastAsia="PMingLiU"/>
          <w:sz w:val="20"/>
          <w:szCs w:val="20"/>
          <w:lang w:eastAsia="en-US"/>
        </w:rPr>
        <w:t>3GPP RAN1</w:t>
      </w:r>
      <w:r w:rsidR="00B005B6">
        <w:rPr>
          <w:rFonts w:eastAsia="PMingLiU"/>
          <w:sz w:val="20"/>
          <w:szCs w:val="20"/>
          <w:lang w:eastAsia="en-US"/>
        </w:rPr>
        <w:t>#86</w:t>
      </w:r>
      <w:r w:rsidRPr="00795D06">
        <w:rPr>
          <w:rFonts w:eastAsia="PMingLiU"/>
          <w:sz w:val="20"/>
          <w:szCs w:val="20"/>
          <w:lang w:eastAsia="en-US"/>
        </w:rPr>
        <w:t>, “Chairman’s Notes RAN1</w:t>
      </w:r>
      <w:r w:rsidR="00B005B6">
        <w:rPr>
          <w:rFonts w:eastAsia="PMingLiU"/>
          <w:sz w:val="20"/>
          <w:szCs w:val="20"/>
          <w:lang w:eastAsia="en-US"/>
        </w:rPr>
        <w:t>#86</w:t>
      </w:r>
      <w:r w:rsidRPr="00795D06">
        <w:rPr>
          <w:rFonts w:eastAsia="PMingLiU"/>
          <w:sz w:val="20"/>
          <w:szCs w:val="20"/>
          <w:lang w:eastAsia="en-US"/>
        </w:rPr>
        <w:t xml:space="preserve">_final”, </w:t>
      </w:r>
      <w:r w:rsidR="00B005B6" w:rsidRPr="00B005B6">
        <w:rPr>
          <w:rFonts w:eastAsia="PMingLiU"/>
          <w:sz w:val="20"/>
          <w:szCs w:val="20"/>
          <w:lang w:eastAsia="en-US"/>
        </w:rPr>
        <w:t>Gothenburg, Sweden, August 22-26, 2016.</w:t>
      </w:r>
      <w:bookmarkEnd w:id="3"/>
    </w:p>
    <w:p w:rsidR="003F47CB" w:rsidRDefault="00773ABE" w:rsidP="00773ABE">
      <w:pPr>
        <w:numPr>
          <w:ilvl w:val="0"/>
          <w:numId w:val="7"/>
        </w:numPr>
      </w:pPr>
      <w:bookmarkStart w:id="4" w:name="_Ref484791042"/>
      <w:bookmarkStart w:id="5" w:name="_Ref481779026"/>
      <w:bookmarkStart w:id="6" w:name="_Ref481596356"/>
      <w:r w:rsidRPr="00773ABE">
        <w:t>3GPP TR 3</w:t>
      </w:r>
      <w:r w:rsidR="00856743">
        <w:t>8.802,</w:t>
      </w:r>
      <w:r>
        <w:t xml:space="preserve"> “Study on New Radio Access Technology:</w:t>
      </w:r>
      <w:r w:rsidRPr="00773ABE">
        <w:t xml:space="preserve"> Physical Layer Aspects”.</w:t>
      </w:r>
      <w:bookmarkEnd w:id="4"/>
      <w:bookmarkEnd w:id="5"/>
      <w:bookmarkEnd w:id="6"/>
    </w:p>
    <w:p w:rsidR="00856743" w:rsidRDefault="00856743" w:rsidP="00773ABE">
      <w:pPr>
        <w:numPr>
          <w:ilvl w:val="0"/>
          <w:numId w:val="7"/>
        </w:numPr>
      </w:pPr>
      <w:bookmarkStart w:id="7" w:name="_Ref498697548"/>
      <w:r>
        <w:t>David Tse and Pramod Viswanath, “Fundamentals of Wireless Communication”, Cambridge University Press, 2005.</w:t>
      </w:r>
      <w:bookmarkEnd w:id="7"/>
    </w:p>
    <w:sectPr w:rsidR="00856743">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C54" w:rsidRDefault="00983C54">
      <w:r>
        <w:separator/>
      </w:r>
    </w:p>
  </w:endnote>
  <w:endnote w:type="continuationSeparator" w:id="0">
    <w:p w:rsidR="00983C54" w:rsidRDefault="0098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C54" w:rsidRDefault="00983C54">
      <w:r>
        <w:separator/>
      </w:r>
    </w:p>
  </w:footnote>
  <w:footnote w:type="continuationSeparator" w:id="0">
    <w:p w:rsidR="00983C54" w:rsidRDefault="00983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1237D4"/>
    <w:multiLevelType w:val="hybridMultilevel"/>
    <w:tmpl w:val="A6CA2FC2"/>
    <w:lvl w:ilvl="0" w:tplc="ACB2B7A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969EC"/>
    <w:multiLevelType w:val="hybridMultilevel"/>
    <w:tmpl w:val="BE428274"/>
    <w:lvl w:ilvl="0" w:tplc="ACB2B7A0">
      <w:start w:val="1"/>
      <w:numFmt w:val="bullet"/>
      <w:lvlText w:val=""/>
      <w:lvlJc w:val="left"/>
      <w:pPr>
        <w:ind w:left="768" w:hanging="360"/>
      </w:pPr>
      <w:rPr>
        <w:rFonts w:ascii="Symbol" w:hAnsi="Symbol" w:hint="default"/>
        <w:sz w:val="20"/>
        <w:szCs w:val="20"/>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A039B3"/>
    <w:multiLevelType w:val="hybridMultilevel"/>
    <w:tmpl w:val="E03CE91A"/>
    <w:lvl w:ilvl="0" w:tplc="3AFC343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8A0152"/>
    <w:multiLevelType w:val="hybridMultilevel"/>
    <w:tmpl w:val="BA3E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60672E"/>
    <w:multiLevelType w:val="hybridMultilevel"/>
    <w:tmpl w:val="46F6C6EE"/>
    <w:lvl w:ilvl="0" w:tplc="ACB2B7A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38"/>
  </w:num>
  <w:num w:numId="2">
    <w:abstractNumId w:val="36"/>
  </w:num>
  <w:num w:numId="3">
    <w:abstractNumId w:val="31"/>
  </w:num>
  <w:num w:numId="4">
    <w:abstractNumId w:val="8"/>
  </w:num>
  <w:num w:numId="5">
    <w:abstractNumId w:val="43"/>
  </w:num>
  <w:num w:numId="6">
    <w:abstractNumId w:val="35"/>
  </w:num>
  <w:num w:numId="7">
    <w:abstractNumId w:val="16"/>
  </w:num>
  <w:num w:numId="8">
    <w:abstractNumId w:val="9"/>
  </w:num>
  <w:num w:numId="9">
    <w:abstractNumId w:val="40"/>
  </w:num>
  <w:num w:numId="10">
    <w:abstractNumId w:val="18"/>
  </w:num>
  <w:num w:numId="11">
    <w:abstractNumId w:val="15"/>
  </w:num>
  <w:num w:numId="12">
    <w:abstractNumId w:val="28"/>
  </w:num>
  <w:num w:numId="13">
    <w:abstractNumId w:val="19"/>
  </w:num>
  <w:num w:numId="14">
    <w:abstractNumId w:val="1"/>
  </w:num>
  <w:num w:numId="15">
    <w:abstractNumId w:val="25"/>
  </w:num>
  <w:num w:numId="16">
    <w:abstractNumId w:val="23"/>
  </w:num>
  <w:num w:numId="17">
    <w:abstractNumId w:val="14"/>
  </w:num>
  <w:num w:numId="18">
    <w:abstractNumId w:val="45"/>
  </w:num>
  <w:num w:numId="19">
    <w:abstractNumId w:val="29"/>
  </w:num>
  <w:num w:numId="20">
    <w:abstractNumId w:val="12"/>
  </w:num>
  <w:num w:numId="21">
    <w:abstractNumId w:val="20"/>
  </w:num>
  <w:num w:numId="22">
    <w:abstractNumId w:val="27"/>
  </w:num>
  <w:num w:numId="23">
    <w:abstractNumId w:val="17"/>
  </w:num>
  <w:num w:numId="24">
    <w:abstractNumId w:val="41"/>
  </w:num>
  <w:num w:numId="25">
    <w:abstractNumId w:val="22"/>
  </w:num>
  <w:num w:numId="26">
    <w:abstractNumId w:val="13"/>
  </w:num>
  <w:num w:numId="27">
    <w:abstractNumId w:val="37"/>
  </w:num>
  <w:num w:numId="28">
    <w:abstractNumId w:val="4"/>
  </w:num>
  <w:num w:numId="29">
    <w:abstractNumId w:val="34"/>
  </w:num>
  <w:num w:numId="30">
    <w:abstractNumId w:val="33"/>
  </w:num>
  <w:num w:numId="31">
    <w:abstractNumId w:val="26"/>
  </w:num>
  <w:num w:numId="32">
    <w:abstractNumId w:val="7"/>
  </w:num>
  <w:num w:numId="33">
    <w:abstractNumId w:val="5"/>
  </w:num>
  <w:num w:numId="34">
    <w:abstractNumId w:val="39"/>
  </w:num>
  <w:num w:numId="35">
    <w:abstractNumId w:val="44"/>
  </w:num>
  <w:num w:numId="36">
    <w:abstractNumId w:val="32"/>
  </w:num>
  <w:num w:numId="37">
    <w:abstractNumId w:val="6"/>
  </w:num>
  <w:num w:numId="38">
    <w:abstractNumId w:val="0"/>
  </w:num>
  <w:num w:numId="39">
    <w:abstractNumId w:val="21"/>
  </w:num>
  <w:num w:numId="40">
    <w:abstractNumId w:val="10"/>
  </w:num>
  <w:num w:numId="41">
    <w:abstractNumId w:val="2"/>
  </w:num>
  <w:num w:numId="42">
    <w:abstractNumId w:val="24"/>
  </w:num>
  <w:num w:numId="43">
    <w:abstractNumId w:val="30"/>
  </w:num>
  <w:num w:numId="44">
    <w:abstractNumId w:val="3"/>
  </w:num>
  <w:num w:numId="45">
    <w:abstractNumId w:val="42"/>
  </w:num>
  <w:num w:numId="4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03D"/>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5FE4"/>
    <w:rsid w:val="000F71D9"/>
    <w:rsid w:val="000F757F"/>
    <w:rsid w:val="001036C1"/>
    <w:rsid w:val="00105D24"/>
    <w:rsid w:val="00105E44"/>
    <w:rsid w:val="00111E05"/>
    <w:rsid w:val="00112895"/>
    <w:rsid w:val="00117C64"/>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3ED4"/>
    <w:rsid w:val="00156128"/>
    <w:rsid w:val="00160343"/>
    <w:rsid w:val="00161062"/>
    <w:rsid w:val="00164ED6"/>
    <w:rsid w:val="001667BD"/>
    <w:rsid w:val="00167084"/>
    <w:rsid w:val="00173DFD"/>
    <w:rsid w:val="00180126"/>
    <w:rsid w:val="00180E36"/>
    <w:rsid w:val="0018358E"/>
    <w:rsid w:val="00190D08"/>
    <w:rsid w:val="00190DFE"/>
    <w:rsid w:val="0019434C"/>
    <w:rsid w:val="001948C2"/>
    <w:rsid w:val="001A1BD9"/>
    <w:rsid w:val="001A2FF5"/>
    <w:rsid w:val="001A7B82"/>
    <w:rsid w:val="001B4281"/>
    <w:rsid w:val="001C101A"/>
    <w:rsid w:val="001C15F6"/>
    <w:rsid w:val="001C17C4"/>
    <w:rsid w:val="001C5151"/>
    <w:rsid w:val="001C5FF7"/>
    <w:rsid w:val="001C7FAE"/>
    <w:rsid w:val="001D3D7B"/>
    <w:rsid w:val="001E3EE1"/>
    <w:rsid w:val="001E605C"/>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66EF"/>
    <w:rsid w:val="002673B5"/>
    <w:rsid w:val="00267909"/>
    <w:rsid w:val="0027414C"/>
    <w:rsid w:val="00280103"/>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3296"/>
    <w:rsid w:val="002E78BC"/>
    <w:rsid w:val="002F4E48"/>
    <w:rsid w:val="003027C8"/>
    <w:rsid w:val="00302A97"/>
    <w:rsid w:val="00303C1F"/>
    <w:rsid w:val="00305D34"/>
    <w:rsid w:val="00311789"/>
    <w:rsid w:val="00314490"/>
    <w:rsid w:val="00315A08"/>
    <w:rsid w:val="00317608"/>
    <w:rsid w:val="00317EB4"/>
    <w:rsid w:val="00320906"/>
    <w:rsid w:val="00326615"/>
    <w:rsid w:val="00327E72"/>
    <w:rsid w:val="00330F0B"/>
    <w:rsid w:val="00336533"/>
    <w:rsid w:val="003367E0"/>
    <w:rsid w:val="00341882"/>
    <w:rsid w:val="00343A2F"/>
    <w:rsid w:val="00345CE7"/>
    <w:rsid w:val="0034687F"/>
    <w:rsid w:val="0035139C"/>
    <w:rsid w:val="003521AD"/>
    <w:rsid w:val="003530DA"/>
    <w:rsid w:val="00353D31"/>
    <w:rsid w:val="00354230"/>
    <w:rsid w:val="00354E8A"/>
    <w:rsid w:val="00355D12"/>
    <w:rsid w:val="003560F8"/>
    <w:rsid w:val="003566C3"/>
    <w:rsid w:val="00361736"/>
    <w:rsid w:val="00366EF6"/>
    <w:rsid w:val="00367D46"/>
    <w:rsid w:val="003726ED"/>
    <w:rsid w:val="0038016E"/>
    <w:rsid w:val="00386FFB"/>
    <w:rsid w:val="0039058F"/>
    <w:rsid w:val="00390BE4"/>
    <w:rsid w:val="003914B8"/>
    <w:rsid w:val="00392EFB"/>
    <w:rsid w:val="00393073"/>
    <w:rsid w:val="00395F40"/>
    <w:rsid w:val="003A373F"/>
    <w:rsid w:val="003A4AEC"/>
    <w:rsid w:val="003A6706"/>
    <w:rsid w:val="003B1C2E"/>
    <w:rsid w:val="003B3011"/>
    <w:rsid w:val="003B4327"/>
    <w:rsid w:val="003B4F82"/>
    <w:rsid w:val="003B665E"/>
    <w:rsid w:val="003C053B"/>
    <w:rsid w:val="003C2775"/>
    <w:rsid w:val="003C74B3"/>
    <w:rsid w:val="003D2687"/>
    <w:rsid w:val="003D2746"/>
    <w:rsid w:val="003D46BE"/>
    <w:rsid w:val="003D46D1"/>
    <w:rsid w:val="003D4B3A"/>
    <w:rsid w:val="003D4BC8"/>
    <w:rsid w:val="003D51BD"/>
    <w:rsid w:val="003F1D8E"/>
    <w:rsid w:val="003F47CB"/>
    <w:rsid w:val="003F698B"/>
    <w:rsid w:val="004006F8"/>
    <w:rsid w:val="0040584F"/>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2315"/>
    <w:rsid w:val="00445DD0"/>
    <w:rsid w:val="00450D8B"/>
    <w:rsid w:val="004514D8"/>
    <w:rsid w:val="004546B9"/>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C7577"/>
    <w:rsid w:val="004E5A17"/>
    <w:rsid w:val="004F2271"/>
    <w:rsid w:val="004F354A"/>
    <w:rsid w:val="004F6594"/>
    <w:rsid w:val="004F6D51"/>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4C38"/>
    <w:rsid w:val="00587DFB"/>
    <w:rsid w:val="0059168A"/>
    <w:rsid w:val="00592912"/>
    <w:rsid w:val="00593806"/>
    <w:rsid w:val="00593833"/>
    <w:rsid w:val="00595A83"/>
    <w:rsid w:val="00596FDB"/>
    <w:rsid w:val="0059722A"/>
    <w:rsid w:val="005975E4"/>
    <w:rsid w:val="005A2711"/>
    <w:rsid w:val="005A525C"/>
    <w:rsid w:val="005A701A"/>
    <w:rsid w:val="005B2A2E"/>
    <w:rsid w:val="005B5D3D"/>
    <w:rsid w:val="005B635F"/>
    <w:rsid w:val="005C01EF"/>
    <w:rsid w:val="005C1686"/>
    <w:rsid w:val="005C223E"/>
    <w:rsid w:val="005C25EC"/>
    <w:rsid w:val="005C716C"/>
    <w:rsid w:val="005C7BC1"/>
    <w:rsid w:val="005D1937"/>
    <w:rsid w:val="005D20F1"/>
    <w:rsid w:val="005D2721"/>
    <w:rsid w:val="005D3C81"/>
    <w:rsid w:val="005D6123"/>
    <w:rsid w:val="005D75E9"/>
    <w:rsid w:val="005E117C"/>
    <w:rsid w:val="005E12CA"/>
    <w:rsid w:val="005F0197"/>
    <w:rsid w:val="005F2E9A"/>
    <w:rsid w:val="005F49DE"/>
    <w:rsid w:val="005F59B8"/>
    <w:rsid w:val="005F64FF"/>
    <w:rsid w:val="005F7976"/>
    <w:rsid w:val="00603F7B"/>
    <w:rsid w:val="00605E58"/>
    <w:rsid w:val="00606BAA"/>
    <w:rsid w:val="00610541"/>
    <w:rsid w:val="006166F0"/>
    <w:rsid w:val="00617343"/>
    <w:rsid w:val="00620BE8"/>
    <w:rsid w:val="00620F89"/>
    <w:rsid w:val="00621EE9"/>
    <w:rsid w:val="00623ECE"/>
    <w:rsid w:val="0062462F"/>
    <w:rsid w:val="006246ED"/>
    <w:rsid w:val="00624887"/>
    <w:rsid w:val="00627605"/>
    <w:rsid w:val="00631265"/>
    <w:rsid w:val="00636D1E"/>
    <w:rsid w:val="00637358"/>
    <w:rsid w:val="006414B7"/>
    <w:rsid w:val="00645856"/>
    <w:rsid w:val="00645F4C"/>
    <w:rsid w:val="006471B0"/>
    <w:rsid w:val="00652874"/>
    <w:rsid w:val="00655B65"/>
    <w:rsid w:val="00664204"/>
    <w:rsid w:val="00666E4E"/>
    <w:rsid w:val="00673D75"/>
    <w:rsid w:val="00674BBB"/>
    <w:rsid w:val="00680A5A"/>
    <w:rsid w:val="006832D4"/>
    <w:rsid w:val="00691650"/>
    <w:rsid w:val="00691983"/>
    <w:rsid w:val="00693ADB"/>
    <w:rsid w:val="0069640D"/>
    <w:rsid w:val="006A242F"/>
    <w:rsid w:val="006A427B"/>
    <w:rsid w:val="006A4F06"/>
    <w:rsid w:val="006A5144"/>
    <w:rsid w:val="006A5640"/>
    <w:rsid w:val="006A5FB0"/>
    <w:rsid w:val="006A7658"/>
    <w:rsid w:val="006A7C52"/>
    <w:rsid w:val="006B1B05"/>
    <w:rsid w:val="006B44A8"/>
    <w:rsid w:val="006B48E8"/>
    <w:rsid w:val="006B7F53"/>
    <w:rsid w:val="006C2FAE"/>
    <w:rsid w:val="006C346B"/>
    <w:rsid w:val="006C3C52"/>
    <w:rsid w:val="006C64EE"/>
    <w:rsid w:val="006C66AD"/>
    <w:rsid w:val="006D6280"/>
    <w:rsid w:val="006E26DD"/>
    <w:rsid w:val="006F3968"/>
    <w:rsid w:val="006F7B83"/>
    <w:rsid w:val="00702C58"/>
    <w:rsid w:val="00710F30"/>
    <w:rsid w:val="0071148F"/>
    <w:rsid w:val="0071236A"/>
    <w:rsid w:val="00712516"/>
    <w:rsid w:val="007151BC"/>
    <w:rsid w:val="007166F9"/>
    <w:rsid w:val="00717340"/>
    <w:rsid w:val="007208DC"/>
    <w:rsid w:val="00720AEA"/>
    <w:rsid w:val="00735673"/>
    <w:rsid w:val="007371B6"/>
    <w:rsid w:val="00741B34"/>
    <w:rsid w:val="0074531D"/>
    <w:rsid w:val="007458D6"/>
    <w:rsid w:val="00747DDC"/>
    <w:rsid w:val="0075095F"/>
    <w:rsid w:val="00753021"/>
    <w:rsid w:val="00753F2B"/>
    <w:rsid w:val="0075633B"/>
    <w:rsid w:val="00760782"/>
    <w:rsid w:val="00761124"/>
    <w:rsid w:val="007626E5"/>
    <w:rsid w:val="00766B89"/>
    <w:rsid w:val="0076746E"/>
    <w:rsid w:val="007675FE"/>
    <w:rsid w:val="00771323"/>
    <w:rsid w:val="007729A6"/>
    <w:rsid w:val="00772E36"/>
    <w:rsid w:val="00773AA3"/>
    <w:rsid w:val="00773ABE"/>
    <w:rsid w:val="00776F34"/>
    <w:rsid w:val="007773A5"/>
    <w:rsid w:val="007773CA"/>
    <w:rsid w:val="007815A3"/>
    <w:rsid w:val="00783E63"/>
    <w:rsid w:val="00786DA7"/>
    <w:rsid w:val="00787ED2"/>
    <w:rsid w:val="00790B4C"/>
    <w:rsid w:val="00791FCE"/>
    <w:rsid w:val="007A19F3"/>
    <w:rsid w:val="007A1CC4"/>
    <w:rsid w:val="007A5761"/>
    <w:rsid w:val="007A57FE"/>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36DB"/>
    <w:rsid w:val="007E52E1"/>
    <w:rsid w:val="007E6677"/>
    <w:rsid w:val="007E6A07"/>
    <w:rsid w:val="007F2DC3"/>
    <w:rsid w:val="007F4BB0"/>
    <w:rsid w:val="008003E3"/>
    <w:rsid w:val="00802092"/>
    <w:rsid w:val="00803B9C"/>
    <w:rsid w:val="00816D90"/>
    <w:rsid w:val="00821311"/>
    <w:rsid w:val="008233F0"/>
    <w:rsid w:val="00824F30"/>
    <w:rsid w:val="00825069"/>
    <w:rsid w:val="008266A6"/>
    <w:rsid w:val="0083242E"/>
    <w:rsid w:val="00833393"/>
    <w:rsid w:val="008351C1"/>
    <w:rsid w:val="00837A66"/>
    <w:rsid w:val="008454A6"/>
    <w:rsid w:val="00845F42"/>
    <w:rsid w:val="008504A1"/>
    <w:rsid w:val="00852894"/>
    <w:rsid w:val="00852C56"/>
    <w:rsid w:val="0085402E"/>
    <w:rsid w:val="0085438A"/>
    <w:rsid w:val="00854FB3"/>
    <w:rsid w:val="00855942"/>
    <w:rsid w:val="00855A87"/>
    <w:rsid w:val="00856743"/>
    <w:rsid w:val="00857B0E"/>
    <w:rsid w:val="00866459"/>
    <w:rsid w:val="00867B4C"/>
    <w:rsid w:val="00867C8A"/>
    <w:rsid w:val="008715DA"/>
    <w:rsid w:val="0087537B"/>
    <w:rsid w:val="00882846"/>
    <w:rsid w:val="00883380"/>
    <w:rsid w:val="0089260E"/>
    <w:rsid w:val="00892E43"/>
    <w:rsid w:val="00894FD8"/>
    <w:rsid w:val="00896264"/>
    <w:rsid w:val="008969FF"/>
    <w:rsid w:val="00896EEB"/>
    <w:rsid w:val="008A5849"/>
    <w:rsid w:val="008B3735"/>
    <w:rsid w:val="008B5A17"/>
    <w:rsid w:val="008B6CB9"/>
    <w:rsid w:val="008C4247"/>
    <w:rsid w:val="008C5852"/>
    <w:rsid w:val="008D0C16"/>
    <w:rsid w:val="008D0E94"/>
    <w:rsid w:val="008D318C"/>
    <w:rsid w:val="008D539A"/>
    <w:rsid w:val="008D6634"/>
    <w:rsid w:val="008D7FE3"/>
    <w:rsid w:val="008E04EE"/>
    <w:rsid w:val="008E08A3"/>
    <w:rsid w:val="008E7348"/>
    <w:rsid w:val="008F2727"/>
    <w:rsid w:val="008F5767"/>
    <w:rsid w:val="008F57BA"/>
    <w:rsid w:val="008F5E05"/>
    <w:rsid w:val="00901EFB"/>
    <w:rsid w:val="00902819"/>
    <w:rsid w:val="00905796"/>
    <w:rsid w:val="00905BFC"/>
    <w:rsid w:val="00906CF5"/>
    <w:rsid w:val="009078BD"/>
    <w:rsid w:val="009115AB"/>
    <w:rsid w:val="00912AEB"/>
    <w:rsid w:val="009158B5"/>
    <w:rsid w:val="009179FE"/>
    <w:rsid w:val="00930DE8"/>
    <w:rsid w:val="009313EC"/>
    <w:rsid w:val="0093219C"/>
    <w:rsid w:val="00932D2F"/>
    <w:rsid w:val="00936E6E"/>
    <w:rsid w:val="00937D5D"/>
    <w:rsid w:val="00941514"/>
    <w:rsid w:val="00942E74"/>
    <w:rsid w:val="009434B9"/>
    <w:rsid w:val="00943A1D"/>
    <w:rsid w:val="00945913"/>
    <w:rsid w:val="009461C2"/>
    <w:rsid w:val="0094708D"/>
    <w:rsid w:val="009474F5"/>
    <w:rsid w:val="009506E5"/>
    <w:rsid w:val="009613D3"/>
    <w:rsid w:val="009656D2"/>
    <w:rsid w:val="00971C1A"/>
    <w:rsid w:val="009720D8"/>
    <w:rsid w:val="0097391E"/>
    <w:rsid w:val="00976AB9"/>
    <w:rsid w:val="00981FB1"/>
    <w:rsid w:val="00982A90"/>
    <w:rsid w:val="00983C54"/>
    <w:rsid w:val="00986F47"/>
    <w:rsid w:val="0099522A"/>
    <w:rsid w:val="0099523E"/>
    <w:rsid w:val="009959D8"/>
    <w:rsid w:val="009964F3"/>
    <w:rsid w:val="009A1744"/>
    <w:rsid w:val="009A1DFF"/>
    <w:rsid w:val="009A4445"/>
    <w:rsid w:val="009A6428"/>
    <w:rsid w:val="009A7308"/>
    <w:rsid w:val="009B06B4"/>
    <w:rsid w:val="009B09F4"/>
    <w:rsid w:val="009B4AB8"/>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77FA"/>
    <w:rsid w:val="00A67BBF"/>
    <w:rsid w:val="00A76F86"/>
    <w:rsid w:val="00A918CD"/>
    <w:rsid w:val="00AA4F98"/>
    <w:rsid w:val="00AA572D"/>
    <w:rsid w:val="00AA6932"/>
    <w:rsid w:val="00AB495C"/>
    <w:rsid w:val="00AB4B47"/>
    <w:rsid w:val="00AB62B1"/>
    <w:rsid w:val="00AB7529"/>
    <w:rsid w:val="00AB76CF"/>
    <w:rsid w:val="00AC10A4"/>
    <w:rsid w:val="00AC1D4F"/>
    <w:rsid w:val="00AC296E"/>
    <w:rsid w:val="00AC63D1"/>
    <w:rsid w:val="00AC677C"/>
    <w:rsid w:val="00AE1B95"/>
    <w:rsid w:val="00AE5597"/>
    <w:rsid w:val="00AE7715"/>
    <w:rsid w:val="00AE7EA7"/>
    <w:rsid w:val="00B005B6"/>
    <w:rsid w:val="00B05314"/>
    <w:rsid w:val="00B068A9"/>
    <w:rsid w:val="00B07169"/>
    <w:rsid w:val="00B10F46"/>
    <w:rsid w:val="00B12019"/>
    <w:rsid w:val="00B12BF5"/>
    <w:rsid w:val="00B130AC"/>
    <w:rsid w:val="00B2662F"/>
    <w:rsid w:val="00B31B90"/>
    <w:rsid w:val="00B3393D"/>
    <w:rsid w:val="00B34D9F"/>
    <w:rsid w:val="00B3714D"/>
    <w:rsid w:val="00B37A45"/>
    <w:rsid w:val="00B40521"/>
    <w:rsid w:val="00B406F6"/>
    <w:rsid w:val="00B41FD4"/>
    <w:rsid w:val="00B44904"/>
    <w:rsid w:val="00B458E5"/>
    <w:rsid w:val="00B47ACC"/>
    <w:rsid w:val="00B60171"/>
    <w:rsid w:val="00B61385"/>
    <w:rsid w:val="00B74A2F"/>
    <w:rsid w:val="00B7627B"/>
    <w:rsid w:val="00B83373"/>
    <w:rsid w:val="00B8361E"/>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BF5766"/>
    <w:rsid w:val="00BF5A89"/>
    <w:rsid w:val="00C007A7"/>
    <w:rsid w:val="00C01322"/>
    <w:rsid w:val="00C0242D"/>
    <w:rsid w:val="00C03A02"/>
    <w:rsid w:val="00C05590"/>
    <w:rsid w:val="00C064DF"/>
    <w:rsid w:val="00C131A2"/>
    <w:rsid w:val="00C13AAA"/>
    <w:rsid w:val="00C14E11"/>
    <w:rsid w:val="00C2068C"/>
    <w:rsid w:val="00C2294C"/>
    <w:rsid w:val="00C2521A"/>
    <w:rsid w:val="00C273A7"/>
    <w:rsid w:val="00C30115"/>
    <w:rsid w:val="00C31F06"/>
    <w:rsid w:val="00C31F55"/>
    <w:rsid w:val="00C32D3E"/>
    <w:rsid w:val="00C340E5"/>
    <w:rsid w:val="00C34B21"/>
    <w:rsid w:val="00C35959"/>
    <w:rsid w:val="00C46206"/>
    <w:rsid w:val="00C54EF2"/>
    <w:rsid w:val="00C56966"/>
    <w:rsid w:val="00C57F07"/>
    <w:rsid w:val="00C61275"/>
    <w:rsid w:val="00C62A2F"/>
    <w:rsid w:val="00C6413D"/>
    <w:rsid w:val="00C64278"/>
    <w:rsid w:val="00C77940"/>
    <w:rsid w:val="00C83925"/>
    <w:rsid w:val="00C84A21"/>
    <w:rsid w:val="00C87FEB"/>
    <w:rsid w:val="00C94D69"/>
    <w:rsid w:val="00C97D3A"/>
    <w:rsid w:val="00CA0854"/>
    <w:rsid w:val="00CA5C25"/>
    <w:rsid w:val="00CB088F"/>
    <w:rsid w:val="00CB0F16"/>
    <w:rsid w:val="00CB0F45"/>
    <w:rsid w:val="00CB175E"/>
    <w:rsid w:val="00CB241A"/>
    <w:rsid w:val="00CB530F"/>
    <w:rsid w:val="00CB6236"/>
    <w:rsid w:val="00CB6C40"/>
    <w:rsid w:val="00CB7892"/>
    <w:rsid w:val="00CC1381"/>
    <w:rsid w:val="00CC39A0"/>
    <w:rsid w:val="00CC3F20"/>
    <w:rsid w:val="00CC6A99"/>
    <w:rsid w:val="00CD7D5F"/>
    <w:rsid w:val="00CE510B"/>
    <w:rsid w:val="00CE67D7"/>
    <w:rsid w:val="00CF1DFC"/>
    <w:rsid w:val="00CF3DF8"/>
    <w:rsid w:val="00CF443F"/>
    <w:rsid w:val="00CF6EF5"/>
    <w:rsid w:val="00D00D87"/>
    <w:rsid w:val="00D03376"/>
    <w:rsid w:val="00D0768D"/>
    <w:rsid w:val="00D2272A"/>
    <w:rsid w:val="00D25D52"/>
    <w:rsid w:val="00D261B0"/>
    <w:rsid w:val="00D268F5"/>
    <w:rsid w:val="00D26BA5"/>
    <w:rsid w:val="00D31F18"/>
    <w:rsid w:val="00D33A14"/>
    <w:rsid w:val="00D4028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37A0"/>
    <w:rsid w:val="00DC3A8B"/>
    <w:rsid w:val="00DC4812"/>
    <w:rsid w:val="00DC6F2B"/>
    <w:rsid w:val="00DD1669"/>
    <w:rsid w:val="00DD2B3A"/>
    <w:rsid w:val="00DD4A2A"/>
    <w:rsid w:val="00DD628C"/>
    <w:rsid w:val="00DD643C"/>
    <w:rsid w:val="00DD7033"/>
    <w:rsid w:val="00DF0656"/>
    <w:rsid w:val="00DF3AB5"/>
    <w:rsid w:val="00DF4983"/>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50DB"/>
    <w:rsid w:val="00E50CE8"/>
    <w:rsid w:val="00E525E0"/>
    <w:rsid w:val="00E54928"/>
    <w:rsid w:val="00E5617F"/>
    <w:rsid w:val="00E60AF1"/>
    <w:rsid w:val="00E6785A"/>
    <w:rsid w:val="00E67880"/>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7509"/>
    <w:rsid w:val="00EC7E5B"/>
    <w:rsid w:val="00ED15F7"/>
    <w:rsid w:val="00ED3CB5"/>
    <w:rsid w:val="00ED72B8"/>
    <w:rsid w:val="00ED78C0"/>
    <w:rsid w:val="00EE0F5D"/>
    <w:rsid w:val="00EE5AD4"/>
    <w:rsid w:val="00EE694F"/>
    <w:rsid w:val="00EF0CD7"/>
    <w:rsid w:val="00EF28FD"/>
    <w:rsid w:val="00EF501A"/>
    <w:rsid w:val="00EF7C8D"/>
    <w:rsid w:val="00F006C2"/>
    <w:rsid w:val="00F0230A"/>
    <w:rsid w:val="00F02375"/>
    <w:rsid w:val="00F03B13"/>
    <w:rsid w:val="00F05BE6"/>
    <w:rsid w:val="00F14579"/>
    <w:rsid w:val="00F15F9B"/>
    <w:rsid w:val="00F17B82"/>
    <w:rsid w:val="00F2045B"/>
    <w:rsid w:val="00F2068D"/>
    <w:rsid w:val="00F2195C"/>
    <w:rsid w:val="00F23C10"/>
    <w:rsid w:val="00F267B6"/>
    <w:rsid w:val="00F268AC"/>
    <w:rsid w:val="00F34040"/>
    <w:rsid w:val="00F34F10"/>
    <w:rsid w:val="00F35369"/>
    <w:rsid w:val="00F36132"/>
    <w:rsid w:val="00F36F47"/>
    <w:rsid w:val="00F41427"/>
    <w:rsid w:val="00F41FD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D5337"/>
    <w:rsid w:val="00FE0166"/>
    <w:rsid w:val="00FE0B35"/>
    <w:rsid w:val="00FE7D4F"/>
    <w:rsid w:val="00FF08FB"/>
    <w:rsid w:val="00FF303C"/>
    <w:rsid w:val="00FF3C32"/>
    <w:rsid w:val="00FF5A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7AA78CE3-CBEE-4EE0-B11E-FB1588EB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36</cp:revision>
  <cp:lastPrinted>2002-04-23T01:10:00Z</cp:lastPrinted>
  <dcterms:created xsi:type="dcterms:W3CDTF">2017-11-15T22:40:00Z</dcterms:created>
  <dcterms:modified xsi:type="dcterms:W3CDTF">2017-11-18T00:00:00Z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